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1132" w:bottom="984" w:left="4120" w:header="0" w:footer="3" w:gutter="0"/>
          <w:cols w:space="720"/>
          <w:noEndnote/>
          <w:rtlGutter w:val="0"/>
          <w:docGrid w:linePitch="360"/>
        </w:sectPr>
      </w:pPr>
    </w:p>
    <w:p>
      <w:pPr>
        <w:pStyle w:val="Style2"/>
        <w:keepNext w:val="0"/>
        <w:keepLines w:val="0"/>
        <w:framePr w:w="3653" w:h="437" w:wrap="none" w:vAnchor="text" w:hAnchor="page" w:x="4121" w:y="21"/>
        <w:widowControl w:val="0"/>
        <w:shd w:val="clear" w:color="auto" w:fill="auto"/>
        <w:bidi w:val="0"/>
        <w:spacing w:before="0" w:after="0" w:line="240" w:lineRule="auto"/>
        <w:ind w:left="0" w:right="0" w:firstLine="0"/>
        <w:jc w:val="center"/>
      </w:pPr>
      <w:r>
        <w:rPr>
          <w:color w:val="000000"/>
          <w:spacing w:val="0"/>
          <w:w w:val="100"/>
          <w:position w:val="0"/>
        </w:rPr>
        <w:t>远光软件股份有限公司</w:t>
      </w:r>
    </w:p>
    <w:p>
      <w:pPr>
        <w:pStyle w:val="Style4"/>
        <w:keepNext w:val="0"/>
        <w:keepLines w:val="0"/>
        <w:framePr w:w="2371" w:h="408" w:wrap="none" w:vAnchor="text" w:hAnchor="page" w:x="4759" w:y="84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08" w:wrap="none" w:vAnchor="text" w:hAnchor="page" w:x="5004" w:y="7263"/>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018" w:right="1132" w:bottom="984" w:left="4120"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公司负责人陈利浩、主管会计工作负责人毛华夏及会计机构负责人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马春霞声明：保证本年度报告中财务报告的真实、准确、完整。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2"/>
        <w:keepNext w:val="0"/>
        <w:keepLines w:val="0"/>
        <w:widowControl w:val="0"/>
        <w:shd w:val="clear" w:color="auto" w:fill="auto"/>
        <w:bidi w:val="0"/>
        <w:spacing w:before="0" w:line="638"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部分，描述了公司未来经营中可能面临的风险，敬请广大投资者注意查阅。</w:t>
      </w:r>
    </w:p>
    <w:p>
      <w:pPr>
        <w:pStyle w:val="Style12"/>
        <w:keepNext w:val="0"/>
        <w:keepLines w:val="0"/>
        <w:widowControl w:val="0"/>
        <w:shd w:val="clear" w:color="auto" w:fill="auto"/>
        <w:bidi w:val="0"/>
        <w:spacing w:before="0" w:line="622" w:lineRule="exact"/>
        <w:ind w:left="0" w:right="0"/>
        <w:jc w:val="both"/>
        <w:sectPr>
          <w:footnotePr>
            <w:pos w:val="pageBottom"/>
            <w:numFmt w:val="decimal"/>
            <w:numRestart w:val="continuous"/>
          </w:footnotePr>
          <w:pgSz w:w="11900" w:h="16840"/>
          <w:pgMar w:top="1978" w:right="983" w:bottom="1978" w:left="1107" w:header="0" w:footer="3" w:gutter="0"/>
          <w:cols w:space="720"/>
          <w:noEndnote/>
          <w:rtlGutter w:val="0"/>
          <w:docGrid w:linePitch="360"/>
        </w:sectPr>
      </w:pPr>
      <w:r>
        <w:rPr>
          <w:color w:val="000000"/>
          <w:spacing w:val="0"/>
          <w:w w:val="100"/>
          <w:position w:val="0"/>
        </w:rPr>
        <w:t>公司经本次董事会审议通过的利润分配预案为：以实施</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年度权益分配 方案时股权登记日的总股本为基数，向全体股东每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0.50</w:t>
      </w:r>
      <w:r>
        <w:rPr>
          <w:color w:val="000000"/>
          <w:spacing w:val="0"/>
          <w:w w:val="100"/>
          <w:position w:val="0"/>
        </w:rPr>
        <w:t>元（含 税），送红股</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股（含税），不以公积金转增股本。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25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02"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17"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566"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3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36"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5"/>
        <w:keepNext w:val="0"/>
        <w:keepLines w:val="0"/>
        <w:widowControl w:val="0"/>
        <w:shd w:val="clear" w:color="auto" w:fill="auto"/>
        <w:tabs>
          <w:tab w:leader="dot" w:pos="9611"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2" w:bottom="2857" w:left="1112" w:header="0" w:footer="3" w:gutter="0"/>
          <w:cols w:space="720"/>
          <w:noEndnote/>
          <w:rtlGutter w:val="0"/>
          <w:docGrid w:linePitch="360"/>
        </w:sectPr>
      </w:pPr>
      <w:hyperlink w:anchor="bookmark64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r>
        <w:fldChar w:fldCharType="end"/>
      </w:r>
    </w:p>
    <w:p>
      <w:pPr>
        <w:pStyle w:val="Style4"/>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0" w:line="240" w:lineRule="auto"/>
        <w:ind w:left="0" w:right="0" w:firstLine="0"/>
        <w:jc w:val="left"/>
        <w:sectPr>
          <w:footnotePr>
            <w:pos w:val="pageBottom"/>
            <w:numFmt w:val="decimal"/>
            <w:numRestart w:val="continuous"/>
          </w:footnotePr>
          <w:pgSz w:w="11900" w:h="16840"/>
          <w:pgMar w:top="2094" w:right="1112" w:bottom="2094" w:left="1112" w:header="0" w:footer="3" w:gutter="0"/>
          <w:cols w:space="720"/>
          <w:noEndnote/>
          <w:rtlGutter w:val="0"/>
          <w:docGrid w:linePitch="360"/>
        </w:sectPr>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p>
    <w:p>
      <w:pPr>
        <w:pStyle w:val="Style4"/>
        <w:keepNext w:val="0"/>
        <w:keepLines w:val="0"/>
        <w:widowControl w:val="0"/>
        <w:shd w:val="clear" w:color="auto" w:fill="auto"/>
        <w:bidi w:val="0"/>
        <w:spacing w:before="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公司、本公司、远光软件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中国证券监督管理委员会广东监管局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远光软件股份有限公司股东大会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远光软件股份有限公司董事会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国家电网、国网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国网电子商务有限公司（国网雄安金融科技集团有限公司），已更名 为国网数字科技控股有限公司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国网数科或国网数科公司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国网数字科技控股有限公司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人民币元（万元）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4"/>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38"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远光软件</w:t>
              <w:tab/>
              <w:t>股票代码</w:t>
              <w:tab/>
            </w:r>
            <w:r>
              <w:rPr>
                <w:rFonts w:ascii="Times New Roman" w:eastAsia="Times New Roman" w:hAnsi="Times New Roman" w:cs="Times New Roman"/>
                <w:color w:val="000000"/>
                <w:spacing w:val="0"/>
                <w:w w:val="100"/>
                <w:position w:val="0"/>
                <w:sz w:val="18"/>
                <w:szCs w:val="18"/>
              </w:rPr>
              <w:t>002063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变更后的股票简称（如有）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远光软件股份有限公司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YGSOFT Inc.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YGSOFT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广东省珠海市港湾大道科技一路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广东省珠海市港湾大道科技一路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"http://www.ygsoft.com" </w:instrText>
            </w:r>
            <w:r>
              <w:fldChar w:fldCharType="separate"/>
            </w:r>
            <w:r>
              <w:rPr>
                <w:rFonts w:ascii="Times New Roman" w:eastAsia="Times New Roman" w:hAnsi="Times New Roman" w:cs="Times New Roman"/>
                <w:color w:val="000000"/>
                <w:spacing w:val="0"/>
                <w:w w:val="100"/>
                <w:position w:val="0"/>
                <w:sz w:val="18"/>
                <w:szCs w:val="18"/>
              </w:rPr>
              <w:t>http://www.ygsoft.com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ygstock@ygsoft.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邓飞、周海霞</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广东省珠海市港湾大道科技一路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广东省珠海市港湾大道科技一路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0756-6298628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0756-6298628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0756-3399666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0756-3399666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ygstock@ygsoft.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ygstock@ygsoft.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公司证券及法律事务部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91440400707956364B</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无变更</w:t>
            </w:r>
          </w:p>
        </w:tc>
      </w:tr>
      <w:tr>
        <w:trPr>
          <w:trHeight w:val="427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日公司上市时，控股股东为珠海市东区荣光科技有限公司，实 际控制人为陈利浩先生；</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日，公司披露《关于控股股东协议转让 股份的公告》（公告编号：</w:t>
            </w:r>
            <w:r>
              <w:rPr>
                <w:rFonts w:ascii="Times New Roman" w:eastAsia="Times New Roman" w:hAnsi="Times New Roman" w:cs="Times New Roman"/>
                <w:color w:val="000000"/>
                <w:spacing w:val="0"/>
                <w:w w:val="100"/>
                <w:position w:val="0"/>
                <w:sz w:val="18"/>
                <w:szCs w:val="18"/>
              </w:rPr>
              <w:t>2011-013</w:t>
            </w:r>
            <w:r>
              <w:rPr>
                <w:color w:val="000000"/>
                <w:spacing w:val="0"/>
                <w:w w:val="100"/>
                <w:position w:val="0"/>
                <w:sz w:val="17"/>
                <w:szCs w:val="17"/>
              </w:rPr>
              <w:t>），控股股东由珠海市东区荣光科技有限公司 变更为陈利浩先生。</w:t>
            </w:r>
          </w:p>
          <w:p>
            <w:pPr>
              <w:pStyle w:val="Style20"/>
              <w:keepNext w:val="0"/>
              <w:keepLines w:val="0"/>
              <w:widowControl w:val="0"/>
              <w:shd w:val="clear" w:color="auto" w:fill="auto"/>
              <w:bidi w:val="0"/>
              <w:spacing w:before="0" w:after="60" w:line="317"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日披露《关于股东权益变动暨第一大股东变更的提示性公 告》（公告编号：</w:t>
            </w:r>
            <w:r>
              <w:rPr>
                <w:rFonts w:ascii="Times New Roman" w:eastAsia="Times New Roman" w:hAnsi="Times New Roman" w:cs="Times New Roman"/>
                <w:color w:val="000000"/>
                <w:spacing w:val="0"/>
                <w:w w:val="100"/>
                <w:position w:val="0"/>
                <w:sz w:val="18"/>
                <w:szCs w:val="18"/>
              </w:rPr>
              <w:t>2019-010</w:t>
            </w:r>
            <w:r>
              <w:rPr>
                <w:color w:val="000000"/>
                <w:spacing w:val="0"/>
                <w:w w:val="100"/>
                <w:position w:val="0"/>
                <w:sz w:val="17"/>
                <w:szCs w:val="17"/>
              </w:rPr>
              <w:t>）</w:t>
            </w:r>
            <w:r>
              <w:rPr>
                <w:color w:val="000000"/>
                <w:spacing w:val="0"/>
                <w:w w:val="100"/>
                <w:position w:val="0"/>
                <w:sz w:val="17"/>
                <w:szCs w:val="17"/>
              </w:rPr>
              <w:t xml:space="preserve">，国网电商拟通过无偿划转形式受让其一致行动人国 网福建省电力有限公司、国网吉林省电力有限公司合计持有的公司股份 </w:t>
            </w:r>
            <w:r>
              <w:rPr>
                <w:rFonts w:ascii="Times New Roman" w:eastAsia="Times New Roman" w:hAnsi="Times New Roman" w:cs="Times New Roman"/>
                <w:color w:val="000000"/>
                <w:spacing w:val="0"/>
                <w:w w:val="100"/>
                <w:position w:val="0"/>
                <w:sz w:val="18"/>
                <w:szCs w:val="18"/>
              </w:rPr>
              <w:t>90,275,039</w:t>
            </w:r>
            <w:r>
              <w:rPr>
                <w:color w:val="000000"/>
                <w:spacing w:val="0"/>
                <w:w w:val="100"/>
                <w:position w:val="0"/>
                <w:sz w:val="17"/>
                <w:szCs w:val="17"/>
              </w:rPr>
              <w:t>股。股份划转完成后，国网电商将成为公司第一大股东，公司无控股 股东及实际控制人。</w:t>
            </w:r>
          </w:p>
          <w:p>
            <w:pPr>
              <w:pStyle w:val="Style20"/>
              <w:keepNext w:val="0"/>
              <w:keepLines w:val="0"/>
              <w:widowControl w:val="0"/>
              <w:shd w:val="clear" w:color="auto" w:fill="auto"/>
              <w:bidi w:val="0"/>
              <w:spacing w:before="0" w:after="40" w:line="318"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日披露《关于公司股东签署一致行动人协议暨公司控制权 发生变更的提示性公告》（公告编号：</w:t>
            </w:r>
            <w:r>
              <w:rPr>
                <w:rFonts w:ascii="Times New Roman" w:eastAsia="Times New Roman" w:hAnsi="Times New Roman" w:cs="Times New Roman"/>
                <w:color w:val="000000"/>
                <w:spacing w:val="0"/>
                <w:w w:val="100"/>
                <w:position w:val="0"/>
                <w:sz w:val="18"/>
                <w:szCs w:val="18"/>
              </w:rPr>
              <w:t>2019-069</w:t>
            </w:r>
            <w:r>
              <w:rPr>
                <w:color w:val="000000"/>
                <w:spacing w:val="0"/>
                <w:w w:val="100"/>
                <w:position w:val="0"/>
                <w:sz w:val="17"/>
                <w:szCs w:val="17"/>
              </w:rPr>
              <w:t>），国网电商与陈利浩先生、黄笑 华先生签署《一致行动人协议》，国网电商成为公司控股股东，国务院国有资产监 督管理委员会成为公司实际控制人。</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李恩成、余红</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1,691,519,226.39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1,565,208,558.82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305,387,468.25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262,885,099.41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226,707,159.85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284,377,754.01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239,179,011.49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185,073,550.07</w:t>
            </w:r>
          </w:p>
        </w:tc>
      </w:tr>
    </w:tbl>
    <w:tbl>
      <w:tblPr>
        <w:tblOverlap w:val="never"/>
        <w:jc w:val="center"/>
        <w:tblLayout w:type="fixed"/>
      </w:tblPr>
      <w:tblGrid>
        <w:gridCol w:w="2626"/>
        <w:gridCol w:w="1738"/>
        <w:gridCol w:w="1738"/>
        <w:gridCol w:w="1738"/>
        <w:gridCol w:w="174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21,846,462.18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78,849,111.26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186,617,104.47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3,488,492,501.31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3,138,134,407.02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2,906,222,044.47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2,873,781,891.66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2,644,533,676.62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2,477,531,654.01</w:t>
            </w:r>
          </w:p>
        </w:tc>
      </w:tr>
    </w:tbl>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9"/>
        <w:keepNext/>
        <w:keepLines/>
        <w:widowControl w:val="0"/>
        <w:shd w:val="clear" w:color="auto" w:fill="auto"/>
        <w:tabs>
          <w:tab w:pos="395" w:val="left"/>
        </w:tabs>
        <w:bidi w:val="0"/>
        <w:spacing w:before="0" w:after="38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after="38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293,471,848.13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458,392,629.40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392,961,588.06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770,436,708.70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7,207,236.86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76,769,308.12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58,536,718.26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162,874,205.01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5,334,866.32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73,418,962.45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57,759,594.97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147,864,330.27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-244,430,397.22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-287,624,407.56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-109,551,608.43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663,452,875.39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4"/>
        <w:keepNext/>
        <w:keepLines/>
        <w:widowControl w:val="0"/>
        <w:shd w:val="clear" w:color="auto" w:fill="auto"/>
        <w:bidi w:val="0"/>
        <w:spacing w:before="0" w:after="38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175,779.64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31,278,842.21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6,206,816.50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6,607,844.55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7,959,242.72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84,044.53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20,272,691.23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21,354,287.19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4,861,233.73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-1,266,125.07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-272,106.71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-617,648.01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2,955,951.71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3,118,683.00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1,426,206.35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1,169,344.09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1,041,033.75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505,899.05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21,009,714.24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23,706,087.92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41,633,609.78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22"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322" w:lineRule="exact"/>
        <w:ind w:left="0" w:right="0" w:firstLine="0"/>
        <w:jc w:val="both"/>
        <w:sectPr>
          <w:footnotePr>
            <w:pos w:val="pageBottom"/>
            <w:numFmt w:val="decimal"/>
            <w:numRestart w:val="continuous"/>
          </w:footnotePr>
          <w:pgSz w:w="11900" w:h="16840"/>
          <w:pgMar w:top="1441" w:right="1126" w:bottom="1643" w:left="108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4"/>
        <w:keepNext/>
        <w:keepLines/>
        <w:widowControl w:val="0"/>
        <w:shd w:val="clear" w:color="auto" w:fill="auto"/>
        <w:tabs>
          <w:tab w:pos="480" w:val="left"/>
        </w:tabs>
        <w:bidi w:val="0"/>
        <w:spacing w:before="0" w:after="400" w:line="312" w:lineRule="exact"/>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报告期内公司所处的行业情况</w:t>
      </w:r>
      <w:bookmarkEnd w:id="58"/>
      <w:bookmarkEnd w:id="59"/>
      <w:bookmarkEnd w:id="61"/>
      <w:bookmarkEnd w:id="57"/>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公司是国内主流的企业管理、能源互联和社会服务的信息技术、产品和服务提供商，专 注大型企业管理信息化，长期为能源行业企业提供信息化管理产品与服务。公司秉承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科技推 动进步，创新引领发展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的企业理念，主营产品与服务包括数字企业、智慧能源、信创平台、 社会互联等。公司坚持产品技术创新、强化业务模式变革，积极推动信息化产品的国产化、 智能化，不断用信息技术为产业转型升级提供价值，为企业管理、能源互联及社会服务提供 支撑。</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以新一代信息技术、新能源技术、智能制造技术等领域突破发展引发的新一轮科技革命 和产业变革方兴未艾，信息技术融合、汇聚创新催生大量新范式、新业态。数字经济是继农 业经济、工业经济之后的主要经济形态，是以数据资源为关键要素，以现代信息网络为主要 载体，以信息通信技术融合应用、全要素数字化转型为重要推动力，促进公平与效率更加统 一的新经济形态。数字经济发展速度之快、辐射范围之广、影响程度之深前所未有，正推动 生产方式、生活方式和治理方式深刻变革，成为重组全球要素资源、重塑全球经济结构、改 变全球竞争格局的关键力量。</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党中央部署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构建以新能源为主体的新型电力系统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，而信息化、智能化是支撑新型电力 系统的技术基础。新能源和信息技术紧密融合，生产生活方式加快转向低碳化、智能化。加 快构建现代能源体系是保障国家能源安全，力争如期实现碳达峰、碳中和的内在要求，也是 推动实现经济社会高质量发展的重要支撑。</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国家统筹布局基础研究和关键核心技术攻关，积极推动关键软件国产化替代，构建龙头 企业牵头、高校院所支撑、各创新主体相互协同的创新联合体，推进应用场景开放、开展核 心技术攻关、强化试点应用及推广、打造产业新业态，推动重点领域项目、基地、平台、人 才、资金一体化配置。</w:t>
      </w:r>
    </w:p>
    <w:p>
      <w:pPr>
        <w:pStyle w:val="Style33"/>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公司紧抓企业数字化转型、新型电力系统建设、关键领域软件国产替代等发展机遇，深 入贯彻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数字经济发展规划对软件行业加快国产替代的信创要求，积极践行国产替代。 公司持续深化产品技术创新，重点布局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云大物移智链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等新兴技术应用研发，全力打造和推 进数字化、智能化、全球化、社会化、安全可信的创新产品；不断完善产品和服务体系，加 快产业链联动，从技术、产品、服务模式和生态等多方面创新，保证数字经济建设全方位的 信息安全和自主可控。</w:t>
      </w:r>
    </w:p>
    <w:p>
      <w:pPr>
        <w:pStyle w:val="Style24"/>
        <w:keepNext/>
        <w:keepLines/>
        <w:widowControl w:val="0"/>
        <w:shd w:val="clear" w:color="auto" w:fill="auto"/>
        <w:tabs>
          <w:tab w:pos="480" w:val="left"/>
        </w:tabs>
        <w:bidi w:val="0"/>
        <w:spacing w:before="0" w:after="280" w:line="312" w:lineRule="exact"/>
        <w:ind w:left="0" w:right="0" w:firstLine="0"/>
        <w:jc w:val="both"/>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w:t>
        <w:tab/>
        <w:t>报告期内公司从事的主要业务</w:t>
      </w:r>
      <w:bookmarkEnd w:id="62"/>
      <w:bookmarkEnd w:id="63"/>
      <w:bookmarkEnd w:id="65"/>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报告期内，公司以信息技术和能源技术为根本动力，围绕数字企业、智慧能源、信创平 台、社会互联四大领域进行布局。在强化原有核心业务的基础上，持续加大新技术的研发、 储备和应用，优化产品战略。</w:t>
      </w:r>
    </w:p>
    <w:p>
      <w:pPr>
        <w:pStyle w:val="Style33"/>
        <w:keepNext w:val="0"/>
        <w:keepLines w:val="0"/>
        <w:widowControl w:val="0"/>
        <w:shd w:val="clear" w:color="auto" w:fill="auto"/>
        <w:bidi w:val="0"/>
        <w:spacing w:before="0" w:after="340" w:line="313" w:lineRule="exact"/>
        <w:ind w:left="0" w:right="0" w:firstLine="480"/>
        <w:jc w:val="both"/>
      </w:pPr>
      <w:r>
        <w:rPr>
          <w:b/>
          <w:bCs/>
          <w:color w:val="000000"/>
          <w:spacing w:val="0"/>
          <w:w w:val="100"/>
          <w:position w:val="0"/>
        </w:rPr>
        <w:t>在数字企业领域</w:t>
      </w:r>
      <w:r>
        <w:rPr>
          <w:color w:val="000000"/>
          <w:spacing w:val="0"/>
          <w:w w:val="100"/>
          <w:position w:val="0"/>
        </w:rPr>
        <w:t>，公司围绕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战略规划、资源管理、生产经营、共享服务、数据经营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 大核心应用，通过共享、开放、实时的云平台对外赋能，以数据驱动业务管理，为大型集团 企业提供集团管控、业务创新、产业链协同、社会化互联的云化服务，支撑企业一体化、智 能化的经营管理体系和能力构建，助力企业数字化转型升级。</w:t>
      </w:r>
    </w:p>
    <w:p>
      <w:pPr>
        <w:pStyle w:val="Style33"/>
        <w:keepNext w:val="0"/>
        <w:keepLines w:val="0"/>
        <w:widowControl w:val="0"/>
        <w:shd w:val="clear" w:color="auto" w:fill="auto"/>
        <w:bidi w:val="0"/>
        <w:spacing w:before="0" w:after="0" w:line="311" w:lineRule="exact"/>
        <w:ind w:left="0" w:right="0" w:firstLine="480"/>
        <w:jc w:val="both"/>
      </w:pPr>
      <w:r>
        <w:rPr>
          <w:b/>
          <w:bCs/>
          <w:color w:val="000000"/>
          <w:spacing w:val="0"/>
          <w:w w:val="100"/>
          <w:position w:val="0"/>
        </w:rPr>
        <w:t>在智慧能源领域</w:t>
      </w:r>
      <w:r>
        <w:rPr>
          <w:color w:val="000000"/>
          <w:spacing w:val="0"/>
          <w:w w:val="100"/>
          <w:position w:val="0"/>
        </w:rPr>
        <w:t>，公司深度融合信息技术与能源技术，面向能源产业链企业提供数字化、 智能化的产品和解决方案，助力能源企业持续创新业务价值，实现智慧生产、智慧传输、智 慧存储、智慧交易，智慧应用，最终实现能源产业链的智慧化协同，构建数字化、智能化的 新型电力系统。紧扣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战略，协同能源产业链上下游的绿色低碳发展，共建共享能源互 联。</w:t>
      </w:r>
    </w:p>
    <w:p>
      <w:pPr>
        <w:pStyle w:val="Style33"/>
        <w:keepNext w:val="0"/>
        <w:keepLines w:val="0"/>
        <w:widowControl w:val="0"/>
        <w:shd w:val="clear" w:color="auto" w:fill="auto"/>
        <w:bidi w:val="0"/>
        <w:spacing w:before="0" w:after="0" w:line="311" w:lineRule="exact"/>
        <w:ind w:left="0" w:right="0" w:firstLine="480"/>
        <w:jc w:val="both"/>
      </w:pPr>
      <w:r>
        <w:rPr>
          <w:b/>
          <w:bCs/>
          <w:color w:val="000000"/>
          <w:spacing w:val="0"/>
          <w:w w:val="100"/>
          <w:position w:val="0"/>
        </w:rPr>
        <w:t>在信创平台领域</w:t>
      </w:r>
      <w:r>
        <w:rPr>
          <w:color w:val="000000"/>
          <w:spacing w:val="0"/>
          <w:w w:val="100"/>
          <w:position w:val="0"/>
        </w:rPr>
        <w:t>，公司践行自主可靠理念，基于全栈国产化技术路线，提供涵盖软件设 计、开发、集成、测试、应用、运维等全链路研发工具，为企业云应用的快速构建、规范管 理、自动化运维提供全面支持。以数据中台、业务中台、平台工具等服务及国产化解决方案， 夯实企业数智创新技术底座，保障企业信息安全，服务国家信创战略落地。</w:t>
      </w:r>
    </w:p>
    <w:p>
      <w:pPr>
        <w:pStyle w:val="Style33"/>
        <w:keepNext w:val="0"/>
        <w:keepLines w:val="0"/>
        <w:widowControl w:val="0"/>
        <w:shd w:val="clear" w:color="auto" w:fill="auto"/>
        <w:bidi w:val="0"/>
        <w:spacing w:before="0" w:after="300" w:line="311" w:lineRule="exact"/>
        <w:ind w:left="0" w:right="0" w:firstLine="480"/>
        <w:jc w:val="both"/>
      </w:pPr>
      <w:r>
        <w:rPr>
          <w:b/>
          <w:bCs/>
          <w:color w:val="000000"/>
          <w:spacing w:val="0"/>
          <w:w w:val="100"/>
          <w:position w:val="0"/>
        </w:rPr>
        <w:t>在社会互联领域</w:t>
      </w:r>
      <w:r>
        <w:rPr>
          <w:color w:val="000000"/>
          <w:spacing w:val="0"/>
          <w:w w:val="100"/>
          <w:position w:val="0"/>
        </w:rPr>
        <w:t>，公司致力于以信息技术推动社会进步，基于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物联网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区块链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要素为基础，以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事件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管理为主线，以业务流程管理为重点，对社会各信息资源进行 合理配置和组织协调，助力智慧组织、智慧城市、智慧产业的建设与发展。</w:t>
      </w:r>
    </w:p>
    <w:p>
      <w:pPr>
        <w:pStyle w:val="Style24"/>
        <w:keepNext/>
        <w:keepLines/>
        <w:widowControl w:val="0"/>
        <w:shd w:val="clear" w:color="auto" w:fill="auto"/>
        <w:bidi w:val="0"/>
        <w:spacing w:before="0" w:after="600" w:line="311"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、核心竞争力分析</w:t>
      </w:r>
      <w:bookmarkEnd w:id="66"/>
      <w:bookmarkEnd w:id="67"/>
      <w:bookmarkEnd w:id="69"/>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年度相比，报告期内，公司的核心竞争力继续得到巩固和提高。</w:t>
      </w:r>
    </w:p>
    <w:p>
      <w:pPr>
        <w:pStyle w:val="Style33"/>
        <w:keepNext w:val="0"/>
        <w:keepLines w:val="0"/>
        <w:widowControl w:val="0"/>
        <w:numPr>
          <w:ilvl w:val="0"/>
          <w:numId w:val="1"/>
        </w:numPr>
        <w:shd w:val="clear" w:color="auto" w:fill="auto"/>
        <w:tabs>
          <w:tab w:pos="769" w:val="left"/>
        </w:tabs>
        <w:bidi w:val="0"/>
        <w:spacing w:before="0" w:after="0" w:line="313" w:lineRule="exact"/>
        <w:ind w:left="0" w:right="0" w:firstLine="480"/>
        <w:jc w:val="both"/>
      </w:pPr>
      <w:bookmarkStart w:id="70" w:name="bookmark70"/>
      <w:bookmarkEnd w:id="70"/>
      <w:r>
        <w:rPr>
          <w:b/>
          <w:bCs/>
          <w:color w:val="000000"/>
          <w:spacing w:val="0"/>
          <w:w w:val="100"/>
          <w:position w:val="0"/>
        </w:rPr>
        <w:t>行业积累优势</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能源行业是国民经济重要的基础产业，具有资金密集、资产密集、技术密集和网络互连 的特点。公司近</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年来一直服务并参与国家电网、南方电网、国家电投集团、国家能源集团、 华电集团等能源集团的信息化工程建设，对能源行业、特别是电力行业的产业特性、经营特 点、管理模式、业务流程等有着长期、深入、全面的理解。随着能源互联网建设日趋加速， 公司在能源行业多年沉淀与积累的优势愈加明显，有利于公司及时掌握客户的需求和信息化 建设的方向，及时抓住战略性的新机遇，不断扩展国内区域性、地方性能源集团的信息化项 目。</w:t>
      </w:r>
    </w:p>
    <w:p>
      <w:pPr>
        <w:pStyle w:val="Style33"/>
        <w:keepNext w:val="0"/>
        <w:keepLines w:val="0"/>
        <w:widowControl w:val="0"/>
        <w:numPr>
          <w:ilvl w:val="0"/>
          <w:numId w:val="1"/>
        </w:numPr>
        <w:shd w:val="clear" w:color="auto" w:fill="auto"/>
        <w:tabs>
          <w:tab w:pos="783" w:val="left"/>
        </w:tabs>
        <w:bidi w:val="0"/>
        <w:spacing w:before="0" w:after="0" w:line="313" w:lineRule="exact"/>
        <w:ind w:left="0" w:right="0" w:firstLine="480"/>
        <w:jc w:val="both"/>
      </w:pPr>
      <w:bookmarkStart w:id="71" w:name="bookmark71"/>
      <w:bookmarkEnd w:id="71"/>
      <w:r>
        <w:rPr>
          <w:b/>
          <w:bCs/>
          <w:color w:val="000000"/>
          <w:spacing w:val="0"/>
          <w:w w:val="100"/>
          <w:position w:val="0"/>
        </w:rPr>
        <w:t>市场服务优势</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在经济新常态、改革新动态的环境下，集团企业业务模式和管理模式都发生了较大改变， 基于对集团管理特性的深入理解，以及对能源行业用户、特别是大型企业集团高质量发展需 求的观察掌握，公司在核心产品上已形成稳固的市场份额优势，产品与服务被客户认可和接 受。同时，公司在推进及助力集团企业数字化转型上积累了专业的业务咨询及信息化蓝图规 划的经验和能力，先后为诸多企业集团提供了高质量的财务共享服务、司库管理等领域的咨 询及蓝图规划。公司拥有一支高素质高效率、能为客户提供全面解决方案的专业的咨询、实 施和服务团队；拥有遍布于全国的五十多个分支机构及分子公司，能为客户提供专业、多层 次、快捷、高效的本地化服务，全面满足客户需求。</w:t>
      </w:r>
    </w:p>
    <w:p>
      <w:pPr>
        <w:pStyle w:val="Style33"/>
        <w:keepNext w:val="0"/>
        <w:keepLines w:val="0"/>
        <w:widowControl w:val="0"/>
        <w:numPr>
          <w:ilvl w:val="0"/>
          <w:numId w:val="1"/>
        </w:numPr>
        <w:shd w:val="clear" w:color="auto" w:fill="auto"/>
        <w:tabs>
          <w:tab w:pos="783" w:val="left"/>
        </w:tabs>
        <w:bidi w:val="0"/>
        <w:spacing w:before="0" w:after="0" w:line="313" w:lineRule="exact"/>
        <w:ind w:left="0" w:right="0" w:firstLine="480"/>
        <w:jc w:val="both"/>
      </w:pPr>
      <w:bookmarkStart w:id="72" w:name="bookmark72"/>
      <w:bookmarkEnd w:id="72"/>
      <w:r>
        <w:rPr>
          <w:b/>
          <w:bCs/>
          <w:color w:val="000000"/>
          <w:spacing w:val="0"/>
          <w:w w:val="100"/>
          <w:position w:val="0"/>
        </w:rPr>
        <w:t>产品技术优势</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信息技术已逐渐从支撑企业管理的工具转变为引领企业创新发展的核心驱动力，公司紧 贴行业发展趋势，在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等政策引领下，不断探索 信息技术的应用实践。公司始终坚持自主研发，逐年加大对云计算、大数据、人工智能、区 块链、物联网等领域的技术储备。公司建有远光研究院，北京、武汉、珠海三大研发中心， 一个博士后工作站，聚焦前沿技术，在区块链、人工智能、高性能计算等领域，为公司重点 技术、业务领域的跟踪、研究和孵化进行技术支撑。公司连续多年的研发投入超过当年营业 收入的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以上，在保证现有产品稳定运行的前提下不断升级新技术，全力打造和推进以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 字化、智能化、全球化、社会化、安全可信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为主要特点的创新产品，不断完善产品，加快产 业链联动，推动公司的可持续发展。</w:t>
      </w:r>
    </w:p>
    <w:p>
      <w:pPr>
        <w:pStyle w:val="Style33"/>
        <w:keepNext w:val="0"/>
        <w:keepLines w:val="0"/>
        <w:widowControl w:val="0"/>
        <w:numPr>
          <w:ilvl w:val="0"/>
          <w:numId w:val="1"/>
        </w:numPr>
        <w:shd w:val="clear" w:color="auto" w:fill="auto"/>
        <w:tabs>
          <w:tab w:pos="806" w:val="left"/>
        </w:tabs>
        <w:bidi w:val="0"/>
        <w:spacing w:before="0" w:after="0" w:line="314" w:lineRule="exact"/>
        <w:ind w:left="0" w:right="0" w:firstLine="500"/>
        <w:jc w:val="both"/>
      </w:pPr>
      <w:bookmarkStart w:id="73" w:name="bookmark73"/>
      <w:bookmarkEnd w:id="73"/>
      <w:r>
        <w:rPr>
          <w:b/>
          <w:bCs/>
          <w:color w:val="000000"/>
          <w:spacing w:val="0"/>
          <w:w w:val="100"/>
          <w:position w:val="0"/>
        </w:rPr>
        <w:t>产业链优势</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能源互联网是信息技术与能源技术融合发展的必然趋势，各类新兴技术在能源行业深入 应用，能源互联网迎来实质性发展。公司凭借丰富的行业经验与积累，提前布局，不断完善 产品线，打通能源行业上下游产业链，构建了全面覆盖发电、输电、配电、售电和用电全产 业价值链各环节的产品体系。</w:t>
      </w:r>
    </w:p>
    <w:p>
      <w:pPr>
        <w:pStyle w:val="Style33"/>
        <w:keepNext w:val="0"/>
        <w:keepLines w:val="0"/>
        <w:widowControl w:val="0"/>
        <w:numPr>
          <w:ilvl w:val="0"/>
          <w:numId w:val="1"/>
        </w:numPr>
        <w:shd w:val="clear" w:color="auto" w:fill="auto"/>
        <w:tabs>
          <w:tab w:pos="806" w:val="left"/>
        </w:tabs>
        <w:bidi w:val="0"/>
        <w:spacing w:before="0" w:after="0" w:line="314" w:lineRule="exact"/>
        <w:ind w:left="0" w:right="0" w:firstLine="500"/>
        <w:jc w:val="both"/>
      </w:pPr>
      <w:bookmarkStart w:id="74" w:name="bookmark74"/>
      <w:bookmarkEnd w:id="74"/>
      <w:r>
        <w:rPr>
          <w:b/>
          <w:bCs/>
          <w:color w:val="000000"/>
          <w:spacing w:val="0"/>
          <w:w w:val="100"/>
          <w:position w:val="0"/>
        </w:rPr>
        <w:t>资本优势</w:t>
      </w:r>
    </w:p>
    <w:p>
      <w:pPr>
        <w:pStyle w:val="Style33"/>
        <w:keepNext w:val="0"/>
        <w:keepLines w:val="0"/>
        <w:widowControl w:val="0"/>
        <w:shd w:val="clear" w:color="auto" w:fill="auto"/>
        <w:bidi w:val="0"/>
        <w:spacing w:before="0" w:after="300" w:line="301" w:lineRule="exact"/>
        <w:ind w:left="0" w:right="0"/>
        <w:jc w:val="both"/>
      </w:pPr>
      <w:r>
        <w:rPr>
          <w:color w:val="000000"/>
          <w:spacing w:val="0"/>
          <w:w w:val="100"/>
          <w:position w:val="0"/>
        </w:rPr>
        <w:t>能源行业是关系国计民生的命脉行业，各大电力企业对核心信息系统提供商的经营稳定 性、持续性有着很高的要求。作为国家电网公司的成员单位，国网电商为公司控股股东，国 务院国资委为公司的实际控制人，从根本上保证了公司为能源企业提供的产品和服务的持续 和稳定。同时，公司的产品优势和国网电商的平台优势相结合，公司成熟、优质的资本平台 与国有资产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混改，，的要求相结合，都是公司规模增长、业务发展的有利因素。</w:t>
      </w:r>
    </w:p>
    <w:p>
      <w:pPr>
        <w:pStyle w:val="Style24"/>
        <w:keepNext/>
        <w:keepLines/>
        <w:widowControl w:val="0"/>
        <w:shd w:val="clear" w:color="auto" w:fill="auto"/>
        <w:bidi w:val="0"/>
        <w:spacing w:before="0" w:after="380" w:line="312"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rPr>
        <w:t>四</w:t>
      </w:r>
      <w:bookmarkEnd w:id="77"/>
      <w:r>
        <w:rPr>
          <w:color w:val="000000"/>
          <w:spacing w:val="0"/>
          <w:w w:val="100"/>
          <w:position w:val="0"/>
        </w:rPr>
        <w:t>、主营业务分析</w:t>
      </w:r>
      <w:bookmarkEnd w:id="75"/>
      <w:bookmarkEnd w:id="76"/>
      <w:bookmarkEnd w:id="78"/>
    </w:p>
    <w:p>
      <w:pPr>
        <w:pStyle w:val="Style29"/>
        <w:keepNext/>
        <w:keepLines/>
        <w:widowControl w:val="0"/>
        <w:shd w:val="clear" w:color="auto" w:fill="auto"/>
        <w:bidi w:val="0"/>
        <w:spacing w:before="0" w:after="30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、概述</w:t>
      </w:r>
      <w:bookmarkEnd w:id="79"/>
      <w:bookmarkEnd w:id="80"/>
      <w:bookmarkEnd w:id="82"/>
    </w:p>
    <w:p>
      <w:pPr>
        <w:pStyle w:val="Style33"/>
        <w:keepNext w:val="0"/>
        <w:keepLines w:val="0"/>
        <w:widowControl w:val="0"/>
        <w:shd w:val="clear" w:color="auto" w:fill="auto"/>
        <w:bidi w:val="0"/>
        <w:spacing w:before="0" w:after="0" w:line="312" w:lineRule="exact"/>
        <w:ind w:left="0" w:right="0" w:firstLine="0"/>
        <w:jc w:val="left"/>
      </w:pPr>
      <w:bookmarkStart w:id="83" w:name="bookmark83"/>
      <w:r>
        <w:rPr>
          <w:b/>
          <w:bCs/>
          <w:color w:val="000000"/>
          <w:spacing w:val="0"/>
          <w:w w:val="100"/>
          <w:position w:val="0"/>
        </w:rPr>
        <w:t>（</w:t>
      </w:r>
      <w:bookmarkEnd w:id="83"/>
      <w:r>
        <w:rPr>
          <w:b/>
          <w:bCs/>
          <w:color w:val="000000"/>
          <w:spacing w:val="0"/>
          <w:w w:val="100"/>
          <w:position w:val="0"/>
        </w:rPr>
        <w:t>一）主要业务</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报告期内，公司与国网电商充分发挥双方优势，进一步融合发展。在强化既有优势业务 的基础上，进一步拓展了公司在分布式光伏发电、储能、综合能源服务以及区块链应用等方 面的业务。统筹推进传统业务转型升级和新业态新模式的培育，通过产业链上下游协同发展 和跨界融合，赋能全要素全产业链全价值链的整体优化，打通各基础设施、各能源品种的壁 垒，实现融通增效，参与共建、共享、共治的能源互联网生态圈。</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报告期内，公司持续加大新技术的研发、储备和应用，优化产品战略。公司围绕集团企 业的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数字化转型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新需求，打造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新一代企业数字核心系统——远光</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w:t>
      </w:r>
      <w:r>
        <w:rPr>
          <w:color w:val="000000"/>
          <w:spacing w:val="0"/>
          <w:w w:val="100"/>
          <w:position w:val="0"/>
        </w:rPr>
        <w:t>深入研究数字云 平台和中台服务创新应用模式；依托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远光九天智能一体化云平台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，推出覆盖软件开发全过 程的全栈式信息技术生产国产化工具链；积极探索和实践人工智能、区块链、大数据、云服 务等新技术在企业价值链管理、产业链互联等场景里的应用落地，全面提升业务及系统架构 升级改造，全力帮助客户推进企业管理和信息化水平的提升。</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报告期内，在国家能源互联网建设、国家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目标的背景下，公司不断完 善能源领域全产业链的产品和服务体系，充分利用云计算、大数据、物联网、人工智能、区 块链等先进信息技术，提供覆盖能源互联网的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发电、供电、输电、用电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的全产业链数字化 产品和服务，加快融入电力产业创新生态圈，不断拓展新的业务增长点。公司目前已经形成 服务于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能源工业云网、智慧能源综合服务、电力市场服务、碳资产管理系统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等新兴业态的 系列产品和解决方案，助力产业链上下游尽早实现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1,915,262,774.29</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 xml:space="preserve">13.23% </w:t>
      </w:r>
      <w:r>
        <w:rPr>
          <w:color w:val="000000"/>
          <w:spacing w:val="0"/>
          <w:w w:val="100"/>
          <w:position w:val="0"/>
        </w:rPr>
        <w:t>；实现归属于上市公 司股东的净利润</w:t>
      </w:r>
      <w:r>
        <w:rPr>
          <w:rFonts w:ascii="Times New Roman" w:eastAsia="Times New Roman" w:hAnsi="Times New Roman" w:cs="Times New Roman"/>
          <w:color w:val="000000"/>
          <w:spacing w:val="0"/>
          <w:w w:val="100"/>
          <w:position w:val="0"/>
          <w:sz w:val="24"/>
          <w:szCs w:val="24"/>
        </w:rPr>
        <w:t>305,387,468.25</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16.17%</w:t>
      </w:r>
      <w:r>
        <w:rPr>
          <w:color w:val="000000"/>
          <w:spacing w:val="0"/>
          <w:w w:val="100"/>
          <w:position w:val="0"/>
        </w:rPr>
        <w:t>；归属于上市公司股东的扣除非经常性损 益后的净利润为</w:t>
      </w:r>
      <w:r>
        <w:rPr>
          <w:rFonts w:ascii="Times New Roman" w:eastAsia="Times New Roman" w:hAnsi="Times New Roman" w:cs="Times New Roman"/>
          <w:color w:val="000000"/>
          <w:spacing w:val="0"/>
          <w:w w:val="100"/>
          <w:position w:val="0"/>
          <w:sz w:val="24"/>
          <w:szCs w:val="24"/>
        </w:rPr>
        <w:t>284,377,754.01</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18.90%</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50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）集团管理业务</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报告期内，在国家电网，公司持续深耕市场，深入参与智慧共享财务平台、智慧共享线 上运营中心、财务工作无纸化建设、优化经营策略、电子会计档案、云</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审、新一代企业数字 核心系统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w:t>
      </w:r>
      <w:r>
        <w:rPr>
          <w:color w:val="000000"/>
          <w:spacing w:val="0"/>
          <w:w w:val="100"/>
          <w:position w:val="0"/>
        </w:rPr>
        <w:t>等多个重点项目建设。在湖北电力、湖南电力、山东电力和江苏电力等单 位开展</w:t>
      </w:r>
      <w:r>
        <w:rPr>
          <w:rFonts w:ascii="Times New Roman" w:eastAsia="Times New Roman" w:hAnsi="Times New Roman" w:cs="Times New Roman"/>
          <w:color w:val="000000"/>
          <w:spacing w:val="0"/>
          <w:w w:val="100"/>
          <w:position w:val="0"/>
          <w:sz w:val="24"/>
          <w:szCs w:val="24"/>
        </w:rPr>
        <w:t>“1334”</w:t>
      </w:r>
      <w:r>
        <w:rPr>
          <w:color w:val="000000"/>
          <w:spacing w:val="0"/>
          <w:w w:val="100"/>
          <w:position w:val="0"/>
        </w:rPr>
        <w:t>内部模拟市场体系、设备生产成本精益分析、工程自动竣工决算等创新项目建 设。</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重点项目建设。第一，在智慧共享财务平台方面，打造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中台服务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新模式，以 </w:t>
      </w:r>
      <w:r>
        <w:rPr>
          <w:color w:val="000000"/>
          <w:spacing w:val="0"/>
          <w:w w:val="100"/>
          <w:position w:val="0"/>
        </w:rPr>
        <w:t>建设数字财务为目标，依托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远光九天智能一体化云平台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，持续推进全面预算、工程财务、 资本运营、综合管理等基于中台的深化应用。第二，在财务工作无纸化建设方面，构建以数 字信息高效采集、传输、处理、存储、控制为基础的财务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无纸化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办公一体化解决方案，并 开展电子会计档案建设，落实四部委试点工作要求，完成</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家双试点、</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家单试点任务建设， 实现原始凭证无纸化、财务审核智能化、业务处理自动化，打造新时代数字化智慧财务管理。 第三，在数据项目方面，基于数据中台</w:t>
      </w:r>
      <w:r>
        <w:rPr>
          <w:rFonts w:ascii="Times New Roman" w:eastAsia="Times New Roman" w:hAnsi="Times New Roman" w:cs="Times New Roman"/>
          <w:color w:val="000000"/>
          <w:spacing w:val="0"/>
          <w:w w:val="100"/>
          <w:position w:val="0"/>
          <w:sz w:val="24"/>
          <w:szCs w:val="24"/>
        </w:rPr>
        <w:t>+realinsight</w:t>
      </w:r>
      <w:r>
        <w:rPr>
          <w:color w:val="000000"/>
          <w:spacing w:val="0"/>
          <w:w w:val="100"/>
          <w:position w:val="0"/>
        </w:rPr>
        <w:t>产品打造的智慧共享线上运营中心持续发 力，支撑财务多维价值输出、民营企业清欠、优化经营策略、数智风控等应用，初步形成平 台型数字生态。第四，在产业数字化</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方面，实现</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在国网电商全单位、全业务覆盖， 树立核心业务系统国产化标杆，成为数字电商建设核心；开展国网省管产业单位的</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试点 应用建设，完成试点单位业务验证，系统业务能力、用户体验获客户高度好评，为进一步应 用推广奠定良好基础。第五，在移动应用、人工智能方面，持续推动云</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审、资金动态</w:t>
      </w:r>
      <w:r>
        <w:rPr>
          <w:rFonts w:ascii="Times New Roman" w:eastAsia="Times New Roman" w:hAnsi="Times New Roman" w:cs="Times New Roman"/>
          <w:color w:val="000000"/>
          <w:spacing w:val="0"/>
          <w:w w:val="100"/>
          <w:position w:val="0"/>
          <w:sz w:val="24"/>
          <w:szCs w:val="24"/>
        </w:rPr>
        <w:t>APP</w:t>
      </w:r>
      <w:r>
        <w:rPr>
          <w:color w:val="000000"/>
          <w:spacing w:val="0"/>
          <w:w w:val="100"/>
          <w:position w:val="0"/>
        </w:rPr>
        <w:t xml:space="preserve">、 </w:t>
      </w:r>
      <w:r>
        <w:rPr>
          <w:color w:val="000000"/>
          <w:spacing w:val="0"/>
          <w:w w:val="100"/>
          <w:position w:val="0"/>
        </w:rPr>
        <w:t>财务家园等移动应用建设，深化应用场景，构建财务移动新生态；依托双创平台大力推进公 司智能设备上架销售，实现</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智能机器人在财务域的多点开花。</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创新项目建设。第一，公司参与建设的湖北电力</w:t>
      </w:r>
      <w:r>
        <w:rPr>
          <w:rFonts w:ascii="Times New Roman" w:eastAsia="Times New Roman" w:hAnsi="Times New Roman" w:cs="Times New Roman"/>
          <w:color w:val="000000"/>
          <w:spacing w:val="0"/>
          <w:w w:val="100"/>
          <w:position w:val="0"/>
          <w:sz w:val="24"/>
          <w:szCs w:val="24"/>
        </w:rPr>
        <w:t>“1334”</w:t>
      </w:r>
      <w:r>
        <w:rPr>
          <w:color w:val="000000"/>
          <w:spacing w:val="0"/>
          <w:w w:val="100"/>
          <w:position w:val="0"/>
        </w:rPr>
        <w:t>内部模拟市场项目，基于微服务 架构、云平台部署，全面对接数据中台，通过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内模业务信息标准化、交易要素规范化、考核 评价智能化、结果展示平台化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价值量化到基层、责任分解到全员、考核激励到个人</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的管理目标。第二，公司参与承建的湖南电力设备生产成本精益分析项目，基于国网数据中 台，构建设备生产成本池，通过看清规模、看透投向、看齐产出对成本构成及增长因素进行 分析，提升公司设备成本管理的效率和水平，最大限度保证设备成本投向的合理性。第三， 在山东电力和江苏电力开展的工程自动竣工决算项目，基于深化工程全过程管理与资产全寿 命管理的需求，在目前自动竣工决算和转资探索实践的基础上，研究建设技改、配网、信息、 营销、小型基建自动竣工决算和转资功能，实现资本性项目决算转资自动化全覆盖。</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在南方电网，公司参与承建的数字南网相关工作取得积极进展。电网管理平台（计划财 务域）持续开展功能迭代建设，系统覆盖全部财务业务领域，基于全面国产化环境，采用云 化、微服务化的技术，成功完成试点上线运行，正在全网推广应用。战略运行管控平台（财 务域）一期项目已完成开发，实现了经济活动分析、司库监控、预算等专题监控；承建的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南 网统一商旅服务平台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完成全面推广应用；全面参与南网企业中台的业务中台、数据中台、技 术中台建设；个税管理系统、电子会计档案、</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机器人等重点工作有序推进。南方电网下 属的广东电网公司经营大数据平台完成二期项目建设，应用效果良好。</w:t>
      </w:r>
    </w:p>
    <w:p>
      <w:pPr>
        <w:pStyle w:val="Style3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在发电市场，公司围绕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目标，积极协助配合各大央企发电集团的数字 化转型。在国家电投集团，成功中标碳排放管理应用建设项目；按照集团整体规划，深入推 进区域共享中心建设，逐步推进财务共享、税务共享、资金管理、</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和智慧商旅等系统的 建设；启动海外单位财务共享系统建设，协助集团总部加强对海外资产的财务管控能力；完 成民企清欠稽查系统试点任务，进一步扩大推广范围；按照四部委要求，有序推进集团增值 税电子发票电子化报销、入账、归档试点工作；开展经营分析系统建设，深入洞悉数据价值; 安健环系统有序推进，进一步扩大推广范围，助力集团本质安全提升。在国家能源集团，完 成了集团资金集中管理系统的推广建设，实现了对</w:t>
      </w:r>
      <w:r>
        <w:rPr>
          <w:rFonts w:ascii="Times New Roman" w:eastAsia="Times New Roman" w:hAnsi="Times New Roman" w:cs="Times New Roman"/>
          <w:color w:val="000000"/>
          <w:spacing w:val="0"/>
          <w:w w:val="100"/>
          <w:position w:val="0"/>
          <w:sz w:val="24"/>
          <w:szCs w:val="24"/>
        </w:rPr>
        <w:t>1400</w:t>
      </w:r>
      <w:r>
        <w:rPr>
          <w:color w:val="000000"/>
          <w:spacing w:val="0"/>
          <w:w w:val="100"/>
          <w:position w:val="0"/>
        </w:rPr>
        <w:t>多家单位的全覆盖，开创了能源行业 全栈国产化资金系统大集中应用先河，获得了国家能源集团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年科技进步二等奖；启动资 金智能监控分析平台建设，依托大数据技术，提升集团资金精益化管理水平；</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 xml:space="preserve">财务机器 人试点顺利通过集团验收，业务推广逐步开展，多场景数据分析落地应用，协助推进集团财 务自动化、智能化、数字化建设。在华电集团，完成华电集团财务共享全集团推广和专业板 块集中核算配套项目上线。在华能、大唐集团，稳定开展集团风控系统运维支持，深化风险 及内控系统建设，协助华能集团推进资金监控大屏项目落地。在两网五大以外电力开拓市场， 成功中标中国电建集团智慧财务共享项目，在建筑央企市场取得重大突破；全面推进皖能集 </w:t>
      </w:r>
      <w:r>
        <w:rPr>
          <w:color w:val="000000"/>
          <w:spacing w:val="0"/>
          <w:w w:val="100"/>
          <w:position w:val="0"/>
        </w:rPr>
        <w:t>团财务管控及财务共享项目建设落地，应用效果良好，荣获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年全国企业管理创新奖和</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年全国国企管理创新奖。</w:t>
      </w:r>
    </w:p>
    <w:p>
      <w:pPr>
        <w:pStyle w:val="Style33"/>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在电力行业外市场，公司不断推动业务成长，持续助力酒钢集团、越秀集团、海尔集团、 金川集团、北大口腔等集团的数字化建设。报告期间，公司成功中标广州越秀集团司库管理 系统建设项目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；金川集团资产全生命周期管理系统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项目；酒钢集团财务共享系统 建设项目；推动海尔集团全球资金云项目在全集团推广应用；承建河南省胸科医院、阜外华 中心血管病医院智、成都市第二人民医院、成都市第五人民医院等医院的智慧财务项目，扩 大在医疗行业的影响力。公司进一步拓展生产制造、医疗行业、轨道交通、航空、能源化工、 钢铁、地产金融等非电市场业务。</w:t>
      </w:r>
    </w:p>
    <w:p>
      <w:pPr>
        <w:pStyle w:val="Style33"/>
        <w:keepNext w:val="0"/>
        <w:keepLines w:val="0"/>
        <w:widowControl w:val="0"/>
        <w:shd w:val="clear" w:color="auto" w:fill="auto"/>
        <w:bidi w:val="0"/>
        <w:spacing w:before="0" w:after="0" w:line="313" w:lineRule="exact"/>
        <w:ind w:left="0" w:right="0" w:firstLine="48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）智慧能源业务</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报告期内，公司聚焦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综合能源服务、虚拟电厂、电力市场交易、能源运维、双碳业务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 多个新兴业态，形成服务各社会主体的套装产品和解决方案、赋能各社会主体能源与数字化 双转型。深入贯彻国家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构建以新能源为主体的新型电力系统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战略发展要求，与国网电商深 度融合，在智慧能源业务领域共同开展平台技术、解决方案、市场应用等方向的深度研究。</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公司协同国网电商参与建设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网上国网市场化售电</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助手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、代理购电服务专区、电力市场 售电服务平台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，积极落实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全国统一电力市场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建设要求，主动适应电力市场化建设发展，满 足各类参与主体电力需求。面向发电类、输电类、售电类、用电类四类市场主体，通过整合 公司内外部业务资源，搭建电力交易辅助服务、市场增值服务、新兴产业服务三大服务能力， 构建电力市场运营服务体系，助力国家电网公司提升电力市场服务水平，促进电力领域市场 主体深度参与市场化交易；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新一代电费结算应用平台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与国网电商深度融合，不断推进平台 基础功能建设、完善结算管理体系、扩展业务覆盖领域。整合中长期购电结算、可再生能源 补贴资金结算等业务环节，满足对电厂、售电公司、电力用户结算服务深度和广度的跨越提 升，全面提高电网企业与市场成员用户信息的共享交互效率和质量；支撑国网新能源云平台 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资源分布、用电客户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两个子平台建设，促进新能源科学规划与有序发展，提升可再生能 源消纳水平；积极参与能源领域首个全域赋能的工业互联网平台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能源工业云网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的建设运营 工作，为能源产业链上下游企业提供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互联共享、全域赋能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的能源生态全域服务；已列入国 网公司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十大重点建设任务，为能源生产企业、装备制造企业、能源消费客户提 供全域物联接入和工业互联网基础应用服务，形成产业贯通、协同共享能源互联网新生态， 支撑能源领域数字化转型发展。</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综合能源服务平台聚合电网侧及终端用户</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大智慧能源服务场景，采用云边端协同架构的 智慧能源管理平台，贯通产能、供能、储能、用能、节能等多维应用系统；依托数字化与智 能化的手段实现清洁、低碳、安全、高效的智慧运营管理。在原有的需求响应管理平台基础 上拓展业务功能和应用场景，依托负荷以及发电功率预测技术、多能协调调度技术、交易决 策技术等关键技术，搭建统一的智能管控平台，实现需求侧分散资源统一聚合管理，通过智 能化的交易决策和调度，支撑包括电网需求响应、辅助服务和新能源消纳在内的多种类型的 市场化交易。实现用户侧资源交易场景的开拓和增值服务。提升电网运行安全可靠性和电网 对于可再生能源的消纳能力。</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报告期内，公司成功中标国家电力投资集团有限公司碳排放管理系统项目，成为继华能 集团后服务的第二家五大发电集团客户。并与国网电商在面向政府侧的碳中和服务平台展开 了合作，全面参与电商新能源云公司主导的天津市碳中和支撑服务平台项目建设。为政府、 市场主体、社会公众等提供全方位、全地域、全过程碳达峰、碳中和综合服务。另外，虚拟 电厂平台类产品已经在上海电科院虚拟电厂示范项目得到应用。</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报告期内，公司与澳门大学智慧城市物联网</w:t>
      </w:r>
      <w:r>
        <w:rPr>
          <w:rFonts w:ascii="Times New Roman" w:eastAsia="Times New Roman" w:hAnsi="Times New Roman" w:cs="Times New Roman"/>
          <w:color w:val="000000"/>
          <w:spacing w:val="0"/>
          <w:w w:val="100"/>
          <w:position w:val="0"/>
          <w:sz w:val="24"/>
          <w:szCs w:val="24"/>
        </w:rPr>
        <w:t>（IOTSC）</w:t>
      </w:r>
      <w:r>
        <w:rPr>
          <w:color w:val="000000"/>
          <w:spacing w:val="0"/>
          <w:w w:val="100"/>
          <w:position w:val="0"/>
        </w:rPr>
        <w:t>国家重点实验室联合申报的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基于多 源大数据挖掘的低碳建筑智慧能源管理平台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研发项目获得</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 xml:space="preserve">年度珠海市产学研合作项目 </w:t>
      </w:r>
      <w:r>
        <w:rPr>
          <w:color w:val="000000"/>
          <w:spacing w:val="0"/>
          <w:w w:val="100"/>
          <w:position w:val="0"/>
        </w:rPr>
        <w:t>的立项赞助。在该产学研合作项目中，公司将和澳门大学科研团队紧密合作，优势互补，重 点面向大型公建等建筑，研发高能耗建筑能源管理平台产品，支撑建筑能源全面智能化管控， 实现建筑全面的节能降费。</w:t>
      </w:r>
    </w:p>
    <w:p>
      <w:pPr>
        <w:pStyle w:val="Style33"/>
        <w:keepNext w:val="0"/>
        <w:keepLines w:val="0"/>
        <w:widowControl w:val="0"/>
        <w:shd w:val="clear" w:color="auto" w:fill="auto"/>
        <w:bidi w:val="0"/>
        <w:spacing w:before="0" w:after="0" w:line="313" w:lineRule="exact"/>
        <w:ind w:left="0" w:right="0" w:firstLine="48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）人工智能业务</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报告期内，公司持续加大在人工智能领域的研究与应用，新增受理人工智能专利</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件， 荣获各类产品荣誉奖项</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个，其中</w:t>
      </w:r>
      <w:r>
        <w:rPr>
          <w:rFonts w:ascii="Times New Roman" w:eastAsia="Times New Roman" w:hAnsi="Times New Roman" w:cs="Times New Roman"/>
          <w:color w:val="000000"/>
          <w:spacing w:val="0"/>
          <w:w w:val="100"/>
          <w:position w:val="0"/>
          <w:sz w:val="24"/>
          <w:szCs w:val="24"/>
        </w:rPr>
        <w:t>Y G-RPA</w:t>
      </w:r>
      <w:r>
        <w:rPr>
          <w:color w:val="000000"/>
          <w:spacing w:val="0"/>
          <w:w w:val="100"/>
          <w:position w:val="0"/>
        </w:rPr>
        <w:t>云平台获得中国信通院最高等级</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认证。同时， 围绕智能硬件、</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平台及应用和</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应用等方向，结合客户实际业务需求和应用场景，推出 了多款新型数字化产品。</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平台及应用方面，发布了</w:t>
      </w:r>
      <w:r>
        <w:rPr>
          <w:rFonts w:ascii="Times New Roman" w:eastAsia="Times New Roman" w:hAnsi="Times New Roman" w:cs="Times New Roman"/>
          <w:color w:val="000000"/>
          <w:spacing w:val="0"/>
          <w:w w:val="100"/>
          <w:position w:val="0"/>
          <w:sz w:val="24"/>
          <w:szCs w:val="24"/>
        </w:rPr>
        <w:t>YG-RPA</w:t>
      </w:r>
      <w:r>
        <w:rPr>
          <w:color w:val="000000"/>
          <w:spacing w:val="0"/>
          <w:w w:val="100"/>
          <w:position w:val="0"/>
        </w:rPr>
        <w:t>云平台最新</w:t>
      </w:r>
      <w:r>
        <w:rPr>
          <w:rFonts w:ascii="Times New Roman" w:eastAsia="Times New Roman" w:hAnsi="Times New Roman" w:cs="Times New Roman"/>
          <w:color w:val="000000"/>
          <w:spacing w:val="0"/>
          <w:w w:val="100"/>
          <w:position w:val="0"/>
          <w:sz w:val="24"/>
          <w:szCs w:val="24"/>
        </w:rPr>
        <w:t>4.0.1</w:t>
      </w:r>
      <w:r>
        <w:rPr>
          <w:color w:val="000000"/>
          <w:spacing w:val="0"/>
          <w:w w:val="100"/>
          <w:position w:val="0"/>
        </w:rPr>
        <w:t>版本，正式启动了</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平台的生态 打造，助力</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从单机走向规模化集中运行。同时，通过与</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技术深度融合，完成了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知识图 谱</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智能审单机器人的研发。报告期内，基于平台研发的新光伏结算机器人、财务并账 机器人、银行回单管理机器人、银企对账机器人、凭证归档打印机器人、凭证审核传递机器 人等</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多款</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机器人已在国家电网、南方电网、国家电投、国家能源集团、中国国电集团 公司、中国华电集团有限公司、河南能源化工集团有限公司等单位成功应用，取得了良好应 用效果。报告期内，平台还与国产操作系统厂商统信软件推出的统信桌面操作系统</w:t>
      </w:r>
      <w:r>
        <w:rPr>
          <w:rFonts w:ascii="Times New Roman" w:eastAsia="Times New Roman" w:hAnsi="Times New Roman" w:cs="Times New Roman"/>
          <w:color w:val="000000"/>
          <w:spacing w:val="0"/>
          <w:w w:val="100"/>
          <w:position w:val="0"/>
          <w:sz w:val="24"/>
          <w:szCs w:val="24"/>
        </w:rPr>
        <w:t>V20</w:t>
      </w:r>
      <w:r>
        <w:rPr>
          <w:color w:val="000000"/>
          <w:spacing w:val="0"/>
          <w:w w:val="100"/>
          <w:position w:val="0"/>
        </w:rPr>
        <w:t>完成 产品兼容互认证，进一步验证了平台的开放性、稳定性和高可靠性，标志着平台向国产化适 配迈出了重要的一步。</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智能硬件方面，通过将</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技术融入到生产、管理等终端设备，打造灵敏、精准的管控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神 经末梢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，全新自主研发的智能归档柜、智能密集架、协作机器人等大型设备受到多地客户青 睐，并与电子档案管理系统结合实现软硬一体化解决方案，实现了档案的归档自动化、保管 电子化和利用网络化的智能革新。目前，远光软件已成功打造了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多个不同规模的智慧档案 馆，档案管理相关的软硬件产品已在北京、浙江、广东、内蒙古等全国多个省份成功应用， 随着增值税电子发票电子化报销、入账、归档多个试点项目落地验收，远光软件在档案电子 化管理方面标准化、专业化建设能力日益强化；此外，全新升级的资金卫士一经推出受到市 场欢迎；标准版报账机、桌面版报账机等多款核心产品市场推广良好。报告期内，各类智能 硬件产品年度总出货量近</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台。</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应用方面，自研技术逐步实现商业化应用，推出的知识图谱应用平台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版本全面升级 了推理引擎，并基于企业集团业务应用的需求，新增开发了多个图计算函数；新版本的图谱 可视化模块提供了全新三维视角的实体</w:t>
      </w:r>
      <w:r>
        <w:rPr>
          <w:color w:val="000000"/>
          <w:spacing w:val="0"/>
          <w:w w:val="100"/>
          <w:position w:val="0"/>
          <w:sz w:val="24"/>
          <w:szCs w:val="24"/>
        </w:rPr>
        <w:t>一一</w:t>
      </w:r>
      <w:r>
        <w:rPr>
          <w:color w:val="000000"/>
          <w:spacing w:val="0"/>
          <w:w w:val="100"/>
          <w:position w:val="0"/>
        </w:rPr>
        <w:t>关系模型可视化组件。目前，该平台已在智能审 单、智慧档案、法规智库等场景落地并在客户单位上线，同时，还为税务智库提供知识建模 与管理服务，并随智库产品在国家电网集团多个网省公司部署。此外，报告期内还推出了全 新的</w:t>
      </w:r>
      <w:r>
        <w:rPr>
          <w:rFonts w:ascii="Times New Roman" w:eastAsia="Times New Roman" w:hAnsi="Times New Roman" w:cs="Times New Roman"/>
          <w:color w:val="000000"/>
          <w:spacing w:val="0"/>
          <w:w w:val="100"/>
          <w:position w:val="0"/>
          <w:sz w:val="24"/>
          <w:szCs w:val="24"/>
        </w:rPr>
        <w:t>OCR</w:t>
      </w:r>
      <w:r>
        <w:rPr>
          <w:color w:val="000000"/>
          <w:spacing w:val="0"/>
          <w:w w:val="100"/>
          <w:position w:val="0"/>
        </w:rPr>
        <w:t>应用平台，识别能力覆盖主要财务通用票据，目前已在国网电商、国网湖北电力、 国网北京电力、国网江西电力、国网上海电力、国网内蒙古电力、国网福建电力，酒钢集团、 华电集团等客户单位成功应用，为客户提供了可快速定制、轻量化部署的</w:t>
      </w:r>
      <w:r>
        <w:rPr>
          <w:rFonts w:ascii="Times New Roman" w:eastAsia="Times New Roman" w:hAnsi="Times New Roman" w:cs="Times New Roman"/>
          <w:color w:val="000000"/>
          <w:spacing w:val="0"/>
          <w:w w:val="100"/>
          <w:position w:val="0"/>
          <w:sz w:val="24"/>
          <w:szCs w:val="24"/>
        </w:rPr>
        <w:t>OCR</w:t>
      </w:r>
      <w:r>
        <w:rPr>
          <w:color w:val="000000"/>
          <w:spacing w:val="0"/>
          <w:w w:val="100"/>
          <w:position w:val="0"/>
        </w:rPr>
        <w:t>服务，满足客 户特殊场景、特殊业务的表单、文档内容识别需求。公司加强了对自主可控和信息安全的重 视，所生产经营的智能软硬件产品均拥有完全自主知识产权，将为集团企业客户提供安全稳 定、自主可控的技术保障。同时，公司还加强了国产化进程的推进，与华为结为生态伙伴， 双方基于鲲鹏生态体系在技术安全、生态适配、人才培养等方面进行积极探索与布局。</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智能硬件及系统业务方面，公司持续完善燃料智能化领域产品生态体系及其衍生产品， 推动燃料业务的精益化、生态化发展。如集团层面的燃料数据应用平台建设，集团燃料管控、 智慧采购、电子商务、智慧调运及燃料数据挖掘与分析等应用的研发；深化区域公司、电厂 层面强化燃料管理全程集中管控，应用物联网、人工智能等技术链接各专业分散设备成为有 机整体，给设备赋予智能，实现全流程智能化。组织研发碳轨迹、碳精益、新能源领域相关 产品应用。在市场推广方面，公司深化燃料智能化领域的服务，并积极向煤矿、煤碳储运、 </w:t>
      </w:r>
      <w:r>
        <w:rPr>
          <w:color w:val="000000"/>
          <w:spacing w:val="0"/>
          <w:w w:val="100"/>
          <w:position w:val="0"/>
        </w:rPr>
        <w:t>其他大宗散装物料等市场渗透、推广和应用。公司顺应国家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碳中和碳达峰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目标发展需要， 结合自身优势布局碳轨迹、碳精益、光伏、风电等新领域。积极将移动互联网、工业物联、 区块链、人工智能、大数据等新兴技术应用于新能源领域。</w:t>
      </w:r>
    </w:p>
    <w:p>
      <w:pPr>
        <w:pStyle w:val="Style33"/>
        <w:keepNext w:val="0"/>
        <w:keepLines w:val="0"/>
        <w:widowControl w:val="0"/>
        <w:shd w:val="clear" w:color="auto" w:fill="auto"/>
        <w:bidi w:val="0"/>
        <w:spacing w:before="0" w:after="0" w:line="308" w:lineRule="exact"/>
        <w:ind w:left="0" w:right="0" w:firstLine="42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）数据服务业务</w:t>
      </w:r>
    </w:p>
    <w:p>
      <w:pPr>
        <w:pStyle w:val="Style33"/>
        <w:keepNext w:val="0"/>
        <w:keepLines w:val="0"/>
        <w:widowControl w:val="0"/>
        <w:shd w:val="clear" w:color="auto" w:fill="auto"/>
        <w:bidi w:val="0"/>
        <w:spacing w:before="0" w:after="0" w:line="308" w:lineRule="exact"/>
        <w:ind w:left="0" w:right="0" w:firstLine="480"/>
        <w:jc w:val="both"/>
      </w:pPr>
      <w:r>
        <w:rPr>
          <w:color w:val="000000"/>
          <w:spacing w:val="0"/>
          <w:w w:val="100"/>
          <w:position w:val="0"/>
        </w:rPr>
        <w:t>报告期内，公司持续加强数据服务领域的产品研发与深化应用工作，新增产品软件著作 权</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个，受理专利</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件，荣获各类产品荣誉奖项</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个。其中，数字化创新平台</w:t>
      </w:r>
      <w:r>
        <w:rPr>
          <w:rFonts w:ascii="Times New Roman" w:eastAsia="Times New Roman" w:hAnsi="Times New Roman" w:cs="Times New Roman"/>
          <w:color w:val="000000"/>
          <w:spacing w:val="0"/>
          <w:w w:val="100"/>
          <w:position w:val="0"/>
          <w:sz w:val="24"/>
          <w:szCs w:val="24"/>
        </w:rPr>
        <w:t>Realinsight</w:t>
      </w:r>
      <w:r>
        <w:rPr>
          <w:color w:val="000000"/>
          <w:spacing w:val="0"/>
          <w:w w:val="100"/>
          <w:position w:val="0"/>
        </w:rPr>
        <w:t>，在 信创安全方面，已完成华为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鲲鹏生态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的全栈适配，并获得中国信通院最高等级</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认证，让 企业数据资产更加安全可靠；在数据中台服务方面，已完成阿里、华为、腾讯等友商数据中 台的集成与适配，共同激活数据价值；在数据智能方面，探索模型即服务模式，实现算法模 型的构建、运行、发布及管理的一站式应用。资金智能监控产品</w:t>
      </w:r>
      <w:r>
        <w:rPr>
          <w:rFonts w:ascii="Times New Roman" w:eastAsia="Times New Roman" w:hAnsi="Times New Roman" w:cs="Times New Roman"/>
          <w:color w:val="000000"/>
          <w:spacing w:val="0"/>
          <w:w w:val="100"/>
          <w:position w:val="0"/>
          <w:sz w:val="24"/>
          <w:szCs w:val="24"/>
        </w:rPr>
        <w:t>Cashinsight</w:t>
      </w:r>
      <w:r>
        <w:rPr>
          <w:color w:val="000000"/>
          <w:spacing w:val="0"/>
          <w:w w:val="100"/>
          <w:position w:val="0"/>
        </w:rPr>
        <w:t>，在业务方面， 已实现全维度指标分析和全方面风险监控；在技术方面，已实现前端</w:t>
      </w:r>
      <w:r>
        <w:rPr>
          <w:rFonts w:ascii="Times New Roman" w:eastAsia="Times New Roman" w:hAnsi="Times New Roman" w:cs="Times New Roman"/>
          <w:color w:val="000000"/>
          <w:spacing w:val="0"/>
          <w:w w:val="100"/>
          <w:position w:val="0"/>
          <w:sz w:val="24"/>
          <w:szCs w:val="24"/>
        </w:rPr>
        <w:t>3D</w:t>
      </w:r>
      <w:r>
        <w:rPr>
          <w:color w:val="000000"/>
          <w:spacing w:val="0"/>
          <w:w w:val="100"/>
          <w:position w:val="0"/>
        </w:rPr>
        <w:t>展示效果及数据中台 技术路线；在信创安全方面，已完成华为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鲲鹏生态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的全栈适配。智能物联平台</w:t>
      </w:r>
      <w:r>
        <w:rPr>
          <w:rFonts w:ascii="Times New Roman" w:eastAsia="Times New Roman" w:hAnsi="Times New Roman" w:cs="Times New Roman"/>
          <w:color w:val="000000"/>
          <w:spacing w:val="0"/>
          <w:w w:val="100"/>
          <w:position w:val="0"/>
          <w:sz w:val="24"/>
          <w:szCs w:val="24"/>
        </w:rPr>
        <w:t>AIOT</w:t>
      </w:r>
      <w:r>
        <w:rPr>
          <w:color w:val="000000"/>
          <w:spacing w:val="0"/>
          <w:w w:val="100"/>
          <w:position w:val="0"/>
        </w:rPr>
        <w:t>，</w:t>
      </w:r>
      <w:r>
        <w:rPr>
          <w:color w:val="000000"/>
          <w:spacing w:val="0"/>
          <w:w w:val="100"/>
          <w:position w:val="0"/>
        </w:rPr>
        <w:t xml:space="preserve">正在 推进国产化适配工作，并积极探索数字挛生技术，已实现了云边协同、设备智能管理、视频 </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智能分析等亮点应用。与此同时，围绕数字企业、经营管理、模型服务及智慧能源等方向， 结合客户实际业务需求，不断深化产品应用，助力客户数字化转型。</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在数字企业方面，公司先后主导、参与了国家电网、南方电网、国家能源、华能集团、 国家电投等相关项目建设。参与国家电网集团的智慧共享财务线上运营中心和智慧财务大屏 建设项目，围绕数据与价值，构建多维价值数据图谱，实现同源多端的数据展现和智能分析， 上线运营数十个分析主题；主导国家电投集团经营数据中台设计开发项目，实现全层级、全 覆盖的经营管理数字化平台，首期落地集团经营指标管理、经营分析智能报告等诸多应用， 并推广至数十家二级单位，为后期平台的持续建设和运营奠定基础；主导上海电力公司智财 务体系建设，创新性地将经营数字挛生理念和财务管理结合，构建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经营最优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数字挛生管理 体系，通过建立数据标准管理，统一数据模型，构建数据资产目录，高效开展数据资产应用 规划，依托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模型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算法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算力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，构建购电成本量价费模型、售电收入量价费模型、公司经营、 预测及智慧决策等模型，面向基层、业务、管理、决策提供智能服务，以数字驱动业务发展。</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在经营管理方面，聚焦司库管理体系和财务经营分析。其中，在司库管理体系方面，通 过资金智能监控产品的推广应用，助力国家电网、南方电网、国家能源、华能集团等大型央 企强化银行账户统一管理、集团资金集中管理、债务融资严格管理、票据使用高效管理、境 外企业资金管理、资金管理风险防控、战略决策支持管理，同时全面推广实现全网应用、多 端应用，同源多端随时随地全面监控企业司库；在财务经营分析方面，通过财务域分析模型 体系建设，助力南方电网、国家电网、国家能源等大型央企实现财务业务全面分析、体系建 设、可视可控、辅助决策，做到财务资源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看得见、管得住、用的好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。在模型即服务方面， 将累积多年的大数据算法模型沉淀为标准服务，先后与国网山东、国网安徽、国网上海、华 电集团、澳门电力、国家电投等客户建立合作，并提供高效、稳定的模型服务。在智慧能源 方面，基于智能物联平台</w:t>
      </w:r>
      <w:r>
        <w:rPr>
          <w:rFonts w:ascii="Times New Roman" w:eastAsia="Times New Roman" w:hAnsi="Times New Roman" w:cs="Times New Roman"/>
          <w:color w:val="000000"/>
          <w:spacing w:val="0"/>
          <w:w w:val="100"/>
          <w:position w:val="0"/>
          <w:sz w:val="24"/>
          <w:szCs w:val="24"/>
        </w:rPr>
        <w:t>AIOT</w:t>
      </w:r>
      <w:r>
        <w:rPr>
          <w:color w:val="000000"/>
          <w:spacing w:val="0"/>
          <w:w w:val="100"/>
          <w:position w:val="0"/>
        </w:rPr>
        <w:t>，</w:t>
      </w:r>
      <w:r>
        <w:rPr>
          <w:color w:val="000000"/>
          <w:spacing w:val="0"/>
          <w:w w:val="100"/>
          <w:position w:val="0"/>
        </w:rPr>
        <w:t>帮助企业构建开放共享，稳定可靠，安全可控的物联应用体 系，已交付国网上海、金川集团等客户使用。</w:t>
      </w:r>
    </w:p>
    <w:p>
      <w:pPr>
        <w:pStyle w:val="Style33"/>
        <w:keepNext w:val="0"/>
        <w:keepLines w:val="0"/>
        <w:widowControl w:val="0"/>
        <w:shd w:val="clear" w:color="auto" w:fill="auto"/>
        <w:bidi w:val="0"/>
        <w:spacing w:before="0" w:after="0" w:line="313" w:lineRule="exact"/>
        <w:ind w:left="0" w:right="0" w:firstLine="48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）区块链业务</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报告期内，公司紧跟区块链产业趋势，继续加大区块链核心技术平台——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区块链企业应 用服务平台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的自研投入，平台以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安全合规、自主可控、易用可用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为原则，紧随业界技术趋 势，构建特色技术产品、服务和体系，在核心算法、安全隐私、数据管理、跨链协议等基础 框架层面持续创新，优化服务治理、拓展开放服务，新增链上链下可信交换、可信计算、分 布式身份等新技术服务能力，部分关键技术行业领先，实现与主流区块链生态的互通，同时 区块链企业应用服务平台遵从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国网链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技术规范，有效支撑公司区块链产品在国家电网的应 用落地，并在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国网链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建设实施工作中实现了多个网省的部署应用。在区块链应用建设方面， </w:t>
      </w:r>
      <w:r>
        <w:rPr>
          <w:color w:val="000000"/>
          <w:spacing w:val="0"/>
          <w:w w:val="100"/>
          <w:position w:val="0"/>
        </w:rPr>
        <w:t>通过加大研发创新力度，保证持续为客户输出高质量的技术、产品与服务，迭代发布企业电 子单证服务平台、金融服务平台、电子签章、社团管理、跨境溯源、智慧审计、信息安全管 控、源网荷储一体化应用等多款产品。</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产品备案及信创工作方面，公司严格遵守国家网信办区块链信息服务备案要求，报告期 内新增</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项区块链信息服务备案，已累计完成</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项备案；区块链企业应用服务平台、金融服务 平台分别与华为云鲲鹏云服务、华为云</w:t>
      </w:r>
      <w:r>
        <w:rPr>
          <w:rFonts w:ascii="Times New Roman" w:eastAsia="Times New Roman" w:hAnsi="Times New Roman" w:cs="Times New Roman"/>
          <w:color w:val="000000"/>
          <w:spacing w:val="0"/>
          <w:w w:val="100"/>
          <w:position w:val="0"/>
          <w:sz w:val="24"/>
          <w:szCs w:val="24"/>
        </w:rPr>
        <w:t>Stack8.0</w:t>
      </w:r>
      <w:r>
        <w:rPr>
          <w:color w:val="000000"/>
          <w:spacing w:val="0"/>
          <w:w w:val="100"/>
          <w:position w:val="0"/>
        </w:rPr>
        <w:t>（鲲鹏）以及统信桌面操作系统</w:t>
      </w:r>
      <w:r>
        <w:rPr>
          <w:rFonts w:ascii="Times New Roman" w:eastAsia="Times New Roman" w:hAnsi="Times New Roman" w:cs="Times New Roman"/>
          <w:color w:val="000000"/>
          <w:spacing w:val="0"/>
          <w:w w:val="100"/>
          <w:position w:val="0"/>
          <w:sz w:val="24"/>
          <w:szCs w:val="24"/>
        </w:rPr>
        <w:t>V20</w:t>
      </w:r>
      <w:r>
        <w:rPr>
          <w:color w:val="000000"/>
          <w:spacing w:val="0"/>
          <w:w w:val="100"/>
          <w:position w:val="0"/>
        </w:rPr>
        <w:t>完成产品 兼容互认证，远光公共存证平台与华为云鲲鹏云服务及华为云</w:t>
      </w:r>
      <w:r>
        <w:rPr>
          <w:rFonts w:ascii="Times New Roman" w:eastAsia="Times New Roman" w:hAnsi="Times New Roman" w:cs="Times New Roman"/>
          <w:color w:val="000000"/>
          <w:spacing w:val="0"/>
          <w:w w:val="100"/>
          <w:position w:val="0"/>
          <w:sz w:val="24"/>
          <w:szCs w:val="24"/>
        </w:rPr>
        <w:t>Stack8.0</w:t>
      </w:r>
      <w:r>
        <w:rPr>
          <w:color w:val="000000"/>
          <w:spacing w:val="0"/>
          <w:w w:val="100"/>
          <w:position w:val="0"/>
        </w:rPr>
        <w:t>（鲲鹏）完成产品兼容 互认证。</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知识产权及行业贡献方面，公司新申请</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件区块链发明专利，新增授权</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件，已累计申 请</w:t>
      </w:r>
      <w:r>
        <w:rPr>
          <w:rFonts w:ascii="Times New Roman" w:eastAsia="Times New Roman" w:hAnsi="Times New Roman" w:cs="Times New Roman"/>
          <w:color w:val="000000"/>
          <w:spacing w:val="0"/>
          <w:w w:val="100"/>
          <w:position w:val="0"/>
          <w:sz w:val="24"/>
          <w:szCs w:val="24"/>
        </w:rPr>
        <w:t>83</w:t>
      </w:r>
      <w:r>
        <w:rPr>
          <w:color w:val="000000"/>
          <w:spacing w:val="0"/>
          <w:w w:val="100"/>
          <w:position w:val="0"/>
        </w:rPr>
        <w:t>件专利；新申请区块链产品软件著作权</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件、发表区块链相关论文</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篇；参与区块链 团体标准及指南编写，包括：《区块链溯源应用测试规范》《区块链版权存证系统测评规范》 《基于区块链的机构电子签约业务规范》《区块链司法存证应用标准第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部分：数字版权应用 场景》《区块链司法存证应用标准第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部分：互联网贷款应用场景》，以及</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Industrial Blockchain Application Guide （2021）</w:t>
      </w:r>
      <w:r>
        <w:rPr>
          <w:color w:val="000000"/>
          <w:spacing w:val="0"/>
          <w:w w:val="100"/>
          <w:position w:val="0"/>
        </w:rPr>
        <w:t>英文版》；作为工信部区块链技术与数据安全重点实验室的成员，联 合发布《区块链能源电力行业应用实践报告》；作为中国商业股份制企业经济联合会成员， 参与编写团体标准《供应链金融体系标准》。</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报告期内，公司继续担任中国信通院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可信区块链推进计划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副理事长单位，推动区块链 产业发展，并新担任中国电机工程学会区块链专业委员会委员、广东省大湾区区块链产业技 术创新联盟的理事单位，及云南省区块链产业联盟的副理事长单位。</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公司区块链技术与产品已服务于国家电网、南方电网、国家能源集团、河南胸科医院、 澳门科技大学、珠海市新阶联、云南星际轩逸等多个企事业和社会组织。同时，公司与国网 电商的产品融合持续推进，在国家电网多个网省市场形成合作关系，在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国网链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建设实施工 作中实现了多个网省的部署应用，在区块链应用建设中实现了能源计量、碳数据监测等多个 新兴业务场景的项目落地。</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政府科技创新项目，公司承担的</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珠海市产业核心和关键技术攻关方向项目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基于区 块链技术的可信云服务基础架构研究与应用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顺利结题，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广东省粤港澳科技合作项目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 于区块链技术的货物跨境物流溯源管理系统的研究与应用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珠海市促进</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新兴产业发 展项目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基于区块链赋能的供应链管理体系研究与产业化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有序推进。</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报告期内，公司获评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中国产业区块链企业</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广东省信息技术应用创新优 秀产品和解决方案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全球区块链创新应用示范案例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中国区块链名企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工业区块链案例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可信区块链推进计划</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年度突出贡献</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等多项荣誉。</w:t>
      </w:r>
    </w:p>
    <w:p>
      <w:pPr>
        <w:pStyle w:val="Style33"/>
        <w:keepNext w:val="0"/>
        <w:keepLines w:val="0"/>
        <w:widowControl w:val="0"/>
        <w:shd w:val="clear" w:color="auto" w:fill="auto"/>
        <w:bidi w:val="0"/>
        <w:spacing w:before="0" w:after="0" w:line="312" w:lineRule="exact"/>
        <w:ind w:left="0" w:right="0" w:firstLine="50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rPr>
        <w:t>）其他</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报告期内，公司数字社区、数字文化项目持续推进创新，结合行业整体数字化发展趋势 及用户需求多元化特征，构建多层次精益运营体系，持续巩固并扩大业务覆盖面及市场占有 率。社员之家于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年正式启动全国推广工作。随着加大运营的投入，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年平台内各项运 营数据皆持续攀升，社区云平台总访问量突破</w:t>
      </w:r>
      <w:r>
        <w:rPr>
          <w:rFonts w:ascii="Times New Roman" w:eastAsia="Times New Roman" w:hAnsi="Times New Roman" w:cs="Times New Roman"/>
          <w:color w:val="000000"/>
          <w:spacing w:val="0"/>
          <w:w w:val="100"/>
          <w:position w:val="0"/>
          <w:sz w:val="24"/>
          <w:szCs w:val="24"/>
        </w:rPr>
        <w:t>181</w:t>
      </w:r>
      <w:r>
        <w:rPr>
          <w:color w:val="000000"/>
          <w:spacing w:val="0"/>
          <w:w w:val="100"/>
          <w:position w:val="0"/>
        </w:rPr>
        <w:t>万人次，激活社员总数达</w:t>
      </w:r>
      <w:r>
        <w:rPr>
          <w:rFonts w:ascii="Times New Roman" w:eastAsia="Times New Roman" w:hAnsi="Times New Roman" w:cs="Times New Roman"/>
          <w:color w:val="000000"/>
          <w:spacing w:val="0"/>
          <w:w w:val="100"/>
          <w:position w:val="0"/>
          <w:sz w:val="24"/>
          <w:szCs w:val="24"/>
        </w:rPr>
        <w:t>6.6</w:t>
      </w:r>
      <w:r>
        <w:rPr>
          <w:color w:val="000000"/>
          <w:spacing w:val="0"/>
          <w:w w:val="100"/>
          <w:position w:val="0"/>
        </w:rPr>
        <w:t>万人。业务更 覆盖了党务政务、社区物业、组织协同、竞赛活动等多方面。广泛参与到业务开展工作中， 推动平台完成推广并迈入实用化阶段。并通过多渠道的数据共享与多样性的内容激励管理， 提升业务协同效率的同时加速组织的文化建设与成果沉淀。通过组织管理的在线化、扁平化、 移动化、柔性化变革，再到多层次、多元化、多场景的全流程覆盖，最后迈进数字社区和数 字文化的高效协同，通过数字技术切实提升组织的生命力与发展动力，实现社会互联和智慧 组织的新业态和新模式，推动智慧城市高水平、高质量、可持续发展。</w:t>
      </w:r>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报告期内，公司系统集成业务凭借行业资源和技术优势，依靠</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系统规划与建设方面的 丰富经验，不断为新老客户提供优质的产品和服务，为</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多家客户提供了</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 xml:space="preserve">基础设施维护维 </w:t>
      </w:r>
      <w:r>
        <w:rPr>
          <w:color w:val="000000"/>
          <w:spacing w:val="0"/>
          <w:w w:val="100"/>
          <w:position w:val="0"/>
        </w:rPr>
        <w:t>保、设备搬迁、数据迁移、数据治理等系统集成服务，为</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多家客户提供了数据库云平台维 护及巡检服务。在数据安全方面，完善了安全综合治理解决方案，持续巩固并扩大系统集成 服务业务覆盖面和市场占有率，提升客户满意度。在国产化技术与产品的适配研究与应用方 面，数据库云平台已支持部分国产服务器、国产操作系统、国产数据库，并在客户现场进行 </w:t>
      </w:r>
      <w:r>
        <w:rPr>
          <w:rFonts w:ascii="Times New Roman" w:eastAsia="Times New Roman" w:hAnsi="Times New Roman" w:cs="Times New Roman"/>
          <w:color w:val="000000"/>
          <w:spacing w:val="0"/>
          <w:w w:val="100"/>
          <w:position w:val="0"/>
          <w:sz w:val="24"/>
          <w:szCs w:val="24"/>
        </w:rPr>
        <w:t>POC</w:t>
      </w:r>
      <w:r>
        <w:rPr>
          <w:color w:val="000000"/>
          <w:spacing w:val="0"/>
          <w:w w:val="100"/>
          <w:position w:val="0"/>
        </w:rPr>
        <w:t>测试，计划在</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年进行市场推广。</w:t>
      </w:r>
    </w:p>
    <w:p>
      <w:pPr>
        <w:pStyle w:val="Style33"/>
        <w:keepNext w:val="0"/>
        <w:keepLines w:val="0"/>
        <w:widowControl w:val="0"/>
        <w:shd w:val="clear" w:color="auto" w:fill="auto"/>
        <w:tabs>
          <w:tab w:pos="624" w:val="left"/>
        </w:tabs>
        <w:bidi w:val="0"/>
        <w:spacing w:before="0" w:after="0" w:line="314" w:lineRule="exact"/>
        <w:ind w:left="0" w:right="0" w:firstLine="0"/>
        <w:jc w:val="both"/>
      </w:pPr>
      <w:bookmarkStart w:id="90" w:name="bookmark90"/>
      <w:r>
        <w:rPr>
          <w:b/>
          <w:bCs/>
          <w:color w:val="000000"/>
          <w:spacing w:val="0"/>
          <w:w w:val="100"/>
          <w:position w:val="0"/>
        </w:rPr>
        <w:t>（</w:t>
      </w:r>
      <w:bookmarkEnd w:id="90"/>
      <w:r>
        <w:rPr>
          <w:b/>
          <w:bCs/>
          <w:color w:val="000000"/>
          <w:spacing w:val="0"/>
          <w:w w:val="100"/>
          <w:position w:val="0"/>
        </w:rPr>
        <w:t>二）</w:t>
        <w:tab/>
        <w:t>品牌建设</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报告期内，公司紧抓企业数字化转型、新型电力系统建设、关键领域软件国产替代等发 展机遇，以政策为导向，紧随信息技术产业发展趋势，积极融入国网电商发展战略，持续优 化品牌策略，加强品牌建设。</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年，公司位列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年度中国信创</w:t>
      </w:r>
      <w:r>
        <w:rPr>
          <w:rFonts w:ascii="Times New Roman" w:eastAsia="Times New Roman" w:hAnsi="Times New Roman" w:cs="Times New Roman"/>
          <w:color w:val="000000"/>
          <w:spacing w:val="0"/>
          <w:w w:val="100"/>
          <w:position w:val="0"/>
          <w:sz w:val="24"/>
          <w:szCs w:val="24"/>
        </w:rPr>
        <w:t>TOP500”</w:t>
      </w:r>
      <w:r>
        <w:rPr>
          <w:color w:val="000000"/>
          <w:spacing w:val="0"/>
          <w:w w:val="100"/>
          <w:position w:val="0"/>
        </w:rPr>
        <w:t>榜单第</w:t>
      </w:r>
      <w:r>
        <w:rPr>
          <w:rFonts w:ascii="Times New Roman" w:eastAsia="Times New Roman" w:hAnsi="Times New Roman" w:cs="Times New Roman"/>
          <w:color w:val="000000"/>
          <w:spacing w:val="0"/>
          <w:w w:val="100"/>
          <w:position w:val="0"/>
          <w:sz w:val="24"/>
          <w:szCs w:val="24"/>
        </w:rPr>
        <w:t>82</w:t>
      </w:r>
      <w:r>
        <w:rPr>
          <w:color w:val="000000"/>
          <w:spacing w:val="0"/>
          <w:w w:val="100"/>
          <w:position w:val="0"/>
        </w:rPr>
        <w:t>位，并 获评</w:t>
      </w:r>
      <w:r>
        <w:rPr>
          <w:rFonts w:ascii="Times New Roman" w:eastAsia="Times New Roman" w:hAnsi="Times New Roman" w:cs="Times New Roman"/>
          <w:color w:val="000000"/>
          <w:spacing w:val="0"/>
          <w:w w:val="100"/>
          <w:position w:val="0"/>
          <w:sz w:val="24"/>
          <w:szCs w:val="24"/>
        </w:rPr>
        <w:t xml:space="preserve">CGMA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优秀共享服务中心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、财资中国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最佳费控报销服务商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，荣获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中国 能源领域数字化技术应用行业发展成就奖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，因在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科技抗疫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等方面的杰出表现，公司还获第 十届公益节授予的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抗疫杰出贡献企业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特别奖，品牌价值进一步提升。</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报告期内，在产品技术方面，公司通过了</w:t>
      </w:r>
      <w:r>
        <w:rPr>
          <w:rFonts w:ascii="Times New Roman" w:eastAsia="Times New Roman" w:hAnsi="Times New Roman" w:cs="Times New Roman"/>
          <w:color w:val="000000"/>
          <w:spacing w:val="0"/>
          <w:w w:val="100"/>
          <w:position w:val="0"/>
          <w:sz w:val="24"/>
          <w:szCs w:val="24"/>
        </w:rPr>
        <w:t>CS</w:t>
      </w:r>
      <w:r>
        <w:rPr>
          <w:color w:val="000000"/>
          <w:spacing w:val="0"/>
          <w:w w:val="100"/>
          <w:position w:val="0"/>
        </w:rPr>
        <w:t>四级信息系统建设和服务能力评估体系认证。 公司坚持自主创新，打造了以</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为核心驱动力的软件研发全链路国产化开发工具——远光九 天智能化一体云平台，解决软件开发的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卡脖子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问题。公司推出的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w:t>
      </w:r>
      <w:r>
        <w:rPr>
          <w:color w:val="000000"/>
          <w:spacing w:val="0"/>
          <w:w w:val="100"/>
          <w:position w:val="0"/>
        </w:rPr>
        <w:t>立足实际， 是贴合我国中央企业、大型集团企业管理特点的新一代企业数字核心系统，并参编了《数字 时代中央企业经营管理一体化白皮书（</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）》。报告期内，公司主动运用大数据、人工智 能、云计算、区块链等新技术赋能业务管理，为加快产业数字化、数字产业化注智赋能。在 人工智能领域，公司正式成为</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产业推进方阵</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RUIDA</w:t>
      </w:r>
      <w:r>
        <w:rPr>
          <w:color w:val="000000"/>
          <w:spacing w:val="0"/>
          <w:w w:val="100"/>
          <w:position w:val="0"/>
        </w:rPr>
        <w:t>）</w:t>
      </w:r>
      <w:r>
        <w:rPr>
          <w:color w:val="000000"/>
          <w:spacing w:val="0"/>
          <w:w w:val="100"/>
          <w:position w:val="0"/>
        </w:rPr>
        <w:t>的理事单位，大幅提升行业影响 力。</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报告期内，公司与华为鲲鹏、麒麟软件、达梦公司、统信软件、中创软件、</w:t>
      </w:r>
      <w:r>
        <w:rPr>
          <w:rFonts w:ascii="Times New Roman" w:eastAsia="Times New Roman" w:hAnsi="Times New Roman" w:cs="Times New Roman"/>
          <w:color w:val="000000"/>
          <w:spacing w:val="0"/>
          <w:w w:val="100"/>
          <w:position w:val="0"/>
          <w:sz w:val="24"/>
          <w:szCs w:val="24"/>
        </w:rPr>
        <w:t>360</w:t>
      </w:r>
      <w:r>
        <w:rPr>
          <w:color w:val="000000"/>
          <w:spacing w:val="0"/>
          <w:w w:val="100"/>
          <w:position w:val="0"/>
        </w:rPr>
        <w:t>等主流厂 商完成软硬件国产化适配和兼容性互认证工作，构建了全栈信创解决方案，并与行业用户同 频共振、完善行业信创规范、标准和知识库，推动信创产业发展。持续深化产学研合作，与 珠海华为鲲鹏生态创新中心联合打造鲲鹏实战班，致力于培养信创人才，并与广东财经大学、 吉林大学等达成紧密合作关系。</w:t>
      </w:r>
    </w:p>
    <w:p>
      <w:pPr>
        <w:pStyle w:val="Style3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报告期内，公司积极开展多方交流，亮相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年国有及大型企业数字化转型技术与应用 大会、第五届国有企业数字化转型与发展研讨会等活动，共同研讨企业数字化转型发展路径; 参与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财务数字化转型与创新峰会、第九届管理会计论坛等财务盛会，分享远光成熟产品 与应用实践，探索数字技术与财务管理有效融合，推动财务管理从信息化向数字化、智能化 转型；出席</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年电力信息通信新技术大会、第三届综合能源服务产业创新发展大会，携手 行业推动能源转型，共建能源互联网生态圈。</w:t>
      </w:r>
    </w:p>
    <w:p>
      <w:pPr>
        <w:pStyle w:val="Style33"/>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公司管理层在科技引领、践行公益等方面贡献突出，公司董事长陈利浩获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年度软件 和信息服务业十大领军人物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珠海特区四十年科技创新成就奖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年度责任商业领袖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公司总裁王新勇获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ICT</w:t>
      </w:r>
      <w:r>
        <w:rPr>
          <w:color w:val="000000"/>
          <w:spacing w:val="0"/>
          <w:w w:val="100"/>
          <w:position w:val="0"/>
        </w:rPr>
        <w:t>产业十大杰出人物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3"/>
        <w:keepNext w:val="0"/>
        <w:keepLines w:val="0"/>
        <w:widowControl w:val="0"/>
        <w:shd w:val="clear" w:color="auto" w:fill="auto"/>
        <w:tabs>
          <w:tab w:pos="624" w:val="left"/>
        </w:tabs>
        <w:bidi w:val="0"/>
        <w:spacing w:before="0" w:after="60" w:line="313" w:lineRule="exact"/>
        <w:ind w:left="0" w:right="0" w:firstLine="0"/>
        <w:jc w:val="both"/>
      </w:pPr>
      <w:bookmarkStart w:id="91" w:name="bookmark91"/>
      <w:r>
        <w:rPr>
          <w:b/>
          <w:bCs/>
          <w:color w:val="000000"/>
          <w:spacing w:val="0"/>
          <w:w w:val="100"/>
          <w:position w:val="0"/>
        </w:rPr>
        <w:t>（</w:t>
      </w:r>
      <w:bookmarkEnd w:id="91"/>
      <w:r>
        <w:rPr>
          <w:b/>
          <w:bCs/>
          <w:color w:val="000000"/>
          <w:spacing w:val="0"/>
          <w:w w:val="100"/>
          <w:position w:val="0"/>
        </w:rPr>
        <w:t>三）</w:t>
        <w:tab/>
        <w:t>内部管理</w:t>
      </w:r>
    </w:p>
    <w:p>
      <w:pPr>
        <w:pStyle w:val="Style33"/>
        <w:keepNext w:val="0"/>
        <w:keepLines w:val="0"/>
        <w:widowControl w:val="0"/>
        <w:numPr>
          <w:ilvl w:val="0"/>
          <w:numId w:val="3"/>
        </w:numPr>
        <w:shd w:val="clear" w:color="auto" w:fill="auto"/>
        <w:bidi w:val="0"/>
        <w:spacing w:before="0" w:after="0" w:line="271" w:lineRule="auto"/>
        <w:ind w:left="0" w:right="0" w:firstLine="500"/>
        <w:jc w:val="both"/>
      </w:pPr>
      <w:bookmarkStart w:id="92" w:name="bookmark92"/>
      <w:bookmarkEnd w:id="92"/>
      <w:r>
        <w:rPr>
          <w:b/>
          <w:bCs/>
          <w:color w:val="000000"/>
          <w:spacing w:val="0"/>
          <w:w w:val="100"/>
          <w:position w:val="0"/>
        </w:rPr>
        <w:t>营销管理</w:t>
      </w:r>
    </w:p>
    <w:p>
      <w:pPr>
        <w:pStyle w:val="Style33"/>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 xml:space="preserve">在营销管理方面，公司在做好常态化疫情防控的同时，有序推进市场营销、项目交付和 产品运维等各项工作；围绕客户数字化转型建设需求，把握数字化产品输出重点，积极开展 新技术、新产品在产业链协同、跨行业融合等方面的推广应用，大力推进数字化产品的营销 运营；建立分支机构与产品研发的前后端高效协同机制，全力保障项目实施交付及运维服务 工作，积极为客户赋能；注重人才队伍建设和人员能力培养，在项目管理、运维服务、实施 能力等方面持续提升人员能力建设，强化内部培训和交流学习，巩固和提高客户满意度；进 </w:t>
      </w:r>
      <w:r>
        <w:rPr>
          <w:color w:val="000000"/>
          <w:spacing w:val="0"/>
          <w:w w:val="100"/>
          <w:position w:val="0"/>
        </w:rPr>
        <w:t>一步规范分包管理、合同管理等各项商务管理工作，加强应收账款催收、垫资采购管理，防 范商务风险；优化分支机构激励考核机制，引导分支机构合理控制成本支出，提高业绩产出 与成本投入比例，推动分支机构实现提质增效。</w:t>
      </w:r>
    </w:p>
    <w:p>
      <w:pPr>
        <w:pStyle w:val="Style33"/>
        <w:keepNext w:val="0"/>
        <w:keepLines w:val="0"/>
        <w:widowControl w:val="0"/>
        <w:numPr>
          <w:ilvl w:val="0"/>
          <w:numId w:val="3"/>
        </w:numPr>
        <w:shd w:val="clear" w:color="auto" w:fill="auto"/>
        <w:tabs>
          <w:tab w:pos="783" w:val="left"/>
        </w:tabs>
        <w:bidi w:val="0"/>
        <w:spacing w:before="0" w:after="0" w:line="271" w:lineRule="auto"/>
        <w:ind w:left="0" w:right="0" w:firstLine="480"/>
        <w:jc w:val="both"/>
      </w:pPr>
      <w:bookmarkStart w:id="93" w:name="bookmark93"/>
      <w:bookmarkEnd w:id="93"/>
      <w:r>
        <w:rPr>
          <w:b/>
          <w:bCs/>
          <w:color w:val="000000"/>
          <w:spacing w:val="0"/>
          <w:w w:val="100"/>
          <w:position w:val="0"/>
        </w:rPr>
        <w:t>财务管理</w:t>
      </w:r>
    </w:p>
    <w:p>
      <w:pPr>
        <w:pStyle w:val="Style33"/>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报告期内，在财务管理方面，积极顺应公司经营环境变化，进一步夯实财务监督职能， 强化合规风险与经营风险防范；落实上级单位财务精益化管理要求，持续优化公司财务管理 制度，落实过程宣贯与监督、结果考核与惩处，强化财务监督力度；在预算管理方面，全员 控本增效意识得到进一步提升，成本费用合理控制；在风险防范方面，梳理优化风险防控措 施，强化事前事中防控、事后稽核，进一步提升公司风控水平；积极支撑公司经营绩效达成， 进一步提升财务共享管理精益化与财务服务质效；为公司各层级管理人员提供财务辅助决策 支持服务，为公司一线员工提供优质的报账服务，持续提升用户体验与财务服务水平；在公 司理财方面，利用闲置资金进行理财，在保障公司正常有序运行的同时，取得了较好的理财 收益，充分发挥资金的贡献价值。</w:t>
      </w:r>
    </w:p>
    <w:p>
      <w:pPr>
        <w:pStyle w:val="Style33"/>
        <w:keepNext w:val="0"/>
        <w:keepLines w:val="0"/>
        <w:widowControl w:val="0"/>
        <w:numPr>
          <w:ilvl w:val="0"/>
          <w:numId w:val="3"/>
        </w:numPr>
        <w:shd w:val="clear" w:color="auto" w:fill="auto"/>
        <w:tabs>
          <w:tab w:pos="803" w:val="left"/>
        </w:tabs>
        <w:bidi w:val="0"/>
        <w:spacing w:before="0" w:after="0" w:line="271" w:lineRule="auto"/>
        <w:ind w:left="0" w:right="0" w:firstLine="500"/>
        <w:jc w:val="both"/>
      </w:pPr>
      <w:bookmarkStart w:id="94" w:name="bookmark94"/>
      <w:bookmarkEnd w:id="94"/>
      <w:r>
        <w:rPr>
          <w:b/>
          <w:bCs/>
          <w:color w:val="000000"/>
          <w:spacing w:val="0"/>
          <w:w w:val="100"/>
          <w:position w:val="0"/>
        </w:rPr>
        <w:t>人力资源管理</w:t>
      </w:r>
    </w:p>
    <w:p>
      <w:pPr>
        <w:pStyle w:val="Style33"/>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报告期内，根据新的社会和产业发展形势，公司在人力资源管理方面，以人才发展为核 心，继续加强人力资源职能与业务协同，持续改善人力资源管理生态。公司坚持校招毕业生 引进和培养，同时引入了大批优秀的中、高级骨干人才；继续完善新同事快速融入公司体系， 在培养内容、形式和沟通激励机制等方面进行了持续的改进；通过组织规划、人才盘点、职 级评审和员工职业发展管理，提升人才发展与组织战略目标的适配性；通过内训强化人力资 源服务能力，同时优化人力资源信息系统利用，提升人力资源服务协同敏捷性。</w:t>
      </w:r>
    </w:p>
    <w:p>
      <w:pPr>
        <w:pStyle w:val="Style33"/>
        <w:keepNext w:val="0"/>
        <w:keepLines w:val="0"/>
        <w:widowControl w:val="0"/>
        <w:numPr>
          <w:ilvl w:val="0"/>
          <w:numId w:val="3"/>
        </w:numPr>
        <w:shd w:val="clear" w:color="auto" w:fill="auto"/>
        <w:tabs>
          <w:tab w:pos="783" w:val="left"/>
        </w:tabs>
        <w:bidi w:val="0"/>
        <w:spacing w:before="0" w:after="0" w:line="271" w:lineRule="auto"/>
        <w:ind w:left="0" w:right="0" w:firstLine="480"/>
        <w:jc w:val="both"/>
      </w:pPr>
      <w:bookmarkStart w:id="95" w:name="bookmark95"/>
      <w:bookmarkEnd w:id="95"/>
      <w:r>
        <w:rPr>
          <w:b/>
          <w:bCs/>
          <w:color w:val="000000"/>
          <w:spacing w:val="0"/>
          <w:w w:val="100"/>
          <w:position w:val="0"/>
        </w:rPr>
        <w:t>培训管理</w:t>
      </w:r>
    </w:p>
    <w:p>
      <w:pPr>
        <w:pStyle w:val="Style33"/>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报告期内，公司级培训与部门级提能持续开展，赋能业务。在公司级培训方面，公司与 各主要职业发展通道的专家深入交流，全面分析提能痛点，进而得出详实的年度培训需求并 依此策划实施针对性的培训项目；所编制的全年培训排期公开透明并按计划有序推进，不仅 使同事们提前做好各项工作安排，方便参训，更使培训资源不重复投入，得以最大化利用； 远光星起点、春天行动、远光领导力工作坊、金牌面试官等品牌培训项目进一步升级优化的 同时，新增测试理念工作坊、敏捷训练营、校招生导师培训等系列全新培训项目，并获各部 门极大好评。在部门级提能方面，公司各部门根据业务发展需要，并结合自身具体业务特点， 针对性地策划、开展部门内授课、经验分享、案例研讨、技能竞赛等丰富多彩的提能活动； 公司也通过开展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提能组织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方面的主题微课、专项培训、会议交流等持续赋能各部门提能接 口人，指导并推动各部门积极开展日常提能活动，与各部门一起，共同促进全员能力提升。</w:t>
      </w:r>
    </w:p>
    <w:p>
      <w:pPr>
        <w:pStyle w:val="Style33"/>
        <w:keepNext w:val="0"/>
        <w:keepLines w:val="0"/>
        <w:widowControl w:val="0"/>
        <w:numPr>
          <w:ilvl w:val="0"/>
          <w:numId w:val="3"/>
        </w:numPr>
        <w:shd w:val="clear" w:color="auto" w:fill="auto"/>
        <w:tabs>
          <w:tab w:pos="783" w:val="left"/>
        </w:tabs>
        <w:bidi w:val="0"/>
        <w:spacing w:before="0" w:after="0" w:line="271" w:lineRule="auto"/>
        <w:ind w:left="0" w:right="0" w:firstLine="480"/>
        <w:jc w:val="both"/>
      </w:pPr>
      <w:bookmarkStart w:id="96" w:name="bookmark96"/>
      <w:bookmarkEnd w:id="96"/>
      <w:r>
        <w:rPr>
          <w:b/>
          <w:bCs/>
          <w:color w:val="000000"/>
          <w:spacing w:val="0"/>
          <w:w w:val="100"/>
          <w:position w:val="0"/>
        </w:rPr>
        <w:t>法务风控管理</w:t>
      </w:r>
    </w:p>
    <w:p>
      <w:pPr>
        <w:pStyle w:val="Style33"/>
        <w:keepNext w:val="0"/>
        <w:keepLines w:val="0"/>
        <w:widowControl w:val="0"/>
        <w:shd w:val="clear" w:color="auto" w:fill="auto"/>
        <w:bidi w:val="0"/>
        <w:spacing w:before="0" w:after="40" w:line="310" w:lineRule="exact"/>
        <w:ind w:left="0" w:right="0" w:firstLine="500"/>
        <w:jc w:val="both"/>
      </w:pPr>
      <w:r>
        <w:rPr>
          <w:color w:val="000000"/>
          <w:spacing w:val="0"/>
          <w:w w:val="100"/>
          <w:position w:val="0"/>
        </w:rPr>
        <w:t>报告期内，在法务风控工作方面，公司不断加强企业法律事务管理，强化内部控制管理 体系建设，推动全面风险管理工作，全面推进企业合法合规经营，保证各项资产安全，保证 财务报告及相关信息真实完整，提高经营效率和效果；为公司各项经营管理工作提供法律支 持，不断完善知识产权保障机制，维护公司知识产权权益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不断完善各项业务管理的保障机制， 防范和控制相关运营风险，促进公司实现发展战略。</w:t>
      </w:r>
    </w:p>
    <w:p>
      <w:pPr>
        <w:pStyle w:val="Style33"/>
        <w:keepNext w:val="0"/>
        <w:keepLines w:val="0"/>
        <w:widowControl w:val="0"/>
        <w:numPr>
          <w:ilvl w:val="0"/>
          <w:numId w:val="3"/>
        </w:numPr>
        <w:shd w:val="clear" w:color="auto" w:fill="auto"/>
        <w:bidi w:val="0"/>
        <w:spacing w:before="0" w:after="0" w:line="269" w:lineRule="auto"/>
        <w:ind w:left="0" w:right="0" w:firstLine="620"/>
        <w:jc w:val="both"/>
      </w:pPr>
      <w:bookmarkStart w:id="97" w:name="bookmark97"/>
      <w:bookmarkEnd w:id="97"/>
      <w:r>
        <w:rPr>
          <w:b/>
          <w:bCs/>
          <w:color w:val="000000"/>
          <w:spacing w:val="0"/>
          <w:w w:val="100"/>
          <w:position w:val="0"/>
        </w:rPr>
        <w:t>后勤服务</w:t>
      </w:r>
    </w:p>
    <w:p>
      <w:pPr>
        <w:pStyle w:val="Style33"/>
        <w:keepNext w:val="0"/>
        <w:keepLines w:val="0"/>
        <w:widowControl w:val="0"/>
        <w:shd w:val="clear" w:color="auto" w:fill="auto"/>
        <w:bidi w:val="0"/>
        <w:spacing w:before="0" w:after="400" w:line="312" w:lineRule="exact"/>
        <w:ind w:left="0" w:right="0"/>
        <w:jc w:val="both"/>
        <w:rPr>
          <w:sz w:val="17"/>
          <w:szCs w:val="17"/>
        </w:rPr>
      </w:pPr>
      <w:r>
        <w:rPr>
          <w:color w:val="000000"/>
          <w:spacing w:val="0"/>
          <w:w w:val="100"/>
          <w:position w:val="0"/>
          <w:sz w:val="22"/>
          <w:szCs w:val="22"/>
        </w:rPr>
        <w:t>报告期内，后勤服务部在疫情常态化的形势下，密切关注疫情发展态势，及时主动响应政 府防控政策要求和管控措施，积极做好并有效落地内部疫情防控管理工作。在后勤服务管理 方面，积极响应国家各项号召倡议，并有效落地于后勤各项服务工作中。部门内部成立了专 项工作小组，开展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垃圾分类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活动，从垃圾知识宣贯到配备投放设备，逐项落地；推动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绿色 办公、低碳生活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，提高节能降耗意识，从日常办公节能节电点滴做起；组织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光盘打卡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活动， 培养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光盘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文明理念，珍惜粮食；完善内部信息化建设，提高办公效率，使用公司自主研发</w:t>
        <w:br w:type="page"/>
      </w:r>
      <w:r>
        <w:rPr>
          <w:color w:val="000000"/>
          <w:spacing w:val="0"/>
          <w:w w:val="100"/>
          <w:position w:val="0"/>
          <w:sz w:val="22"/>
          <w:szCs w:val="22"/>
        </w:rPr>
        <w:t>小程序管理通勤车及会议室系统预约工作</w:t>
      </w:r>
      <w:r>
        <w:rPr>
          <w:color w:val="000000"/>
          <w:spacing w:val="0"/>
          <w:w w:val="100"/>
          <w:position w:val="0"/>
          <w:sz w:val="17"/>
          <w:szCs w:val="17"/>
        </w:rPr>
        <w:t>。</w:t>
      </w:r>
    </w:p>
    <w:p>
      <w:pPr>
        <w:pStyle w:val="Style33"/>
        <w:keepNext w:val="0"/>
        <w:keepLines w:val="0"/>
        <w:widowControl w:val="0"/>
        <w:shd w:val="clear" w:color="auto" w:fill="auto"/>
        <w:bidi w:val="0"/>
        <w:spacing w:before="0" w:after="0" w:line="240" w:lineRule="auto"/>
        <w:ind w:left="0" w:right="0" w:firstLine="0"/>
        <w:jc w:val="left"/>
      </w:pPr>
      <w:bookmarkStart w:id="98" w:name="bookmark98"/>
      <w:r>
        <w:rPr>
          <w:b/>
          <w:bCs/>
          <w:color w:val="000000"/>
          <w:spacing w:val="0"/>
          <w:w w:val="100"/>
          <w:position w:val="0"/>
        </w:rPr>
        <w:t>（</w:t>
      </w:r>
      <w:bookmarkEnd w:id="98"/>
      <w:r>
        <w:rPr>
          <w:b/>
          <w:bCs/>
          <w:color w:val="000000"/>
          <w:spacing w:val="0"/>
          <w:w w:val="100"/>
          <w:position w:val="0"/>
        </w:rPr>
        <w:t>四）相关财务数据</w:t>
      </w:r>
    </w:p>
    <w:tbl>
      <w:tblPr>
        <w:tblOverlap w:val="never"/>
        <w:jc w:val="center"/>
        <w:tblLayout w:type="fixed"/>
      </w:tblPr>
      <w:tblGrid>
        <w:gridCol w:w="2616"/>
        <w:gridCol w:w="2453"/>
        <w:gridCol w:w="2270"/>
        <w:gridCol w:w="2237"/>
      </w:tblGrid>
      <w:tr>
        <w:trPr>
          <w:trHeight w:val="3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本年数（元）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上年数（元）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同比增减</w:t>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1,691,519,226.39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786,900,173.23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652,423,360.71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13,056,364.20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13,972,256.93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186,651,521.77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193,961,738.99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183,691,347.83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197,219,550.68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418,589,622.64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354,137,608.36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-5,392,540.84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-4,847,532.35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-15,251,235.78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-51,889,161.09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6411.75%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18,880,239.07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54,183,803.36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17,865,308.48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17,145,799.26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341,754,590.77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303,963,570.78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816,204.27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248,366.56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2,082,329.34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340,488,465.70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303,691,464.07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320,083,114.27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281,019,045.88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305,387,468.25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262,885,099.41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21,846,462.18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78,849,111.26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65,670,542.19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-78,465,664.83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-65,536,635.92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-57,024,654.29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21,954,333.25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-56,664,757.20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tc>
      </w:tr>
    </w:tbl>
    <w:p>
      <w:pPr>
        <w:widowControl w:val="0"/>
        <w:spacing w:after="299" w:line="1" w:lineRule="exact"/>
      </w:pPr>
    </w:p>
    <w:p>
      <w:pPr>
        <w:pStyle w:val="Style18"/>
        <w:keepNext w:val="0"/>
        <w:keepLines w:val="0"/>
        <w:widowControl w:val="0"/>
        <w:numPr>
          <w:ilvl w:val="0"/>
          <w:numId w:val="5"/>
        </w:numPr>
        <w:shd w:val="clear" w:color="auto" w:fill="auto"/>
        <w:tabs>
          <w:tab w:pos="362" w:val="left"/>
        </w:tabs>
        <w:bidi w:val="0"/>
        <w:spacing w:before="0" w:after="60" w:line="317" w:lineRule="exact"/>
        <w:ind w:left="0" w:right="0" w:firstLine="0"/>
        <w:jc w:val="left"/>
      </w:pPr>
      <w:bookmarkStart w:id="99" w:name="bookmark99"/>
      <w:bookmarkEnd w:id="99"/>
      <w:r>
        <w:rPr>
          <w:color w:val="000000"/>
          <w:spacing w:val="0"/>
          <w:w w:val="100"/>
          <w:position w:val="0"/>
        </w:rPr>
        <w:t>信用减值损失减少</w:t>
      </w:r>
      <w:r>
        <w:rPr>
          <w:rFonts w:ascii="Times New Roman" w:eastAsia="Times New Roman" w:hAnsi="Times New Roman" w:cs="Times New Roman"/>
          <w:color w:val="000000"/>
          <w:spacing w:val="0"/>
          <w:w w:val="100"/>
          <w:position w:val="0"/>
          <w:sz w:val="18"/>
          <w:szCs w:val="18"/>
        </w:rPr>
        <w:t>70.61%</w:t>
      </w:r>
      <w:r>
        <w:rPr>
          <w:color w:val="000000"/>
          <w:spacing w:val="0"/>
          <w:w w:val="100"/>
          <w:position w:val="0"/>
        </w:rPr>
        <w:t>，主要原因为：报告期应收账款账龄结构变化影响所致。</w:t>
      </w:r>
    </w:p>
    <w:p>
      <w:pPr>
        <w:pStyle w:val="Style18"/>
        <w:keepNext w:val="0"/>
        <w:keepLines w:val="0"/>
        <w:widowControl w:val="0"/>
        <w:numPr>
          <w:ilvl w:val="0"/>
          <w:numId w:val="5"/>
        </w:numPr>
        <w:shd w:val="clear" w:color="auto" w:fill="auto"/>
        <w:tabs>
          <w:tab w:pos="362" w:val="left"/>
        </w:tabs>
        <w:bidi w:val="0"/>
        <w:spacing w:before="0" w:after="60" w:line="317" w:lineRule="exact"/>
        <w:ind w:left="0" w:right="0" w:firstLine="0"/>
        <w:jc w:val="left"/>
      </w:pPr>
      <w:bookmarkStart w:id="100" w:name="bookmark100"/>
      <w:bookmarkEnd w:id="100"/>
      <w:r>
        <w:rPr>
          <w:color w:val="000000"/>
          <w:spacing w:val="0"/>
          <w:w w:val="100"/>
          <w:position w:val="0"/>
        </w:rPr>
        <w:t>资产减值损失增加</w:t>
      </w:r>
      <w:r>
        <w:rPr>
          <w:rFonts w:ascii="Times New Roman" w:eastAsia="Times New Roman" w:hAnsi="Times New Roman" w:cs="Times New Roman"/>
          <w:color w:val="000000"/>
          <w:spacing w:val="0"/>
          <w:w w:val="100"/>
          <w:position w:val="0"/>
          <w:sz w:val="18"/>
          <w:szCs w:val="18"/>
        </w:rPr>
        <w:t>6411.75%</w:t>
      </w:r>
      <w:r>
        <w:rPr>
          <w:color w:val="000000"/>
          <w:spacing w:val="0"/>
          <w:w w:val="100"/>
          <w:position w:val="0"/>
        </w:rPr>
        <w:t>，主要原因为：报告期计提的合同资产减值损失增加所致。</w:t>
      </w:r>
    </w:p>
    <w:p>
      <w:pPr>
        <w:pStyle w:val="Style18"/>
        <w:keepNext w:val="0"/>
        <w:keepLines w:val="0"/>
        <w:widowControl w:val="0"/>
        <w:numPr>
          <w:ilvl w:val="0"/>
          <w:numId w:val="5"/>
        </w:numPr>
        <w:shd w:val="clear" w:color="auto" w:fill="auto"/>
        <w:tabs>
          <w:tab w:pos="362" w:val="left"/>
        </w:tabs>
        <w:bidi w:val="0"/>
        <w:spacing w:before="0" w:after="60" w:line="317" w:lineRule="exact"/>
        <w:ind w:left="380" w:right="0" w:hanging="380"/>
        <w:jc w:val="left"/>
      </w:pPr>
      <w:bookmarkStart w:id="101" w:name="bookmark101"/>
      <w:bookmarkEnd w:id="101"/>
      <w:r>
        <w:rPr>
          <w:color w:val="000000"/>
          <w:spacing w:val="0"/>
          <w:w w:val="100"/>
          <w:position w:val="0"/>
        </w:rPr>
        <w:t>投资收益同比减少</w:t>
      </w:r>
      <w:r>
        <w:rPr>
          <w:rFonts w:ascii="Times New Roman" w:eastAsia="Times New Roman" w:hAnsi="Times New Roman" w:cs="Times New Roman"/>
          <w:color w:val="000000"/>
          <w:spacing w:val="0"/>
          <w:w w:val="100"/>
          <w:position w:val="0"/>
          <w:sz w:val="18"/>
          <w:szCs w:val="18"/>
        </w:rPr>
        <w:t>65.16%</w:t>
      </w:r>
      <w:r>
        <w:rPr>
          <w:color w:val="000000"/>
          <w:spacing w:val="0"/>
          <w:w w:val="100"/>
          <w:position w:val="0"/>
        </w:rPr>
        <w:t>，主要原因为：上年同期对参股公司绍兴柯桥天堂硅谷远光股权投资合伙企业（有限合 伙）计提投资收益</w:t>
      </w:r>
      <w:r>
        <w:rPr>
          <w:rFonts w:ascii="Times New Roman" w:eastAsia="Times New Roman" w:hAnsi="Times New Roman" w:cs="Times New Roman"/>
          <w:color w:val="000000"/>
          <w:spacing w:val="0"/>
          <w:w w:val="100"/>
          <w:position w:val="0"/>
          <w:sz w:val="18"/>
          <w:szCs w:val="18"/>
        </w:rPr>
        <w:t>3,394</w:t>
      </w:r>
      <w:r>
        <w:rPr>
          <w:color w:val="000000"/>
          <w:spacing w:val="0"/>
          <w:w w:val="100"/>
          <w:position w:val="0"/>
        </w:rPr>
        <w:t>万元。</w:t>
      </w:r>
    </w:p>
    <w:p>
      <w:pPr>
        <w:pStyle w:val="Style18"/>
        <w:keepNext w:val="0"/>
        <w:keepLines w:val="0"/>
        <w:widowControl w:val="0"/>
        <w:numPr>
          <w:ilvl w:val="0"/>
          <w:numId w:val="5"/>
        </w:numPr>
        <w:shd w:val="clear" w:color="auto" w:fill="auto"/>
        <w:tabs>
          <w:tab w:pos="362" w:val="left"/>
        </w:tabs>
        <w:bidi w:val="0"/>
        <w:spacing w:before="0" w:after="60" w:line="317" w:lineRule="exact"/>
        <w:ind w:left="0" w:right="0" w:firstLine="0"/>
        <w:jc w:val="left"/>
      </w:pPr>
      <w:bookmarkStart w:id="102" w:name="bookmark102"/>
      <w:bookmarkEnd w:id="102"/>
      <w:r>
        <w:rPr>
          <w:color w:val="000000"/>
          <w:spacing w:val="0"/>
          <w:w w:val="100"/>
          <w:position w:val="0"/>
        </w:rPr>
        <w:t>营业外收入同比增加</w:t>
      </w:r>
      <w:r>
        <w:rPr>
          <w:rFonts w:ascii="Times New Roman" w:eastAsia="Times New Roman" w:hAnsi="Times New Roman" w:cs="Times New Roman"/>
          <w:color w:val="000000"/>
          <w:spacing w:val="0"/>
          <w:w w:val="100"/>
          <w:position w:val="0"/>
          <w:sz w:val="18"/>
          <w:szCs w:val="18"/>
        </w:rPr>
        <w:t>228.63%</w:t>
      </w:r>
      <w:r>
        <w:rPr>
          <w:color w:val="000000"/>
          <w:spacing w:val="0"/>
          <w:w w:val="100"/>
          <w:position w:val="0"/>
        </w:rPr>
        <w:t>，主要原因为：绝对金额变化不大而比较基数相对较小影响所致。</w:t>
      </w:r>
    </w:p>
    <w:p>
      <w:pPr>
        <w:pStyle w:val="Style18"/>
        <w:keepNext w:val="0"/>
        <w:keepLines w:val="0"/>
        <w:widowControl w:val="0"/>
        <w:numPr>
          <w:ilvl w:val="0"/>
          <w:numId w:val="5"/>
        </w:numPr>
        <w:shd w:val="clear" w:color="auto" w:fill="auto"/>
        <w:tabs>
          <w:tab w:pos="362" w:val="left"/>
        </w:tabs>
        <w:bidi w:val="0"/>
        <w:spacing w:before="0" w:after="60" w:line="317" w:lineRule="exact"/>
        <w:ind w:left="0" w:right="0" w:firstLine="0"/>
        <w:jc w:val="left"/>
      </w:pPr>
      <w:bookmarkStart w:id="103" w:name="bookmark103"/>
      <w:bookmarkEnd w:id="103"/>
      <w:r>
        <w:rPr>
          <w:color w:val="000000"/>
          <w:spacing w:val="0"/>
          <w:w w:val="100"/>
          <w:position w:val="0"/>
        </w:rPr>
        <w:t>营业外支出同比增加</w:t>
      </w:r>
      <w:r>
        <w:rPr>
          <w:rFonts w:ascii="Times New Roman" w:eastAsia="Times New Roman" w:hAnsi="Times New Roman" w:cs="Times New Roman"/>
          <w:color w:val="000000"/>
          <w:spacing w:val="0"/>
          <w:w w:val="100"/>
          <w:position w:val="0"/>
          <w:sz w:val="18"/>
          <w:szCs w:val="18"/>
        </w:rPr>
        <w:t>300.08%</w:t>
      </w:r>
      <w:r>
        <w:rPr>
          <w:color w:val="000000"/>
          <w:spacing w:val="0"/>
          <w:w w:val="100"/>
          <w:position w:val="0"/>
        </w:rPr>
        <w:t>，主要原因为：绝对金额变化不大而比较基数相对较小影响所致。</w:t>
      </w:r>
    </w:p>
    <w:p>
      <w:pPr>
        <w:pStyle w:val="Style18"/>
        <w:keepNext w:val="0"/>
        <w:keepLines w:val="0"/>
        <w:widowControl w:val="0"/>
        <w:numPr>
          <w:ilvl w:val="0"/>
          <w:numId w:val="5"/>
        </w:numPr>
        <w:shd w:val="clear" w:color="auto" w:fill="auto"/>
        <w:tabs>
          <w:tab w:pos="360" w:val="left"/>
        </w:tabs>
        <w:bidi w:val="0"/>
        <w:spacing w:before="0" w:after="80" w:line="326" w:lineRule="exact"/>
        <w:ind w:left="380" w:right="0" w:hanging="380"/>
        <w:jc w:val="left"/>
      </w:pPr>
      <w:bookmarkStart w:id="104" w:name="bookmark104"/>
      <w:bookmarkEnd w:id="104"/>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sz w:val="18"/>
          <w:szCs w:val="18"/>
        </w:rPr>
        <w:t>72.29%</w:t>
      </w:r>
      <w:r>
        <w:rPr>
          <w:color w:val="000000"/>
          <w:spacing w:val="0"/>
          <w:w w:val="100"/>
          <w:position w:val="0"/>
        </w:rPr>
        <w:t>，主要原因为：报告期公司经营规模持续扩大，经营活动现金流出 持续增加，报告期内销售回款增幅低于经营活动现金流出增幅所致。</w:t>
      </w:r>
    </w:p>
    <w:p>
      <w:pPr>
        <w:pStyle w:val="Style18"/>
        <w:keepNext w:val="0"/>
        <w:keepLines w:val="0"/>
        <w:widowControl w:val="0"/>
        <w:numPr>
          <w:ilvl w:val="0"/>
          <w:numId w:val="5"/>
        </w:numPr>
        <w:shd w:val="clear" w:color="auto" w:fill="auto"/>
        <w:tabs>
          <w:tab w:pos="360" w:val="left"/>
        </w:tabs>
        <w:bidi w:val="0"/>
        <w:spacing w:before="0" w:after="80" w:line="322" w:lineRule="exact"/>
        <w:ind w:left="380" w:right="0" w:hanging="380"/>
        <w:jc w:val="left"/>
      </w:pPr>
      <w:bookmarkStart w:id="105" w:name="bookmark105"/>
      <w:bookmarkEnd w:id="105"/>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183.69%</w:t>
      </w:r>
      <w:r>
        <w:rPr>
          <w:color w:val="000000"/>
          <w:spacing w:val="0"/>
          <w:w w:val="100"/>
          <w:position w:val="0"/>
        </w:rPr>
        <w:t>，主要原因为：报告期理财产品与结构性存款投资时点变化及投资 增量同比减少共同影响所致。</w:t>
      </w:r>
    </w:p>
    <w:p>
      <w:pPr>
        <w:pStyle w:val="Style18"/>
        <w:keepNext w:val="0"/>
        <w:keepLines w:val="0"/>
        <w:widowControl w:val="0"/>
        <w:numPr>
          <w:ilvl w:val="0"/>
          <w:numId w:val="5"/>
        </w:numPr>
        <w:shd w:val="clear" w:color="auto" w:fill="auto"/>
        <w:tabs>
          <w:tab w:pos="360" w:val="left"/>
        </w:tabs>
        <w:bidi w:val="0"/>
        <w:spacing w:before="0" w:after="380" w:line="317" w:lineRule="exact"/>
        <w:ind w:left="380" w:right="0" w:hanging="380"/>
        <w:jc w:val="left"/>
      </w:pPr>
      <w:bookmarkStart w:id="106" w:name="bookmark106"/>
      <w:bookmarkEnd w:id="106"/>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138.74%</w:t>
      </w:r>
      <w:r>
        <w:rPr>
          <w:color w:val="000000"/>
          <w:spacing w:val="0"/>
          <w:w w:val="100"/>
          <w:position w:val="0"/>
        </w:rPr>
        <w:t>，主要原因为：报告期理财产品与结构性存款投资时点变化及投资增 量同比减少共同影响所致。</w:t>
      </w:r>
    </w:p>
    <w:p>
      <w:pPr>
        <w:pStyle w:val="Style29"/>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、收入与成本</w:t>
      </w:r>
      <w:bookmarkEnd w:id="107"/>
      <w:bookmarkEnd w:id="108"/>
      <w:bookmarkEnd w:id="110"/>
    </w:p>
    <w:p>
      <w:pPr>
        <w:pStyle w:val="Style41"/>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1,691,519,226.39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1,730,130,193.24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1,511,494,208.98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185,132,581.05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180,025,017.41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1,198,705,873.82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1,107,878,302.67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245,746,526.68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187,477,082.95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292,609,207.26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226,595,171.31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118,412,957.22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81,218,654.07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区块链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26,306,493.37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20,810,598.35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33,481,715.94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67,539,417.04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97,512,118.89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110,995,095.66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484,940,248.93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448,361,417.79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582,642,670.87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520,169,684.78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271,129,554.45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212,972,568.86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314,981,980.10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244,289,356.85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164,056,201.05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154,731,102.45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1,691,519,226.39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4056"/>
        <w:gridCol w:w="400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bl>
    <w:p>
      <w:pPr>
        <w:spacing w:lineRule="exact" w:line="1"/>
        <w:rPr>
          <w:sz w:val="2"/>
          <w:szCs w:val="2"/>
        </w:rPr>
      </w:pPr>
      <w:r>
        <w:br w:type="page"/>
      </w:r>
    </w:p>
    <w:tbl>
      <w:tblPr>
        <w:tblOverlap w:val="never"/>
        <w:jc w:val="center"/>
        <w:tblLayout w:type="fixed"/>
      </w:tblPr>
      <w:tblGrid>
        <w:gridCol w:w="1522"/>
        <w:gridCol w:w="1008"/>
        <w:gridCol w:w="1013"/>
        <w:gridCol w:w="1008"/>
        <w:gridCol w:w="1013"/>
        <w:gridCol w:w="1003"/>
        <w:gridCol w:w="1003"/>
        <w:gridCol w:w="1003"/>
        <w:gridCol w:w="10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293,471,848.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458,392,629.</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392,961,588.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770,436,708.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239,683,416.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409,127,857.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334,508,027.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708,199,925.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7,207,236.86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76,769,308.1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58,536,718.2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162,874,205.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6,955,094.19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74,934,959.8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56,545,494.9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124,449,550.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41"/>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5"/>
      <w:bookmarkEnd w:id="116"/>
      <w:bookmarkEnd w:id="118"/>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1,730,130,193.24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695,073,708.00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1,198,705,873.82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458,365,851.00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245,746,526.68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154,712,595.28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292,609,207.26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103,684,557.82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484,940,248.93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184,262,938.16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582,642,670.87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271,126,279.16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271,129,554.45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100,706,159.75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314,981,980.10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128,253,690.67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9"/>
      <w:bookmarkEnd w:id="120"/>
      <w:bookmarkEnd w:id="12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3"/>
      <w:bookmarkEnd w:id="124"/>
      <w:bookmarkEnd w:id="12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行业和产品分类</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695,073,708.00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568,653,590.41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91,826,465.23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83,769,770.30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458,365,851.00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386,291,715.23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154,712,595.28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102,930,238.17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103,684,557.82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96,660,796.35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46,530,792.26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29,193,421.73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区块链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4,524,224.08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3,993,537.50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硬件与服务成本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19,082,152.79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33,353,651.73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w:t>
            </w:r>
          </w:p>
        </w:tc>
      </w:tr>
    </w:tbl>
    <w:p>
      <w:pPr>
        <w:pStyle w:val="Style18"/>
        <w:keepNext w:val="0"/>
        <w:keepLines w:val="0"/>
        <w:widowControl w:val="0"/>
        <w:shd w:val="clear" w:color="auto" w:fill="auto"/>
        <w:bidi w:val="0"/>
        <w:spacing w:before="0" w:line="355" w:lineRule="exact"/>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354,158,671.68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242,039,028.52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360,776,797.36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341,056,637.32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71,964,704.19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69,327,694.87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786,900,173.23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652,423,360.71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bl>
    <w:p>
      <w:pPr>
        <w:widowControl w:val="0"/>
        <w:spacing w:after="339" w:line="1" w:lineRule="exact"/>
      </w:pPr>
    </w:p>
    <w:p>
      <w:pPr>
        <w:pStyle w:val="Style41"/>
        <w:keepNext/>
        <w:keepLines/>
        <w:widowControl w:val="0"/>
        <w:shd w:val="clear" w:color="auto" w:fill="auto"/>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1"/>
      <w:bookmarkEnd w:id="132"/>
      <w:bookmarkEnd w:id="134"/>
    </w:p>
    <w:p>
      <w:pPr>
        <w:pStyle w:val="Style18"/>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2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5"/>
      <w:bookmarkEnd w:id="136"/>
      <w:bookmarkEnd w:id="138"/>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报告期内，公司以信息技术和能源技术为根本动力，围绕数字企业、智慧能源、信创平台、社会互联四大领域进行布局。 在强化原有核心业务的基础上，持续加大新技术的研发、储备和应用，优化产品战略，相关业务取得较好发展。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 司根据业务发展情况，对产品分类进行了微调。</w:t>
      </w:r>
      <w:r>
        <w:br w:type="page"/>
      </w:r>
    </w:p>
    <w:p>
      <w:pPr>
        <w:pStyle w:val="Style41"/>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9"/>
      <w:bookmarkEnd w:id="140"/>
      <w:bookmarkEnd w:id="14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327,264,879.13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95,581,731.87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78,297,074.32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56,677,251.27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48,926,363.34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47,782,458.33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327,264,879.13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17.09%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188,359,452.27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27.56%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91,277,670.12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37,311,095.41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34,246,592.47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14,213,468.24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11,310,626.03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188,359,452.27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27.56%</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186,651,521.77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193,961,738.99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183,691,347.83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197,219,550.68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-5,392,540.84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-4,847,532.35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418,589,622.64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354,137,608.36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预计对公司未来发展的影响</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国网智慧共享财务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打造''中台服务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智慧应 用''新模式，以建设数字 财务为目标，依托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远光 九天智能一体化云平台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，推进全面预算、工程 财务、资本运营、综合 管理等基于中台的深化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项目深入推广期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支撑集团企业业务模式创新 和数字化转型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助力公司市场拓展，为大型 集团企业财务转型升级提供 示范样板和智慧支撑</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智慧共享线上运营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基于数据中台</w:t>
            </w:r>
          </w:p>
          <w:p>
            <w:pPr>
              <w:pStyle w:val="Style20"/>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+realinsight </w:t>
            </w:r>
            <w:r>
              <w:rPr>
                <w:color w:val="000000"/>
                <w:spacing w:val="0"/>
                <w:w w:val="100"/>
                <w:position w:val="0"/>
                <w:sz w:val="17"/>
                <w:szCs w:val="17"/>
              </w:rPr>
              <w:t>产品打造， 支撑财务多维价值输 出、民营企业清欠、优 化经营策略、数智风控 等应用，初步形成平台 型数字生态。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项目深入推广期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帮助企业形成平台型数字生 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帮助企业数字化转型，助力 公司市场拓展</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产业数字化</w:t>
            </w:r>
            <w:r>
              <w:rPr>
                <w:rFonts w:ascii="Times New Roman" w:eastAsia="Times New Roman" w:hAnsi="Times New Roman" w:cs="Times New Roman"/>
                <w:color w:val="000000"/>
                <w:spacing w:val="0"/>
                <w:w w:val="100"/>
                <w:position w:val="0"/>
                <w:sz w:val="18"/>
                <w:szCs w:val="18"/>
              </w:rPr>
              <w:t>DAP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实现</w:t>
            </w:r>
            <w:r>
              <w:rPr>
                <w:rFonts w:ascii="Times New Roman" w:eastAsia="Times New Roman" w:hAnsi="Times New Roman" w:cs="Times New Roman"/>
                <w:color w:val="000000"/>
                <w:spacing w:val="0"/>
                <w:w w:val="100"/>
                <w:position w:val="0"/>
                <w:sz w:val="18"/>
                <w:szCs w:val="18"/>
              </w:rPr>
              <w:t>DAP</w:t>
            </w:r>
            <w:r>
              <w:rPr>
                <w:color w:val="000000"/>
                <w:spacing w:val="0"/>
                <w:w w:val="100"/>
                <w:position w:val="0"/>
                <w:sz w:val="17"/>
                <w:szCs w:val="17"/>
              </w:rPr>
              <w:t>在国网电商、 部分省管产业单位全业 务覆盖，树立核心业务 系统国产化标杆，成为 数字电商建设核心。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项目中期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实现</w:t>
            </w:r>
            <w:r>
              <w:rPr>
                <w:rFonts w:ascii="Times New Roman" w:eastAsia="Times New Roman" w:hAnsi="Times New Roman" w:cs="Times New Roman"/>
                <w:color w:val="000000"/>
                <w:spacing w:val="0"/>
                <w:w w:val="100"/>
                <w:position w:val="0"/>
                <w:sz w:val="18"/>
                <w:szCs w:val="18"/>
              </w:rPr>
              <w:t>DAP</w:t>
            </w:r>
            <w:r>
              <w:rPr>
                <w:color w:val="000000"/>
                <w:spacing w:val="0"/>
                <w:w w:val="100"/>
                <w:position w:val="0"/>
                <w:sz w:val="17"/>
                <w:szCs w:val="17"/>
              </w:rPr>
              <w:t>在国网电商全单 位、全业务覆盖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帮助公司</w:t>
            </w:r>
            <w:r>
              <w:rPr>
                <w:rFonts w:ascii="Times New Roman" w:eastAsia="Times New Roman" w:hAnsi="Times New Roman" w:cs="Times New Roman"/>
                <w:color w:val="000000"/>
                <w:spacing w:val="0"/>
                <w:w w:val="100"/>
                <w:position w:val="0"/>
                <w:sz w:val="18"/>
                <w:szCs w:val="18"/>
              </w:rPr>
              <w:t>DAP</w:t>
            </w:r>
            <w:r>
              <w:rPr>
                <w:color w:val="000000"/>
                <w:spacing w:val="0"/>
                <w:w w:val="100"/>
                <w:position w:val="0"/>
                <w:sz w:val="17"/>
                <w:szCs w:val="17"/>
              </w:rPr>
              <w:t>产品市场推 广，树立大型集团企业核心 业务国产化的标杆</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碳资产管理平台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提升集团碳资产信息化 管理能力，建设从温室 气体核算、统计、监测， 到排放权交易全过程管 理的信息化系统。助力 企业实现碳资产清晰、 碳管控到位、碳分配合 理、碳交易高效的低碳 化管理。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项目初期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帮助企业提高碳资产运作效 益，推动企业绿色低碳转型， 助力全国碳市场发展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对于公司后续在碳达峰、碳 中和市场的开拓发展具有深 远意义</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能源工业云网''建 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通过大数据、区块链、 物联网、人工智能等技 术，参与国网''能源工业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项目中期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通过公司在智慧能源领域的 产品布局，助力能源生态全 域建设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是公司在配电运维业务方向 发展的机遇</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建设，为能源产业 链上下游企业提供''互 联共享、全域赋能''的能 源生态全域服务。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智慧档案项目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 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深度融合区块链、人工 智能、大数据、边缘计 算、物联网等技术，实 现电子文件采集、归档 和电子档案管理的''三 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的全生命周期 管理，构建适应于数字 化时代档案发展需求的 智慧档案产品。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项目深入推广期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推进无纸化办公、关注''双碳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政策，加快经济社会绿色转 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为公司在人工智能领域的技 术研究与应用奠定根基</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500,106,506.18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410,371,508.97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81,516,883.54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56,233,900.61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基于多链模式的区块链云服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5,608,077.94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该项目围绕区块链应用落地 的全过程，构建系列区块链技 术产品，服务、规范和工具， 致力于加速区块链场景落地， 降低区块链使用成本，推动业 务模式和行业生态的创新。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基于中台架构的智慧共享财 务管理平台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21,270,787.30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该项目基于企业数智化云平 台，为企业共享服务能力提供 支撑，为企业数据资产管理及 价值创造提供支撑，为企业提 供''架构统一、技术先进、服务 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的基础服务能力接口。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月完成</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技术的智慧电子档案 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7,951,427.86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该项目依托人工智能和物联 网技术，构建适应于数字化时 代档案发展需求的智慧档案 产品，实现电子文件采集、归 档和电子档案管理的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三位一 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的全生命周期管理，实现了 电子档案的归档自动化、保管 电子化和利用网络化，实物档 案的智能化。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月完成</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基于云计算的企业数智化云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15,301,498.93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该项目基于全栈国产化技术 路线，采用云原生架构，以</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sz w:val="17"/>
                <w:szCs w:val="17"/>
              </w:rPr>
              <w:t>为核心驱动力，融合了先进软 件工程理论和实践，是一款涵 盖了需求、设计、开发、测试、 部署、应用、监控、运维的全 生命一体化信息技术生产力 创新平台。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月完成</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基于云计算的用户体验研发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5,108,070.89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该项目集体验设置、页面展 现、</w:t>
            </w:r>
            <w:r>
              <w:rPr>
                <w:rFonts w:ascii="Times New Roman" w:eastAsia="Times New Roman" w:hAnsi="Times New Roman" w:cs="Times New Roman"/>
                <w:color w:val="000000"/>
                <w:spacing w:val="0"/>
                <w:w w:val="100"/>
                <w:position w:val="0"/>
                <w:sz w:val="18"/>
                <w:szCs w:val="18"/>
              </w:rPr>
              <w:t>UI</w:t>
            </w:r>
            <w:r>
              <w:rPr>
                <w:color w:val="000000"/>
                <w:spacing w:val="0"/>
                <w:w w:val="100"/>
                <w:position w:val="0"/>
                <w:sz w:val="17"/>
                <w:szCs w:val="17"/>
              </w:rPr>
              <w:t>组件、主题管理、国 际化、开发编译为一体，支持 多端展示，多框架支持等特 性，能快速构建企业用户体验 体系，为企业提供一套可持续 的用户体验解决方案。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月完成</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技术的智能业务中台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10,897,309.21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该项目以</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底层能力为基础， 围绕业务应用场景，聚合了各 种智能模型、智能服务的全生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月完成</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命周期管理平台和配置体系。</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基于微服务架构的财务资金 智能分析预测辅助决策平台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4,818,198.65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该项目利用大数据技术，对资 金按照主题进行分析、对风险 进行多维度识别监控、对资金 进行预测，辅助决策，提供主 体画像功能，充分应用结果， 实现业务的联动管理。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月完成</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基于区块链技术的能源金融 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6,360,022.38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该项目基于区块链技术，实现 了信用的多级穿透，提升了线 上金融服务的可信度。使得核 心企业的负债和供应链管理 能力、小微供应商的产业链生 存能力，金融机构的风控能力 显著提升。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2,033,710.68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该项目采用分布式、微服务架 构、线上表格组件及全文检索 等现代先进实用的软件开发 技术，结合微服务组件开发平 台，提供客户管理、销售管理、 合同管理、订单管理、业绩管 理等服务，从而帮助客户建立 营销全过程综合业务管理系 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月完成</w:t>
            </w:r>
          </w:p>
        </w:tc>
      </w:tr>
      <w:tr>
        <w:trPr>
          <w:trHeight w:val="41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基于自然语言处理技术的电 价政策智能解析平台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193,471.87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该项目采用现代先进实用的 软件开发技术，融入人工智 能、知识图谱等新技术，建立 面向电力行业价格政策接收、 解析、执行、稽查为一体的价 格政策管理平台，以电力价格 政策树谱为中心，提供政策采 集与搜索、智能解析及基于解 析结果形成的电力价格信息 服务（调价分析、询价服务、 价格血缘图谱、价格执行监控 等），创新了电力行业价格政 策的管理模式。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知识共享交流管理平台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1,974,307.83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该项目采用大数据、人工智能 等新技术，运用互联网思维， 支持精准的知识管理及模糊 的知识管理两种方式，智能化 进行知识管理。为各业务场景 提供统一标准的知识收集、知 识整合、知识权限、知识搜索、</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知识问答、知识分享、知识交 流、知识推荐、知识运营等中 台服务。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81,516,883.54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1,701,318,475.98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1,578,294,233.87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1,679,472,013.80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1,499,445,122.61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21,846,462.18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78,849,111.26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1,132,049,012.86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1,213,555,681.67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1,066,378,470.67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1,292,021,346.50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65,670,542.19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-78,465,664.83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65,536,635.92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102,024,654.29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-65,536,635.92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-57,024,654.29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21,954,333.25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-56,664,757.20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tc>
      </w:tr>
    </w:tbl>
    <w:p>
      <w:pPr>
        <w:pStyle w:val="Style18"/>
        <w:keepNext w:val="0"/>
        <w:keepLines w:val="0"/>
        <w:widowControl w:val="0"/>
        <w:shd w:val="clear" w:color="auto" w:fill="auto"/>
        <w:bidi w:val="0"/>
        <w:spacing w:before="0" w:line="326"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numPr>
          <w:ilvl w:val="0"/>
          <w:numId w:val="7"/>
        </w:numPr>
        <w:shd w:val="clear" w:color="auto" w:fill="auto"/>
        <w:tabs>
          <w:tab w:pos="310" w:val="left"/>
        </w:tabs>
        <w:bidi w:val="0"/>
        <w:spacing w:before="0" w:after="100" w:line="326" w:lineRule="exact"/>
        <w:ind w:left="0" w:right="0" w:firstLine="0"/>
        <w:jc w:val="left"/>
      </w:pPr>
      <w:bookmarkStart w:id="155" w:name="bookmark155"/>
      <w:bookmarkEnd w:id="155"/>
      <w:r>
        <w:rPr>
          <w:color w:val="000000"/>
          <w:spacing w:val="0"/>
          <w:w w:val="100"/>
          <w:position w:val="0"/>
        </w:rPr>
        <w:t>经营活动产生的现金流量净额同比下降</w:t>
      </w:r>
      <w:r>
        <w:rPr>
          <w:rFonts w:ascii="Times New Roman" w:eastAsia="Times New Roman" w:hAnsi="Times New Roman" w:cs="Times New Roman"/>
          <w:color w:val="000000"/>
          <w:spacing w:val="0"/>
          <w:w w:val="100"/>
          <w:position w:val="0"/>
          <w:sz w:val="18"/>
          <w:szCs w:val="18"/>
        </w:rPr>
        <w:t>72.29%</w:t>
      </w:r>
      <w:r>
        <w:rPr>
          <w:color w:val="000000"/>
          <w:spacing w:val="0"/>
          <w:w w:val="100"/>
          <w:position w:val="0"/>
        </w:rPr>
        <w:t>，主要系报告期公司经营规模持续扩大，经营活动现金流出持续增加， 报告期内销售回款增幅低于经营活动现金流出增幅所致。</w:t>
      </w:r>
    </w:p>
    <w:p>
      <w:pPr>
        <w:pStyle w:val="Style18"/>
        <w:keepNext w:val="0"/>
        <w:keepLines w:val="0"/>
        <w:widowControl w:val="0"/>
        <w:numPr>
          <w:ilvl w:val="0"/>
          <w:numId w:val="7"/>
        </w:numPr>
        <w:shd w:val="clear" w:color="auto" w:fill="auto"/>
        <w:tabs>
          <w:tab w:pos="320" w:val="left"/>
        </w:tabs>
        <w:bidi w:val="0"/>
        <w:spacing w:before="0" w:after="100" w:line="326" w:lineRule="exact"/>
        <w:ind w:left="0" w:right="0" w:firstLine="0"/>
        <w:jc w:val="left"/>
      </w:pPr>
      <w:bookmarkStart w:id="156" w:name="bookmark156"/>
      <w:bookmarkEnd w:id="156"/>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183.69%</w:t>
      </w:r>
      <w:r>
        <w:rPr>
          <w:color w:val="000000"/>
          <w:spacing w:val="0"/>
          <w:w w:val="100"/>
          <w:position w:val="0"/>
        </w:rPr>
        <w:t>，主要系报告期理财产品与结构性存款投资时点变化及投资增量同比 减少共同影响所致。</w:t>
      </w:r>
    </w:p>
    <w:p>
      <w:pPr>
        <w:pStyle w:val="Style18"/>
        <w:keepNext w:val="0"/>
        <w:keepLines w:val="0"/>
        <w:widowControl w:val="0"/>
        <w:numPr>
          <w:ilvl w:val="0"/>
          <w:numId w:val="7"/>
        </w:numPr>
        <w:shd w:val="clear" w:color="auto" w:fill="auto"/>
        <w:tabs>
          <w:tab w:pos="320" w:val="left"/>
        </w:tabs>
        <w:bidi w:val="0"/>
        <w:spacing w:before="0" w:after="100" w:line="326" w:lineRule="exact"/>
        <w:ind w:left="0" w:right="0" w:firstLine="0"/>
        <w:jc w:val="left"/>
      </w:pPr>
      <w:bookmarkStart w:id="157" w:name="bookmark157"/>
      <w:bookmarkEnd w:id="157"/>
      <w:r>
        <w:rPr>
          <w:color w:val="000000"/>
          <w:spacing w:val="0"/>
          <w:w w:val="100"/>
          <w:position w:val="0"/>
        </w:rPr>
        <w:t>筹资活动现金流入同比减少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，主要系报告期内未发生银行贷款业务。</w:t>
      </w:r>
    </w:p>
    <w:p>
      <w:pPr>
        <w:pStyle w:val="Style18"/>
        <w:keepNext w:val="0"/>
        <w:keepLines w:val="0"/>
        <w:widowControl w:val="0"/>
        <w:numPr>
          <w:ilvl w:val="0"/>
          <w:numId w:val="7"/>
        </w:numPr>
        <w:shd w:val="clear" w:color="auto" w:fill="auto"/>
        <w:tabs>
          <w:tab w:pos="320" w:val="left"/>
        </w:tabs>
        <w:bidi w:val="0"/>
        <w:spacing w:before="0" w:after="100" w:line="326" w:lineRule="exact"/>
        <w:ind w:left="0" w:right="0" w:firstLine="0"/>
        <w:jc w:val="left"/>
      </w:pPr>
      <w:bookmarkStart w:id="158" w:name="bookmark158"/>
      <w:bookmarkEnd w:id="158"/>
      <w:r>
        <w:rPr>
          <w:color w:val="000000"/>
          <w:spacing w:val="0"/>
          <w:w w:val="100"/>
          <w:position w:val="0"/>
        </w:rPr>
        <w:t>筹资活动现金流出同比减少</w:t>
      </w:r>
      <w:r>
        <w:rPr>
          <w:rFonts w:ascii="Times New Roman" w:eastAsia="Times New Roman" w:hAnsi="Times New Roman" w:cs="Times New Roman"/>
          <w:color w:val="000000"/>
          <w:spacing w:val="0"/>
          <w:w w:val="100"/>
          <w:position w:val="0"/>
          <w:sz w:val="18"/>
          <w:szCs w:val="18"/>
        </w:rPr>
        <w:t>35.76%</w:t>
      </w:r>
      <w:r>
        <w:rPr>
          <w:color w:val="000000"/>
          <w:spacing w:val="0"/>
          <w:w w:val="100"/>
          <w:position w:val="0"/>
        </w:rPr>
        <w:t>，主要系报告期内未发生偿还银行贷款业务。</w:t>
      </w:r>
    </w:p>
    <w:p>
      <w:pPr>
        <w:pStyle w:val="Style18"/>
        <w:keepNext w:val="0"/>
        <w:keepLines w:val="0"/>
        <w:widowControl w:val="0"/>
        <w:numPr>
          <w:ilvl w:val="0"/>
          <w:numId w:val="7"/>
        </w:numPr>
        <w:shd w:val="clear" w:color="auto" w:fill="auto"/>
        <w:tabs>
          <w:tab w:pos="320" w:val="left"/>
        </w:tabs>
        <w:bidi w:val="0"/>
        <w:spacing w:before="0" w:after="0" w:line="322" w:lineRule="exact"/>
        <w:ind w:left="0" w:right="0" w:firstLine="0"/>
        <w:jc w:val="left"/>
      </w:pPr>
      <w:bookmarkStart w:id="159" w:name="bookmark159"/>
      <w:bookmarkEnd w:id="159"/>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138.74%</w:t>
      </w:r>
      <w:r>
        <w:rPr>
          <w:color w:val="000000"/>
          <w:spacing w:val="0"/>
          <w:w w:val="100"/>
          <w:position w:val="0"/>
        </w:rPr>
        <w:t>，主要系报告期理财产品与结构性存款投资时点变化及投资增量同比减少共 同影响所致。</w:t>
      </w:r>
    </w:p>
    <w:p>
      <w:pPr>
        <w:pStyle w:val="Style18"/>
        <w:keepNext w:val="0"/>
        <w:keepLines w:val="0"/>
        <w:widowControl w:val="0"/>
        <w:shd w:val="clear" w:color="auto" w:fill="auto"/>
        <w:bidi w:val="0"/>
        <w:spacing w:before="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317" w:lineRule="exact"/>
        <w:ind w:left="0" w:right="0" w:firstLine="0"/>
        <w:jc w:val="left"/>
        <w:rPr>
          <w:sz w:val="20"/>
          <w:szCs w:val="20"/>
        </w:rPr>
      </w:pPr>
      <w:r>
        <w:rPr>
          <w:color w:val="000000"/>
          <w:spacing w:val="0"/>
          <w:w w:val="100"/>
          <w:position w:val="0"/>
          <w:sz w:val="20"/>
          <w:szCs w:val="20"/>
        </w:rPr>
        <w:t>报告期内公司经营活动产生的现金流量净额为</w:t>
      </w:r>
      <w:r>
        <w:rPr>
          <w:b/>
          <w:bCs/>
          <w:color w:val="000000"/>
          <w:spacing w:val="0"/>
          <w:w w:val="100"/>
          <w:position w:val="0"/>
          <w:sz w:val="20"/>
          <w:szCs w:val="20"/>
        </w:rPr>
        <w:t>21,846,462.18</w:t>
      </w:r>
      <w:r>
        <w:rPr>
          <w:color w:val="000000"/>
          <w:spacing w:val="0"/>
          <w:w w:val="100"/>
          <w:position w:val="0"/>
          <w:sz w:val="20"/>
          <w:szCs w:val="20"/>
        </w:rPr>
        <w:t>元，本年度净利润为</w:t>
      </w:r>
      <w:r>
        <w:rPr>
          <w:b/>
          <w:bCs/>
          <w:color w:val="000000"/>
          <w:spacing w:val="0"/>
          <w:w w:val="100"/>
          <w:position w:val="0"/>
          <w:sz w:val="20"/>
          <w:szCs w:val="20"/>
        </w:rPr>
        <w:t>320,083,114.27</w:t>
      </w:r>
      <w:r>
        <w:rPr>
          <w:color w:val="000000"/>
          <w:spacing w:val="0"/>
          <w:w w:val="100"/>
          <w:position w:val="0"/>
          <w:sz w:val="20"/>
          <w:szCs w:val="20"/>
        </w:rPr>
        <w:t>元，存在差异的 主要原因为：报告期公司经营规模持续扩大、经营活动现金流出持续增加，报告期内销售回款增幅低于经营活 动现金流出增幅所致。</w:t>
      </w:r>
      <w:r>
        <w:br w:type="page"/>
      </w:r>
    </w:p>
    <w:p>
      <w:pPr>
        <w:pStyle w:val="Style24"/>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五</w:t>
      </w:r>
      <w:bookmarkEnd w:id="162"/>
      <w:r>
        <w:rPr>
          <w:color w:val="000000"/>
          <w:spacing w:val="0"/>
          <w:w w:val="100"/>
          <w:position w:val="0"/>
        </w:rPr>
        <w:t>、非主营业务分析</w:t>
      </w:r>
      <w:bookmarkEnd w:id="160"/>
      <w:bookmarkEnd w:id="161"/>
      <w:bookmarkEnd w:id="163"/>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18,880,239.07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长期股权投资收益、短期闲 置资金理财收益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长期股权投资收益具有可持 续性。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816,204.27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固定资产报废清理利得等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2,082,329.34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固定资产报废清理损失、捐 赠等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六</w:t>
      </w:r>
      <w:bookmarkEnd w:id="166"/>
      <w:r>
        <w:rPr>
          <w:color w:val="000000"/>
          <w:spacing w:val="0"/>
          <w:w w:val="100"/>
          <w:position w:val="0"/>
        </w:rPr>
        <w:t>、资产及负债状况分析</w:t>
      </w:r>
      <w:bookmarkEnd w:id="164"/>
      <w:bookmarkEnd w:id="165"/>
      <w:bookmarkEnd w:id="167"/>
    </w:p>
    <w:p>
      <w:pPr>
        <w:pStyle w:val="Style29"/>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257,843,994.7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237,155,865.85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1,124,488,003.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913,793,228.30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197,465,882.6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49,681,193.66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33,674,468.40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31,603,533.89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30,966,719.19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66,050,875.87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72,208,284.32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170,119,152.1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170,434,359.28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164,655,353.5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12,741,106.93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9,335,560.41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12,709,283.05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7,309,908.40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10,007,105.59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552,650,000.00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报告期末结构性存款及理财余额同 比减少。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79,645,945.03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76,020,395.09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794,821,811.5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461,149,296.35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报告期末购买的国债逆回购产品余 额同比增加。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其他权益工具投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108,169,247.7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132,948,288.25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18,184,470.07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15,716,727.13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123,959,436.5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138,987,445.05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92,801,301.84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36,252,729.72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35,310,460.25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35,310,460.25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44,869,063.79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43,995,859.30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本期计提的</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552,650,000.0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211,170,000.0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132,948,288.2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-23,488,717.9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-1,290,322.</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108,169,247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685,598,288.2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-23,488,717.9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211,170,000.0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-1,290,322.</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228,169,247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26"/>
        <w:keepNext w:val="0"/>
        <w:keepLines w:val="0"/>
        <w:widowControl w:val="0"/>
        <w:shd w:val="clear" w:color="auto" w:fill="auto"/>
        <w:bidi w:val="0"/>
        <w:spacing w:before="0" w:after="0" w:line="240" w:lineRule="auto"/>
        <w:ind w:left="8304" w:right="0" w:firstLine="0"/>
        <w:jc w:val="left"/>
      </w:pPr>
      <w:r>
        <w:rPr>
          <w:color w:val="000000"/>
          <w:spacing w:val="0"/>
          <w:w w:val="100"/>
          <w:position w:val="0"/>
        </w:rPr>
        <w:t>单位：元</w:t>
      </w:r>
    </w:p>
    <w:tbl>
      <w:tblPr>
        <w:tblOverlap w:val="never"/>
        <w:jc w:val="center"/>
        <w:tblLayout w:type="fixed"/>
      </w:tblPr>
      <w:tblGrid>
        <w:gridCol w:w="3341"/>
        <w:gridCol w:w="3058"/>
        <w:gridCol w:w="3192"/>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11,733,926.69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保函或履约保证金</w:t>
            </w:r>
          </w:p>
        </w:tc>
      </w:tr>
      <w:tr>
        <w:trPr>
          <w:trHeight w:val="36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11,733,926.69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七</w:t>
      </w:r>
      <w:bookmarkEnd w:id="182"/>
      <w:r>
        <w:rPr>
          <w:color w:val="000000"/>
          <w:spacing w:val="0"/>
          <w:w w:val="100"/>
          <w:position w:val="0"/>
        </w:rPr>
        <w:t>、投资状况分析</w:t>
      </w:r>
      <w:bookmarkEnd w:id="180"/>
      <w:bookmarkEnd w:id="181"/>
      <w:bookmarkEnd w:id="183"/>
    </w:p>
    <w:p>
      <w:pPr>
        <w:pStyle w:val="Style29"/>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、报告期内获取的重大的股权投资情况</w:t>
      </w:r>
      <w:bookmarkEnd w:id="188"/>
      <w:bookmarkEnd w:id="189"/>
      <w:bookmarkEnd w:id="19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金融资产投资</w:t>
      </w:r>
      <w:bookmarkEnd w:id="196"/>
      <w:bookmarkEnd w:id="197"/>
      <w:bookmarkEnd w:id="199"/>
    </w:p>
    <w:p>
      <w:pPr>
        <w:pStyle w:val="Style41"/>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0"/>
      <w:bookmarkEnd w:id="201"/>
      <w:bookmarkEnd w:id="203"/>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83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证券品</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证券代</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证券简</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最初投</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期初账</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本期公</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允价值</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计入权</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益的累 计公允 价值变 动</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期末账</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会计核</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w:t>
            </w:r>
          </w:p>
        </w:tc>
      </w:tr>
      <w:tr>
        <w:trPr>
          <w:trHeight w:val="816"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种</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码</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资成本</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量模式</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面价值</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变动损 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买金额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售金额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损益</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面价值</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算科目</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源</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left w:val="single" w:sz="4"/>
            </w:tcBorders>
            <w:shd w:val="clear" w:color="auto" w:fill="FFFFFF"/>
            <w:vAlign w:val="top"/>
          </w:tcPr>
          <w:p>
            <w:pPr>
              <w:pStyle w:val="Style20"/>
              <w:keepNext w:val="0"/>
              <w:keepLines w:val="0"/>
              <w:widowControl w:val="0"/>
              <w:shd w:val="clear" w:color="auto" w:fill="auto"/>
              <w:bidi w:val="0"/>
              <w:spacing w:before="100" w:after="0" w:line="312" w:lineRule="exact"/>
              <w:ind w:left="0" w:right="0" w:firstLine="0"/>
              <w:jc w:val="left"/>
              <w:rPr>
                <w:sz w:val="17"/>
                <w:szCs w:val="17"/>
              </w:rPr>
            </w:pPr>
            <w:r>
              <w:rPr>
                <w:color w:val="000000"/>
                <w:spacing w:val="0"/>
                <w:w w:val="100"/>
                <w:position w:val="0"/>
                <w:sz w:val="17"/>
                <w:szCs w:val="17"/>
              </w:rPr>
              <w:t>信托产 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 单一资 金信托 计划</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220" w:after="100" w:line="240" w:lineRule="auto"/>
              <w:ind w:left="0" w:right="0" w:firstLine="0"/>
              <w:jc w:val="left"/>
              <w:rPr>
                <w:sz w:val="17"/>
                <w:szCs w:val="17"/>
              </w:rPr>
            </w:pPr>
            <w:r>
              <w:rPr>
                <w:color w:val="000000"/>
                <w:spacing w:val="0"/>
                <w:w w:val="100"/>
                <w:position w:val="0"/>
                <w:sz w:val="17"/>
                <w:szCs w:val="17"/>
              </w:rPr>
              <w:t>公允价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值计量</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0"/>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交易性</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金融资</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00" w:after="0" w:line="307" w:lineRule="exact"/>
              <w:ind w:left="0" w:right="0" w:firstLine="0"/>
              <w:jc w:val="left"/>
              <w:rPr>
                <w:sz w:val="17"/>
                <w:szCs w:val="17"/>
              </w:rPr>
            </w:pPr>
            <w:r>
              <w:rPr>
                <w:color w:val="000000"/>
                <w:spacing w:val="0"/>
                <w:w w:val="100"/>
                <w:position w:val="0"/>
                <w:sz w:val="17"/>
                <w:szCs w:val="17"/>
              </w:rPr>
              <w:t>自有资 金</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信托产 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新湖财</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睿禧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公允价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值计量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自有资 金</w:t>
            </w:r>
          </w:p>
        </w:tc>
      </w:tr>
    </w:tbl>
    <w:tbl>
      <w:tblPr>
        <w:tblOverlap w:val="never"/>
        <w:jc w:val="center"/>
        <w:tblLayout w:type="fixed"/>
      </w:tblPr>
      <w:tblGrid>
        <w:gridCol w:w="686"/>
        <w:gridCol w:w="682"/>
        <w:gridCol w:w="701"/>
        <w:gridCol w:w="686"/>
        <w:gridCol w:w="682"/>
        <w:gridCol w:w="682"/>
        <w:gridCol w:w="682"/>
        <w:gridCol w:w="677"/>
        <w:gridCol w:w="682"/>
        <w:gridCol w:w="682"/>
        <w:gridCol w:w="682"/>
        <w:gridCol w:w="677"/>
        <w:gridCol w:w="682"/>
        <w:gridCol w:w="70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定制集</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合资金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广发证 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定制 资管恒 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公允价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交易性</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金融资</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自有资 金</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乾元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恒</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公允价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交易性</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金融资</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自有资 金</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122,670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305,320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证券投资审批董事会公告 披露日期</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2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9"/>
        </w:numPr>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衍生品投资情况</w:t>
      </w:r>
      <w:bookmarkEnd w:id="204"/>
      <w:bookmarkEnd w:id="205"/>
      <w:bookmarkEnd w:id="207"/>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w:t>
        <w:tab/>
        <w:t>重大资产和股权出售</w:t>
      </w:r>
      <w:bookmarkEnd w:id="212"/>
      <w:bookmarkEnd w:id="213"/>
      <w:bookmarkEnd w:id="215"/>
    </w:p>
    <w:p>
      <w:pPr>
        <w:pStyle w:val="Style29"/>
        <w:keepNext/>
        <w:keepLines/>
        <w:widowControl w:val="0"/>
        <w:shd w:val="clear" w:color="auto" w:fill="auto"/>
        <w:tabs>
          <w:tab w:pos="392"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出售重大资产情况</w:t>
      </w:r>
      <w:bookmarkEnd w:id="216"/>
      <w:bookmarkEnd w:id="217"/>
      <w:bookmarkEnd w:id="219"/>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出售重大股权情况</w:t>
      </w:r>
      <w:bookmarkEnd w:id="220"/>
      <w:bookmarkEnd w:id="221"/>
      <w:bookmarkEnd w:id="22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九</w:t>
      </w:r>
      <w:bookmarkEnd w:id="226"/>
      <w:r>
        <w:rPr>
          <w:color w:val="000000"/>
          <w:spacing w:val="0"/>
          <w:w w:val="100"/>
          <w:position w:val="0"/>
        </w:rPr>
        <w:t>、</w:t>
        <w:tab/>
        <w:t>主要控股参股公司分析</w:t>
      </w:r>
      <w:bookmarkEnd w:id="224"/>
      <w:bookmarkEnd w:id="225"/>
      <w:bookmarkEnd w:id="2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公司报告期内无应当披露的重要控股参股公司信息。</w:t>
      </w:r>
    </w:p>
    <w:p>
      <w:pPr>
        <w:pStyle w:val="Style24"/>
        <w:keepNext/>
        <w:keepLines/>
        <w:widowControl w:val="0"/>
        <w:shd w:val="clear" w:color="auto" w:fill="auto"/>
        <w:bidi w:val="0"/>
        <w:spacing w:before="0" w:after="380" w:line="314" w:lineRule="exact"/>
        <w:ind w:left="0" w:right="0" w:firstLine="0"/>
        <w:jc w:val="both"/>
      </w:pPr>
      <w:bookmarkStart w:id="228" w:name="bookmark228"/>
      <w:bookmarkStart w:id="229" w:name="bookmark229"/>
      <w:bookmarkStart w:id="230" w:name="bookmark230"/>
      <w:r>
        <w:rPr>
          <w:color w:val="000000"/>
          <w:spacing w:val="0"/>
          <w:w w:val="100"/>
          <w:position w:val="0"/>
        </w:rPr>
        <w:t>十、公司控制的结构化主体情况</w:t>
      </w:r>
      <w:bookmarkEnd w:id="228"/>
      <w:bookmarkEnd w:id="229"/>
      <w:bookmarkEnd w:id="230"/>
    </w:p>
    <w:p>
      <w:pPr>
        <w:pStyle w:val="Style1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314" w:lineRule="exact"/>
        <w:ind w:left="0" w:right="0" w:firstLine="0"/>
        <w:jc w:val="both"/>
      </w:pPr>
      <w:bookmarkStart w:id="231" w:name="bookmark231"/>
      <w:bookmarkStart w:id="232" w:name="bookmark232"/>
      <w:bookmarkStart w:id="233" w:name="bookmark233"/>
      <w:r>
        <w:rPr>
          <w:color w:val="000000"/>
          <w:spacing w:val="0"/>
          <w:w w:val="100"/>
          <w:position w:val="0"/>
        </w:rPr>
        <w:t>十一、公司未来发展的展望</w:t>
      </w:r>
      <w:bookmarkEnd w:id="231"/>
      <w:bookmarkEnd w:id="232"/>
      <w:bookmarkEnd w:id="233"/>
    </w:p>
    <w:p>
      <w:pPr>
        <w:pStyle w:val="Style24"/>
        <w:keepNext/>
        <w:keepLines/>
        <w:widowControl w:val="0"/>
        <w:shd w:val="clear" w:color="auto" w:fill="auto"/>
        <w:tabs>
          <w:tab w:pos="602" w:val="left"/>
        </w:tabs>
        <w:bidi w:val="0"/>
        <w:spacing w:before="0" w:after="0" w:line="313" w:lineRule="exact"/>
        <w:ind w:left="0" w:right="0" w:firstLine="0"/>
        <w:jc w:val="both"/>
      </w:pPr>
      <w:bookmarkStart w:id="231" w:name="bookmark231"/>
      <w:bookmarkStart w:id="232" w:name="bookmark232"/>
      <w:bookmarkStart w:id="234" w:name="bookmark234"/>
      <w:r>
        <w:rPr>
          <w:color w:val="000000"/>
          <w:spacing w:val="0"/>
          <w:w w:val="100"/>
          <w:position w:val="0"/>
        </w:rPr>
        <w:t>（</w:t>
      </w:r>
      <w:bookmarkEnd w:id="234"/>
      <w:r>
        <w:rPr>
          <w:color w:val="000000"/>
          <w:spacing w:val="0"/>
          <w:w w:val="100"/>
          <w:position w:val="0"/>
        </w:rPr>
        <w:t>一）</w:t>
        <w:tab/>
        <w:t>行业格局和趋势</w:t>
      </w:r>
      <w:bookmarkEnd w:id="231"/>
      <w:bookmarkEnd w:id="232"/>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近年来，国家大力推进新一代信息网络技术及其新应用，坚持创新赋能，激发数字经济新 活力。为加快推进数字化发展、建设数字中国，国家不断出台有关政策。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年，中共中央 发布了《中华人民共和国国民经济和社会发展第十四个五年规划和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年远景目标纲要》（以 下简称《规划和目标纲要》），规划中明确指出了新一代信息技术产业的目标，一方面培育 壮大人工智能、大数据、区块链、云计算、网络安全等新兴数字产业。另一方面依托新一代 信息技术产业，传统产业将深入实施数字化改造升级。新一代信息技术产业将持续向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数字产 业化、产业数字化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的方向发展。</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信息技术应用创新既是加快新型基础设施建设的重要支点，也是构建新发展格局的重要 推动力。在国产软件和信息关键技术等领域，国家多项政策倡导加快实现科技自主可控、自 主创新、安全稳定。《规划和目标纲要》中指明：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坚持创新在我国现代化建设全局中的核心 地位，把科技自立自强作为国家发展的战略支撑；坚持自主可控、安全高效，推进产业基础 高级化、产业链现代化，提高经济质量效益和核心竞争力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。科技自立自强、产业链供应链自 主可控成为我国上下各界共同奋斗的目标。随着核心软硬件技术的日趋成熟，主机、操作系 统、中间件、数据库、浏览器等国产产品已广泛应用，云计算、智能应用、系统集成等应用 的国产化也日趋加快，信创产业成为经济数字化转型、提升产业链发展的关键。</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当前，数字革命与能源革命相融并进，能源产业形态逐渐向能源互联网转型，能源企业模 式加速向数字化转型。随着大云物移智链等现代信息技术和能源技术深度融合、广泛应用， 能源转型的数字化、智能化特征进一步凸显。国家电网以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建设具有中国特色国际领先的能源 互联网企业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为愿景，南方电网以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数字南网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为战略，中电建以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可再生能源时代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为使 命，各大发电集团也相继推动数字化转型发展，积极推进资源云化、架构中台化、应用微服 务化的建设，践行企业级数字化共建共享的实现路径。</w:t>
      </w:r>
    </w:p>
    <w:p>
      <w:pPr>
        <w:pStyle w:val="Style33"/>
        <w:keepNext w:val="0"/>
        <w:keepLines w:val="0"/>
        <w:widowControl w:val="0"/>
        <w:shd w:val="clear" w:color="auto" w:fill="auto"/>
        <w:tabs>
          <w:tab w:pos="602" w:val="left"/>
        </w:tabs>
        <w:bidi w:val="0"/>
        <w:spacing w:before="0" w:after="0" w:line="314" w:lineRule="exact"/>
        <w:ind w:left="0" w:right="0" w:firstLine="0"/>
        <w:jc w:val="both"/>
      </w:pPr>
      <w:bookmarkStart w:id="235" w:name="bookmark235"/>
      <w:r>
        <w:rPr>
          <w:b/>
          <w:bCs/>
          <w:color w:val="000000"/>
          <w:spacing w:val="0"/>
          <w:w w:val="100"/>
          <w:position w:val="0"/>
        </w:rPr>
        <w:t>（</w:t>
      </w:r>
      <w:bookmarkEnd w:id="235"/>
      <w:r>
        <w:rPr>
          <w:b/>
          <w:bCs/>
          <w:color w:val="000000"/>
          <w:spacing w:val="0"/>
          <w:w w:val="100"/>
          <w:position w:val="0"/>
        </w:rPr>
        <w:t>二）</w:t>
        <w:tab/>
        <w:t>公司发展战略</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科技推动进步、创新引领发展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的理念，把握新时代全面改革开放和全球命运 共同体建设的机遇，始终以先进的信息技术、能源技术等核心技术为根本动力，在数字企业、 智慧能源、信创平台、社会互联等各个领域为广大客户提供最优质的产品和服务，推动企业 升级、能源革命、经济增长和社会进步，实现公司健康、良善、全面、优质的可持续发展， 向着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国际一流的企业管理、能源互联和社会服务信息技术、产品和服务提供商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的目标努力。</w:t>
      </w:r>
    </w:p>
    <w:p>
      <w:pPr>
        <w:pStyle w:val="Style33"/>
        <w:keepNext w:val="0"/>
        <w:keepLines w:val="0"/>
        <w:widowControl w:val="0"/>
        <w:shd w:val="clear" w:color="auto" w:fill="auto"/>
        <w:tabs>
          <w:tab w:pos="602" w:val="left"/>
        </w:tabs>
        <w:bidi w:val="0"/>
        <w:spacing w:before="0" w:after="60" w:line="314" w:lineRule="exact"/>
        <w:ind w:left="0" w:right="0" w:firstLine="0"/>
        <w:jc w:val="both"/>
      </w:pPr>
      <w:bookmarkStart w:id="236" w:name="bookmark236"/>
      <w:r>
        <w:rPr>
          <w:b/>
          <w:bCs/>
          <w:color w:val="000000"/>
          <w:spacing w:val="0"/>
          <w:w w:val="100"/>
          <w:position w:val="0"/>
        </w:rPr>
        <w:t>（</w:t>
      </w:r>
      <w:bookmarkEnd w:id="236"/>
      <w:r>
        <w:rPr>
          <w:b/>
          <w:bCs/>
          <w:color w:val="000000"/>
          <w:spacing w:val="0"/>
          <w:w w:val="100"/>
          <w:position w:val="0"/>
        </w:rPr>
        <w:t>三）</w:t>
        <w:tab/>
      </w:r>
      <w:r>
        <w:rPr>
          <w:rFonts w:ascii="Times New Roman" w:eastAsia="Times New Roman" w:hAnsi="Times New Roman" w:cs="Times New Roman"/>
          <w:b/>
          <w:bCs/>
          <w:color w:val="000000"/>
          <w:spacing w:val="0"/>
          <w:w w:val="100"/>
          <w:position w:val="0"/>
          <w:sz w:val="24"/>
          <w:szCs w:val="24"/>
        </w:rPr>
        <w:t>2022</w:t>
      </w:r>
      <w:r>
        <w:rPr>
          <w:b/>
          <w:bCs/>
          <w:color w:val="000000"/>
          <w:spacing w:val="0"/>
          <w:w w:val="100"/>
          <w:position w:val="0"/>
        </w:rPr>
        <w:t>年经营计划</w:t>
      </w:r>
    </w:p>
    <w:p>
      <w:pPr>
        <w:pStyle w:val="Style33"/>
        <w:keepNext w:val="0"/>
        <w:keepLines w:val="0"/>
        <w:widowControl w:val="0"/>
        <w:numPr>
          <w:ilvl w:val="0"/>
          <w:numId w:val="11"/>
        </w:numPr>
        <w:shd w:val="clear" w:color="auto" w:fill="auto"/>
        <w:bidi w:val="0"/>
        <w:spacing w:before="0" w:after="0" w:line="276" w:lineRule="auto"/>
        <w:ind w:left="0" w:right="0"/>
        <w:jc w:val="both"/>
      </w:pPr>
      <w:bookmarkStart w:id="237" w:name="bookmark237"/>
      <w:bookmarkEnd w:id="237"/>
      <w:r>
        <w:rPr>
          <w:b/>
          <w:bCs/>
          <w:color w:val="000000"/>
          <w:spacing w:val="0"/>
          <w:w w:val="100"/>
          <w:position w:val="0"/>
        </w:rPr>
        <w:t>业务计划</w:t>
      </w:r>
    </w:p>
    <w:p>
      <w:pPr>
        <w:pStyle w:val="Style33"/>
        <w:keepNext w:val="0"/>
        <w:keepLines w:val="0"/>
        <w:widowControl w:val="0"/>
        <w:shd w:val="clear" w:color="auto" w:fill="auto"/>
        <w:bidi w:val="0"/>
        <w:spacing w:before="0" w:after="300" w:line="314"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年，公司作为国家电网的成员单位，将进一步加强与国网数科的深度融合，双方将 在包括电力结算、新能源云、碳中和、能源工业云网等业务领域进一步深度协同，携手共同 打造运营体系，构建能源互联网的新生态。实现数字企业、智慧能源、信创平台和社会互联 等领域的跨越式发展。公司将以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电网数字化发展为契机，秉承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科技推动进步、创新 引领发展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的发展理念，全面开展核心业务领域工作。通过全力推进智慧共享财务平台、财务 工作无纸化建设、产业数字化</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w:t>
      </w:r>
      <w:r>
        <w:rPr>
          <w:color w:val="000000"/>
          <w:spacing w:val="0"/>
          <w:w w:val="100"/>
          <w:position w:val="0"/>
        </w:rPr>
        <w:t>智慧共享线上运营中心、通用报账、优化经营策略、代 理购电等项目建设，全面构建数字化、智能化、移动化的企业级业务应用，服务能源互联网 全环节数字化，为国家电网战略落地及数字化转型提供有力支撑。</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年，在南方电网，公司将持续发挥在产品研发和业务创新方面的优势，更深入参与 数字南网建设，深入参与南网业务中台、数据中台、技术中台等企业中台的建设；继续推进 电网管理平台（计财域）建设并完成全网推广，推进财务共享服务平台、集团司库管理、战 略运行管控平台、商旅服务平台、</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机器人等重点项目，助力南网建设世界一流财务管理 体系，进一步巩固公司作为电网市场核心合作伙伴的地位。</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年，在发电集团，公司将继续积极参与国家电投产业数字化工作，按照集团整体规 划，配合集团制定计划与财务数字化转型工作方案；推进碳排放管理应用建设项目的全面开 展；深入推进区域共享中心精益化管理提升，基本完成财务共享、税务共享、资金管理、</w:t>
      </w:r>
      <w:r>
        <w:rPr>
          <w:rFonts w:ascii="Times New Roman" w:eastAsia="Times New Roman" w:hAnsi="Times New Roman" w:cs="Times New Roman"/>
          <w:color w:val="000000"/>
          <w:spacing w:val="0"/>
          <w:w w:val="100"/>
          <w:position w:val="0"/>
          <w:sz w:val="24"/>
          <w:szCs w:val="24"/>
        </w:rPr>
        <w:t xml:space="preserve">RPA </w:t>
      </w:r>
      <w:r>
        <w:rPr>
          <w:color w:val="000000"/>
          <w:spacing w:val="0"/>
          <w:w w:val="100"/>
          <w:position w:val="0"/>
        </w:rPr>
        <w:t>和智慧商旅等系统的建设；扩大海外单位财务共享系统建设范围；完成民企清欠稽查系统在 全集团的推广应用；按照四部委要求，扩大</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类电子发票电子化获取、报销、入账、归档试点 工作，全面提高业务处理数字化、自动化程度；开展经营数据中台建设，深入推进数据资产 价值创造；紧密配合集团公司完成安健环系统顶层设计，进一步扩大推广范围，助力集团安 全数字化转型。在国家能源集团，开展集团全球司库管理系统顶层设计，有序推进全球司库 系统建设；深入推进资金智能监控分析平台建设，优化资金管理机制。在华电集团，稳步推 进财务共享中心实施建设，提升财务共享服务价值能力。在华能集团深化资金大屏业务应用， 积极拓展资金管理业务精细化管理；深化碳资产一期项目应用，助力集团双碳战略目标建设。 深化华能集团、大唐集团风控管理应用及价值提升，推动数字化风控业务研究及试点建设实 践。在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两网五大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以外开拓市场，推进中国电建集团智慧财务共享项目全模块上线，大力推 进区域中心试点应用；持续完善皖能集团财务管控各领域建设。</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年，在电力行业外，公司将持续深度经营越秀集团、海尔集团、金川集团、酒钢集 团、河南能源集团、北大口腔、广州地铁等大型集团客户，广泛开展以集团资源管理为核心 的咨询业务及信息化系统实施服务，同时在医疗行业、轨道交通行业进一步拓展经营。</w:t>
      </w:r>
    </w:p>
    <w:p>
      <w:pPr>
        <w:pStyle w:val="Style33"/>
        <w:keepNext w:val="0"/>
        <w:keepLines w:val="0"/>
        <w:widowControl w:val="0"/>
        <w:numPr>
          <w:ilvl w:val="0"/>
          <w:numId w:val="11"/>
        </w:numPr>
        <w:shd w:val="clear" w:color="auto" w:fill="auto"/>
        <w:bidi w:val="0"/>
        <w:spacing w:before="0" w:after="0" w:line="313" w:lineRule="exact"/>
        <w:ind w:left="0" w:right="0" w:firstLine="420"/>
        <w:jc w:val="both"/>
      </w:pPr>
      <w:bookmarkStart w:id="238" w:name="bookmark238"/>
      <w:bookmarkEnd w:id="238"/>
      <w:r>
        <w:rPr>
          <w:b/>
          <w:bCs/>
          <w:color w:val="000000"/>
          <w:spacing w:val="0"/>
          <w:w w:val="100"/>
          <w:position w:val="0"/>
        </w:rPr>
        <w:t>研发计划</w:t>
      </w:r>
    </w:p>
    <w:p>
      <w:pPr>
        <w:pStyle w:val="Style33"/>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年，公司充分把握企业数字化转型、新型电力系统建设、关键领域软件国产替代的 战略机遇，以信息技术和能源技术为根本动力，坚持围绕数字企业、智慧能源、信创平台、 社会互联四大领域，在强化原有核心业务的基础上，不断推进新技术的研发、储备和应用。 依托产品、业务、平台方面的优势，持续推进集团化融合、加强微服务化改造、业务中台服 务、坚持分布式系统建设策略、完成产品云部署，推进产品的智能化、国际化、共享化。</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在基础平台层面，公司围绕自主可控、安全可信、国产替代等方针路线，进一步加大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九 天智能一体化云平台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的研发建设，全面完成国产化基础设施，对芯片、数据库、操作系统、 中间件、浏览器等实现全栈式国产化适配。持续打造九天数智化引擎，深入九天数智化应用， 通过不断夯实基础平台，有效支撑企业在基础架构、中台建设、协同研发等方面的创新。</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年，公司将融合知识图谱、边缘计算等多项核心技术，持续打造以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三中台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为核心的 数字化技术底座，完善智能化一体化数字引擎，完成国产化弯道超车，助力企业数字化转型 和智能化发展。</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在企业数字化方面，基于微服务架构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业务中台，持续完善新一代企业数字核心系统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 光</w:t>
      </w:r>
      <w:r>
        <w:rPr>
          <w:rFonts w:ascii="Times New Roman" w:eastAsia="Times New Roman" w:hAnsi="Times New Roman" w:cs="Times New Roman"/>
          <w:color w:val="000000"/>
          <w:spacing w:val="0"/>
          <w:w w:val="100"/>
          <w:position w:val="0"/>
          <w:sz w:val="24"/>
          <w:szCs w:val="24"/>
        </w:rPr>
        <w:t>DAP</w:t>
      </w:r>
      <w:r>
        <w:rPr>
          <w:color w:val="000000"/>
          <w:spacing w:val="0"/>
          <w:w w:val="100"/>
          <w:position w:val="0"/>
        </w:rPr>
        <w:t>的产品功能。聚焦云原生、云上协同、云上中台，融合应用大数据处理、人工智能、 区块链、</w:t>
      </w:r>
      <w:r>
        <w:rPr>
          <w:rFonts w:ascii="Times New Roman" w:eastAsia="Times New Roman" w:hAnsi="Times New Roman" w:cs="Times New Roman"/>
          <w:color w:val="000000"/>
          <w:spacing w:val="0"/>
          <w:w w:val="100"/>
          <w:position w:val="0"/>
          <w:sz w:val="24"/>
          <w:szCs w:val="24"/>
        </w:rPr>
        <w:t>IOT</w:t>
      </w:r>
      <w:r>
        <w:rPr>
          <w:color w:val="000000"/>
          <w:spacing w:val="0"/>
          <w:w w:val="100"/>
          <w:position w:val="0"/>
        </w:rPr>
        <w:t>等信息技术，将嵌入式分析、嵌入式社交、嵌入式</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w:t>
      </w:r>
      <w:r>
        <w:rPr>
          <w:color w:val="000000"/>
          <w:spacing w:val="0"/>
          <w:w w:val="100"/>
          <w:position w:val="0"/>
        </w:rPr>
        <w:t>将社交技术、移动应用 与业务系统有机融合，支持产品微服务、容器化、分布式、多租户。从而帮助企业不断完善 战略管理、资源配置、资本运作、共享服务、数字运营等核心应用，提升企业价值整合能力、 资源配置能力和核心竞争能力。</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年，在产品稳步提升的基础上，保障国网、南网、国家 电投、中电建等各项目交付。</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在大数据建设方面，通过对数字挛生技术、</w:t>
      </w:r>
      <w:r>
        <w:rPr>
          <w:rFonts w:ascii="Times New Roman" w:eastAsia="Times New Roman" w:hAnsi="Times New Roman" w:cs="Times New Roman"/>
          <w:color w:val="000000"/>
          <w:spacing w:val="0"/>
          <w:w w:val="100"/>
          <w:position w:val="0"/>
          <w:sz w:val="24"/>
          <w:szCs w:val="24"/>
        </w:rPr>
        <w:t>3D</w:t>
      </w:r>
      <w:r>
        <w:rPr>
          <w:color w:val="000000"/>
          <w:spacing w:val="0"/>
          <w:w w:val="100"/>
          <w:position w:val="0"/>
        </w:rPr>
        <w:t>技术、数据模型搭建等技术的探索与实践， 与人工智能技术深度融合，持续打造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远光数聚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品牌。公司将持续提升企业数字技术平台</w:t>
      </w:r>
      <w:r>
        <w:rPr>
          <w:rFonts w:ascii="Times New Roman" w:eastAsia="Times New Roman" w:hAnsi="Times New Roman" w:cs="Times New Roman"/>
          <w:color w:val="000000"/>
          <w:spacing w:val="0"/>
          <w:w w:val="100"/>
          <w:position w:val="0"/>
          <w:sz w:val="24"/>
          <w:szCs w:val="24"/>
        </w:rPr>
        <w:t xml:space="preserve">EDT </w:t>
      </w:r>
      <w:r>
        <w:rPr>
          <w:color w:val="000000"/>
          <w:spacing w:val="0"/>
          <w:w w:val="100"/>
          <w:position w:val="0"/>
        </w:rPr>
        <w:t>的数据存储、数据开发、数据服务等能力。持续深化</w:t>
      </w:r>
      <w:r>
        <w:rPr>
          <w:rFonts w:ascii="Times New Roman" w:eastAsia="Times New Roman" w:hAnsi="Times New Roman" w:cs="Times New Roman"/>
          <w:color w:val="000000"/>
          <w:spacing w:val="0"/>
          <w:w w:val="100"/>
          <w:position w:val="0"/>
          <w:sz w:val="24"/>
          <w:szCs w:val="24"/>
        </w:rPr>
        <w:t>EAIOT</w:t>
      </w:r>
      <w:r>
        <w:rPr>
          <w:color w:val="000000"/>
          <w:spacing w:val="0"/>
          <w:w w:val="100"/>
          <w:position w:val="0"/>
        </w:rPr>
        <w:t>平台中的数字挛生能力、数据处 理能力、与物联网生态环境融合等能力。不断完善</w:t>
      </w:r>
      <w:r>
        <w:rPr>
          <w:rFonts w:ascii="Times New Roman" w:eastAsia="Times New Roman" w:hAnsi="Times New Roman" w:cs="Times New Roman"/>
          <w:color w:val="000000"/>
          <w:spacing w:val="0"/>
          <w:w w:val="100"/>
          <w:position w:val="0"/>
          <w:sz w:val="24"/>
          <w:szCs w:val="24"/>
        </w:rPr>
        <w:t>Realinsight</w:t>
      </w:r>
      <w:r>
        <w:rPr>
          <w:color w:val="000000"/>
          <w:spacing w:val="0"/>
          <w:w w:val="100"/>
          <w:position w:val="0"/>
        </w:rPr>
        <w:t>中大数据量级性能、增强指标多 维分析能力、提升可视化展示能力，与企业中台生态环境融合的能力，帮助企业打通从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数据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知识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全链条。</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在区块链方面，持续打造区块链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一平台、二生态、三体系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，建立远光区块链应用生态。 公司近年来不断将区块链技术与各应用场景深度融合，推出了企业电子单证服务平台、金融 服务平台、电子签章、社团管理、跨境溯源、智慧审计、信息安全管控、源网荷储一体化应 用等多款产品。公司将重点开展存道函、存道签、存道</w:t>
      </w:r>
      <w:r>
        <w:rPr>
          <w:rFonts w:ascii="Times New Roman" w:eastAsia="Times New Roman" w:hAnsi="Times New Roman" w:cs="Times New Roman"/>
          <w:color w:val="000000"/>
          <w:spacing w:val="0"/>
          <w:w w:val="100"/>
          <w:position w:val="0"/>
          <w:sz w:val="24"/>
          <w:szCs w:val="24"/>
        </w:rPr>
        <w:t>BAS</w:t>
      </w:r>
      <w:r>
        <w:rPr>
          <w:color w:val="000000"/>
          <w:spacing w:val="0"/>
          <w:w w:val="100"/>
          <w:position w:val="0"/>
        </w:rPr>
        <w:t>、</w:t>
      </w:r>
      <w:r>
        <w:rPr>
          <w:color w:val="000000"/>
          <w:spacing w:val="0"/>
          <w:w w:val="100"/>
          <w:position w:val="0"/>
        </w:rPr>
        <w:t>可信能源计量等产品的研发。 开展订单融资、供应链票据、协议库存融资、电子保函、资产证券化等新的金融业务与结算 清分的业务研究。持续推广区块链应用，助力政府及企业打造互联、互通、互信的区块链应 用，提升社会服务的公信力，提升企业运行效率。</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在人工智能方面，将继续秉持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算法研究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模式，深入对知识图谱、自然语言 处理、</w:t>
      </w:r>
      <w:r>
        <w:rPr>
          <w:rFonts w:ascii="Times New Roman" w:eastAsia="Times New Roman" w:hAnsi="Times New Roman" w:cs="Times New Roman"/>
          <w:color w:val="000000"/>
          <w:spacing w:val="0"/>
          <w:w w:val="100"/>
          <w:position w:val="0"/>
          <w:sz w:val="24"/>
          <w:szCs w:val="24"/>
        </w:rPr>
        <w:t>OCR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NLP</w:t>
      </w:r>
      <w:r>
        <w:rPr>
          <w:color w:val="000000"/>
          <w:spacing w:val="0"/>
          <w:w w:val="100"/>
          <w:position w:val="0"/>
        </w:rPr>
        <w:t>、</w:t>
      </w:r>
      <w:r>
        <w:rPr>
          <w:color w:val="000000"/>
          <w:spacing w:val="0"/>
          <w:w w:val="100"/>
          <w:position w:val="0"/>
        </w:rPr>
        <w:t>多源数据理解与融合应用，提供覆盖审核推理、内容管理、主题推荐、 场景对话等多项智能服务，不断推动智能硬件、</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平台及应用和</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应用的相互融合，探索 新的业务应用场景。</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聚能力、融数据、建底座、强云化、富应用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为建设思路， 不断打造数据智能底座，提升数据采集、加工、存储、计算能力，提高图数据库、</w:t>
      </w:r>
      <w:r>
        <w:rPr>
          <w:rFonts w:ascii="Times New Roman" w:eastAsia="Times New Roman" w:hAnsi="Times New Roman" w:cs="Times New Roman"/>
          <w:color w:val="000000"/>
          <w:spacing w:val="0"/>
          <w:w w:val="100"/>
          <w:position w:val="0"/>
          <w:sz w:val="24"/>
          <w:szCs w:val="24"/>
        </w:rPr>
        <w:t>OCR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NLP </w:t>
      </w:r>
      <w:r>
        <w:rPr>
          <w:color w:val="000000"/>
          <w:spacing w:val="0"/>
          <w:w w:val="100"/>
          <w:position w:val="0"/>
        </w:rPr>
        <w:t>和知识图谱等</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能力。通过巩固</w:t>
      </w:r>
      <w:r>
        <w:rPr>
          <w:rFonts w:ascii="Times New Roman" w:eastAsia="Times New Roman" w:hAnsi="Times New Roman" w:cs="Times New Roman"/>
          <w:color w:val="000000"/>
          <w:spacing w:val="0"/>
          <w:w w:val="100"/>
          <w:position w:val="0"/>
          <w:sz w:val="24"/>
          <w:szCs w:val="24"/>
        </w:rPr>
        <w:t>RPA</w:t>
      </w:r>
      <w:r>
        <w:rPr>
          <w:color w:val="000000"/>
          <w:spacing w:val="0"/>
          <w:w w:val="100"/>
          <w:position w:val="0"/>
        </w:rPr>
        <w:t>平台、拓展智能硬件研发平台、升级知识图谱平台、完 善</w:t>
      </w:r>
      <w:r>
        <w:rPr>
          <w:rFonts w:ascii="Times New Roman" w:eastAsia="Times New Roman" w:hAnsi="Times New Roman" w:cs="Times New Roman"/>
          <w:color w:val="000000"/>
          <w:spacing w:val="0"/>
          <w:w w:val="100"/>
          <w:position w:val="0"/>
          <w:sz w:val="24"/>
          <w:szCs w:val="24"/>
        </w:rPr>
        <w:t>OCR</w:t>
      </w:r>
      <w:r>
        <w:rPr>
          <w:color w:val="000000"/>
          <w:spacing w:val="0"/>
          <w:w w:val="100"/>
          <w:position w:val="0"/>
        </w:rPr>
        <w:t>应用中心等措施，更好助力企业实现数智化转型。</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在智慧能源领域，公司将不断完善平台功能，打通能源生产、能源输配、能源网络、电 力市场交易到能源消费整个链条，实现分布式能源的高效、灵活接入及生产、消费一体化， 助力客户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源</w:t>
      </w:r>
      <w:r>
        <w:rPr>
          <w:color w:val="000000"/>
          <w:spacing w:val="0"/>
          <w:w w:val="100"/>
          <w:position w:val="0"/>
          <w:sz w:val="24"/>
          <w:szCs w:val="24"/>
        </w:rPr>
        <w:t>一</w:t>
      </w:r>
      <w:r>
        <w:rPr>
          <w:color w:val="000000"/>
          <w:spacing w:val="0"/>
          <w:w w:val="100"/>
          <w:position w:val="0"/>
        </w:rPr>
        <w:t>网</w:t>
      </w:r>
      <w:r>
        <w:rPr>
          <w:color w:val="000000"/>
          <w:spacing w:val="0"/>
          <w:w w:val="100"/>
          <w:position w:val="0"/>
          <w:sz w:val="24"/>
          <w:szCs w:val="24"/>
        </w:rPr>
        <w:t>一</w:t>
      </w:r>
      <w:r>
        <w:rPr>
          <w:color w:val="000000"/>
          <w:spacing w:val="0"/>
          <w:w w:val="100"/>
          <w:position w:val="0"/>
        </w:rPr>
        <w:t>荷</w:t>
      </w:r>
      <w:r>
        <w:rPr>
          <w:color w:val="000000"/>
          <w:spacing w:val="0"/>
          <w:w w:val="100"/>
          <w:position w:val="0"/>
          <w:sz w:val="24"/>
          <w:szCs w:val="24"/>
        </w:rPr>
        <w:t>一</w:t>
      </w:r>
      <w:r>
        <w:rPr>
          <w:color w:val="000000"/>
          <w:spacing w:val="0"/>
          <w:w w:val="100"/>
          <w:position w:val="0"/>
        </w:rPr>
        <w:t>储</w:t>
      </w:r>
      <w:r>
        <w:rPr>
          <w:color w:val="000000"/>
          <w:spacing w:val="0"/>
          <w:w w:val="100"/>
          <w:position w:val="0"/>
          <w:sz w:val="24"/>
          <w:szCs w:val="24"/>
        </w:rPr>
        <w:t>一</w:t>
      </w:r>
      <w:r>
        <w:rPr>
          <w:color w:val="000000"/>
          <w:spacing w:val="0"/>
          <w:w w:val="100"/>
          <w:position w:val="0"/>
        </w:rPr>
        <w:t>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协调发展。</w:t>
      </w:r>
    </w:p>
    <w:p>
      <w:pPr>
        <w:pStyle w:val="Style3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在社会化协作领域，以公司云产品为切入点，构建以人为中心的一体化、智能化社交云 擎套件，打造云产品智能化、社交化、多元化的云市场。基于财务家园作为移动应用平台与 门户，沉淀知识中心和</w:t>
      </w:r>
      <w:r>
        <w:rPr>
          <w:rFonts w:ascii="Times New Roman" w:eastAsia="Times New Roman" w:hAnsi="Times New Roman" w:cs="Times New Roman"/>
          <w:color w:val="000000"/>
          <w:spacing w:val="0"/>
          <w:w w:val="100"/>
          <w:position w:val="0"/>
          <w:sz w:val="24"/>
          <w:szCs w:val="24"/>
        </w:rPr>
        <w:t>IM</w:t>
      </w:r>
      <w:r>
        <w:rPr>
          <w:color w:val="000000"/>
          <w:spacing w:val="0"/>
          <w:w w:val="100"/>
          <w:position w:val="0"/>
        </w:rPr>
        <w:t>中心，将社交技术、移动应用与业务系统有机融合，构建智能化社 交沟通、语义交互，形成具有云管理时代特征的社交化业务系统，使得沟通更及时、协作更 透明。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年，在企业协同、共享服务、流程贯通等领域持续探索，聚合价值链，通过构建 互联网智能云服务体系，助力企业开放连接创新管理，构建企业智慧生态圈。</w:t>
      </w:r>
    </w:p>
    <w:p>
      <w:pPr>
        <w:pStyle w:val="Style33"/>
        <w:keepNext w:val="0"/>
        <w:keepLines w:val="0"/>
        <w:widowControl w:val="0"/>
        <w:numPr>
          <w:ilvl w:val="0"/>
          <w:numId w:val="11"/>
        </w:numPr>
        <w:shd w:val="clear" w:color="auto" w:fill="auto"/>
        <w:bidi w:val="0"/>
        <w:spacing w:before="0" w:after="0" w:line="271" w:lineRule="auto"/>
        <w:ind w:left="0" w:right="0" w:firstLine="480"/>
        <w:jc w:val="both"/>
      </w:pPr>
      <w:bookmarkStart w:id="239" w:name="bookmark239"/>
      <w:bookmarkEnd w:id="239"/>
      <w:r>
        <w:rPr>
          <w:b/>
          <w:bCs/>
          <w:color w:val="000000"/>
          <w:spacing w:val="0"/>
          <w:w w:val="100"/>
          <w:position w:val="0"/>
        </w:rPr>
        <w:t>内部管理计划</w:t>
      </w:r>
    </w:p>
    <w:p>
      <w:pPr>
        <w:pStyle w:val="Style33"/>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年，公司将继续坚持稳健经营的方针，以高质量发展为主线，着力夯实管理基础， 持续稳步提升公司经营发展质量。公司将持续推进与国网数科的协同发展，不断增强在业务、 技术、管理、党建、文化等领域的相互融合，强化资源、能力共享共用；加强人员交流学习 与经验互鉴，继续巩固常态化双向挂职培养机制，形成人才队伍共建共享新格局；全面深化 属地营销常态化协同机制，持续提升联合作战能力，抢抓机遇，共同拓展外部市场。公司将 进一步探索从管理机制创新、紧抓能源转型战略机遇、探索前沿技术和生态型业务等方面打 造新的业务增长点；强化成本意识，推动提质增效，深化挖潜降耗，通过合理控制各类用工 成本、优化考核激励机制等方式提高人工成本投入产出比，全面优化公司经营效能；鼓励员 工立足本职工作集思广益，通过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金点子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亮远光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等征集活动，积极为推动公司高质量发展建 言献策；以人为本，凝心聚力，进一步强化队伍建设，深化人才机制创新，健全岗位与薪酬 体系，完善员工发展通道，搭建分层分类培训体系，创造积极进取、守正创新的工作氛围， 激发科技人才的创新意识和动力。</w:t>
      </w:r>
    </w:p>
    <w:p>
      <w:pPr>
        <w:pStyle w:val="Style33"/>
        <w:keepNext w:val="0"/>
        <w:keepLines w:val="0"/>
        <w:widowControl w:val="0"/>
        <w:numPr>
          <w:ilvl w:val="0"/>
          <w:numId w:val="11"/>
        </w:numPr>
        <w:shd w:val="clear" w:color="auto" w:fill="auto"/>
        <w:bidi w:val="0"/>
        <w:spacing w:before="0" w:after="0" w:line="271" w:lineRule="auto"/>
        <w:ind w:left="0" w:right="0" w:firstLine="620"/>
        <w:jc w:val="both"/>
      </w:pPr>
      <w:bookmarkStart w:id="240" w:name="bookmark240"/>
      <w:bookmarkEnd w:id="240"/>
      <w:r>
        <w:rPr>
          <w:b/>
          <w:bCs/>
          <w:color w:val="000000"/>
          <w:spacing w:val="0"/>
          <w:w w:val="100"/>
          <w:position w:val="0"/>
        </w:rPr>
        <w:t>投资计划</w:t>
      </w:r>
    </w:p>
    <w:p>
      <w:pPr>
        <w:pStyle w:val="Style33"/>
        <w:keepNext w:val="0"/>
        <w:keepLines w:val="0"/>
        <w:widowControl w:val="0"/>
        <w:shd w:val="clear" w:color="auto" w:fill="auto"/>
        <w:bidi w:val="0"/>
        <w:spacing w:before="0" w:after="360" w:line="312"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年，公司按照监管部门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促进上市公司高质量发展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的意见要求，提高上市公司价值 创造能力。在大数据、云计算、人工智能、区块链、元宇宙等技术领域加大投入，以技术驱 动创新。结合新一代电力系统建设和全国统一电力市场建设的需求，积极布局和加强公司在 </w:t>
      </w:r>
      <w:r>
        <w:rPr>
          <w:color w:val="000000"/>
          <w:spacing w:val="0"/>
          <w:w w:val="100"/>
          <w:position w:val="0"/>
        </w:rPr>
        <w:t>能源数字技术、能源金融科技和能源电子商务领域的信息化支撑能力，持续推进与控股股东 的协同与融合；深入挖掘客户需求，不断完善公司产品线；不断拓展公司产品在电力行业外 的应用范围，积极开拓新的业务领域。重点关注数字企业、智慧能源、信创平台、社会互联 方面的投资并购机会。</w:t>
      </w:r>
    </w:p>
    <w:p>
      <w:pPr>
        <w:pStyle w:val="Style33"/>
        <w:keepNext w:val="0"/>
        <w:keepLines w:val="0"/>
        <w:widowControl w:val="0"/>
        <w:shd w:val="clear" w:color="auto" w:fill="auto"/>
        <w:bidi w:val="0"/>
        <w:spacing w:before="0" w:after="80" w:line="312" w:lineRule="exact"/>
        <w:ind w:left="0" w:right="0" w:firstLine="0"/>
        <w:jc w:val="both"/>
      </w:pPr>
      <w:bookmarkStart w:id="241" w:name="bookmark241"/>
      <w:r>
        <w:rPr>
          <w:b/>
          <w:bCs/>
          <w:color w:val="000000"/>
          <w:spacing w:val="0"/>
          <w:w w:val="100"/>
          <w:position w:val="0"/>
        </w:rPr>
        <w:t>（</w:t>
      </w:r>
      <w:bookmarkEnd w:id="241"/>
      <w:r>
        <w:rPr>
          <w:b/>
          <w:bCs/>
          <w:color w:val="000000"/>
          <w:spacing w:val="0"/>
          <w:w w:val="100"/>
          <w:position w:val="0"/>
        </w:rPr>
        <w:t>四）可能面临的风险</w:t>
      </w:r>
    </w:p>
    <w:p>
      <w:pPr>
        <w:pStyle w:val="Style33"/>
        <w:keepNext w:val="0"/>
        <w:keepLines w:val="0"/>
        <w:widowControl w:val="0"/>
        <w:numPr>
          <w:ilvl w:val="0"/>
          <w:numId w:val="13"/>
        </w:numPr>
        <w:shd w:val="clear" w:color="auto" w:fill="auto"/>
        <w:tabs>
          <w:tab w:pos="785" w:val="left"/>
        </w:tabs>
        <w:bidi w:val="0"/>
        <w:spacing w:before="0" w:after="0" w:line="271" w:lineRule="auto"/>
        <w:ind w:left="0" w:right="0" w:firstLine="480"/>
        <w:jc w:val="both"/>
      </w:pPr>
      <w:bookmarkStart w:id="242" w:name="bookmark242"/>
      <w:bookmarkEnd w:id="242"/>
      <w:r>
        <w:rPr>
          <w:b/>
          <w:bCs/>
          <w:color w:val="000000"/>
          <w:spacing w:val="0"/>
          <w:w w:val="100"/>
          <w:position w:val="0"/>
        </w:rPr>
        <w:t>社会大环境风险</w:t>
      </w:r>
    </w:p>
    <w:p>
      <w:pPr>
        <w:pStyle w:val="Style33"/>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疫情形势依然严峻、国际局势日益紧张，多重变革力量交织汇聚，企业面临的社会大环 境复杂多变，这些都对企业经营与发展提出了严峻的挑战。未来高科技、新技术将越来越多 地凸显出力量，作为以创新为根本动力的信息技术公司，公司将积极顺应社会大环境的变化， 探索适应新经济、新业态、新模式的产品战略，力求在变化多端的环境中稳步发展。</w:t>
      </w:r>
    </w:p>
    <w:p>
      <w:pPr>
        <w:pStyle w:val="Style33"/>
        <w:keepNext w:val="0"/>
        <w:keepLines w:val="0"/>
        <w:widowControl w:val="0"/>
        <w:numPr>
          <w:ilvl w:val="0"/>
          <w:numId w:val="13"/>
        </w:numPr>
        <w:shd w:val="clear" w:color="auto" w:fill="auto"/>
        <w:tabs>
          <w:tab w:pos="800" w:val="left"/>
        </w:tabs>
        <w:bidi w:val="0"/>
        <w:spacing w:before="0" w:after="0" w:line="276" w:lineRule="auto"/>
        <w:ind w:left="0" w:right="0" w:firstLine="480"/>
        <w:jc w:val="both"/>
      </w:pPr>
      <w:bookmarkStart w:id="243" w:name="bookmark243"/>
      <w:bookmarkEnd w:id="243"/>
      <w:r>
        <w:rPr>
          <w:b/>
          <w:bCs/>
          <w:color w:val="000000"/>
          <w:spacing w:val="0"/>
          <w:w w:val="100"/>
          <w:position w:val="0"/>
        </w:rPr>
        <w:t>行业政策风险</w:t>
      </w:r>
    </w:p>
    <w:p>
      <w:pPr>
        <w:pStyle w:val="Style33"/>
        <w:keepNext w:val="0"/>
        <w:keepLines w:val="0"/>
        <w:widowControl w:val="0"/>
        <w:shd w:val="clear" w:color="auto" w:fill="auto"/>
        <w:bidi w:val="0"/>
        <w:spacing w:before="0" w:after="80" w:line="311" w:lineRule="exact"/>
        <w:ind w:left="0" w:right="0" w:firstLine="480"/>
        <w:jc w:val="both"/>
      </w:pPr>
      <w:r>
        <w:rPr>
          <w:color w:val="000000"/>
          <w:spacing w:val="0"/>
          <w:w w:val="100"/>
          <w:position w:val="0"/>
        </w:rPr>
        <w:t>公司长期为能源行业集团企业管理提供产品与服务，公司的发展受能源行业信息化需求 的影响，也受到国家行业政策的影响。随着能源互联网、新基建相关政策出台，</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网络、特 高压、人工智能等迎来良好的发展机遇，能源互联网相关的投资也将加大，同时也带来一定 的行业风险。公司将积极关注相关政策，对市场变化做出准确快速的应对举措，持续探索创 新模式，研究能源互联网适配方案，促进能源互联网产业核心产品的研发，增强公司未来在 行业的核心竞争力。</w:t>
      </w:r>
    </w:p>
    <w:p>
      <w:pPr>
        <w:pStyle w:val="Style33"/>
        <w:keepNext w:val="0"/>
        <w:keepLines w:val="0"/>
        <w:widowControl w:val="0"/>
        <w:numPr>
          <w:ilvl w:val="0"/>
          <w:numId w:val="13"/>
        </w:numPr>
        <w:shd w:val="clear" w:color="auto" w:fill="auto"/>
        <w:tabs>
          <w:tab w:pos="800" w:val="left"/>
        </w:tabs>
        <w:bidi w:val="0"/>
        <w:spacing w:before="0" w:after="0" w:line="271" w:lineRule="auto"/>
        <w:ind w:left="0" w:right="0" w:firstLine="480"/>
        <w:jc w:val="both"/>
      </w:pPr>
      <w:bookmarkStart w:id="244" w:name="bookmark244"/>
      <w:bookmarkEnd w:id="244"/>
      <w:r>
        <w:rPr>
          <w:b/>
          <w:bCs/>
          <w:color w:val="000000"/>
          <w:spacing w:val="0"/>
          <w:w w:val="100"/>
          <w:position w:val="0"/>
        </w:rPr>
        <w:t>市场竞争风险</w:t>
      </w:r>
    </w:p>
    <w:p>
      <w:pPr>
        <w:pStyle w:val="Style33"/>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在电力体制新一轮改革的时代机遇下，多元化投资主体纷纷涌入，电力业务尤其是配售 电行业信息化领域同质化竞争现象严重。公司将凭借多年来深耕电力行业的优势，利用多年 行业积累的市场敏感性，对行业发展做出正确的分析和判断，适时调整产品战略；充分利用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 大物移智链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等新技术，打通能源产业链，打造能源互联网核心产品，构建能源服务生态链， 使公司产品具备行业稀缺性和较高的技术优势，提升公司的核心竞争力。</w:t>
      </w:r>
    </w:p>
    <w:p>
      <w:pPr>
        <w:pStyle w:val="Style33"/>
        <w:keepNext w:val="0"/>
        <w:keepLines w:val="0"/>
        <w:widowControl w:val="0"/>
        <w:numPr>
          <w:ilvl w:val="0"/>
          <w:numId w:val="13"/>
        </w:numPr>
        <w:shd w:val="clear" w:color="auto" w:fill="auto"/>
        <w:tabs>
          <w:tab w:pos="800" w:val="left"/>
        </w:tabs>
        <w:bidi w:val="0"/>
        <w:spacing w:before="0" w:after="0" w:line="271" w:lineRule="auto"/>
        <w:ind w:left="0" w:right="0" w:firstLine="480"/>
        <w:jc w:val="both"/>
      </w:pPr>
      <w:bookmarkStart w:id="245" w:name="bookmark245"/>
      <w:bookmarkEnd w:id="245"/>
      <w:r>
        <w:rPr>
          <w:b/>
          <w:bCs/>
          <w:color w:val="000000"/>
          <w:spacing w:val="0"/>
          <w:w w:val="100"/>
          <w:position w:val="0"/>
        </w:rPr>
        <w:t>高端技术人才相对不足的风险</w:t>
      </w:r>
    </w:p>
    <w:p>
      <w:pPr>
        <w:pStyle w:val="Style33"/>
        <w:keepNext w:val="0"/>
        <w:keepLines w:val="0"/>
        <w:widowControl w:val="0"/>
        <w:shd w:val="clear" w:color="auto" w:fill="auto"/>
        <w:bidi w:val="0"/>
        <w:spacing w:before="0" w:after="260" w:line="313" w:lineRule="exact"/>
        <w:ind w:left="0" w:right="0" w:firstLine="480"/>
        <w:jc w:val="both"/>
      </w:pPr>
      <w:r>
        <w:rPr>
          <w:color w:val="000000"/>
          <w:spacing w:val="0"/>
          <w:w w:val="100"/>
          <w:position w:val="0"/>
        </w:rPr>
        <w:t>当今科学技术迅猛发展，知识创新日新月异，软件行业属于技术密集型的高科技行业， 对掌握核心技术的高端人才需求更加迫切。公司需准确把握新技术发展动向和趋势，将前沿 技术与公司现有技术平台、核心产品有效结合，储备对应的高端技术人才。公司将结合未来 发展战略，重点引进高素质、高技术的核心人才；加强校园招聘，储备高素质后备人才；加 强与高校合作，建立高端人才培养基地；对公司现有的技术骨干、管理骨干等核心人才的育 留提供强有力的职能支持。</w:t>
      </w:r>
    </w:p>
    <w:p>
      <w:pPr>
        <w:pStyle w:val="Style24"/>
        <w:keepNext/>
        <w:keepLines/>
        <w:widowControl w:val="0"/>
        <w:shd w:val="clear" w:color="auto" w:fill="auto"/>
        <w:bidi w:val="0"/>
        <w:spacing w:before="0" w:after="360" w:line="312" w:lineRule="exact"/>
        <w:ind w:left="0" w:right="0" w:firstLine="0"/>
        <w:jc w:val="left"/>
      </w:pPr>
      <w:bookmarkStart w:id="246" w:name="bookmark246"/>
      <w:bookmarkStart w:id="247" w:name="bookmark247"/>
      <w:bookmarkStart w:id="248" w:name="bookmark248"/>
      <w:r>
        <w:rPr>
          <w:color w:val="000000"/>
          <w:spacing w:val="0"/>
          <w:w w:val="100"/>
          <w:position w:val="0"/>
        </w:rPr>
        <w:t>十二、报告期内接待调研、沟通、采访等活动</w:t>
      </w:r>
      <w:bookmarkEnd w:id="246"/>
      <w:bookmarkEnd w:id="247"/>
      <w:bookmarkEnd w:id="24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谈论的主要内</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容及提供的资 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同花顺路演平 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年度网上业绩 说明会的投资 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 业绩说明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xml:space="preserve">. cn/new/disclosure/detai l?plate=szse&amp;orgId= </w:t>
            </w:r>
            <w:r>
              <w:rPr>
                <w:rFonts w:ascii="Times New Roman" w:eastAsia="Times New Roman" w:hAnsi="Times New Roman" w:cs="Times New Roman"/>
                <w:color w:val="000000"/>
                <w:spacing w:val="0"/>
                <w:w w:val="100"/>
                <w:position w:val="0"/>
                <w:sz w:val="18"/>
                <w:szCs w:val="18"/>
              </w:rPr>
              <w:t xml:space="preserve">99 </w:t>
            </w:r>
            <w:r>
              <w:rPr>
                <w:rFonts w:ascii="Times New Roman" w:eastAsia="Times New Roman" w:hAnsi="Times New Roman" w:cs="Times New Roman"/>
                <w:color w:val="000000"/>
                <w:spacing w:val="0"/>
                <w:w w:val="100"/>
                <w:position w:val="0"/>
                <w:sz w:val="18"/>
                <w:szCs w:val="18"/>
              </w:rPr>
              <w:t>00000382&amp;stockCode= 002063&amp;announcement</w:t>
            </w:r>
          </w:p>
        </w:tc>
      </w:tr>
    </w:tbl>
    <w:p>
      <w:pPr>
        <w:spacing w:lineRule="exact" w:line="1"/>
        <w:rPr>
          <w:sz w:val="2"/>
          <w:szCs w:val="2"/>
        </w:rPr>
      </w:pPr>
      <w:r>
        <w:br w:type="page"/>
      </w:r>
    </w:p>
    <w:tbl>
      <w:tblPr>
        <w:tblOverlap w:val="never"/>
        <w:jc w:val="center"/>
        <w:tblLayout w:type="fixed"/>
      </w:tblPr>
      <w:tblGrid>
        <w:gridCol w:w="1296"/>
        <w:gridCol w:w="1296"/>
        <w:gridCol w:w="1296"/>
        <w:gridCol w:w="1296"/>
        <w:gridCol w:w="1296"/>
        <w:gridCol w:w="1291"/>
        <w:gridCol w:w="181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Id=1209948994&amp;annou</w:t>
            </w:r>
          </w:p>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ncementTime=2021-05- </w:t>
            </w:r>
            <w:r>
              <w:rPr>
                <w:rFonts w:ascii="Times New Roman" w:eastAsia="Times New Roman" w:hAnsi="Times New Roman" w:cs="Times New Roman"/>
                <w:color w:val="000000"/>
                <w:spacing w:val="0"/>
                <w:w w:val="100"/>
                <w:position w:val="0"/>
                <w:sz w:val="18"/>
                <w:szCs w:val="18"/>
              </w:rPr>
              <w:t>10%2017:54</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冠丰资产方光 明、吴燕栋、梁 智康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公司经营情况</w:t>
            </w:r>
          </w:p>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及业务发展机 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cn/new/disclosure/detai 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 00000382&amp;stockCode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002063&amp;announcement Id=1211670832&amp;annou ncementTime=2021-11- 22%2015:56</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华安证券赵阳、 杨楠、吴雨萌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公司业务发展</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情况及竞争优 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cn/new/disclosure/detai 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 00000382&amp;stockCode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002063&amp;announcement Id=1211720827&amp;annou ncementTime=2021-11- 29%2020:02</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中信建投证券 金戈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公司业务发展</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情况及竞争优 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cn/new/disclosure/detai 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 00000382&amp;stockCode= 002063&amp;announcement Id=1211763197&amp;annou ncementTime=2021-12- 01%2017:06</w:t>
            </w:r>
          </w:p>
        </w:tc>
      </w:tr>
      <w:tr>
        <w:trPr>
          <w:trHeight w:val="259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国泰基金叶烽、 中泰证券徐路 鹏、广发资管王 奇珏、中银证券 杨思睿、东吴证 券姚久花、华创 证券张璋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公司经营情况</w:t>
            </w:r>
          </w:p>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及业务发展机 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cn/new/disclosure/detai l?plate</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szse&amp;orgId</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99 00000382&amp;stockCode= 002063&amp;announcement Id=1212016309&amp;annou ncementTime=2021-12- 24%2017:18</w:t>
            </w:r>
          </w:p>
        </w:tc>
      </w:tr>
    </w:tbl>
    <w:p>
      <w:pPr>
        <w:sectPr>
          <w:footnotePr>
            <w:pos w:val="pageBottom"/>
            <w:numFmt w:val="decimal"/>
            <w:numRestart w:val="continuous"/>
          </w:footnotePr>
          <w:pgSz w:w="11900" w:h="16840"/>
          <w:pgMar w:top="1374" w:right="1026" w:bottom="1451" w:left="1062" w:header="0" w:footer="3" w:gutter="0"/>
          <w:cols w:space="720"/>
          <w:noEndnote/>
          <w:rtlGutter w:val="0"/>
          <w:docGrid w:linePitch="360"/>
        </w:sectPr>
      </w:pPr>
    </w:p>
    <w:p>
      <w:pPr>
        <w:pStyle w:val="Style10"/>
        <w:keepNext/>
        <w:keepLines/>
        <w:widowControl w:val="0"/>
        <w:shd w:val="clear" w:color="auto" w:fill="auto"/>
        <w:bidi w:val="0"/>
        <w:spacing w:before="520" w:after="56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4"/>
        <w:keepNext/>
        <w:keepLines/>
        <w:widowControl w:val="0"/>
        <w:shd w:val="clear" w:color="auto" w:fill="auto"/>
        <w:bidi w:val="0"/>
        <w:spacing w:before="0" w:after="280" w:line="240" w:lineRule="auto"/>
        <w:ind w:left="0" w:right="0" w:firstLine="0"/>
        <w:jc w:val="left"/>
      </w:pPr>
      <w:bookmarkStart w:id="252" w:name="bookmark252"/>
      <w:bookmarkStart w:id="253" w:name="bookmark253"/>
      <w:bookmarkStart w:id="254" w:name="bookmark254"/>
      <w:bookmarkStart w:id="255" w:name="bookmark255"/>
      <w:bookmarkStart w:id="256" w:name="bookmark256"/>
      <w:r>
        <w:rPr>
          <w:color w:val="000000"/>
          <w:spacing w:val="0"/>
          <w:w w:val="100"/>
          <w:position w:val="0"/>
        </w:rPr>
        <w:t>一</w:t>
      </w:r>
      <w:bookmarkEnd w:id="255"/>
      <w:r>
        <w:rPr>
          <w:color w:val="000000"/>
          <w:spacing w:val="0"/>
          <w:w w:val="100"/>
          <w:position w:val="0"/>
        </w:rPr>
        <w:t>、公司治理的基本状况</w:t>
      </w:r>
      <w:bookmarkEnd w:id="253"/>
      <w:bookmarkEnd w:id="254"/>
      <w:bookmarkEnd w:id="256"/>
      <w:bookmarkEnd w:id="252"/>
    </w:p>
    <w:p>
      <w:pPr>
        <w:pStyle w:val="Style33"/>
        <w:keepNext w:val="0"/>
        <w:keepLines w:val="0"/>
        <w:widowControl w:val="0"/>
        <w:shd w:val="clear" w:color="auto" w:fill="auto"/>
        <w:bidi w:val="0"/>
        <w:spacing w:before="0" w:after="0" w:line="314" w:lineRule="exact"/>
        <w:ind w:left="0" w:right="0" w:firstLine="360"/>
        <w:jc w:val="left"/>
        <w:rPr>
          <w:sz w:val="20"/>
          <w:szCs w:val="20"/>
        </w:rPr>
      </w:pPr>
      <w:r>
        <w:rPr>
          <w:color w:val="000000"/>
          <w:spacing w:val="0"/>
          <w:w w:val="100"/>
          <w:position w:val="0"/>
          <w:sz w:val="20"/>
          <w:szCs w:val="20"/>
        </w:rPr>
        <w:t>报告期内，公司严格按照《公司法》《证券法》《上市公司治理准则》《深圳证券交易所股票上市规 则》等相关法律法规和规范性文件的要求，确立了股东大会、董事会、监事会及经营管理层的分层治理结 构，不断完善公司法人治理结构，建立健全公司内部控制制度，进一步规范公司运作，提高公司治理水平。 公司治理的实际情况与《上市公司治理准则》等规范性文件的规定和要求相符。</w:t>
      </w:r>
    </w:p>
    <w:p>
      <w:pPr>
        <w:pStyle w:val="Style33"/>
        <w:keepNext w:val="0"/>
        <w:keepLines w:val="0"/>
        <w:widowControl w:val="0"/>
        <w:shd w:val="clear" w:color="auto" w:fill="auto"/>
        <w:tabs>
          <w:tab w:pos="843" w:val="left"/>
        </w:tabs>
        <w:bidi w:val="0"/>
        <w:spacing w:before="0" w:after="0" w:line="314" w:lineRule="exact"/>
        <w:ind w:left="0" w:right="0" w:firstLine="260"/>
        <w:jc w:val="both"/>
        <w:rPr>
          <w:sz w:val="20"/>
          <w:szCs w:val="20"/>
        </w:rPr>
      </w:pPr>
      <w:bookmarkStart w:id="257" w:name="bookmark257"/>
      <w:r>
        <w:rPr>
          <w:color w:val="000000"/>
          <w:spacing w:val="0"/>
          <w:w w:val="100"/>
          <w:position w:val="0"/>
          <w:sz w:val="20"/>
          <w:szCs w:val="20"/>
        </w:rPr>
        <w:t>（</w:t>
      </w:r>
      <w:bookmarkEnd w:id="257"/>
      <w:r>
        <w:rPr>
          <w:color w:val="000000"/>
          <w:spacing w:val="0"/>
          <w:w w:val="100"/>
          <w:position w:val="0"/>
          <w:sz w:val="20"/>
          <w:szCs w:val="20"/>
        </w:rPr>
        <w:t>一）</w:t>
        <w:tab/>
        <w:t>关于股东与股东大会</w:t>
      </w:r>
    </w:p>
    <w:p>
      <w:pPr>
        <w:pStyle w:val="Style33"/>
        <w:keepNext w:val="0"/>
        <w:keepLines w:val="0"/>
        <w:widowControl w:val="0"/>
        <w:shd w:val="clear" w:color="auto" w:fill="auto"/>
        <w:bidi w:val="0"/>
        <w:spacing w:before="0" w:after="0" w:line="319" w:lineRule="exact"/>
        <w:ind w:left="0" w:right="0" w:firstLine="360"/>
        <w:jc w:val="both"/>
        <w:rPr>
          <w:sz w:val="20"/>
          <w:szCs w:val="20"/>
        </w:rPr>
      </w:pPr>
      <w:r>
        <w:rPr>
          <w:color w:val="000000"/>
          <w:spacing w:val="0"/>
          <w:w w:val="100"/>
          <w:position w:val="0"/>
          <w:sz w:val="20"/>
          <w:szCs w:val="20"/>
        </w:rPr>
        <w:t>报告期内，公司共召开</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次股东大会。股东大会严格按照《上市公司股东大会规则》和公司制定的《股 东大会议事规则》的要求，召集、召开、表决等程序合法、合规，平等对待所有股东，特别是保证中小股 东对公司重大事项的知情权和平等参与权，充分而不受干涉地行使股东权力。</w:t>
      </w:r>
    </w:p>
    <w:p>
      <w:pPr>
        <w:pStyle w:val="Style33"/>
        <w:keepNext w:val="0"/>
        <w:keepLines w:val="0"/>
        <w:widowControl w:val="0"/>
        <w:shd w:val="clear" w:color="auto" w:fill="auto"/>
        <w:tabs>
          <w:tab w:pos="843" w:val="left"/>
        </w:tabs>
        <w:bidi w:val="0"/>
        <w:spacing w:before="0" w:after="0" w:line="312" w:lineRule="exact"/>
        <w:ind w:left="0" w:right="0" w:firstLine="260"/>
        <w:jc w:val="both"/>
        <w:rPr>
          <w:sz w:val="20"/>
          <w:szCs w:val="20"/>
        </w:rPr>
      </w:pPr>
      <w:bookmarkStart w:id="258" w:name="bookmark258"/>
      <w:r>
        <w:rPr>
          <w:color w:val="000000"/>
          <w:spacing w:val="0"/>
          <w:w w:val="100"/>
          <w:position w:val="0"/>
          <w:sz w:val="20"/>
          <w:szCs w:val="20"/>
        </w:rPr>
        <w:t>（</w:t>
      </w:r>
      <w:bookmarkEnd w:id="258"/>
      <w:r>
        <w:rPr>
          <w:color w:val="000000"/>
          <w:spacing w:val="0"/>
          <w:w w:val="100"/>
          <w:position w:val="0"/>
          <w:sz w:val="20"/>
          <w:szCs w:val="20"/>
        </w:rPr>
        <w:t>二）</w:t>
        <w:tab/>
        <w:t>关于公司与控股股东</w:t>
      </w:r>
    </w:p>
    <w:p>
      <w:pPr>
        <w:pStyle w:val="Style33"/>
        <w:keepNext w:val="0"/>
        <w:keepLines w:val="0"/>
        <w:widowControl w:val="0"/>
        <w:shd w:val="clear" w:color="auto" w:fill="auto"/>
        <w:bidi w:val="0"/>
        <w:spacing w:before="0" w:after="0" w:line="312" w:lineRule="exact"/>
        <w:ind w:left="0" w:right="0" w:firstLine="360"/>
        <w:jc w:val="left"/>
        <w:rPr>
          <w:sz w:val="20"/>
          <w:szCs w:val="20"/>
        </w:rPr>
      </w:pPr>
      <w:r>
        <w:rPr>
          <w:color w:val="000000"/>
          <w:spacing w:val="0"/>
          <w:w w:val="100"/>
          <w:position w:val="0"/>
          <w:sz w:val="20"/>
          <w:szCs w:val="20"/>
        </w:rPr>
        <w:t>公司与控股股东在业务、人员、资产、机构、财务等方面完全分开，具有独立完整的业务及自主经营 能力。公司董事会、监事会和内部机构独立运作。公司控股股东能严格规范自己的行为，依法行使股东权 利，没有超越公司股东大会直接或间接干预公司的决策和经营活动的行为，不存在控股股东占用公司资金 的现象。公司也不存在为控股股东提供担保的情形。</w:t>
      </w:r>
    </w:p>
    <w:p>
      <w:pPr>
        <w:pStyle w:val="Style33"/>
        <w:keepNext w:val="0"/>
        <w:keepLines w:val="0"/>
        <w:widowControl w:val="0"/>
        <w:shd w:val="clear" w:color="auto" w:fill="auto"/>
        <w:tabs>
          <w:tab w:pos="843" w:val="left"/>
        </w:tabs>
        <w:bidi w:val="0"/>
        <w:spacing w:before="0" w:after="0" w:line="312" w:lineRule="exact"/>
        <w:ind w:left="0" w:right="0" w:firstLine="260"/>
        <w:jc w:val="both"/>
        <w:rPr>
          <w:sz w:val="20"/>
          <w:szCs w:val="20"/>
        </w:rPr>
      </w:pPr>
      <w:bookmarkStart w:id="259" w:name="bookmark259"/>
      <w:r>
        <w:rPr>
          <w:color w:val="000000"/>
          <w:spacing w:val="0"/>
          <w:w w:val="100"/>
          <w:position w:val="0"/>
          <w:sz w:val="20"/>
          <w:szCs w:val="20"/>
        </w:rPr>
        <w:t>（</w:t>
      </w:r>
      <w:bookmarkEnd w:id="259"/>
      <w:r>
        <w:rPr>
          <w:color w:val="000000"/>
          <w:spacing w:val="0"/>
          <w:w w:val="100"/>
          <w:position w:val="0"/>
          <w:sz w:val="20"/>
          <w:szCs w:val="20"/>
        </w:rPr>
        <w:t>三）</w:t>
        <w:tab/>
        <w:t>关于董事与董事会</w:t>
      </w:r>
    </w:p>
    <w:p>
      <w:pPr>
        <w:pStyle w:val="Style33"/>
        <w:keepNext w:val="0"/>
        <w:keepLines w:val="0"/>
        <w:widowControl w:val="0"/>
        <w:shd w:val="clear" w:color="auto" w:fill="auto"/>
        <w:bidi w:val="0"/>
        <w:spacing w:before="0" w:after="0" w:line="318" w:lineRule="exact"/>
        <w:ind w:left="0" w:right="0" w:firstLine="360"/>
        <w:jc w:val="left"/>
        <w:rPr>
          <w:sz w:val="20"/>
          <w:szCs w:val="20"/>
        </w:rPr>
      </w:pPr>
      <w:r>
        <w:rPr>
          <w:color w:val="000000"/>
          <w:spacing w:val="0"/>
          <w:w w:val="100"/>
          <w:position w:val="0"/>
          <w:sz w:val="20"/>
          <w:szCs w:val="20"/>
        </w:rPr>
        <w:t>报告期内，公司共召开</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次董事会，均严格按照《公司章程》《董事会议事规则》的要求，召集、召开、 表决等程序合法、合规。董事会人员构成和人数符合法律法规和《公司章程》的要求。公司全体董事能够 依据《董事会议事规则》及其他相关规则的要求开展工作，认真出席董事会和股东大会，积极参加相关知 识的培训，熟悉有关法律法规，勤勉尽职地行使权力，维护公司和股东利益。</w:t>
      </w:r>
    </w:p>
    <w:p>
      <w:pPr>
        <w:pStyle w:val="Style33"/>
        <w:keepNext w:val="0"/>
        <w:keepLines w:val="0"/>
        <w:widowControl w:val="0"/>
        <w:shd w:val="clear" w:color="auto" w:fill="auto"/>
        <w:tabs>
          <w:tab w:pos="843" w:val="left"/>
        </w:tabs>
        <w:bidi w:val="0"/>
        <w:spacing w:before="0" w:after="0" w:line="322" w:lineRule="exact"/>
        <w:ind w:left="0" w:right="0" w:firstLine="260"/>
        <w:jc w:val="both"/>
        <w:rPr>
          <w:sz w:val="20"/>
          <w:szCs w:val="20"/>
        </w:rPr>
      </w:pPr>
      <w:bookmarkStart w:id="260" w:name="bookmark260"/>
      <w:r>
        <w:rPr>
          <w:color w:val="000000"/>
          <w:spacing w:val="0"/>
          <w:w w:val="100"/>
          <w:position w:val="0"/>
          <w:sz w:val="20"/>
          <w:szCs w:val="20"/>
        </w:rPr>
        <w:t>（</w:t>
      </w:r>
      <w:bookmarkEnd w:id="260"/>
      <w:r>
        <w:rPr>
          <w:color w:val="000000"/>
          <w:spacing w:val="0"/>
          <w:w w:val="100"/>
          <w:position w:val="0"/>
          <w:sz w:val="20"/>
          <w:szCs w:val="20"/>
        </w:rPr>
        <w:t>四）</w:t>
        <w:tab/>
        <w:t>关于监事与监事会</w:t>
      </w:r>
    </w:p>
    <w:p>
      <w:pPr>
        <w:pStyle w:val="Style33"/>
        <w:keepNext w:val="0"/>
        <w:keepLines w:val="0"/>
        <w:widowControl w:val="0"/>
        <w:shd w:val="clear" w:color="auto" w:fill="auto"/>
        <w:bidi w:val="0"/>
        <w:spacing w:before="0" w:after="0" w:line="322" w:lineRule="exact"/>
        <w:ind w:left="0" w:right="0" w:firstLine="360"/>
        <w:jc w:val="left"/>
        <w:rPr>
          <w:sz w:val="20"/>
          <w:szCs w:val="20"/>
        </w:rPr>
      </w:pPr>
      <w:r>
        <w:rPr>
          <w:color w:val="000000"/>
          <w:spacing w:val="0"/>
          <w:w w:val="100"/>
          <w:position w:val="0"/>
          <w:sz w:val="20"/>
          <w:szCs w:val="20"/>
        </w:rPr>
        <w:t>报告期内，公司共召开</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次监事会，均严格按照《公司章程》《监事会议事规则》的要求，召集、召开、 表决等程序合法、合规。监事会人员构成和人数符合法律法规和《公司章程》的要求。公司全体监事能够 依据《监事会议事规则》及其他相关规则的要求，忠实地履行监督职责，积极有效地开展工作。</w:t>
      </w:r>
    </w:p>
    <w:p>
      <w:pPr>
        <w:pStyle w:val="Style33"/>
        <w:keepNext w:val="0"/>
        <w:keepLines w:val="0"/>
        <w:widowControl w:val="0"/>
        <w:shd w:val="clear" w:color="auto" w:fill="auto"/>
        <w:tabs>
          <w:tab w:pos="758" w:val="left"/>
        </w:tabs>
        <w:bidi w:val="0"/>
        <w:spacing w:before="0" w:after="0" w:line="315" w:lineRule="exact"/>
        <w:ind w:left="0" w:right="0" w:firstLine="180"/>
        <w:jc w:val="both"/>
        <w:rPr>
          <w:sz w:val="20"/>
          <w:szCs w:val="20"/>
        </w:rPr>
      </w:pPr>
      <w:bookmarkStart w:id="261" w:name="bookmark261"/>
      <w:r>
        <w:rPr>
          <w:color w:val="000000"/>
          <w:spacing w:val="0"/>
          <w:w w:val="100"/>
          <w:position w:val="0"/>
          <w:sz w:val="20"/>
          <w:szCs w:val="20"/>
        </w:rPr>
        <w:t>（</w:t>
      </w:r>
      <w:bookmarkEnd w:id="261"/>
      <w:r>
        <w:rPr>
          <w:color w:val="000000"/>
          <w:spacing w:val="0"/>
          <w:w w:val="100"/>
          <w:position w:val="0"/>
          <w:sz w:val="20"/>
          <w:szCs w:val="20"/>
        </w:rPr>
        <w:t>五）</w:t>
        <w:tab/>
        <w:t>关于绩效评价与激励约束机制</w:t>
      </w:r>
    </w:p>
    <w:p>
      <w:pPr>
        <w:pStyle w:val="Style33"/>
        <w:keepNext w:val="0"/>
        <w:keepLines w:val="0"/>
        <w:widowControl w:val="0"/>
        <w:shd w:val="clear" w:color="auto" w:fill="auto"/>
        <w:bidi w:val="0"/>
        <w:spacing w:before="0" w:after="0" w:line="314" w:lineRule="exact"/>
        <w:ind w:left="0" w:right="0" w:firstLine="260"/>
        <w:jc w:val="both"/>
        <w:rPr>
          <w:sz w:val="20"/>
          <w:szCs w:val="20"/>
        </w:rPr>
      </w:pPr>
      <w:r>
        <w:rPr>
          <w:color w:val="000000"/>
          <w:spacing w:val="0"/>
          <w:w w:val="100"/>
          <w:position w:val="0"/>
          <w:sz w:val="20"/>
          <w:szCs w:val="20"/>
        </w:rPr>
        <w:t>公司建立了完善的员工绩效评价和激励约束机制，在管理中积极营造公平、高效的职业环境。高级管理 人员的聘任公开、透明，符合有关法律、法规和《公司章程》的规定。对董事、高级管理人员、管理骨干 及技术业务骨干，公司推出了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年度股票期权激励计划（草案），将按规定履行相关程序后实施，有利 于充分调动员工的积极性，促进公司长远发展。</w:t>
      </w:r>
    </w:p>
    <w:p>
      <w:pPr>
        <w:pStyle w:val="Style33"/>
        <w:keepNext w:val="0"/>
        <w:keepLines w:val="0"/>
        <w:widowControl w:val="0"/>
        <w:shd w:val="clear" w:color="auto" w:fill="auto"/>
        <w:tabs>
          <w:tab w:pos="758" w:val="left"/>
        </w:tabs>
        <w:bidi w:val="0"/>
        <w:spacing w:before="0" w:after="0" w:line="315" w:lineRule="exact"/>
        <w:ind w:left="0" w:right="0" w:firstLine="180"/>
        <w:jc w:val="both"/>
        <w:rPr>
          <w:sz w:val="20"/>
          <w:szCs w:val="20"/>
        </w:rPr>
      </w:pPr>
      <w:bookmarkStart w:id="262" w:name="bookmark262"/>
      <w:r>
        <w:rPr>
          <w:color w:val="000000"/>
          <w:spacing w:val="0"/>
          <w:w w:val="100"/>
          <w:position w:val="0"/>
          <w:sz w:val="20"/>
          <w:szCs w:val="20"/>
        </w:rPr>
        <w:t>（</w:t>
      </w:r>
      <w:bookmarkEnd w:id="262"/>
      <w:r>
        <w:rPr>
          <w:color w:val="000000"/>
          <w:spacing w:val="0"/>
          <w:w w:val="100"/>
          <w:position w:val="0"/>
          <w:sz w:val="20"/>
          <w:szCs w:val="20"/>
        </w:rPr>
        <w:t>六）</w:t>
        <w:tab/>
        <w:t>关于相关利益者</w:t>
      </w:r>
    </w:p>
    <w:p>
      <w:pPr>
        <w:pStyle w:val="Style33"/>
        <w:keepNext w:val="0"/>
        <w:keepLines w:val="0"/>
        <w:widowControl w:val="0"/>
        <w:shd w:val="clear" w:color="auto" w:fill="auto"/>
        <w:bidi w:val="0"/>
        <w:spacing w:before="0" w:after="0" w:line="322" w:lineRule="exact"/>
        <w:ind w:left="0" w:right="0" w:firstLine="260"/>
        <w:jc w:val="both"/>
        <w:rPr>
          <w:sz w:val="20"/>
          <w:szCs w:val="20"/>
        </w:rPr>
      </w:pPr>
      <w:r>
        <w:rPr>
          <w:color w:val="000000"/>
          <w:spacing w:val="0"/>
          <w:w w:val="100"/>
          <w:position w:val="0"/>
          <w:sz w:val="20"/>
          <w:szCs w:val="20"/>
        </w:rPr>
        <w:t>公司充分尊重和维护相关利益者的合法权益，重视公司的社会责任，积极与相关利益者进行沟通交流与 合作，实现股东、员工、社会等各方利益的协调平衡，共同推动公司健康、持续地发展。</w:t>
      </w:r>
    </w:p>
    <w:p>
      <w:pPr>
        <w:pStyle w:val="Style33"/>
        <w:keepNext w:val="0"/>
        <w:keepLines w:val="0"/>
        <w:widowControl w:val="0"/>
        <w:shd w:val="clear" w:color="auto" w:fill="auto"/>
        <w:tabs>
          <w:tab w:pos="758" w:val="left"/>
        </w:tabs>
        <w:bidi w:val="0"/>
        <w:spacing w:before="0" w:after="0" w:line="315" w:lineRule="exact"/>
        <w:ind w:left="0" w:right="0" w:firstLine="180"/>
        <w:jc w:val="both"/>
        <w:rPr>
          <w:sz w:val="20"/>
          <w:szCs w:val="20"/>
        </w:rPr>
      </w:pPr>
      <w:bookmarkStart w:id="263" w:name="bookmark263"/>
      <w:r>
        <w:rPr>
          <w:color w:val="000000"/>
          <w:spacing w:val="0"/>
          <w:w w:val="100"/>
          <w:position w:val="0"/>
          <w:sz w:val="20"/>
          <w:szCs w:val="20"/>
        </w:rPr>
        <w:t>（</w:t>
      </w:r>
      <w:bookmarkEnd w:id="263"/>
      <w:r>
        <w:rPr>
          <w:color w:val="000000"/>
          <w:spacing w:val="0"/>
          <w:w w:val="100"/>
          <w:position w:val="0"/>
          <w:sz w:val="20"/>
          <w:szCs w:val="20"/>
        </w:rPr>
        <w:t>七）</w:t>
        <w:tab/>
        <w:t>关于信息披露与透明度</w:t>
      </w:r>
    </w:p>
    <w:p>
      <w:pPr>
        <w:pStyle w:val="Style33"/>
        <w:keepNext w:val="0"/>
        <w:keepLines w:val="0"/>
        <w:widowControl w:val="0"/>
        <w:shd w:val="clear" w:color="auto" w:fill="auto"/>
        <w:bidi w:val="0"/>
        <w:spacing w:before="0" w:after="140" w:line="315" w:lineRule="exact"/>
        <w:ind w:left="0" w:right="0" w:firstLine="260"/>
        <w:jc w:val="both"/>
        <w:rPr>
          <w:sz w:val="20"/>
          <w:szCs w:val="20"/>
        </w:rPr>
      </w:pPr>
      <w:r>
        <w:rPr>
          <w:color w:val="000000"/>
          <w:spacing w:val="0"/>
          <w:w w:val="100"/>
          <w:position w:val="0"/>
          <w:sz w:val="20"/>
          <w:szCs w:val="20"/>
        </w:rPr>
        <w:t>公司严格按照《公司章程》和中国证监会、深圳证券交易所的相关法律法规的要求，认真履行信息披露 义务。公司指定《中国证券报》《证券时报》和巨潮资讯网（</w:t>
      </w:r>
      <w:r>
        <w:rPr>
          <w:rFonts w:ascii="Times New Roman" w:eastAsia="Times New Roman" w:hAnsi="Times New Roman" w:cs="Times New Roman"/>
          <w:color w:val="000000"/>
          <w:spacing w:val="0"/>
          <w:w w:val="100"/>
          <w:position w:val="0"/>
          <w:sz w:val="20"/>
          <w:szCs w:val="20"/>
        </w:rPr>
        <w:t>http://www.cninfo.com.cn</w:t>
      </w:r>
      <w:r>
        <w:rPr>
          <w:color w:val="000000"/>
          <w:spacing w:val="0"/>
          <w:w w:val="100"/>
          <w:position w:val="0"/>
          <w:sz w:val="20"/>
          <w:szCs w:val="20"/>
        </w:rPr>
        <w:t>）为公司指定信息</w:t>
      </w:r>
      <w:r>
        <w:rPr>
          <w:color w:val="000000"/>
          <w:spacing w:val="0"/>
          <w:w w:val="100"/>
          <w:position w:val="0"/>
          <w:sz w:val="20"/>
          <w:szCs w:val="20"/>
        </w:rPr>
        <w:t xml:space="preserve"> 披露媒体，保障投资者的知情权，确保公司所有股东公平获取公司信息。同时，公司通过投资者热线电话、 专用邮箱、互动易等多种沟通渠道，充分保证广大投资者的知情权。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646" w:val="left"/>
        </w:tabs>
        <w:bidi w:val="0"/>
        <w:spacing w:before="0" w:after="300" w:line="322" w:lineRule="exact"/>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w:t>
        <w:tab/>
        <w:t>公司相对于控股股东、实际控制人在保证公司资产、人员、财务、机构、业务等方面的 独立情况</w:t>
      </w:r>
      <w:bookmarkEnd w:id="264"/>
      <w:bookmarkEnd w:id="265"/>
      <w:bookmarkEnd w:id="267"/>
    </w:p>
    <w:p>
      <w:pPr>
        <w:pStyle w:val="Style18"/>
        <w:keepNext w:val="0"/>
        <w:keepLines w:val="0"/>
        <w:widowControl w:val="0"/>
        <w:shd w:val="clear" w:color="auto" w:fill="auto"/>
        <w:bidi w:val="0"/>
        <w:spacing w:before="0" w:after="0" w:line="313" w:lineRule="exact"/>
        <w:ind w:left="0" w:right="0" w:firstLine="160"/>
        <w:jc w:val="left"/>
      </w:pPr>
      <w:bookmarkStart w:id="268" w:name="bookmark268"/>
      <w:r>
        <w:rPr>
          <w:color w:val="000000"/>
          <w:spacing w:val="0"/>
          <w:w w:val="100"/>
          <w:position w:val="0"/>
        </w:rPr>
        <w:t>（</w:t>
      </w:r>
      <w:bookmarkEnd w:id="268"/>
      <w:r>
        <w:rPr>
          <w:color w:val="000000"/>
          <w:spacing w:val="0"/>
          <w:w w:val="100"/>
          <w:position w:val="0"/>
        </w:rPr>
        <w:t>一）业务的独立性</w:t>
      </w:r>
    </w:p>
    <w:p>
      <w:pPr>
        <w:pStyle w:val="Style18"/>
        <w:keepNext w:val="0"/>
        <w:keepLines w:val="0"/>
        <w:widowControl w:val="0"/>
        <w:shd w:val="clear" w:color="auto" w:fill="auto"/>
        <w:bidi w:val="0"/>
        <w:spacing w:before="0" w:after="0" w:line="313" w:lineRule="exact"/>
        <w:ind w:left="0" w:right="0" w:firstLine="240"/>
        <w:jc w:val="left"/>
      </w:pPr>
      <w:r>
        <w:rPr>
          <w:color w:val="000000"/>
          <w:spacing w:val="0"/>
          <w:w w:val="100"/>
          <w:position w:val="0"/>
        </w:rPr>
        <w:t>公司具有独立、完整的软件研发、销售、实施和技术服务体系。公司的业务独立于控股股东、实际控制人，与控股股东、 实际控制人不存在同业竞争或者显失公平的关联交易。</w:t>
      </w:r>
    </w:p>
    <w:p>
      <w:pPr>
        <w:pStyle w:val="Style18"/>
        <w:keepNext w:val="0"/>
        <w:keepLines w:val="0"/>
        <w:widowControl w:val="0"/>
        <w:shd w:val="clear" w:color="auto" w:fill="auto"/>
        <w:tabs>
          <w:tab w:pos="750" w:val="left"/>
        </w:tabs>
        <w:bidi w:val="0"/>
        <w:spacing w:before="0" w:after="0" w:line="313" w:lineRule="exact"/>
        <w:ind w:left="0" w:right="0" w:firstLine="240"/>
        <w:jc w:val="left"/>
      </w:pPr>
      <w:bookmarkStart w:id="269" w:name="bookmark269"/>
      <w:r>
        <w:rPr>
          <w:color w:val="000000"/>
          <w:spacing w:val="0"/>
          <w:w w:val="100"/>
          <w:position w:val="0"/>
        </w:rPr>
        <w:t>（</w:t>
      </w:r>
      <w:bookmarkEnd w:id="269"/>
      <w:r>
        <w:rPr>
          <w:color w:val="000000"/>
          <w:spacing w:val="0"/>
          <w:w w:val="100"/>
          <w:position w:val="0"/>
        </w:rPr>
        <w:t>二）</w:t>
        <w:tab/>
        <w:t>人员的独立性</w:t>
      </w:r>
    </w:p>
    <w:p>
      <w:pPr>
        <w:pStyle w:val="Style1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公司董事长没有由股东单位的法定代表人兼任，公司总裁、各副总裁、财务总监等高级管理人员均在公司专职工作及领 取报酬，上述人员未在公司的控股股东、实际控制人处担任除董事、监事以外的其他职务，未在控股股东、实际控制人处领 薪，亦不存在自营或为他人经营与公司经营范围相同业务的情形；公司的财务人员未在控股股东、实际控制人处兼职。公司 的劳动、人事及工资管理完全独立。公司董事、监事均严格按照《公司法》和《公司章程》的有关规定选举产生，公司高级 管理人员都是公司董事会依职权聘任的，不存在股东或其他关联方干涉公司有关人事任免的情况。公司拥有独立的员工队伍， 并已建立较为完善的劳动用工和人事管理制度。公司已依据国家的法律法规与公司员工签订了劳动合同并缴纳社会保险费 用、住房公积金，公司拥有独立的劳动用工权利，不存在受控股股东干涉的现象。</w:t>
      </w:r>
    </w:p>
    <w:p>
      <w:pPr>
        <w:pStyle w:val="Style18"/>
        <w:keepNext w:val="0"/>
        <w:keepLines w:val="0"/>
        <w:widowControl w:val="0"/>
        <w:shd w:val="clear" w:color="auto" w:fill="auto"/>
        <w:tabs>
          <w:tab w:pos="750" w:val="left"/>
        </w:tabs>
        <w:bidi w:val="0"/>
        <w:spacing w:before="0" w:after="0" w:line="313" w:lineRule="exact"/>
        <w:ind w:left="0" w:right="0" w:firstLine="240"/>
        <w:jc w:val="left"/>
      </w:pPr>
      <w:bookmarkStart w:id="270" w:name="bookmark270"/>
      <w:r>
        <w:rPr>
          <w:color w:val="000000"/>
          <w:spacing w:val="0"/>
          <w:w w:val="100"/>
          <w:position w:val="0"/>
        </w:rPr>
        <w:t>（</w:t>
      </w:r>
      <w:bookmarkEnd w:id="270"/>
      <w:r>
        <w:rPr>
          <w:color w:val="000000"/>
          <w:spacing w:val="0"/>
          <w:w w:val="100"/>
          <w:position w:val="0"/>
        </w:rPr>
        <w:t>三）</w:t>
        <w:tab/>
        <w:t>资产的独立性</w:t>
      </w:r>
    </w:p>
    <w:p>
      <w:pPr>
        <w:pStyle w:val="Style1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公司拥有开展生产经营所必须的资产，包括专利权、商标权、计算机软件著作权和软件开发所需要的设备、车辆、土地 使用权、房屋建筑物等。公司资产产权界定明确，不存在以承包、委托经营、租赁或其他类似方式，依赖关联方的资产进行 生产和经营的情形。公司没有以资产、权益或信誉为控股股东的债务提供担保，不存在资产、资金被控股股东占用而损害公 司其他股东利益的情况。</w:t>
      </w:r>
    </w:p>
    <w:p>
      <w:pPr>
        <w:pStyle w:val="Style18"/>
        <w:keepNext w:val="0"/>
        <w:keepLines w:val="0"/>
        <w:widowControl w:val="0"/>
        <w:shd w:val="clear" w:color="auto" w:fill="auto"/>
        <w:tabs>
          <w:tab w:pos="750" w:val="left"/>
        </w:tabs>
        <w:bidi w:val="0"/>
        <w:spacing w:before="0" w:after="0" w:line="313" w:lineRule="exact"/>
        <w:ind w:left="0" w:right="0" w:firstLine="240"/>
        <w:jc w:val="left"/>
      </w:pPr>
      <w:bookmarkStart w:id="271" w:name="bookmark271"/>
      <w:r>
        <w:rPr>
          <w:color w:val="000000"/>
          <w:spacing w:val="0"/>
          <w:w w:val="100"/>
          <w:position w:val="0"/>
        </w:rPr>
        <w:t>（</w:t>
      </w:r>
      <w:bookmarkEnd w:id="271"/>
      <w:r>
        <w:rPr>
          <w:color w:val="000000"/>
          <w:spacing w:val="0"/>
          <w:w w:val="100"/>
          <w:position w:val="0"/>
        </w:rPr>
        <w:t>四）</w:t>
        <w:tab/>
        <w:t>机构的独立性</w:t>
      </w:r>
    </w:p>
    <w:p>
      <w:pPr>
        <w:pStyle w:val="Style1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公司建立了健全的法人治理机构，公司根据《公司法》和《公司章程》及其他有关法律法规的规定，设立了股东大会、 董事会、监事会以及经营管理层，并制定了相关议事规则和工作细则。公司已经按照法律、法规的规定和公司的实际情况设 置了公司的组织机构，独立于控股股东和其他关联方，具有健全的内部经营管理机构，独立行使经营管理职权，公司及其职 能部门与控股股东及其职能部门之间不存在上下级关系，任何企业无权以任何形式干预公司的经营活动。公司不存在与控股 股东、实际控制人机构混同的情形。</w:t>
      </w:r>
    </w:p>
    <w:p>
      <w:pPr>
        <w:pStyle w:val="Style18"/>
        <w:keepNext w:val="0"/>
        <w:keepLines w:val="0"/>
        <w:widowControl w:val="0"/>
        <w:shd w:val="clear" w:color="auto" w:fill="auto"/>
        <w:tabs>
          <w:tab w:pos="750" w:val="left"/>
        </w:tabs>
        <w:bidi w:val="0"/>
        <w:spacing w:before="0" w:after="0" w:line="313" w:lineRule="exact"/>
        <w:ind w:left="0" w:right="0" w:firstLine="240"/>
        <w:jc w:val="left"/>
      </w:pPr>
      <w:bookmarkStart w:id="272" w:name="bookmark272"/>
      <w:r>
        <w:rPr>
          <w:color w:val="000000"/>
          <w:spacing w:val="0"/>
          <w:w w:val="100"/>
          <w:position w:val="0"/>
        </w:rPr>
        <w:t>（</w:t>
      </w:r>
      <w:bookmarkEnd w:id="272"/>
      <w:r>
        <w:rPr>
          <w:color w:val="000000"/>
          <w:spacing w:val="0"/>
          <w:w w:val="100"/>
          <w:position w:val="0"/>
        </w:rPr>
        <w:t>五）</w:t>
        <w:tab/>
        <w:t>财务的独立性</w:t>
      </w:r>
    </w:p>
    <w:p>
      <w:pPr>
        <w:pStyle w:val="Style18"/>
        <w:keepNext w:val="0"/>
        <w:keepLines w:val="0"/>
        <w:widowControl w:val="0"/>
        <w:shd w:val="clear" w:color="auto" w:fill="auto"/>
        <w:bidi w:val="0"/>
        <w:spacing w:before="0" w:after="300" w:line="313" w:lineRule="exact"/>
        <w:ind w:left="0" w:right="0" w:firstLine="300"/>
        <w:jc w:val="both"/>
      </w:pPr>
      <w:r>
        <w:rPr>
          <w:color w:val="000000"/>
          <w:spacing w:val="0"/>
          <w:w w:val="100"/>
          <w:position w:val="0"/>
        </w:rPr>
        <w:t>公司设有独立的财务部门，建立独立的财务核算体系，能够独立作出财务决策，具有规范的财务会计制度和对驻外机构 （分公司、办事处、研发中心）、子公司的财务管理制度；公司在银行独立开户，不存在与控股股东、实际控制人共用银行 账户的情形。</w:t>
      </w:r>
    </w:p>
    <w:p>
      <w:pPr>
        <w:pStyle w:val="Style24"/>
        <w:keepNext/>
        <w:keepLines/>
        <w:widowControl w:val="0"/>
        <w:shd w:val="clear" w:color="auto" w:fill="auto"/>
        <w:tabs>
          <w:tab w:pos="646" w:val="left"/>
        </w:tabs>
        <w:bidi w:val="0"/>
        <w:spacing w:before="0" w:after="300" w:line="322"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三</w:t>
      </w:r>
      <w:bookmarkEnd w:id="275"/>
      <w:r>
        <w:rPr>
          <w:color w:val="000000"/>
          <w:spacing w:val="0"/>
          <w:w w:val="100"/>
          <w:position w:val="0"/>
        </w:rPr>
        <w:t>、</w:t>
        <w:tab/>
        <w:t>同业竞争情况</w:t>
      </w:r>
      <w:bookmarkEnd w:id="273"/>
      <w:bookmarkEnd w:id="274"/>
      <w:bookmarkEnd w:id="276"/>
    </w:p>
    <w:p>
      <w:pPr>
        <w:pStyle w:val="Style18"/>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6" w:val="left"/>
        </w:tabs>
        <w:bidi w:val="0"/>
        <w:spacing w:before="0" w:after="360" w:line="322"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四</w:t>
      </w:r>
      <w:bookmarkEnd w:id="279"/>
      <w:r>
        <w:rPr>
          <w:color w:val="000000"/>
          <w:spacing w:val="0"/>
          <w:w w:val="100"/>
          <w:position w:val="0"/>
        </w:rPr>
        <w:t>、</w:t>
        <w:tab/>
        <w:t>报告期内召开的年度股东大会和临时股东大会的有关情况</w:t>
      </w:r>
      <w:bookmarkEnd w:id="277"/>
      <w:bookmarkEnd w:id="278"/>
      <w:bookmarkEnd w:id="280"/>
    </w:p>
    <w:p>
      <w:pPr>
        <w:pStyle w:val="Style29"/>
        <w:keepNext/>
        <w:keepLines/>
        <w:widowControl w:val="0"/>
        <w:shd w:val="clear" w:color="auto" w:fill="auto"/>
        <w:bidi w:val="0"/>
        <w:spacing w:before="0" w:after="30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、本报告期股东大会情况</w:t>
      </w:r>
      <w:bookmarkEnd w:id="281"/>
      <w:bookmarkEnd w:id="282"/>
      <w:bookmarkEnd w:id="284"/>
    </w:p>
    <w:tbl>
      <w:tblPr>
        <w:tblOverlap w:val="never"/>
        <w:jc w:val="center"/>
        <w:tblLayout w:type="fixed"/>
      </w:tblPr>
      <w:tblGrid>
        <w:gridCol w:w="1603"/>
        <w:gridCol w:w="1594"/>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 于对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关联交易金额进行 预计的议案》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 于调整独立董事津 贴的议案》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《关 于续聘审计机构的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《关于修改 </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 案》</w:t>
            </w:r>
          </w:p>
        </w:tc>
      </w:tr>
      <w:tr>
        <w:trPr>
          <w:trHeight w:val="415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 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年度监事会工作报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 务决算报告》</w:t>
            </w: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 配预案》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年年度报告》及摘要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《关于公司</w:t>
            </w:r>
            <w:r>
              <w:rPr>
                <w:color w:val="000000"/>
                <w:spacing w:val="0"/>
                <w:w w:val="100"/>
                <w:position w:val="0"/>
                <w:sz w:val="18"/>
                <w:szCs w:val="18"/>
              </w:rPr>
              <w:t>〈</w:t>
            </w:r>
            <w:r>
              <w:rPr>
                <w:color w:val="000000"/>
                <w:spacing w:val="0"/>
                <w:w w:val="100"/>
                <w:position w:val="0"/>
                <w:sz w:val="17"/>
                <w:szCs w:val="17"/>
              </w:rPr>
              <w:t>未来 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 xml:space="preserve">年）股东回 报规划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、表决权恢复的优先股股东请求召开临时股东大会</w:t>
      </w:r>
      <w:bookmarkEnd w:id="285"/>
      <w:bookmarkEnd w:id="286"/>
      <w:bookmarkEnd w:id="288"/>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、董事、监事和高级管理人员情况</w:t>
      </w:r>
      <w:bookmarkEnd w:id="289"/>
      <w:bookmarkEnd w:id="290"/>
      <w:bookmarkEnd w:id="292"/>
    </w:p>
    <w:p>
      <w:pPr>
        <w:pStyle w:val="Style29"/>
        <w:keepNext/>
        <w:keepLines/>
        <w:widowControl w:val="0"/>
        <w:shd w:val="clear" w:color="auto" w:fill="auto"/>
        <w:bidi w:val="0"/>
        <w:spacing w:before="0" w:after="32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、基本情况</w:t>
      </w:r>
      <w:bookmarkEnd w:id="293"/>
      <w:bookmarkEnd w:id="294"/>
      <w:bookmarkEnd w:id="296"/>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任期起</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任期终</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期初持</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本期减</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持股份</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其他增</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减变动</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股份增 减变动 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131,800, 829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副董事 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董事、总 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向万红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职工代</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表董事、</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樊勇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孙德生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监事会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薛婷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王意涵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职工代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秦秀芬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高级副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高级副</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720,653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高级副</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总裁、财</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姚国全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毕伟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总工程 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郑佩敏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袁绣华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李永华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宋小松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度权益 分派</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139,312, 839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董事会聘任曾增先生为公司副总裁</w:t>
            </w:r>
          </w:p>
        </w:tc>
      </w:tr>
    </w:tbl>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董事会聘任王新勇先生为公司总裁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黄笑华先生因个人原因申请辞去公司总裁职务，辞职 后仍担任公司董事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何永刚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董事会聘任何永刚先生为公司副总裁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赵劲锋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董事会聘任赵劲锋先生为公司总裁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董事会聘任李晨先生为公司副总裁</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王新勇先生因工作调整原因申请辞去公司总裁职务， 辞职后仍担任公司董事</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97" w:name="bookmark29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297"/>
    </w:p>
    <w:p>
      <w:pPr>
        <w:widowControl w:val="0"/>
        <w:spacing w:after="379" w:line="1" w:lineRule="exact"/>
      </w:pP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陈利浩先生</w:t>
      </w:r>
      <w:r>
        <w:rPr>
          <w:color w:val="000000"/>
          <w:spacing w:val="0"/>
          <w:w w:val="100"/>
          <w:position w:val="0"/>
          <w:sz w:val="20"/>
          <w:szCs w:val="20"/>
        </w:rPr>
        <w:t>，董事长，中国国籍，</w:t>
      </w:r>
      <w:r>
        <w:rPr>
          <w:rFonts w:ascii="Times New Roman" w:eastAsia="Times New Roman" w:hAnsi="Times New Roman" w:cs="Times New Roman"/>
          <w:color w:val="000000"/>
          <w:spacing w:val="0"/>
          <w:w w:val="100"/>
          <w:position w:val="0"/>
          <w:sz w:val="20"/>
          <w:szCs w:val="20"/>
        </w:rPr>
        <w:t>1955</w:t>
      </w:r>
      <w:r>
        <w:rPr>
          <w:color w:val="000000"/>
          <w:spacing w:val="0"/>
          <w:w w:val="100"/>
          <w:position w:val="0"/>
          <w:sz w:val="20"/>
          <w:szCs w:val="20"/>
        </w:rPr>
        <w:t>年生，毕业于上海电力学院。自</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年以来，陈利浩先生一直在 公司任职。目前还担任国家会计信息化委员会委员、珠海市委网络安全和信息化委员会专家咨询委员会委 员、九三学社中央资源环境专门委员会副主任、九三学社中央促进技术创新工作委员会副主任、广东省政 协研究咨询委员会委员、广东省政协提案工作研究会副会长、广东省新的社会阶层人士联合会监事长、中 国软件行业协会副理事长、广东省浙江商会名誉会长、珠海市浙江商会会长、珠海市新的社会阶层人士联 合会荣誉会长，担任子公司珠海高远电能科技有限公司董事长、杭州昊美科技有限公司董事长、远光资本 管理（横琴）有限公司董事长、远光软件（北京）有限公司执行董事、珠海远光软件产业有限公司董事长 兼总经理、珠海远光晴天能源科技有限公司董事长，还担任珠海市载舟企业管理有限公司执行董事兼总经 理、珠海市浩天投资有限公司执行董事、广东省依依关爱儿童基金会创始人等。</w:t>
      </w:r>
    </w:p>
    <w:p>
      <w:pPr>
        <w:pStyle w:val="Style33"/>
        <w:keepNext w:val="0"/>
        <w:keepLines w:val="0"/>
        <w:widowControl w:val="0"/>
        <w:shd w:val="clear" w:color="auto" w:fill="auto"/>
        <w:bidi w:val="0"/>
        <w:spacing w:before="0" w:after="0" w:line="314" w:lineRule="exact"/>
        <w:ind w:left="0" w:right="0" w:firstLine="220"/>
        <w:jc w:val="left"/>
        <w:rPr>
          <w:sz w:val="20"/>
          <w:szCs w:val="20"/>
        </w:rPr>
      </w:pPr>
      <w:r>
        <w:rPr>
          <w:b/>
          <w:bCs/>
          <w:color w:val="000000"/>
          <w:spacing w:val="0"/>
          <w:w w:val="100"/>
          <w:position w:val="0"/>
          <w:sz w:val="20"/>
          <w:szCs w:val="20"/>
        </w:rPr>
        <w:t>江昊先生，</w:t>
      </w:r>
      <w:r>
        <w:rPr>
          <w:color w:val="000000"/>
          <w:spacing w:val="0"/>
          <w:w w:val="100"/>
          <w:position w:val="0"/>
          <w:sz w:val="20"/>
          <w:szCs w:val="20"/>
        </w:rPr>
        <w:t>副董事长，中国国籍，</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年生，本科学历，会计师。现任本公司董事、副董事长。江昊先 生历任福建省电力试验研究院会计主办、福建省电力工业局财务部职员、福建省电力有限公司财务部预算 与电价主管、国家电网公司财务部预算处职员、国家电网公司产业发展部财务资产处副处长、处长、国网 电子商务有限公司总会计师、国网雄安金融科技集团有限公司总会计师职务。</w:t>
      </w:r>
    </w:p>
    <w:p>
      <w:pPr>
        <w:pStyle w:val="Style33"/>
        <w:keepNext w:val="0"/>
        <w:keepLines w:val="0"/>
        <w:widowControl w:val="0"/>
        <w:shd w:val="clear" w:color="auto" w:fill="auto"/>
        <w:bidi w:val="0"/>
        <w:spacing w:before="0" w:after="0" w:line="314" w:lineRule="exact"/>
        <w:ind w:left="0" w:right="0" w:firstLine="220"/>
        <w:jc w:val="left"/>
        <w:rPr>
          <w:sz w:val="20"/>
          <w:szCs w:val="20"/>
        </w:rPr>
      </w:pPr>
      <w:r>
        <w:rPr>
          <w:b/>
          <w:bCs/>
          <w:color w:val="000000"/>
          <w:spacing w:val="0"/>
          <w:w w:val="100"/>
          <w:position w:val="0"/>
          <w:sz w:val="20"/>
          <w:szCs w:val="20"/>
        </w:rPr>
        <w:t>刘全先生，</w:t>
      </w:r>
      <w:r>
        <w:rPr>
          <w:color w:val="000000"/>
          <w:spacing w:val="0"/>
          <w:w w:val="100"/>
          <w:position w:val="0"/>
          <w:sz w:val="20"/>
          <w:szCs w:val="20"/>
        </w:rPr>
        <w:t>副董事长，中国国籍，</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年生，中共党员，研究生学历，工程师，现任持有公司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 股份股东国电电力发展股份有限公司总法律顾问、企业管理与法律事务部主任，刘全先生还担任北京太阳 宫燃气热电有限公司董事、国电内蒙古上海庙热电有限公司副董事长。刘全先生历任北京第二热电厂厂办 秘书、厂办副主任、计划科副科长，山西漳电国电王坪发电有限公司董事，国电电力发展股份有限公司总 经理工作部业务经理、总经理工作部主任助理、总经理工作部副主任、总经理工作部主任。</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王新勇先生，</w:t>
      </w:r>
      <w:r>
        <w:rPr>
          <w:color w:val="000000"/>
          <w:spacing w:val="0"/>
          <w:w w:val="100"/>
          <w:position w:val="0"/>
          <w:sz w:val="20"/>
          <w:szCs w:val="20"/>
        </w:rPr>
        <w:t>董事、总裁、党委书记，中国国籍，</w:t>
      </w:r>
      <w:r>
        <w:rPr>
          <w:rFonts w:ascii="Times New Roman" w:eastAsia="Times New Roman" w:hAnsi="Times New Roman" w:cs="Times New Roman"/>
          <w:color w:val="000000"/>
          <w:spacing w:val="0"/>
          <w:w w:val="100"/>
          <w:position w:val="0"/>
          <w:sz w:val="20"/>
          <w:szCs w:val="20"/>
        </w:rPr>
        <w:t>1976</w:t>
      </w:r>
      <w:r>
        <w:rPr>
          <w:color w:val="000000"/>
          <w:spacing w:val="0"/>
          <w:w w:val="100"/>
          <w:position w:val="0"/>
          <w:sz w:val="20"/>
          <w:szCs w:val="20"/>
        </w:rPr>
        <w:t>年生，本科学历，高级经济师。王新勇先生历 任山东送变电工程公司天广直流项目部实习会计、山东鲁能物资集团有限公司财务部会计、经理助理，山 东鲁能集团有限公司财务部副主管、主管，国家电网公司财务资产部资产处五级职员，国网信息通信产业 集团有限公司财务资产部牵头人、财务资产部副主任、监察审计部（党群工作部）副主任，国网电子商务 有限公司互联网金融事业部副总经理、国网征信有限公司法人代表、执行董事，国网电子商务公司（国网 雄安金融科技集团公司）财务共享中心主任、财务资产部（资本运营中心）主任。</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黄笑华先生，</w:t>
      </w:r>
      <w:r>
        <w:rPr>
          <w:color w:val="000000"/>
          <w:spacing w:val="0"/>
          <w:w w:val="100"/>
          <w:position w:val="0"/>
          <w:sz w:val="20"/>
          <w:szCs w:val="20"/>
        </w:rPr>
        <w:t>董事，中国国籍，</w:t>
      </w:r>
      <w:r>
        <w:rPr>
          <w:rFonts w:ascii="Times New Roman" w:eastAsia="Times New Roman" w:hAnsi="Times New Roman" w:cs="Times New Roman"/>
          <w:color w:val="000000"/>
          <w:spacing w:val="0"/>
          <w:w w:val="100"/>
          <w:position w:val="0"/>
          <w:sz w:val="20"/>
          <w:szCs w:val="20"/>
        </w:rPr>
        <w:t>1971</w:t>
      </w:r>
      <w:r>
        <w:rPr>
          <w:color w:val="000000"/>
          <w:spacing w:val="0"/>
          <w:w w:val="100"/>
          <w:position w:val="0"/>
          <w:sz w:val="20"/>
          <w:szCs w:val="20"/>
        </w:rPr>
        <w:t>年生。</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年毕业于西安交通大学，获学士学位；</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 xml:space="preserve">年获清华 </w:t>
      </w:r>
      <w:r>
        <w:rPr>
          <w:color w:val="000000"/>
          <w:spacing w:val="0"/>
          <w:w w:val="100"/>
          <w:position w:val="0"/>
          <w:sz w:val="20"/>
          <w:szCs w:val="20"/>
        </w:rPr>
        <w:t>大学</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sz w:val="20"/>
          <w:szCs w:val="20"/>
        </w:rPr>
        <w:t>学位。自</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年以来，黄笑华先生一直在公司任职。目前还担任公司子公司远光资本管理（横 琴）有限公司董事、珠海高远电能科技有限公司董事、远光信息技术（澳门）有限公司执行董事、远光软 件（北京）有限公司总经理、珠海远光软件产业有限公司监事，还担任珠海市锐创股权投资咨询中心（有 限合伙）执行事务合伙人、广东省依依关爱儿童基金会理事。</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向万红先生</w:t>
      </w:r>
      <w:r>
        <w:rPr>
          <w:color w:val="000000"/>
          <w:spacing w:val="0"/>
          <w:w w:val="100"/>
          <w:position w:val="0"/>
          <w:sz w:val="20"/>
          <w:szCs w:val="20"/>
        </w:rPr>
        <w:t>，职工代表董事、副总裁，中国国籍，</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sz w:val="20"/>
          <w:szCs w:val="20"/>
        </w:rPr>
        <w:t>年生。向万红先生自</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年在公司任职，历任 项目组经理、</w:t>
      </w:r>
      <w:r>
        <w:rPr>
          <w:rFonts w:ascii="Times New Roman" w:eastAsia="Times New Roman" w:hAnsi="Times New Roman" w:cs="Times New Roman"/>
          <w:color w:val="000000"/>
          <w:spacing w:val="0"/>
          <w:w w:val="100"/>
          <w:position w:val="0"/>
          <w:sz w:val="20"/>
          <w:szCs w:val="20"/>
        </w:rPr>
        <w:t>ERP</w:t>
      </w:r>
      <w:r>
        <w:rPr>
          <w:color w:val="000000"/>
          <w:spacing w:val="0"/>
          <w:w w:val="100"/>
          <w:position w:val="0"/>
          <w:sz w:val="20"/>
          <w:szCs w:val="20"/>
        </w:rPr>
        <w:t>软件部经理、总裁助理，并于</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月期间担任公司职工代表监事，目前 还担任公司工会主席，公司子公司珠海远光移动互联科技有限公司执行董事、经理，珠海市青年联合会委 员。向万红先生自</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年开始从事企业管理软件的研发工作，曾在长春市吉联软件公司、珠海市创我科技 公司任职。</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樊勇先生，</w:t>
      </w:r>
      <w:r>
        <w:rPr>
          <w:color w:val="000000"/>
          <w:spacing w:val="0"/>
          <w:w w:val="100"/>
          <w:position w:val="0"/>
          <w:sz w:val="20"/>
          <w:szCs w:val="20"/>
        </w:rPr>
        <w:t>独立董事，中国国籍，</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sz w:val="20"/>
          <w:szCs w:val="20"/>
        </w:rPr>
        <w:t>年出生，经济学博士。现任中央财经大学财政税务学院党委书 记，教授，博士生导师，中国税务学会理事、学术委员会副秘书长，兼任长城期货有限公司、江南基金管 理有限公司独立董事；先后毕业于江西财经大学经济信息管理专业、中国人民大学财政学专业，获财政学 博士；清华大学公共管理学院博士后；学术研究领域主要为财政税收理论与政策、政府及企业税务管理方 面，曾在《世界经济》《财贸经济》《经济理论与经济管理》《税务研究》《财政研究》《改革》等国内 重要学术期刊发表论文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多篇；主持国家社会科学基金、国家自然科学基金、北京市自然科学基金、北 京市社会科学基金、国家税务总局、商务部、财政部课题</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余项；出版著作</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本，工具书多本。主要承 担税收学、税收管理、中国税制、税收筹划等课程的教学工作；曾在基层税务、财政部门工作。</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亓峰先生，</w:t>
      </w:r>
      <w:r>
        <w:rPr>
          <w:color w:val="000000"/>
          <w:spacing w:val="0"/>
          <w:w w:val="100"/>
          <w:position w:val="0"/>
          <w:sz w:val="20"/>
          <w:szCs w:val="20"/>
        </w:rPr>
        <w:t>独立董事，中国国籍，</w:t>
      </w:r>
      <w:r>
        <w:rPr>
          <w:rFonts w:ascii="Times New Roman" w:eastAsia="Times New Roman" w:hAnsi="Times New Roman" w:cs="Times New Roman"/>
          <w:color w:val="000000"/>
          <w:spacing w:val="0"/>
          <w:w w:val="100"/>
          <w:position w:val="0"/>
          <w:sz w:val="20"/>
          <w:szCs w:val="20"/>
        </w:rPr>
        <w:t>1971</w:t>
      </w:r>
      <w:r>
        <w:rPr>
          <w:color w:val="000000"/>
          <w:spacing w:val="0"/>
          <w:w w:val="100"/>
          <w:position w:val="0"/>
          <w:sz w:val="20"/>
          <w:szCs w:val="20"/>
        </w:rPr>
        <w:t>年生，计算机应用硕士学历。现任北京邮电大学计算机学院教 授。目前还担任中国通信学会监事、</w:t>
      </w:r>
      <w:r>
        <w:rPr>
          <w:rFonts w:ascii="Times New Roman" w:eastAsia="Times New Roman" w:hAnsi="Times New Roman" w:cs="Times New Roman"/>
          <w:color w:val="000000"/>
          <w:spacing w:val="0"/>
          <w:w w:val="100"/>
          <w:position w:val="0"/>
          <w:sz w:val="20"/>
          <w:szCs w:val="20"/>
        </w:rPr>
        <w:t xml:space="preserve">ITU-T </w:t>
      </w:r>
      <w:r>
        <w:rPr>
          <w:color w:val="000000"/>
          <w:spacing w:val="0"/>
          <w:w w:val="100"/>
          <w:position w:val="0"/>
          <w:sz w:val="20"/>
          <w:szCs w:val="20"/>
        </w:rPr>
        <w:t>一致性评估指导委员会技术专家、全国区块链和分布式记账技 术标准化技术委员会委员、中国通信学会区块链专委会委员。曾任职于北京市天元伟业科技有限公司、北 京市天元网络技术股份有限公司、北京格林伟迪科技股份有限公司。</w:t>
      </w:r>
    </w:p>
    <w:p>
      <w:pPr>
        <w:pStyle w:val="Style33"/>
        <w:keepNext w:val="0"/>
        <w:keepLines w:val="0"/>
        <w:widowControl w:val="0"/>
        <w:shd w:val="clear" w:color="auto" w:fill="auto"/>
        <w:bidi w:val="0"/>
        <w:spacing w:before="0" w:after="0" w:line="314" w:lineRule="exact"/>
        <w:ind w:left="0" w:right="0" w:firstLine="360"/>
        <w:jc w:val="left"/>
        <w:rPr>
          <w:sz w:val="20"/>
          <w:szCs w:val="20"/>
        </w:rPr>
      </w:pPr>
      <w:r>
        <w:rPr>
          <w:b/>
          <w:bCs/>
          <w:color w:val="000000"/>
          <w:spacing w:val="0"/>
          <w:w w:val="100"/>
          <w:position w:val="0"/>
          <w:sz w:val="20"/>
          <w:szCs w:val="20"/>
        </w:rPr>
        <w:t>梁华权先生，</w:t>
      </w:r>
      <w:r>
        <w:rPr>
          <w:color w:val="000000"/>
          <w:spacing w:val="0"/>
          <w:w w:val="100"/>
          <w:position w:val="0"/>
          <w:sz w:val="20"/>
          <w:szCs w:val="20"/>
        </w:rPr>
        <w:t>独立董事，中国国籍，</w:t>
      </w:r>
      <w:r>
        <w:rPr>
          <w:rFonts w:ascii="Times New Roman" w:eastAsia="Times New Roman" w:hAnsi="Times New Roman" w:cs="Times New Roman"/>
          <w:color w:val="000000"/>
          <w:spacing w:val="0"/>
          <w:w w:val="100"/>
          <w:position w:val="0"/>
          <w:sz w:val="20"/>
          <w:szCs w:val="20"/>
        </w:rPr>
        <w:t>1981</w:t>
      </w:r>
      <w:r>
        <w:rPr>
          <w:color w:val="000000"/>
          <w:spacing w:val="0"/>
          <w:w w:val="100"/>
          <w:position w:val="0"/>
          <w:sz w:val="20"/>
          <w:szCs w:val="20"/>
        </w:rPr>
        <w:t>年生，企业管理硕士学历。现任正领管理咨询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 司总经理，兼任北进咨询（北京）有限公司执行董事及经理、深圳市实益达科技股份有限公司独立董事、 珠海恒基达鑫国际化工仓储股份有限公司独立董事、常州中英科技股份有限公司、深圳市酷开网络科技股 份有限公司（非上市）独立董事。曾任深圳市宇阳科技发展有限公司企管专员、中国航空技术深圳有限公 司高级财务专员、深圳证券交易所监管员、深圳信公企业管理咨询有限公司总经理、上海信公科技集团股 份有限公司董事。</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孙德生先生，</w:t>
      </w:r>
      <w:r>
        <w:rPr>
          <w:color w:val="000000"/>
          <w:spacing w:val="0"/>
          <w:w w:val="100"/>
          <w:position w:val="0"/>
          <w:sz w:val="20"/>
          <w:szCs w:val="20"/>
        </w:rPr>
        <w:t>监事会主席，中国国籍，</w:t>
      </w:r>
      <w:r>
        <w:rPr>
          <w:rFonts w:ascii="Times New Roman" w:eastAsia="Times New Roman" w:hAnsi="Times New Roman" w:cs="Times New Roman"/>
          <w:color w:val="000000"/>
          <w:spacing w:val="0"/>
          <w:w w:val="100"/>
          <w:position w:val="0"/>
          <w:sz w:val="20"/>
          <w:szCs w:val="20"/>
        </w:rPr>
        <w:t>1970</w:t>
      </w:r>
      <w:r>
        <w:rPr>
          <w:color w:val="000000"/>
          <w:spacing w:val="0"/>
          <w:w w:val="100"/>
          <w:position w:val="0"/>
          <w:sz w:val="20"/>
          <w:szCs w:val="20"/>
        </w:rPr>
        <w:t>年生，中共党员，硕士学位，高级会计师。现任持有公司</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以上股份股东国电电力发展股份有限公司的控股子公司国能电力工程管理有限公司党委委员、总会计师， 孙德生先生还担任河北银行股份有限公司董事、国电内蒙古上海庙热电有限公司监事会主席。孙德生先生 历任朝阳发电厂财务部副主任，东电茂霖水能发电有限公司财务部经理，国电东北分公司营销财务部财务 主管、营销财务部财务高级主管、财务产权部副主任、财务产权部主任，国电电力发展股份有限公司财务 产权部副主任、财务部主任兼财务共享中心筹备组组长、国电电力发展股份有限公司财务产权部主任。</w:t>
      </w:r>
    </w:p>
    <w:p>
      <w:pPr>
        <w:pStyle w:val="Style33"/>
        <w:keepNext w:val="0"/>
        <w:keepLines w:val="0"/>
        <w:widowControl w:val="0"/>
        <w:shd w:val="clear" w:color="auto" w:fill="auto"/>
        <w:bidi w:val="0"/>
        <w:spacing w:before="0" w:after="0" w:line="314" w:lineRule="exact"/>
        <w:ind w:left="0" w:right="0" w:firstLine="300"/>
        <w:jc w:val="both"/>
        <w:rPr>
          <w:sz w:val="20"/>
          <w:szCs w:val="20"/>
        </w:rPr>
      </w:pPr>
      <w:r>
        <w:rPr>
          <w:b/>
          <w:bCs/>
          <w:color w:val="000000"/>
          <w:spacing w:val="0"/>
          <w:w w:val="100"/>
          <w:position w:val="0"/>
          <w:sz w:val="20"/>
          <w:szCs w:val="20"/>
        </w:rPr>
        <w:t>马旭先生，</w:t>
      </w:r>
      <w:r>
        <w:rPr>
          <w:color w:val="000000"/>
          <w:spacing w:val="0"/>
          <w:w w:val="100"/>
          <w:position w:val="0"/>
          <w:sz w:val="20"/>
          <w:szCs w:val="20"/>
        </w:rPr>
        <w:t>监事，中国国籍，</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年生，大学学历，高级政工师，现任公司控股股东国网电子商务有 限公司人力资源部（党委组织部）副主任、国网雄安金融科技集团有限公司人力资源部（党委组织部）副 主任。马旭先生历任国网山东省电力公司枣庄供电公司信息中心作业员、监察部（纪委办公室）纪检员、 党群工作部（工会、团委）副主任、团委书记、监察部（纪委办公室）副主任（主持工作）、纪委副书记， 国网电子商务有限公司、国网雄安金融科技集团有限公司党建工作部主管、主任助理，党委党建部（纪委 办公室、巡察办）主任助理、副主任。</w:t>
      </w:r>
    </w:p>
    <w:p>
      <w:pPr>
        <w:pStyle w:val="Style33"/>
        <w:keepNext w:val="0"/>
        <w:keepLines w:val="0"/>
        <w:widowControl w:val="0"/>
        <w:shd w:val="clear" w:color="auto" w:fill="auto"/>
        <w:bidi w:val="0"/>
        <w:spacing w:before="0" w:after="0" w:line="314" w:lineRule="exact"/>
        <w:ind w:left="0" w:right="0" w:firstLine="480"/>
        <w:jc w:val="left"/>
        <w:rPr>
          <w:sz w:val="20"/>
          <w:szCs w:val="20"/>
        </w:rPr>
      </w:pPr>
      <w:r>
        <w:rPr>
          <w:b/>
          <w:bCs/>
          <w:color w:val="000000"/>
          <w:spacing w:val="0"/>
          <w:w w:val="100"/>
          <w:position w:val="0"/>
          <w:sz w:val="20"/>
          <w:szCs w:val="20"/>
        </w:rPr>
        <w:t>卢峰女士</w:t>
      </w:r>
      <w:r>
        <w:rPr>
          <w:color w:val="000000"/>
          <w:spacing w:val="0"/>
          <w:w w:val="100"/>
          <w:position w:val="0"/>
          <w:sz w:val="20"/>
          <w:szCs w:val="20"/>
        </w:rPr>
        <w:t>，监事，中国国籍，</w:t>
      </w:r>
      <w:r>
        <w:rPr>
          <w:rFonts w:ascii="Times New Roman" w:eastAsia="Times New Roman" w:hAnsi="Times New Roman" w:cs="Times New Roman"/>
          <w:color w:val="000000"/>
          <w:spacing w:val="0"/>
          <w:w w:val="100"/>
          <w:position w:val="0"/>
          <w:sz w:val="20"/>
          <w:szCs w:val="20"/>
        </w:rPr>
        <w:t>1980</w:t>
      </w:r>
      <w:r>
        <w:rPr>
          <w:color w:val="000000"/>
          <w:spacing w:val="0"/>
          <w:w w:val="100"/>
          <w:position w:val="0"/>
          <w:sz w:val="20"/>
          <w:szCs w:val="20"/>
        </w:rPr>
        <w:t>年生，硕士研究生学历，高级职称，现任控股股东国网电子商务 有限公司法务风控部（纪检审计部）综合处处长，国网雄安金融科技集团有限公司法务风控部（纪检审计 部）综合处处长。同时，还担任天津英大金财旅行社有限公司监事、国网商旅云技术有限公司监事、国网 智联电商（沈阳）有限公司监事、国网智联电商（长沙）有限公司监事、国网智联电商（太原）有限公司、 国网电商物联科技（厦门）有限公司、国网智联（吉林）新能源有限公司监事。</w:t>
      </w:r>
    </w:p>
    <w:p>
      <w:pPr>
        <w:pStyle w:val="Style33"/>
        <w:keepNext w:val="0"/>
        <w:keepLines w:val="0"/>
        <w:widowControl w:val="0"/>
        <w:shd w:val="clear" w:color="auto" w:fill="auto"/>
        <w:bidi w:val="0"/>
        <w:spacing w:before="0" w:after="0" w:line="319" w:lineRule="exact"/>
        <w:ind w:left="0" w:right="0" w:firstLine="440"/>
        <w:jc w:val="both"/>
        <w:rPr>
          <w:sz w:val="20"/>
          <w:szCs w:val="20"/>
        </w:rPr>
      </w:pPr>
      <w:r>
        <w:rPr>
          <w:b/>
          <w:bCs/>
          <w:color w:val="000000"/>
          <w:spacing w:val="0"/>
          <w:w w:val="100"/>
          <w:position w:val="0"/>
          <w:sz w:val="20"/>
          <w:szCs w:val="20"/>
        </w:rPr>
        <w:t>薛婷女士</w:t>
      </w:r>
      <w:r>
        <w:rPr>
          <w:color w:val="000000"/>
          <w:spacing w:val="0"/>
          <w:w w:val="100"/>
          <w:position w:val="0"/>
          <w:sz w:val="20"/>
          <w:szCs w:val="20"/>
        </w:rPr>
        <w:t>，职工代表监事，中国国籍，</w:t>
      </w:r>
      <w:r>
        <w:rPr>
          <w:rFonts w:ascii="Times New Roman" w:eastAsia="Times New Roman" w:hAnsi="Times New Roman" w:cs="Times New Roman"/>
          <w:color w:val="000000"/>
          <w:spacing w:val="0"/>
          <w:w w:val="100"/>
          <w:position w:val="0"/>
          <w:sz w:val="20"/>
          <w:szCs w:val="20"/>
        </w:rPr>
        <w:t>1989</w:t>
      </w:r>
      <w:r>
        <w:rPr>
          <w:color w:val="000000"/>
          <w:spacing w:val="0"/>
          <w:w w:val="100"/>
          <w:position w:val="0"/>
          <w:sz w:val="20"/>
          <w:szCs w:val="20"/>
        </w:rPr>
        <w:t>年生，本科学历，自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年大学毕业以来薛婷女士一直 在公司任职，现担任公司人力资源部营销</w:t>
      </w:r>
      <w:r>
        <w:rPr>
          <w:rFonts w:ascii="Times New Roman" w:eastAsia="Times New Roman" w:hAnsi="Times New Roman" w:cs="Times New Roman"/>
          <w:color w:val="000000"/>
          <w:spacing w:val="0"/>
          <w:w w:val="100"/>
          <w:position w:val="0"/>
          <w:sz w:val="20"/>
          <w:szCs w:val="20"/>
        </w:rPr>
        <w:t>HRBP</w:t>
      </w:r>
      <w:r>
        <w:rPr>
          <w:color w:val="000000"/>
          <w:spacing w:val="0"/>
          <w:w w:val="100"/>
          <w:position w:val="0"/>
          <w:sz w:val="20"/>
          <w:szCs w:val="20"/>
        </w:rPr>
        <w:t>经理职务。</w:t>
      </w:r>
    </w:p>
    <w:p>
      <w:pPr>
        <w:pStyle w:val="Style33"/>
        <w:keepNext w:val="0"/>
        <w:keepLines w:val="0"/>
        <w:widowControl w:val="0"/>
        <w:shd w:val="clear" w:color="auto" w:fill="auto"/>
        <w:bidi w:val="0"/>
        <w:spacing w:before="0" w:after="0" w:line="319" w:lineRule="exact"/>
        <w:ind w:left="0" w:right="0" w:firstLine="440"/>
        <w:jc w:val="both"/>
        <w:rPr>
          <w:sz w:val="20"/>
          <w:szCs w:val="20"/>
        </w:rPr>
      </w:pPr>
      <w:r>
        <w:rPr>
          <w:b/>
          <w:bCs/>
          <w:color w:val="000000"/>
          <w:spacing w:val="0"/>
          <w:w w:val="100"/>
          <w:position w:val="0"/>
          <w:sz w:val="20"/>
          <w:szCs w:val="20"/>
        </w:rPr>
        <w:t>王意涵女士，</w:t>
      </w:r>
      <w:r>
        <w:rPr>
          <w:color w:val="000000"/>
          <w:spacing w:val="0"/>
          <w:w w:val="100"/>
          <w:position w:val="0"/>
          <w:sz w:val="20"/>
          <w:szCs w:val="20"/>
        </w:rPr>
        <w:t>职工代表监事，中国国籍，</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年生，中共党员，本科学历，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年进入公司，现任办 公室（党委办公室）副主任。</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秦秀芬女士，</w:t>
      </w:r>
      <w:r>
        <w:rPr>
          <w:color w:val="000000"/>
          <w:spacing w:val="0"/>
          <w:w w:val="100"/>
          <w:position w:val="0"/>
          <w:sz w:val="20"/>
          <w:szCs w:val="20"/>
        </w:rPr>
        <w:t>高级副总裁，中国国籍，</w:t>
      </w:r>
      <w:r>
        <w:rPr>
          <w:rFonts w:ascii="Times New Roman" w:eastAsia="Times New Roman" w:hAnsi="Times New Roman" w:cs="Times New Roman"/>
          <w:color w:val="000000"/>
          <w:spacing w:val="0"/>
          <w:w w:val="100"/>
          <w:position w:val="0"/>
          <w:sz w:val="20"/>
          <w:szCs w:val="20"/>
        </w:rPr>
        <w:t>1979</w:t>
      </w:r>
      <w:r>
        <w:rPr>
          <w:color w:val="000000"/>
          <w:spacing w:val="0"/>
          <w:w w:val="100"/>
          <w:position w:val="0"/>
          <w:sz w:val="20"/>
          <w:szCs w:val="20"/>
        </w:rPr>
        <w:t>年生，研究生学历。自</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年以来，秦秀芬女士一直在公 司任职，历任项目经理、实施中心副总经理、南方区总经理、营销管理部总经理、营销总监、副总裁。</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李美平先生</w:t>
      </w:r>
      <w:r>
        <w:rPr>
          <w:color w:val="000000"/>
          <w:spacing w:val="0"/>
          <w:w w:val="100"/>
          <w:position w:val="0"/>
          <w:sz w:val="20"/>
          <w:szCs w:val="20"/>
        </w:rPr>
        <w:t>，高级副总裁，中国国籍，</w:t>
      </w:r>
      <w:r>
        <w:rPr>
          <w:rFonts w:ascii="Times New Roman" w:eastAsia="Times New Roman" w:hAnsi="Times New Roman" w:cs="Times New Roman"/>
          <w:color w:val="000000"/>
          <w:spacing w:val="0"/>
          <w:w w:val="100"/>
          <w:position w:val="0"/>
          <w:sz w:val="20"/>
          <w:szCs w:val="20"/>
        </w:rPr>
        <w:t>1979</w:t>
      </w:r>
      <w:r>
        <w:rPr>
          <w:color w:val="000000"/>
          <w:spacing w:val="0"/>
          <w:w w:val="100"/>
          <w:position w:val="0"/>
          <w:sz w:val="20"/>
          <w:szCs w:val="20"/>
        </w:rPr>
        <w:t>年生，中共党员，研究生学历。</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月加入公司，先 后从事客户支持中心、质量管理部、实施中心、产品管理部等工作，历任实施中心总经理、实施总监、副 总裁。目前还担任公司子公司珠海智行慧达商务旅行社有限公司执行董事。</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简露然先生</w:t>
      </w:r>
      <w:r>
        <w:rPr>
          <w:color w:val="000000"/>
          <w:spacing w:val="0"/>
          <w:w w:val="100"/>
          <w:position w:val="0"/>
          <w:sz w:val="20"/>
          <w:szCs w:val="20"/>
        </w:rPr>
        <w:t>，高级副总裁，中国国籍，</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年生，大学学历。自</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年以来，简露然先生一直在公司 任职，先后从事营销管理、服务管理、客户化开发管理、公司信息化建设等工作，历任市场总监、营销总 监、服务总监、副总裁。目前还担任远光资本管理（横琴）有限公司监事、珠海高远电能科技有限公司董 事兼总经理、远光能源互联网产业发展（横琴）有限公司董事、珠海远光晴天能源科技有限公司董事兼总 经理、佛山市晴方太阳能科技有限公司执行董事兼经理、珠海简能星物联网技术中心（有限合伙）执行事 务合伙人。</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毛华夏先生</w:t>
      </w:r>
      <w:r>
        <w:rPr>
          <w:color w:val="000000"/>
          <w:spacing w:val="0"/>
          <w:w w:val="100"/>
          <w:position w:val="0"/>
          <w:sz w:val="20"/>
          <w:szCs w:val="20"/>
        </w:rPr>
        <w:t>，高级副总裁、财务总监，中国国籍，</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sz w:val="20"/>
          <w:szCs w:val="20"/>
        </w:rPr>
        <w:t>年生，会计师，获中欧国际工商学院</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sz w:val="20"/>
          <w:szCs w:val="20"/>
        </w:rPr>
        <w:t>学 位。目前还担任公司子公司远光资本管理（横琴）有限公司董事、佛山市晴方太阳能科技有限公司监事、 广东省依依关爱儿童基金会监事职务。毛华夏先生曾任职于湖南汽车车桥厂、三九珠海九阳保健品厂。</w:t>
      </w:r>
      <w:r>
        <w:rPr>
          <w:rFonts w:ascii="Times New Roman" w:eastAsia="Times New Roman" w:hAnsi="Times New Roman" w:cs="Times New Roman"/>
          <w:color w:val="000000"/>
          <w:spacing w:val="0"/>
          <w:w w:val="100"/>
          <w:position w:val="0"/>
          <w:sz w:val="20"/>
          <w:szCs w:val="20"/>
        </w:rPr>
        <w:t xml:space="preserve">1998 </w:t>
      </w:r>
      <w:r>
        <w:rPr>
          <w:color w:val="000000"/>
          <w:spacing w:val="0"/>
          <w:w w:val="100"/>
          <w:position w:val="0"/>
          <w:sz w:val="20"/>
          <w:szCs w:val="20"/>
        </w:rPr>
        <w:t>年加入公司，先后从事软件研发、技术服务、市场营销及财务管理工作，历任客户服务部经理、市场部经 理、财务部经理、副总裁等职务。</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姚国全先生，</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年生，目前还担任远光软件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武汉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有限公司执行董事。姚国全 先生曾任职于江苏冶金机械厂、金蝶软件江苏分公司、珠海宏桥高科技公司。</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年加入公司，先后从事 实施项目管理、产品管理、业务发展管理工作，历任公司多个大型项目的项目经理、实施中心总经理、产 品管理部总经理、</w:t>
      </w:r>
      <w:r>
        <w:rPr>
          <w:rFonts w:ascii="Times New Roman" w:eastAsia="Times New Roman" w:hAnsi="Times New Roman" w:cs="Times New Roman"/>
          <w:color w:val="000000"/>
          <w:spacing w:val="0"/>
          <w:w w:val="100"/>
          <w:position w:val="0"/>
          <w:sz w:val="20"/>
          <w:szCs w:val="20"/>
        </w:rPr>
        <w:t>GRIS</w:t>
      </w:r>
      <w:r>
        <w:rPr>
          <w:color w:val="000000"/>
          <w:spacing w:val="0"/>
          <w:w w:val="100"/>
          <w:position w:val="0"/>
          <w:sz w:val="20"/>
          <w:szCs w:val="20"/>
        </w:rPr>
        <w:t>事业部总经理、总监等职务。</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毕伟先生，</w:t>
      </w:r>
      <w:r>
        <w:rPr>
          <w:color w:val="000000"/>
          <w:spacing w:val="0"/>
          <w:w w:val="100"/>
          <w:position w:val="0"/>
          <w:sz w:val="20"/>
          <w:szCs w:val="20"/>
        </w:rPr>
        <w:t>总工程师，中国国籍，</w:t>
      </w:r>
      <w:r>
        <w:rPr>
          <w:rFonts w:ascii="Times New Roman" w:eastAsia="Times New Roman" w:hAnsi="Times New Roman" w:cs="Times New Roman"/>
          <w:color w:val="000000"/>
          <w:spacing w:val="0"/>
          <w:w w:val="100"/>
          <w:position w:val="0"/>
          <w:sz w:val="20"/>
          <w:szCs w:val="20"/>
        </w:rPr>
        <w:t>1976</w:t>
      </w:r>
      <w:r>
        <w:rPr>
          <w:color w:val="000000"/>
          <w:spacing w:val="0"/>
          <w:w w:val="100"/>
          <w:position w:val="0"/>
          <w:sz w:val="20"/>
          <w:szCs w:val="20"/>
        </w:rPr>
        <w:t>年生，工程师。</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年加入公司，历任开发工程师、开发经理、 设计经理、产品经理、首席程序员、部门副总经理、部门总经理、首席技术架构师、研发总监。</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王志刚先生，</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1979</w:t>
      </w:r>
      <w:r>
        <w:rPr>
          <w:color w:val="000000"/>
          <w:spacing w:val="0"/>
          <w:w w:val="100"/>
          <w:position w:val="0"/>
          <w:sz w:val="20"/>
          <w:szCs w:val="20"/>
        </w:rPr>
        <w:t>年生，软件工程硕士。</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月加入公司，先后从事开发、 服务、销售等工作，历任客户支持部经理、发电集团事业部副总经理、总经理、华中区域总经理、客户总 监。报告期还担任长沙远光瑞翔科技有限公司监事、北京智和管理咨询有限公司董事长、南京远光广安信 息科技有限公司董事长、杭州昊美科技有限公司副董事长。</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陈婷女士，</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1979</w:t>
      </w:r>
      <w:r>
        <w:rPr>
          <w:color w:val="000000"/>
          <w:spacing w:val="0"/>
          <w:w w:val="100"/>
          <w:position w:val="0"/>
          <w:sz w:val="20"/>
          <w:szCs w:val="20"/>
        </w:rPr>
        <w:t>年生，中共党员，本科管理学、法学双学士学历。</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年加入公 司，历任咨询及实施中心副总经理、</w:t>
      </w:r>
      <w:r>
        <w:rPr>
          <w:rFonts w:ascii="Times New Roman" w:eastAsia="Times New Roman" w:hAnsi="Times New Roman" w:cs="Times New Roman"/>
          <w:color w:val="000000"/>
          <w:spacing w:val="0"/>
          <w:w w:val="100"/>
          <w:position w:val="0"/>
          <w:sz w:val="20"/>
          <w:szCs w:val="20"/>
        </w:rPr>
        <w:t>GRIS</w:t>
      </w:r>
      <w:r>
        <w:rPr>
          <w:color w:val="000000"/>
          <w:spacing w:val="0"/>
          <w:w w:val="100"/>
          <w:position w:val="0"/>
          <w:sz w:val="20"/>
          <w:szCs w:val="20"/>
        </w:rPr>
        <w:t>事业部副总经理、共享服务业务总监、集团客户事业部总经理等 职务。</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曾增先生</w:t>
      </w:r>
      <w:r>
        <w:rPr>
          <w:color w:val="000000"/>
          <w:spacing w:val="0"/>
          <w:w w:val="100"/>
          <w:position w:val="0"/>
          <w:sz w:val="20"/>
          <w:szCs w:val="20"/>
        </w:rPr>
        <w:t>，副总裁，公司党委委员。中国国籍，</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sz w:val="20"/>
          <w:szCs w:val="20"/>
        </w:rPr>
        <w:t>年生，中共党员，本科学历。自</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年以来，曾 增先生一直在公司任职，目前还担任公司电力行业一部总经理，历任公司项目经理、实施中心副总经理、 电力行业一部副总经理。</w:t>
      </w:r>
    </w:p>
    <w:p>
      <w:pPr>
        <w:pStyle w:val="Style33"/>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郑佩敏女士</w:t>
      </w:r>
      <w:r>
        <w:rPr>
          <w:color w:val="000000"/>
          <w:spacing w:val="0"/>
          <w:w w:val="100"/>
          <w:position w:val="0"/>
          <w:sz w:val="20"/>
          <w:szCs w:val="20"/>
        </w:rPr>
        <w:t>，副总裁，中国香港，</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年生，获香港浸会大学</w:t>
      </w:r>
      <w:r>
        <w:rPr>
          <w:rFonts w:ascii="Times New Roman" w:eastAsia="Times New Roman" w:hAnsi="Times New Roman" w:cs="Times New Roman"/>
          <w:color w:val="000000"/>
          <w:spacing w:val="0"/>
          <w:w w:val="100"/>
          <w:position w:val="0"/>
          <w:sz w:val="20"/>
          <w:szCs w:val="20"/>
        </w:rPr>
        <w:t>MBA</w:t>
      </w:r>
      <w:r>
        <w:rPr>
          <w:color w:val="000000"/>
          <w:spacing w:val="0"/>
          <w:w w:val="100"/>
          <w:position w:val="0"/>
          <w:sz w:val="20"/>
          <w:szCs w:val="20"/>
        </w:rPr>
        <w:t>学位。自</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年以来，郑佩敏女士 一直在公司任职，先后从事人力资源管理、行政管理、流程管理等工作，历任人事行政部经理、企业管理 办公室主任、行政总监。目前还担任公司子公司远光软件（北京）有限公司监事。</w:t>
      </w:r>
    </w:p>
    <w:p>
      <w:pPr>
        <w:pStyle w:val="Style33"/>
        <w:keepNext w:val="0"/>
        <w:keepLines w:val="0"/>
        <w:widowControl w:val="0"/>
        <w:shd w:val="clear" w:color="auto" w:fill="auto"/>
        <w:bidi w:val="0"/>
        <w:spacing w:before="0" w:after="0" w:line="320" w:lineRule="exact"/>
        <w:ind w:left="0" w:right="0" w:firstLine="440"/>
        <w:jc w:val="both"/>
        <w:rPr>
          <w:sz w:val="20"/>
          <w:szCs w:val="20"/>
        </w:rPr>
      </w:pPr>
      <w:r>
        <w:rPr>
          <w:b/>
          <w:bCs/>
          <w:color w:val="000000"/>
          <w:spacing w:val="0"/>
          <w:w w:val="100"/>
          <w:position w:val="0"/>
          <w:sz w:val="20"/>
          <w:szCs w:val="20"/>
        </w:rPr>
        <w:t>袁绣华女士，</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sz w:val="20"/>
          <w:szCs w:val="20"/>
        </w:rPr>
        <w:t>年生，中共党员，南昌大学计算机科学专业本科，高级人力资 源管理师。袁绣华女士曾任职于双喜电器有限公司、魅族科技有限公司、金蝶软件股份有限公司、珠海云 洲智能科技有限公司。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年加入公司，从事公司人力资源管理工作，历任人力资源经理、人力资源总监 等职务。</w:t>
      </w:r>
    </w:p>
    <w:p>
      <w:pPr>
        <w:pStyle w:val="Style33"/>
        <w:keepNext w:val="0"/>
        <w:keepLines w:val="0"/>
        <w:widowControl w:val="0"/>
        <w:shd w:val="clear" w:color="auto" w:fill="auto"/>
        <w:bidi w:val="0"/>
        <w:spacing w:before="0" w:after="0" w:line="320" w:lineRule="exact"/>
        <w:ind w:left="0" w:right="0" w:firstLine="440"/>
        <w:jc w:val="both"/>
        <w:rPr>
          <w:sz w:val="20"/>
          <w:szCs w:val="20"/>
        </w:rPr>
      </w:pPr>
      <w:r>
        <w:rPr>
          <w:b/>
          <w:bCs/>
          <w:color w:val="000000"/>
          <w:spacing w:val="0"/>
          <w:w w:val="100"/>
          <w:position w:val="0"/>
          <w:sz w:val="20"/>
          <w:szCs w:val="20"/>
        </w:rPr>
        <w:t>李永华先生，</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1977</w:t>
      </w:r>
      <w:r>
        <w:rPr>
          <w:color w:val="000000"/>
          <w:spacing w:val="0"/>
          <w:w w:val="100"/>
          <w:position w:val="0"/>
          <w:sz w:val="20"/>
          <w:szCs w:val="20"/>
        </w:rPr>
        <w:t>年生，研究生学历，</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年加入公司，历任行政经理、行政管</w:t>
        <w:br w:type="page"/>
      </w:r>
      <w:r>
        <w:rPr>
          <w:color w:val="000000"/>
          <w:spacing w:val="0"/>
          <w:w w:val="100"/>
          <w:position w:val="0"/>
          <w:sz w:val="20"/>
          <w:szCs w:val="20"/>
        </w:rPr>
        <w:t>理部经理、行政总监。</w:t>
      </w:r>
    </w:p>
    <w:p>
      <w:pPr>
        <w:pStyle w:val="Style33"/>
        <w:keepNext w:val="0"/>
        <w:keepLines w:val="0"/>
        <w:widowControl w:val="0"/>
        <w:shd w:val="clear" w:color="auto" w:fill="auto"/>
        <w:bidi w:val="0"/>
        <w:spacing w:before="0" w:after="140" w:line="298" w:lineRule="exact"/>
        <w:ind w:left="0" w:right="0" w:firstLine="440"/>
        <w:jc w:val="both"/>
        <w:rPr>
          <w:sz w:val="20"/>
          <w:szCs w:val="20"/>
        </w:rPr>
      </w:pPr>
      <w:r>
        <w:rPr>
          <w:b/>
          <w:bCs/>
          <w:color w:val="000000"/>
          <w:spacing w:val="0"/>
          <w:w w:val="100"/>
          <w:position w:val="0"/>
          <w:sz w:val="20"/>
          <w:szCs w:val="20"/>
        </w:rPr>
        <w:t>宋小松先生</w:t>
      </w:r>
      <w:r>
        <w:rPr>
          <w:color w:val="000000"/>
          <w:spacing w:val="0"/>
          <w:w w:val="100"/>
          <w:position w:val="0"/>
          <w:sz w:val="20"/>
          <w:szCs w:val="20"/>
        </w:rPr>
        <w:t>，副总裁，中国国籍，</w:t>
      </w:r>
      <w:r>
        <w:rPr>
          <w:rFonts w:ascii="Times New Roman" w:eastAsia="Times New Roman" w:hAnsi="Times New Roman" w:cs="Times New Roman"/>
          <w:color w:val="000000"/>
          <w:spacing w:val="0"/>
          <w:w w:val="100"/>
          <w:position w:val="0"/>
          <w:sz w:val="20"/>
          <w:szCs w:val="20"/>
        </w:rPr>
        <w:t>1981</w:t>
      </w:r>
      <w:r>
        <w:rPr>
          <w:color w:val="000000"/>
          <w:spacing w:val="0"/>
          <w:w w:val="100"/>
          <w:position w:val="0"/>
          <w:sz w:val="20"/>
          <w:szCs w:val="20"/>
        </w:rPr>
        <w:t>年生，中共党员，电力系统专业硕士学历，高级工程师。先后 在国网北京市电力公司调度控制处、计划处、系统处工作任高级管理人员。兼任远光能源互联网产业发展 （横琴）有限公司董事、总经理。</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在股东单位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总法律顾问、</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企业管理与</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法律事务部</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财务资产部</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（资本运营</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人力资源部</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（党委组织</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部）副主任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法务风控部</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（纪检审计 部）综合处处 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杭州昊美科技有限公司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珠海远光软件产业有限公司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珠海远光晴天能源科技有限公司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珠海市载舟企业管理有限公司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珠海市浩天投资有限公司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理事兼秘书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北京太阳宫燃气热电有限公司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国电内蒙古上海庙热电有限公司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财务资产部</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（资本运营</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中心）主任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远光信息技术（澳门）有限公司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珠海市锐创股权投资咨询中心（有限合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向万红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珠海远光移动互联科技有限公司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执行董事、经</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樊勇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长城期货有限公司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樊勇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江南基金管理有限公司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梁华权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正领管理咨询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深圳市实益达科技股份有限公司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珠海恒基达鑫国际化工仓储股份有限公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常州中英科技股份有限公司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深圳市酷开网络科技股份有限公司（非上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北进咨询（北京）有限公司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执行董事及</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孙德生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国电内蒙古上海庙热电有限公司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孙德生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国能电力工程管理有限公司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党委委员、总 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人力资源部</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（党委组织</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部）副主任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法务风控部</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（纪检审计 部）综合处处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天津英大金财旅行社有限公司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国网商旅云技术有限公司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国网智联电商（沈阳）有限公司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国网智联电商（长沙）有限公司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国网智联电商（太原）有限公司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国网电商物联科技（厦门）有限公司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国网智联（吉林）新能源有限公司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珠海智行慧达商务旅行社有限公司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简露然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远光资本管理（横琴）有限公司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珠海远光晴天能源科技有限公司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佛山市晴方太阳能科技有限公司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珠海简能星物联网技术中心（有限合伙）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佛山市晴方太阳能科技有限公司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姚国全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长沙远光瑞翔科技有限公司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北京智和管理咨询有限公司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南京远光广安信息科技有限公司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杭州昊美科技有限公司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郑佩敏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宋小松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远光能源互联网产业发展（横琴）有限公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董事兼总经 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、董事、监事、高级管理人员报酬情况</w:t>
      </w:r>
      <w:bookmarkEnd w:id="298"/>
      <w:bookmarkEnd w:id="299"/>
      <w:bookmarkEnd w:id="301"/>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董事会在年初制定经营管理层本年度的考核方案，年末根据会计师事务所的财务审计报告，对管理层的经营业绩进行考 核，并实施奖励与惩罚；对高级管理人员的其他奖励由董事会审议决定。董事、监事的薪酬方案提交股东大会决定。</w:t>
      </w:r>
    </w:p>
    <w:p>
      <w:pPr>
        <w:pStyle w:val="Style18"/>
        <w:keepNext w:val="0"/>
        <w:keepLines w:val="0"/>
        <w:widowControl w:val="0"/>
        <w:shd w:val="clear" w:color="auto" w:fill="auto"/>
        <w:bidi w:val="0"/>
        <w:spacing w:before="0" w:after="160" w:line="312" w:lineRule="exact"/>
        <w:ind w:left="0" w:right="0" w:firstLine="380"/>
        <w:jc w:val="left"/>
      </w:pPr>
      <w:r>
        <w:rPr>
          <w:color w:val="000000"/>
          <w:spacing w:val="0"/>
          <w:w w:val="100"/>
          <w:position w:val="0"/>
        </w:rPr>
        <w:t>非独立董事，若未在公司担任董事以外的其他职务，则不在公司领取薪酬；若同时还担任公司管理职务，则按照其职务 相应的薪酬政策领取薪酬，公司不再另行支付董事薪酬；</w:t>
      </w:r>
      <w:r>
        <w:br w:type="page"/>
      </w:r>
    </w:p>
    <w:p>
      <w:pPr>
        <w:pStyle w:val="Style18"/>
        <w:keepNext w:val="0"/>
        <w:keepLines w:val="0"/>
        <w:widowControl w:val="0"/>
        <w:shd w:val="clear" w:color="auto" w:fill="auto"/>
        <w:bidi w:val="0"/>
        <w:spacing w:before="0" w:after="0" w:line="302" w:lineRule="exact"/>
        <w:ind w:left="0" w:right="0" w:firstLine="360"/>
        <w:jc w:val="left"/>
      </w:pPr>
      <w:r>
        <w:rPr>
          <w:color w:val="000000"/>
          <w:spacing w:val="0"/>
          <w:w w:val="100"/>
          <w:position w:val="0"/>
        </w:rPr>
        <w:t>独立董事薪酬根据股东大会审议确定的标准执行。</w:t>
      </w:r>
    </w:p>
    <w:p>
      <w:pPr>
        <w:pStyle w:val="Style18"/>
        <w:keepNext w:val="0"/>
        <w:keepLines w:val="0"/>
        <w:widowControl w:val="0"/>
        <w:shd w:val="clear" w:color="auto" w:fill="auto"/>
        <w:bidi w:val="0"/>
        <w:spacing w:before="0" w:after="0" w:line="302" w:lineRule="exact"/>
        <w:ind w:left="0" w:right="0" w:firstLine="360"/>
        <w:jc w:val="left"/>
      </w:pPr>
      <w:r>
        <w:rPr>
          <w:color w:val="000000"/>
          <w:spacing w:val="0"/>
          <w:w w:val="100"/>
          <w:position w:val="0"/>
        </w:rPr>
        <w:t>监事若未在公司担任监事以外的其他职务，则不在公司领取薪酬；若同时还担任公司其他职务，则按照其职务相应的薪 酬政策领取薪酬，公司不再另行支付监事薪酬。</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高级管理人员的薪酬将以其履职情况为基础，结合公司所处行业的薪酬水平和经营目标实现情况，依据公司工资制度和考核 办法确定其薪酬。</w:t>
      </w:r>
    </w:p>
    <w:p>
      <w:pPr>
        <w:pStyle w:val="Style18"/>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向万红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职工代表董事、 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樊勇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孙德生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王意涵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秦秀芬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高级副总裁、财 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姚国全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郑佩敏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袁绣华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李永华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宋小松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1,581.17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六</w:t>
      </w:r>
      <w:bookmarkEnd w:id="304"/>
      <w:r>
        <w:rPr>
          <w:color w:val="000000"/>
          <w:spacing w:val="0"/>
          <w:w w:val="100"/>
          <w:position w:val="0"/>
        </w:rPr>
        <w:t>、报告期内董事履行职责的情况</w:t>
      </w:r>
      <w:bookmarkEnd w:id="302"/>
      <w:bookmarkEnd w:id="303"/>
      <w:bookmarkEnd w:id="305"/>
    </w:p>
    <w:p>
      <w:pPr>
        <w:pStyle w:val="Style29"/>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、本报告期董事会情况</w:t>
      </w:r>
      <w:bookmarkEnd w:id="306"/>
      <w:bookmarkEnd w:id="307"/>
      <w:bookmarkEnd w:id="309"/>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《关于计提</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年度资产减值准备的议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《关于聘任高级管理人 员的议案》</w:t>
            </w:r>
          </w:p>
        </w:tc>
      </w:tr>
      <w:tr>
        <w:trPr>
          <w:trHeight w:val="47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 事会工作报告》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度财务决算报告》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度利润分配预案》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年度报告》及摘要</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度内部控制自我评价报告》</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年度社会责任报告》</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《关于申请银行授信额度的 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《关于会计政策变更 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《关于公司〈未来三 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年）股东 回报规划〉的议案》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年第一季度报告全文》及正文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 东大会的议案》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审议通过了：《关于聘任公司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审议通过了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 报告》全文及摘要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 季度报告》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《关于挂牌转让 控股子公司股权及债权的议 案》</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第七届董事会第九次会议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1138" w:val="left"/>
              </w:tabs>
              <w:bidi w:val="0"/>
              <w:spacing w:before="0" w:after="0" w:line="310" w:lineRule="exact"/>
              <w:ind w:left="0" w:right="0" w:firstLine="0"/>
              <w:jc w:val="left"/>
              <w:rPr>
                <w:sz w:val="17"/>
                <w:szCs w:val="17"/>
              </w:rPr>
            </w:pPr>
            <w:r>
              <w:rPr>
                <w:color w:val="000000"/>
                <w:spacing w:val="0"/>
                <w:w w:val="100"/>
                <w:position w:val="0"/>
                <w:sz w:val="17"/>
                <w:szCs w:val="17"/>
              </w:rPr>
              <w:t>审议通过了：</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w:t>
            </w:r>
          </w:p>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票期权激励计划（草案）》及 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年股票期权激 励计划管理办法》</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股票期权激励计划实施考核 管理办法》</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《关于提请股东 大会授权董事会办理公司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年股票期权激励计划有 关事项的议案》</w:t>
            </w:r>
          </w:p>
        </w:tc>
      </w:tr>
      <w:tr>
        <w:trPr>
          <w:trHeight w:val="32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第七届董事会第十次会议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 xml:space="preserve">审议通过了：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《关于对</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年度日常关联交易金额进行 预计的议案》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《关于运用自 有资金进行短期理财的议案》</w:t>
            </w:r>
          </w:p>
          <w:p>
            <w:pPr>
              <w:pStyle w:val="Style20"/>
              <w:keepNext w:val="0"/>
              <w:keepLines w:val="0"/>
              <w:widowControl w:val="0"/>
              <w:numPr>
                <w:ilvl w:val="0"/>
                <w:numId w:val="15"/>
              </w:numPr>
              <w:shd w:val="clear" w:color="auto" w:fill="auto"/>
              <w:tabs>
                <w:tab w:pos="178" w:val="left"/>
              </w:tabs>
              <w:bidi w:val="0"/>
              <w:spacing w:before="0" w:after="0" w:line="315" w:lineRule="exact"/>
              <w:ind w:left="0" w:right="0" w:firstLine="0"/>
              <w:jc w:val="left"/>
              <w:rPr>
                <w:sz w:val="17"/>
                <w:szCs w:val="17"/>
              </w:rPr>
            </w:pPr>
            <w:r>
              <w:rPr>
                <w:color w:val="000000"/>
                <w:spacing w:val="0"/>
                <w:w w:val="100"/>
                <w:position w:val="0"/>
                <w:sz w:val="17"/>
                <w:szCs w:val="17"/>
              </w:rPr>
              <w:t>《关于续聘审计机构的议案》</w:t>
            </w:r>
          </w:p>
          <w:p>
            <w:pPr>
              <w:pStyle w:val="Style20"/>
              <w:keepNext w:val="0"/>
              <w:keepLines w:val="0"/>
              <w:widowControl w:val="0"/>
              <w:numPr>
                <w:ilvl w:val="0"/>
                <w:numId w:val="15"/>
              </w:numPr>
              <w:shd w:val="clear" w:color="auto" w:fill="auto"/>
              <w:tabs>
                <w:tab w:pos="240" w:val="left"/>
              </w:tabs>
              <w:bidi w:val="0"/>
              <w:spacing w:before="0" w:after="0" w:line="315" w:lineRule="exact"/>
              <w:ind w:left="0" w:right="0" w:firstLine="0"/>
              <w:jc w:val="left"/>
              <w:rPr>
                <w:sz w:val="17"/>
                <w:szCs w:val="17"/>
              </w:rPr>
            </w:pPr>
            <w:r>
              <w:rPr>
                <w:color w:val="000000"/>
                <w:spacing w:val="0"/>
                <w:w w:val="100"/>
                <w:position w:val="0"/>
                <w:sz w:val="17"/>
                <w:szCs w:val="17"/>
              </w:rPr>
              <w:t>《内幕信息知情人登记管理 制度》</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《信息披露管理办法》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《关于修改</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年第 一次临时股东大会的议案》</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、董事出席董事会及股东大会的情况</w:t>
      </w:r>
      <w:bookmarkEnd w:id="310"/>
      <w:bookmarkEnd w:id="311"/>
      <w:bookmarkEnd w:id="313"/>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以通讯方式参</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是否连续两次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未亲自参加董</w:t>
            </w:r>
          </w:p>
          <w:p>
            <w:pPr>
              <w:pStyle w:val="Style20"/>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王新勇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向万红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樊勇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梁华权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、董事对公司有关事项提出异议的情况</w:t>
      </w:r>
      <w:bookmarkEnd w:id="314"/>
      <w:bookmarkEnd w:id="315"/>
      <w:bookmarkEnd w:id="31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报告期内董事对公司有关事项未提出异议。</w:t>
      </w:r>
      <w:r>
        <w:br w:type="page"/>
      </w:r>
    </w:p>
    <w:p>
      <w:pPr>
        <w:pStyle w:val="Style29"/>
        <w:keepNext/>
        <w:keepLines/>
        <w:widowControl w:val="0"/>
        <w:shd w:val="clear" w:color="auto" w:fill="auto"/>
        <w:bidi w:val="0"/>
        <w:spacing w:before="0" w:after="28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、董事履行职责的其他说明</w:t>
      </w:r>
      <w:bookmarkEnd w:id="318"/>
      <w:bookmarkEnd w:id="319"/>
      <w:bookmarkEnd w:id="321"/>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1080" w:line="314" w:lineRule="exact"/>
        <w:ind w:left="0" w:right="0" w:firstLine="380"/>
        <w:jc w:val="left"/>
      </w:pPr>
      <w:r>
        <w:rPr>
          <w:color w:val="000000"/>
          <w:spacing w:val="0"/>
          <w:w w:val="100"/>
          <w:position w:val="0"/>
        </w:rPr>
        <w:t>报告期内，公司全体董事按照证监会、深交所相关法律法规的要求，积极出席董事会、股东大会，勤勉尽责地履行董事 的职权与义务。根据公司的实际情况，对公司治理和重大经营决策提出了相关的意见，确保了公司科学、及时、高效地作出 决策，维护了公司和全体股东的合法权益。</w:t>
      </w:r>
    </w:p>
    <w:p>
      <w:pPr>
        <w:pStyle w:val="Style24"/>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七</w:t>
      </w:r>
      <w:bookmarkEnd w:id="324"/>
      <w:r>
        <w:rPr>
          <w:color w:val="000000"/>
          <w:spacing w:val="0"/>
          <w:w w:val="100"/>
          <w:position w:val="0"/>
        </w:rPr>
        <w:t>、董事会下设专门委员会在报告期内的情况</w:t>
      </w:r>
      <w:bookmarkEnd w:id="322"/>
      <w:bookmarkEnd w:id="323"/>
      <w:bookmarkEnd w:id="325"/>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异议事项具体 情况（如有）</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亓峰、梁华权、 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审议《关于公 司董事、高级 管理人员薪酬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董事、高管薪 酬要结合公司 所处行业的薪 酬水平和经营 目标实现情 况，依据公司</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工资制度和考 核办法确定。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严格按照《董 事会薪酬与考 核委员会工作 制度》等的规 定，本着客观、 公正的原则， 认真履行职 责，行使职权。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亓峰、梁华权、</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年股票期权激 励计划（草 案）》及摘要</w:t>
            </w:r>
          </w:p>
          <w:p>
            <w:pPr>
              <w:pStyle w:val="Style20"/>
              <w:keepNext w:val="0"/>
              <w:keepLines w:val="0"/>
              <w:widowControl w:val="0"/>
              <w:numPr>
                <w:ilvl w:val="0"/>
                <w:numId w:val="17"/>
              </w:numPr>
              <w:shd w:val="clear" w:color="auto" w:fill="auto"/>
              <w:tabs>
                <w:tab w:pos="240"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 票期权激励计 划管理办法》</w:t>
            </w:r>
          </w:p>
          <w:p>
            <w:pPr>
              <w:pStyle w:val="Style20"/>
              <w:keepNext w:val="0"/>
              <w:keepLines w:val="0"/>
              <w:widowControl w:val="0"/>
              <w:numPr>
                <w:ilvl w:val="0"/>
                <w:numId w:val="17"/>
              </w:numPr>
              <w:shd w:val="clear" w:color="auto" w:fill="auto"/>
              <w:tabs>
                <w:tab w:pos="235"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 票期权激励计 划实施考核管 理办法》</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《关 于核查公司</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年股票期 权激励计划激 励对象名单的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对公司股权激 励计划的对标 企业选取和行 权条件设置提 出建议。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严格按照《董 事会薪酬与考 核委员会工作 制度》等的规 定，本着客观、 公正的原则， 认真履行职 责，行使职权。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樊勇、亓峰、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审议：《关于提 名高级管理人 员的议案》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提名高管的程</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序符合相关规 定的要求。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严格按照《董 事会提名委员 会工作制度》 等的规定，本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着客观、公正 的原则，认真 履行职责，行 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樊勇、亓峰、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审议：《关于提 名公司总裁的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提名总裁的程</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序符合相关规</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定的要求。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严格按照《董 事会提名委员 会工作制度》 等的规定，本 着客观、公正 的原则，认真 履行职责，行 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梁华权、樊勇、 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年度审计报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年度内部控制 自我评价报 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年第一季度内</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审计报告、内 审报告真实、 准确、完整地 反映了公司整 体财务状况， 公司内部控制 体系完善。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严格按照《董 事会审计委员 会工作制度》 等的规定，本 着客观、公正 的原则，认真 履行职责，行 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梁华权、樊勇、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年第二季度内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审报告》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内审报告真 实、准确、完 整地反映了公 司状况，内部 控制体系完 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严格按照《董 事会审计委员 会工作制度》 等的规定，本 着客观、公正 的原则，认真 履行职责，行 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梁华权、樊勇、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2021</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年第三季度内</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审报告》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内审报告真 实、准确、完 整地反映了公 司状况，内部 控制体系完 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严格按照《董 事会审计委员 会工作制度》 等的规定，本 着客观、公正 的原则，认真 履行职责，行 使职权。</w:t>
            </w: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梁华权、樊勇、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审议：《关于续 聘审计机构的 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续聘致同会计 师事务所有利 于公司审计工 作的连续性、 保障公司审计 工作的质量， 有利于保护上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严格按照《董 事会审计委员 会工作制度》 等的规定，本 着客观、公正 的原则，认真 履行职责，行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市公司及其他 股东利益、尤 其是中小股东 利益。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使职权。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八</w:t>
      </w:r>
      <w:bookmarkEnd w:id="328"/>
      <w:r>
        <w:rPr>
          <w:color w:val="000000"/>
          <w:spacing w:val="0"/>
          <w:w w:val="100"/>
          <w:position w:val="0"/>
        </w:rPr>
        <w:t>、监事会工作情况</w:t>
      </w:r>
      <w:bookmarkEnd w:id="326"/>
      <w:bookmarkEnd w:id="327"/>
      <w:bookmarkEnd w:id="329"/>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九</w:t>
      </w:r>
      <w:bookmarkEnd w:id="332"/>
      <w:r>
        <w:rPr>
          <w:color w:val="000000"/>
          <w:spacing w:val="0"/>
          <w:w w:val="100"/>
          <w:position w:val="0"/>
        </w:rPr>
        <w:t>、公司员工情况</w:t>
      </w:r>
      <w:bookmarkEnd w:id="330"/>
      <w:bookmarkEnd w:id="331"/>
      <w:bookmarkEnd w:id="333"/>
    </w:p>
    <w:p>
      <w:pPr>
        <w:pStyle w:val="Style29"/>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、员工数量、专业构成及教育程度</w:t>
      </w:r>
      <w:bookmarkEnd w:id="334"/>
      <w:bookmarkEnd w:id="335"/>
      <w:bookmarkEnd w:id="33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3,636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3,208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4,470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、薪酬政策</w:t>
      </w:r>
      <w:bookmarkEnd w:id="338"/>
      <w:bookmarkEnd w:id="339"/>
      <w:bookmarkEnd w:id="341"/>
    </w:p>
    <w:p>
      <w:pPr>
        <w:pStyle w:val="Style18"/>
        <w:keepNext w:val="0"/>
        <w:keepLines w:val="0"/>
        <w:widowControl w:val="0"/>
        <w:shd w:val="clear" w:color="auto" w:fill="auto"/>
        <w:bidi w:val="0"/>
        <w:spacing w:before="0" w:after="320" w:line="317" w:lineRule="exact"/>
        <w:ind w:left="0" w:right="0" w:firstLine="460"/>
        <w:jc w:val="both"/>
      </w:pPr>
      <w:r>
        <w:rPr>
          <w:color w:val="000000"/>
          <w:spacing w:val="0"/>
          <w:w w:val="100"/>
          <w:position w:val="0"/>
        </w:rPr>
        <w:t xml:space="preserve">基于公司现状和未来发展的需要，为激励人才、保留人才，促进人力资源健康有序发展，公司通过内外部调研，对薪 酬政策进行及时优化，保障薪酬体系的内部公平性和外部竞争力。公司鼓励员工积极提升工作技能，激励员工提高工作效率 </w:t>
      </w:r>
      <w:r>
        <w:rPr>
          <w:color w:val="000000"/>
          <w:spacing w:val="0"/>
          <w:w w:val="100"/>
          <w:position w:val="0"/>
        </w:rPr>
        <w:t>及业绩，按照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绩效贡献、能力导向、价值共享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的原则保障员工合理的奖金回报。</w:t>
      </w:r>
    </w:p>
    <w:p>
      <w:pPr>
        <w:pStyle w:val="Style18"/>
        <w:keepNext w:val="0"/>
        <w:keepLines w:val="0"/>
        <w:widowControl w:val="0"/>
        <w:shd w:val="clear" w:color="auto" w:fill="auto"/>
        <w:bidi w:val="0"/>
        <w:spacing w:before="0" w:after="360" w:line="32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报告期计入成本的职工薪酬总额为</w:t>
      </w:r>
      <w:r>
        <w:rPr>
          <w:rFonts w:ascii="Times New Roman" w:eastAsia="Times New Roman" w:hAnsi="Times New Roman" w:cs="Times New Roman"/>
          <w:color w:val="000000"/>
          <w:spacing w:val="0"/>
          <w:w w:val="100"/>
          <w:position w:val="0"/>
          <w:sz w:val="18"/>
          <w:szCs w:val="18"/>
        </w:rPr>
        <w:t>360,776,797.36</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45.85%</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年职工薪酬总额为 </w:t>
      </w:r>
      <w:r>
        <w:rPr>
          <w:rFonts w:ascii="Times New Roman" w:eastAsia="Times New Roman" w:hAnsi="Times New Roman" w:cs="Times New Roman"/>
          <w:color w:val="000000"/>
          <w:spacing w:val="0"/>
          <w:w w:val="100"/>
          <w:position w:val="0"/>
          <w:sz w:val="18"/>
          <w:szCs w:val="18"/>
        </w:rPr>
        <w:t>927,404,152.90</w:t>
      </w:r>
      <w:r>
        <w:rPr>
          <w:color w:val="000000"/>
          <w:spacing w:val="0"/>
          <w:w w:val="100"/>
          <w:position w:val="0"/>
        </w:rPr>
        <w:t>元，利润总额为</w:t>
      </w:r>
      <w:r>
        <w:rPr>
          <w:rFonts w:ascii="Times New Roman" w:eastAsia="Times New Roman" w:hAnsi="Times New Roman" w:cs="Times New Roman"/>
          <w:color w:val="000000"/>
          <w:spacing w:val="0"/>
          <w:w w:val="100"/>
          <w:position w:val="0"/>
          <w:sz w:val="18"/>
          <w:szCs w:val="18"/>
        </w:rPr>
        <w:t>340,488,465.70</w:t>
      </w:r>
      <w:r>
        <w:rPr>
          <w:color w:val="000000"/>
          <w:spacing w:val="0"/>
          <w:w w:val="100"/>
          <w:position w:val="0"/>
        </w:rPr>
        <w:t>元，职工薪酬总额每增减变动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，将会影响公司利润总额反向变动</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 核心技术人员占公司总人数的比重为</w:t>
      </w:r>
      <w:r>
        <w:rPr>
          <w:rFonts w:ascii="Times New Roman" w:eastAsia="Times New Roman" w:hAnsi="Times New Roman" w:cs="Times New Roman"/>
          <w:color w:val="000000"/>
          <w:spacing w:val="0"/>
          <w:w w:val="100"/>
          <w:position w:val="0"/>
          <w:sz w:val="18"/>
          <w:szCs w:val="18"/>
        </w:rPr>
        <w:t xml:space="preserve">12.37% </w:t>
      </w:r>
      <w:r>
        <w:rPr>
          <w:color w:val="000000"/>
          <w:spacing w:val="0"/>
          <w:w w:val="100"/>
          <w:position w:val="0"/>
        </w:rPr>
        <w:t>；其薪酬占职工薪酬总额的比重为</w:t>
      </w:r>
      <w:r>
        <w:rPr>
          <w:rFonts w:ascii="Times New Roman" w:eastAsia="Times New Roman" w:hAnsi="Times New Roman" w:cs="Times New Roman"/>
          <w:color w:val="000000"/>
          <w:spacing w:val="0"/>
          <w:w w:val="100"/>
          <w:position w:val="0"/>
          <w:sz w:val="18"/>
          <w:szCs w:val="18"/>
        </w:rPr>
        <w:t>21.87%</w:t>
      </w:r>
      <w:r>
        <w:rPr>
          <w:color w:val="000000"/>
          <w:spacing w:val="0"/>
          <w:w w:val="100"/>
          <w:position w:val="0"/>
        </w:rPr>
        <w:t>。</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w:t>
        <w:tab/>
        <w:t>培训计划</w:t>
      </w:r>
      <w:bookmarkEnd w:id="342"/>
      <w:bookmarkEnd w:id="343"/>
      <w:bookmarkEnd w:id="345"/>
    </w:p>
    <w:p>
      <w:pPr>
        <w:pStyle w:val="Style18"/>
        <w:keepNext w:val="0"/>
        <w:keepLines w:val="0"/>
        <w:widowControl w:val="0"/>
        <w:shd w:val="clear" w:color="auto" w:fill="auto"/>
        <w:bidi w:val="0"/>
        <w:spacing w:before="0" w:after="720" w:line="311" w:lineRule="exact"/>
        <w:ind w:left="0" w:right="0" w:firstLine="50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年，公司将继续基于任职资格管理体系做全司范围的培训需求调查，并根据业务发展需要，对产品运营、咨询顾 问等新的业务需求做专项培训需求调查，进而得出富有针对性的员工能力提升计划。第一，公司将按计划有序推进全年各项 培训计划，重点推进开发人员、设计人员的提能培训；第二，公司将继续推进核心能力的课程体系建设，特别是设计能力及 业务中台的课程体系建设；第三，公司将进一步推广在线学习平台及培训管理系统，更高效地指引及帮助个人及组织能力提 升。</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4</w:t>
      </w:r>
      <w:bookmarkEnd w:id="348"/>
      <w:r>
        <w:rPr>
          <w:color w:val="000000"/>
          <w:spacing w:val="0"/>
          <w:w w:val="100"/>
          <w:position w:val="0"/>
        </w:rPr>
        <w:t>、</w:t>
        <w:tab/>
        <w:t>劳务外包情况</w:t>
      </w:r>
      <w:bookmarkEnd w:id="346"/>
      <w:bookmarkEnd w:id="347"/>
      <w:bookmarkEnd w:id="349"/>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350" w:name="bookmark350"/>
      <w:bookmarkStart w:id="351" w:name="bookmark351"/>
      <w:bookmarkStart w:id="352" w:name="bookmark352"/>
      <w:r>
        <w:rPr>
          <w:color w:val="000000"/>
          <w:spacing w:val="0"/>
          <w:w w:val="100"/>
          <w:position w:val="0"/>
        </w:rPr>
        <w:t>十、公司利润分配及资本公积金转增股本情况</w:t>
      </w:r>
      <w:bookmarkEnd w:id="350"/>
      <w:bookmarkEnd w:id="351"/>
      <w:bookmarkEnd w:id="352"/>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314" w:lineRule="exact"/>
        <w:ind w:left="0" w:right="0" w:firstLine="0"/>
        <w:jc w:val="left"/>
      </w:pPr>
      <w:r>
        <w:rPr>
          <w:color w:val="000000"/>
          <w:spacing w:val="0"/>
          <w:w w:val="100"/>
          <w:position w:val="0"/>
        </w:rPr>
        <w:t>报告期内，根据公司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年度权益分配方案时股权登记日的 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股（含税）。公司于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年年度权益分派实施公告》，并于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1,322,983,334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66,149,166.70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66,149,166.70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1,157,137,111.98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3653"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年度母公司实现的净利润</w:t>
            </w:r>
            <w:r>
              <w:rPr>
                <w:rFonts w:ascii="Times New Roman" w:eastAsia="Times New Roman" w:hAnsi="Times New Roman" w:cs="Times New Roman"/>
                <w:color w:val="000000"/>
                <w:spacing w:val="0"/>
                <w:w w:val="100"/>
                <w:position w:val="0"/>
                <w:sz w:val="18"/>
                <w:szCs w:val="18"/>
              </w:rPr>
              <w:t>277,994,344.53</w:t>
            </w:r>
            <w:r>
              <w:rPr>
                <w:color w:val="000000"/>
                <w:spacing w:val="0"/>
                <w:w w:val="100"/>
                <w:position w:val="0"/>
                <w:sz w:val="17"/>
                <w:szCs w:val="17"/>
              </w:rPr>
              <w:t>元，根据《公司法》以及《公司章程》的规定，按净利润的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计提法定盈余公积</w:t>
            </w:r>
            <w:r>
              <w:rPr>
                <w:rFonts w:ascii="Times New Roman" w:eastAsia="Times New Roman" w:hAnsi="Times New Roman" w:cs="Times New Roman"/>
                <w:color w:val="000000"/>
                <w:spacing w:val="0"/>
                <w:w w:val="100"/>
                <w:position w:val="0"/>
                <w:sz w:val="18"/>
                <w:szCs w:val="18"/>
              </w:rPr>
              <w:t>27,799,434.45</w:t>
            </w:r>
            <w:r>
              <w:rPr>
                <w:color w:val="000000"/>
                <w:spacing w:val="0"/>
                <w:w w:val="100"/>
                <w:position w:val="0"/>
                <w:sz w:val="17"/>
                <w:szCs w:val="17"/>
              </w:rPr>
              <w:t>元，本年度实现可供股东分配的利润为</w:t>
            </w:r>
            <w:r>
              <w:rPr>
                <w:rFonts w:ascii="Times New Roman" w:eastAsia="Times New Roman" w:hAnsi="Times New Roman" w:cs="Times New Roman"/>
                <w:color w:val="000000"/>
                <w:spacing w:val="0"/>
                <w:w w:val="100"/>
                <w:position w:val="0"/>
                <w:sz w:val="18"/>
                <w:szCs w:val="18"/>
              </w:rPr>
              <w:t>250,194,910.08</w:t>
            </w:r>
            <w:r>
              <w:rPr>
                <w:color w:val="000000"/>
                <w:spacing w:val="0"/>
                <w:w w:val="100"/>
                <w:position w:val="0"/>
                <w:sz w:val="17"/>
                <w:szCs w:val="17"/>
              </w:rPr>
              <w:t xml:space="preserve">元；加上以前年度未分配利润 </w:t>
            </w:r>
            <w:r>
              <w:rPr>
                <w:rFonts w:ascii="Times New Roman" w:eastAsia="Times New Roman" w:hAnsi="Times New Roman" w:cs="Times New Roman"/>
                <w:color w:val="000000"/>
                <w:spacing w:val="0"/>
                <w:w w:val="100"/>
                <w:position w:val="0"/>
                <w:sz w:val="18"/>
                <w:szCs w:val="18"/>
              </w:rPr>
              <w:t>906,942,201.90</w:t>
            </w:r>
            <w:r>
              <w:rPr>
                <w:color w:val="000000"/>
                <w:spacing w:val="0"/>
                <w:w w:val="100"/>
                <w:position w:val="0"/>
                <w:sz w:val="17"/>
                <w:szCs w:val="17"/>
              </w:rPr>
              <w:t>元，本年度可供股东分配的未分配利润为</w:t>
            </w:r>
            <w:r>
              <w:rPr>
                <w:rFonts w:ascii="Times New Roman" w:eastAsia="Times New Roman" w:hAnsi="Times New Roman" w:cs="Times New Roman"/>
                <w:color w:val="000000"/>
                <w:spacing w:val="0"/>
                <w:w w:val="100"/>
                <w:position w:val="0"/>
                <w:sz w:val="18"/>
                <w:szCs w:val="18"/>
              </w:rPr>
              <w:t>1,157,137,111.98</w:t>
            </w:r>
            <w:r>
              <w:rPr>
                <w:color w:val="000000"/>
                <w:spacing w:val="0"/>
                <w:w w:val="100"/>
                <w:position w:val="0"/>
                <w:sz w:val="17"/>
                <w:szCs w:val="17"/>
              </w:rPr>
              <w:t>元。</w:t>
            </w:r>
          </w:p>
          <w:p>
            <w:pPr>
              <w:pStyle w:val="Style20"/>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年度合并报表实现归属上市公司股东的净利润</w:t>
            </w:r>
            <w:r>
              <w:rPr>
                <w:rFonts w:ascii="Times New Roman" w:eastAsia="Times New Roman" w:hAnsi="Times New Roman" w:cs="Times New Roman"/>
                <w:color w:val="000000"/>
                <w:spacing w:val="0"/>
                <w:w w:val="100"/>
                <w:position w:val="0"/>
                <w:sz w:val="18"/>
                <w:szCs w:val="18"/>
              </w:rPr>
              <w:t>305,387,468.25</w:t>
            </w:r>
            <w:r>
              <w:rPr>
                <w:color w:val="000000"/>
                <w:spacing w:val="0"/>
                <w:w w:val="100"/>
                <w:position w:val="0"/>
                <w:sz w:val="17"/>
                <w:szCs w:val="17"/>
              </w:rPr>
              <w:t>元，根据《公司法》以及《公司章程》的规 定，计提法定盈余公积</w:t>
            </w:r>
            <w:r>
              <w:rPr>
                <w:rFonts w:ascii="Times New Roman" w:eastAsia="Times New Roman" w:hAnsi="Times New Roman" w:cs="Times New Roman"/>
                <w:color w:val="000000"/>
                <w:spacing w:val="0"/>
                <w:w w:val="100"/>
                <w:position w:val="0"/>
                <w:sz w:val="18"/>
                <w:szCs w:val="18"/>
              </w:rPr>
              <w:t>27,799,434.45</w:t>
            </w:r>
            <w:r>
              <w:rPr>
                <w:color w:val="000000"/>
                <w:spacing w:val="0"/>
                <w:w w:val="100"/>
                <w:position w:val="0"/>
                <w:sz w:val="17"/>
                <w:szCs w:val="17"/>
              </w:rPr>
              <w:t>元，本年度实现可供股东分配的利润为</w:t>
            </w:r>
            <w:r>
              <w:rPr>
                <w:rFonts w:ascii="Times New Roman" w:eastAsia="Times New Roman" w:hAnsi="Times New Roman" w:cs="Times New Roman"/>
                <w:color w:val="000000"/>
                <w:spacing w:val="0"/>
                <w:w w:val="100"/>
                <w:position w:val="0"/>
                <w:sz w:val="18"/>
                <w:szCs w:val="18"/>
              </w:rPr>
              <w:t>277,588,033.80</w:t>
            </w:r>
            <w:r>
              <w:rPr>
                <w:color w:val="000000"/>
                <w:spacing w:val="0"/>
                <w:w w:val="100"/>
                <w:position w:val="0"/>
                <w:sz w:val="17"/>
                <w:szCs w:val="17"/>
              </w:rPr>
              <w:t xml:space="preserve">元；加上以前年度未分配利润 </w:t>
            </w:r>
            <w:r>
              <w:rPr>
                <w:rFonts w:ascii="Times New Roman" w:eastAsia="Times New Roman" w:hAnsi="Times New Roman" w:cs="Times New Roman"/>
                <w:color w:val="000000"/>
                <w:spacing w:val="0"/>
                <w:w w:val="100"/>
                <w:position w:val="0"/>
                <w:sz w:val="18"/>
                <w:szCs w:val="18"/>
              </w:rPr>
              <w:t>972,637,115.28</w:t>
            </w:r>
            <w:r>
              <w:rPr>
                <w:color w:val="000000"/>
                <w:spacing w:val="0"/>
                <w:w w:val="100"/>
                <w:position w:val="0"/>
                <w:sz w:val="17"/>
                <w:szCs w:val="17"/>
              </w:rPr>
              <w:t>元，本年度可供股东分配的未分配利润为</w:t>
            </w:r>
            <w:r>
              <w:rPr>
                <w:rFonts w:ascii="Times New Roman" w:eastAsia="Times New Roman" w:hAnsi="Times New Roman" w:cs="Times New Roman"/>
                <w:color w:val="000000"/>
                <w:spacing w:val="0"/>
                <w:w w:val="100"/>
                <w:position w:val="0"/>
                <w:sz w:val="18"/>
                <w:szCs w:val="18"/>
              </w:rPr>
              <w:t>1,250,225,149.08</w:t>
            </w:r>
            <w:r>
              <w:rPr>
                <w:color w:val="000000"/>
                <w:spacing w:val="0"/>
                <w:w w:val="100"/>
                <w:position w:val="0"/>
                <w:sz w:val="17"/>
                <w:szCs w:val="17"/>
              </w:rPr>
              <w:t>元。</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根据合并报表、母公司报表中可供分配利润孰低原则，本年度可供股东分配的未分配利润为</w:t>
            </w:r>
            <w:r>
              <w:rPr>
                <w:rFonts w:ascii="Times New Roman" w:eastAsia="Times New Roman" w:hAnsi="Times New Roman" w:cs="Times New Roman"/>
                <w:color w:val="000000"/>
                <w:spacing w:val="0"/>
                <w:w w:val="100"/>
                <w:position w:val="0"/>
                <w:sz w:val="18"/>
                <w:szCs w:val="18"/>
              </w:rPr>
              <w:t>1,157,137,111.98</w:t>
            </w:r>
            <w:r>
              <w:rPr>
                <w:color w:val="000000"/>
                <w:spacing w:val="0"/>
                <w:w w:val="100"/>
                <w:position w:val="0"/>
                <w:sz w:val="17"/>
                <w:szCs w:val="17"/>
              </w:rPr>
              <w:t>元。</w:t>
            </w:r>
          </w:p>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在综合考虑公司业务前景、资产状况以及市场环境的前提下，以未来实施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年度权益分配方案时股权登记日的总 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元（含税）、送红股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股，不以资本公积金转增股本。以目前公司总股 本</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sz w:val="17"/>
                <w:szCs w:val="17"/>
              </w:rPr>
              <w:t>股为基数，预计送红股</w:t>
            </w:r>
            <w:r>
              <w:rPr>
                <w:rFonts w:ascii="Times New Roman" w:eastAsia="Times New Roman" w:hAnsi="Times New Roman" w:cs="Times New Roman"/>
                <w:color w:val="000000"/>
                <w:spacing w:val="0"/>
                <w:w w:val="100"/>
                <w:position w:val="0"/>
                <w:sz w:val="18"/>
                <w:szCs w:val="18"/>
              </w:rPr>
              <w:t>264,596,667</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66,149,166.70</w:t>
            </w:r>
            <w:r>
              <w:rPr>
                <w:color w:val="000000"/>
                <w:spacing w:val="0"/>
                <w:w w:val="100"/>
                <w:position w:val="0"/>
                <w:sz w:val="17"/>
                <w:szCs w:val="17"/>
              </w:rPr>
              <w:t>元。本次利润分配方案完成后，剩余 未分配利润为</w:t>
            </w:r>
            <w:r>
              <w:rPr>
                <w:rFonts w:ascii="Times New Roman" w:eastAsia="Times New Roman" w:hAnsi="Times New Roman" w:cs="Times New Roman"/>
                <w:color w:val="000000"/>
                <w:spacing w:val="0"/>
                <w:w w:val="100"/>
                <w:position w:val="0"/>
                <w:sz w:val="18"/>
                <w:szCs w:val="18"/>
              </w:rPr>
              <w:t>826,391,278.48</w:t>
            </w:r>
            <w:r>
              <w:rPr>
                <w:color w:val="000000"/>
                <w:spacing w:val="0"/>
                <w:w w:val="100"/>
                <w:position w:val="0"/>
                <w:sz w:val="17"/>
                <w:szCs w:val="17"/>
              </w:rPr>
              <w:t>元，结转至以后年度。利润分配方案符合公司章程和相关法律法规的规定。</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both"/>
      </w:pPr>
      <w:bookmarkStart w:id="353" w:name="bookmark353"/>
      <w:bookmarkStart w:id="354" w:name="bookmark354"/>
      <w:bookmarkStart w:id="355" w:name="bookmark355"/>
      <w:r>
        <w:rPr>
          <w:color w:val="000000"/>
          <w:spacing w:val="0"/>
          <w:w w:val="100"/>
          <w:position w:val="0"/>
        </w:rPr>
        <w:t>十一、公司股权激励计划、员工持股计划或其他员工激励措施的实施情况</w:t>
      </w:r>
      <w:bookmarkEnd w:id="353"/>
      <w:bookmarkEnd w:id="354"/>
      <w:bookmarkEnd w:id="355"/>
    </w:p>
    <w:p>
      <w:pPr>
        <w:pStyle w:val="Style18"/>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、股权激励</w:t>
      </w:r>
      <w:bookmarkEnd w:id="356"/>
      <w:bookmarkEnd w:id="357"/>
      <w:bookmarkEnd w:id="359"/>
    </w:p>
    <w:p>
      <w:pPr>
        <w:pStyle w:val="Style18"/>
        <w:keepNext w:val="0"/>
        <w:keepLines w:val="0"/>
        <w:widowControl w:val="0"/>
        <w:shd w:val="clear" w:color="auto" w:fill="auto"/>
        <w:bidi w:val="0"/>
        <w:spacing w:before="0" w:after="34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日，公司召开的第七届董事会第九次会议、第七届监事会第七次会议审议通过了《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 励计划（草案）》及摘要等相关议案，本次激励计划拟向</w:t>
      </w:r>
      <w:r>
        <w:rPr>
          <w:rFonts w:ascii="Times New Roman" w:eastAsia="Times New Roman" w:hAnsi="Times New Roman" w:cs="Times New Roman"/>
          <w:color w:val="000000"/>
          <w:spacing w:val="0"/>
          <w:w w:val="100"/>
          <w:position w:val="0"/>
          <w:sz w:val="18"/>
          <w:szCs w:val="18"/>
        </w:rPr>
        <w:t>681</w:t>
      </w:r>
      <w:r>
        <w:rPr>
          <w:color w:val="000000"/>
          <w:spacing w:val="0"/>
          <w:w w:val="100"/>
          <w:position w:val="0"/>
        </w:rPr>
        <w:t>名激励对象授予股票期权</w:t>
      </w:r>
      <w:r>
        <w:rPr>
          <w:rFonts w:ascii="Times New Roman" w:eastAsia="Times New Roman" w:hAnsi="Times New Roman" w:cs="Times New Roman"/>
          <w:color w:val="000000"/>
          <w:spacing w:val="0"/>
          <w:w w:val="100"/>
          <w:position w:val="0"/>
          <w:sz w:val="18"/>
          <w:szCs w:val="18"/>
        </w:rPr>
        <w:t>3,426.53</w:t>
      </w:r>
      <w:r>
        <w:rPr>
          <w:color w:val="000000"/>
          <w:spacing w:val="0"/>
          <w:w w:val="100"/>
          <w:position w:val="0"/>
        </w:rPr>
        <w:t>万份，约占本激励计划草案 公告日公司股本总额</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。本次激励计划将按规定履行相关程序后实施。</w:t>
      </w:r>
    </w:p>
    <w:p>
      <w:pPr>
        <w:pStyle w:val="Style18"/>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120" w:line="322" w:lineRule="exact"/>
        <w:ind w:left="0" w:right="0" w:firstLine="0"/>
        <w:jc w:val="left"/>
      </w:pPr>
      <w:r>
        <w:rPr>
          <w:color w:val="000000"/>
          <w:spacing w:val="0"/>
          <w:w w:val="100"/>
          <w:position w:val="0"/>
        </w:rPr>
        <w:t>考评机制：</w:t>
      </w:r>
    </w:p>
    <w:p>
      <w:pPr>
        <w:pStyle w:val="Style18"/>
        <w:keepNext w:val="0"/>
        <w:keepLines w:val="0"/>
        <w:widowControl w:val="0"/>
        <w:numPr>
          <w:ilvl w:val="0"/>
          <w:numId w:val="19"/>
        </w:numPr>
        <w:shd w:val="clear" w:color="auto" w:fill="auto"/>
        <w:tabs>
          <w:tab w:pos="301" w:val="left"/>
        </w:tabs>
        <w:bidi w:val="0"/>
        <w:spacing w:before="0" w:after="0" w:line="374" w:lineRule="auto"/>
        <w:ind w:left="0" w:right="0" w:firstLine="0"/>
        <w:jc w:val="left"/>
      </w:pPr>
      <w:bookmarkStart w:id="360" w:name="bookmark360"/>
      <w:bookmarkEnd w:id="360"/>
      <w:r>
        <w:rPr>
          <w:color w:val="000000"/>
          <w:spacing w:val="0"/>
          <w:w w:val="100"/>
          <w:position w:val="0"/>
        </w:rPr>
        <w:t>公司董事会薪酬与考核委员会负责领导和审核考核工作。</w:t>
      </w:r>
    </w:p>
    <w:p>
      <w:pPr>
        <w:pStyle w:val="Style18"/>
        <w:keepNext w:val="0"/>
        <w:keepLines w:val="0"/>
        <w:widowControl w:val="0"/>
        <w:numPr>
          <w:ilvl w:val="0"/>
          <w:numId w:val="19"/>
        </w:numPr>
        <w:shd w:val="clear" w:color="auto" w:fill="auto"/>
        <w:tabs>
          <w:tab w:pos="320" w:val="left"/>
        </w:tabs>
        <w:bidi w:val="0"/>
        <w:spacing w:before="0" w:after="260" w:line="322" w:lineRule="exact"/>
        <w:ind w:left="0" w:right="0" w:firstLine="0"/>
        <w:jc w:val="left"/>
      </w:pPr>
      <w:bookmarkStart w:id="361" w:name="bookmark361"/>
      <w:bookmarkEnd w:id="361"/>
      <w:r>
        <w:rPr>
          <w:color w:val="000000"/>
          <w:spacing w:val="0"/>
          <w:w w:val="100"/>
          <w:position w:val="0"/>
        </w:rPr>
        <w:t>公司人力资源部、运营管理部、营销中心等部门在董事会薪酬与考核委员会的指导下负责具体考核工作并将绩效考核结果 上报公司董事会薪酬与考核委员会，由公司董事会负责考核结果的审核。</w:t>
      </w:r>
    </w:p>
    <w:p>
      <w:pPr>
        <w:pStyle w:val="Style18"/>
        <w:keepNext w:val="0"/>
        <w:keepLines w:val="0"/>
        <w:widowControl w:val="0"/>
        <w:numPr>
          <w:ilvl w:val="0"/>
          <w:numId w:val="19"/>
        </w:numPr>
        <w:shd w:val="clear" w:color="auto" w:fill="auto"/>
        <w:bidi w:val="0"/>
        <w:spacing w:before="0" w:after="680" w:line="319" w:lineRule="exact"/>
        <w:ind w:left="0" w:right="0" w:firstLine="0"/>
        <w:jc w:val="left"/>
      </w:pPr>
      <w:bookmarkStart w:id="362" w:name="bookmark362"/>
      <w:bookmarkEnd w:id="362"/>
      <w:r>
        <w:rPr>
          <w:color w:val="000000"/>
          <w:spacing w:val="0"/>
          <w:w w:val="100"/>
          <w:position w:val="0"/>
        </w:rPr>
        <w:t>结合公司年度经营目标、重点工作计划和公司财务考核指标，从财务、客户、业务（内部运营）、学习与成长、能力及职 业化等方面进行综合考核。在考核周期结束后，根据考核指标和公司绩效管理制度，确定考核对象的绩效得分、拟定绩效等 级，并进行绩效沟通。</w:t>
      </w:r>
    </w:p>
    <w:p>
      <w:pPr>
        <w:pStyle w:val="Style29"/>
        <w:keepNext/>
        <w:keepLines/>
        <w:widowControl w:val="0"/>
        <w:shd w:val="clear" w:color="auto" w:fill="auto"/>
        <w:tabs>
          <w:tab w:pos="378" w:val="left"/>
        </w:tabs>
        <w:bidi w:val="0"/>
        <w:spacing w:before="0" w:after="30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员工持股计划的实施情况</w:t>
      </w:r>
      <w:bookmarkEnd w:id="363"/>
      <w:bookmarkEnd w:id="364"/>
      <w:bookmarkEnd w:id="366"/>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其他员工激励措施</w:t>
      </w:r>
      <w:bookmarkEnd w:id="367"/>
      <w:bookmarkEnd w:id="368"/>
      <w:bookmarkEnd w:id="370"/>
    </w:p>
    <w:p>
      <w:pPr>
        <w:pStyle w:val="Style18"/>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keepLines/>
        <w:widowControl w:val="0"/>
        <w:shd w:val="clear" w:color="auto" w:fill="auto"/>
        <w:bidi w:val="0"/>
        <w:spacing w:before="0" w:after="360" w:line="240" w:lineRule="auto"/>
        <w:ind w:left="0" w:right="0" w:firstLine="0"/>
        <w:jc w:val="both"/>
      </w:pPr>
      <w:bookmarkStart w:id="371" w:name="bookmark371"/>
      <w:bookmarkStart w:id="372" w:name="bookmark372"/>
      <w:bookmarkStart w:id="373" w:name="bookmark373"/>
      <w:r>
        <w:rPr>
          <w:color w:val="000000"/>
          <w:spacing w:val="0"/>
          <w:w w:val="100"/>
          <w:position w:val="0"/>
        </w:rPr>
        <w:t>十二、报告期内的内部控制制度建设及实施情况</w:t>
      </w:r>
      <w:bookmarkEnd w:id="371"/>
      <w:bookmarkEnd w:id="372"/>
      <w:bookmarkEnd w:id="373"/>
    </w:p>
    <w:p>
      <w:pPr>
        <w:pStyle w:val="Style29"/>
        <w:keepNext/>
        <w:keepLines/>
        <w:widowControl w:val="0"/>
        <w:shd w:val="clear" w:color="auto" w:fill="auto"/>
        <w:tabs>
          <w:tab w:pos="368" w:val="left"/>
        </w:tabs>
        <w:bidi w:val="0"/>
        <w:spacing w:before="0" w:after="30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内部控制建设及实施情况</w:t>
      </w:r>
      <w:bookmarkEnd w:id="374"/>
      <w:bookmarkEnd w:id="375"/>
      <w:bookmarkEnd w:id="377"/>
    </w:p>
    <w:p>
      <w:pPr>
        <w:pStyle w:val="Style1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根据《企业内部控制基本规范》及其配套指引的规定和其他内部控制监管要求，结合公司内部控制制度和评价办法， 在内部控制日常监督和专项监督的基础上，对公司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日（内部控制评价报告基准日）的内部控制有效性进行了评 价。</w:t>
      </w:r>
    </w:p>
    <w:p>
      <w:pPr>
        <w:pStyle w:val="Style18"/>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根据公司财务报告内部控制重大缺陷的认定情况，于内部控制评价报告基准日，不存在财务报告内部控制重大缺陷， 公司已按照企业内部控制规范体系和相关规定的要求在所有重大方面保持了有效的财务报告内部控制。根据公司非财务报 告内部控制重大缺陷认定情况，于内部控制评价报告基准日，公司未发现非财务报告内部控制重大缺陷。自内部控制评价报 告基准日至内部控制评价报告发出日之间未发生影响内部控制有效性评价结论的因素。</w:t>
      </w:r>
    </w:p>
    <w:p>
      <w:pPr>
        <w:pStyle w:val="Style29"/>
        <w:keepNext/>
        <w:keepLines/>
        <w:widowControl w:val="0"/>
        <w:shd w:val="clear" w:color="auto" w:fill="auto"/>
        <w:tabs>
          <w:tab w:pos="378" w:val="left"/>
        </w:tabs>
        <w:bidi w:val="0"/>
        <w:spacing w:before="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报告期内发现的内部控制重大缺陷的具体情况</w:t>
      </w:r>
      <w:bookmarkEnd w:id="378"/>
      <w:bookmarkEnd w:id="379"/>
      <w:bookmarkEnd w:id="381"/>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00" w:line="240" w:lineRule="auto"/>
        <w:ind w:left="0" w:right="0" w:firstLine="0"/>
        <w:jc w:val="both"/>
      </w:pPr>
      <w:bookmarkStart w:id="382" w:name="bookmark382"/>
      <w:bookmarkStart w:id="383" w:name="bookmark383"/>
      <w:bookmarkStart w:id="384" w:name="bookmark384"/>
      <w:r>
        <w:rPr>
          <w:color w:val="000000"/>
          <w:spacing w:val="0"/>
          <w:w w:val="100"/>
          <w:position w:val="0"/>
        </w:rPr>
        <w:t>十三、公司报告期内对子公司的管理控制情况</w:t>
      </w:r>
      <w:bookmarkEnd w:id="382"/>
      <w:bookmarkEnd w:id="383"/>
      <w:bookmarkEnd w:id="384"/>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385" w:name="bookmark385"/>
      <w:bookmarkStart w:id="386" w:name="bookmark386"/>
      <w:bookmarkStart w:id="387" w:name="bookmark387"/>
      <w:r>
        <w:rPr>
          <w:color w:val="000000"/>
          <w:spacing w:val="0"/>
          <w:w w:val="100"/>
          <w:position w:val="0"/>
        </w:rPr>
        <w:t>十四、内部控制自我评价报告或内部控制审计报告</w:t>
      </w:r>
      <w:bookmarkEnd w:id="385"/>
      <w:bookmarkEnd w:id="386"/>
      <w:bookmarkEnd w:id="387"/>
    </w:p>
    <w:p>
      <w:pPr>
        <w:pStyle w:val="Style29"/>
        <w:keepNext/>
        <w:keepLines/>
        <w:widowControl w:val="0"/>
        <w:shd w:val="clear" w:color="auto" w:fill="auto"/>
        <w:bidi w:val="0"/>
        <w:spacing w:before="0" w:after="30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、内控自我评价报告</w:t>
      </w:r>
      <w:bookmarkEnd w:id="388"/>
      <w:bookmarkEnd w:id="389"/>
      <w:bookmarkEnd w:id="391"/>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年度内部控制自我评价报告》</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财务报表资产总额的比例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52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机构对内部控制监督无效。财务报告内部 控制存在重要缺陷包括：未依照公认会计 准则选择和应用会计政策；未建立反舞弊 程序和控制措施；对于非常规或特殊交易 的账务处理没有建立相应的控制机制或没 有实施且没有相应的补偿性控制；对于期 末财务报告过程的控制存在一项或多项缺 陷且不能合理保证编制的财务报表达到真 实、准确的目标。一般缺陷：未构成重大 缺陷、重要缺陷标准的其他内部控制缺陷。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 评价的定性标准以缺陷对业务流程有 效性的影响程度、发生的可能性作判 定，认定标准如下：</w:t>
            </w:r>
          </w:p>
          <w:p>
            <w:pPr>
              <w:pStyle w:val="Style20"/>
              <w:keepNext w:val="0"/>
              <w:keepLines w:val="0"/>
              <w:widowControl w:val="0"/>
              <w:numPr>
                <w:ilvl w:val="0"/>
                <w:numId w:val="21"/>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非财务报告内部控制的重大缺陷包 括：缺陷发生的可能性高，会严重降低 工作效率或效果、或严重加大效果的不 确定性、或使之严重偏离预期目标。</w:t>
            </w:r>
          </w:p>
          <w:p>
            <w:pPr>
              <w:pStyle w:val="Style20"/>
              <w:keepNext w:val="0"/>
              <w:keepLines w:val="0"/>
              <w:widowControl w:val="0"/>
              <w:numPr>
                <w:ilvl w:val="0"/>
                <w:numId w:val="21"/>
              </w:numPr>
              <w:shd w:val="clear" w:color="auto" w:fill="auto"/>
              <w:tabs>
                <w:tab w:pos="187" w:val="left"/>
              </w:tabs>
              <w:bidi w:val="0"/>
              <w:spacing w:before="0" w:after="80" w:line="312" w:lineRule="exact"/>
              <w:ind w:left="0" w:right="0" w:firstLine="0"/>
              <w:jc w:val="both"/>
              <w:rPr>
                <w:sz w:val="17"/>
                <w:szCs w:val="17"/>
              </w:rPr>
            </w:pPr>
            <w:r>
              <w:rPr>
                <w:color w:val="000000"/>
                <w:spacing w:val="0"/>
                <w:w w:val="100"/>
                <w:position w:val="0"/>
                <w:sz w:val="17"/>
                <w:szCs w:val="17"/>
              </w:rPr>
              <w:t>非财务报告内部控制的重要缺陷包 括：缺陷发生的可能性较高，会显著降 低工作效率或效果、或显著加大效果的 不确定性、或使之显著偏离预期目标。</w:t>
            </w:r>
          </w:p>
          <w:p>
            <w:pPr>
              <w:pStyle w:val="Style20"/>
              <w:keepNext w:val="0"/>
              <w:keepLines w:val="0"/>
              <w:widowControl w:val="0"/>
              <w:numPr>
                <w:ilvl w:val="0"/>
                <w:numId w:val="21"/>
              </w:numPr>
              <w:shd w:val="clear" w:color="auto" w:fill="auto"/>
              <w:tabs>
                <w:tab w:pos="187" w:val="left"/>
              </w:tabs>
              <w:bidi w:val="0"/>
              <w:spacing w:before="0" w:after="40" w:line="314" w:lineRule="exact"/>
              <w:ind w:left="0" w:right="0" w:firstLine="0"/>
              <w:jc w:val="both"/>
              <w:rPr>
                <w:sz w:val="17"/>
                <w:szCs w:val="17"/>
              </w:rPr>
            </w:pPr>
            <w:r>
              <w:rPr>
                <w:color w:val="000000"/>
                <w:spacing w:val="0"/>
                <w:w w:val="100"/>
                <w:position w:val="0"/>
                <w:sz w:val="17"/>
                <w:szCs w:val="17"/>
              </w:rPr>
              <w:t>非财务报告内部控制的一般缺陷包 括：缺陷发生的可能性较小，会降低工 作效率或效果、或加大效果的不确定 性、或使之偏离预期目标。</w:t>
            </w:r>
          </w:p>
        </w:tc>
      </w:tr>
      <w:tr>
        <w:trPr>
          <w:trHeight w:val="6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①涉及收入的错报项目:潜在错报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为重大缺陷；营业收入总额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潜在错报〈营业收入总额的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为重要缺陷；潜在错报〈营业收入总额的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。②涉及利润的错报项目：潜在错报 </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为重大缺陷;利润总额的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潜在错报〈利润总额的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为重要缺 陷；潜在错报〈利润总额的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为一般缺 陷。③涉及资产的错报项目：潜在错报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为重大缺陷；资产总额的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潜在错报〈资产总额的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为重要缺 陷；潜在错报〈资产总额的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为一般 缺陷。当某项内部控制缺陷导致的潜在错 报影响多项指标时，按孰低原则认定缺陷 性质。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317" w:lineRule="exact"/>
              <w:ind w:left="0" w:right="0" w:firstLine="0"/>
              <w:jc w:val="both"/>
              <w:rPr>
                <w:sz w:val="17"/>
                <w:szCs w:val="17"/>
              </w:rPr>
            </w:pPr>
            <w:r>
              <w:rPr>
                <w:color w:val="000000"/>
                <w:spacing w:val="0"/>
                <w:w w:val="100"/>
                <w:position w:val="0"/>
                <w:sz w:val="17"/>
                <w:szCs w:val="17"/>
              </w:rPr>
              <w:t>定量标准主要根据缺陷可能造成直接 财产损失的绝对金额确定。</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①涉及收入的直接财产损失金额：直接 财产损失金额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为 重大缺陷；营业收入总额的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直接 财产损失金额〈营业收入总额的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为重要缺陷；直接财产损失金额〈营业 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为一般缺陷。②涉 及利润的直接财产损失金额：直接财产 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为重大缺 陷;利润总额的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直接财产损失金额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为重要缺陷；直接财 产损失金额〈利润总额的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为一般 缺陷。③涉及资产的直接财产损失金 额:直接财产损失金额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为重大缺陷；资产总额的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直接财 产损失金额〈资产总额的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为重要缺 陷；直接财产损失金额〈资产总额的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为一般缺陷。当某项内部控制缺 陷导致的直接财产损失金额影响多项 指标时，按孰低原则认定缺陷性质。</w:t>
            </w:r>
          </w:p>
        </w:tc>
      </w:tr>
    </w:tbl>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、内部控制审计报告</w:t>
      </w:r>
      <w:bookmarkEnd w:id="392"/>
      <w:bookmarkEnd w:id="393"/>
      <w:bookmarkEnd w:id="39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远光软件公司于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日在所有重大方面有效地保持了按照《企业内部控制基本规范》建立的与财务报表相关 的内部控制。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日巨潮资讯网披露的《内部控制鉴证报告》</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396" w:name="bookmark396"/>
      <w:bookmarkStart w:id="397" w:name="bookmark397"/>
      <w:bookmarkStart w:id="398" w:name="bookmark398"/>
      <w:r>
        <w:rPr>
          <w:color w:val="000000"/>
          <w:spacing w:val="0"/>
          <w:w w:val="100"/>
          <w:position w:val="0"/>
        </w:rPr>
        <w:t>十五、上市公司治理专项行动自查问题整改情况</w:t>
      </w:r>
      <w:bookmarkEnd w:id="396"/>
      <w:bookmarkEnd w:id="397"/>
      <w:bookmarkEnd w:id="398"/>
    </w:p>
    <w:p>
      <w:pPr>
        <w:pStyle w:val="Style18"/>
        <w:keepNext w:val="0"/>
        <w:keepLines w:val="0"/>
        <w:widowControl w:val="0"/>
        <w:shd w:val="clear" w:color="auto" w:fill="auto"/>
        <w:bidi w:val="0"/>
        <w:spacing w:before="0" w:after="120" w:line="326"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年度，公司根据中国证监会《关于开展上市公司治理专项行动的公告（〔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号）》的要求，对公司治理工 作进行了认真自查和整改，现就两项整改事项报告如下：</w:t>
      </w:r>
    </w:p>
    <w:p>
      <w:pPr>
        <w:pStyle w:val="Style18"/>
        <w:keepNext w:val="0"/>
        <w:keepLines w:val="0"/>
        <w:widowControl w:val="0"/>
        <w:numPr>
          <w:ilvl w:val="0"/>
          <w:numId w:val="23"/>
        </w:numPr>
        <w:shd w:val="clear" w:color="auto" w:fill="auto"/>
        <w:tabs>
          <w:tab w:pos="801" w:val="left"/>
        </w:tabs>
        <w:bidi w:val="0"/>
        <w:spacing w:before="0" w:after="0" w:line="379" w:lineRule="auto"/>
        <w:ind w:left="0" w:right="0" w:firstLine="500"/>
        <w:jc w:val="both"/>
      </w:pPr>
      <w:bookmarkStart w:id="399" w:name="bookmark399"/>
      <w:bookmarkEnd w:id="399"/>
      <w:r>
        <w:rPr>
          <w:color w:val="000000"/>
          <w:spacing w:val="0"/>
          <w:w w:val="100"/>
          <w:position w:val="0"/>
        </w:rPr>
        <w:t>第六届董事会到期未换届。</w:t>
      </w:r>
    </w:p>
    <w:p>
      <w:pPr>
        <w:pStyle w:val="Style18"/>
        <w:keepNext w:val="0"/>
        <w:keepLines w:val="0"/>
        <w:widowControl w:val="0"/>
        <w:shd w:val="clear" w:color="auto" w:fill="auto"/>
        <w:bidi w:val="0"/>
        <w:spacing w:before="0" w:after="0" w:line="326" w:lineRule="exact"/>
        <w:ind w:left="0" w:right="0" w:firstLine="500"/>
        <w:jc w:val="both"/>
      </w:pPr>
      <w:r>
        <w:rPr>
          <w:color w:val="000000"/>
          <w:spacing w:val="0"/>
          <w:w w:val="100"/>
          <w:position w:val="0"/>
        </w:rPr>
        <w:t>公司第六届董事会于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年第一次临时股东大会选举产生，任期三年，于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日到期。当时受 疫情影响，未能及时换届选举。</w:t>
      </w:r>
    </w:p>
    <w:p>
      <w:pPr>
        <w:pStyle w:val="Style18"/>
        <w:keepNext w:val="0"/>
        <w:keepLines w:val="0"/>
        <w:widowControl w:val="0"/>
        <w:shd w:val="clear" w:color="auto" w:fill="auto"/>
        <w:bidi w:val="0"/>
        <w:spacing w:before="0" w:after="420" w:line="314" w:lineRule="exact"/>
        <w:ind w:left="0" w:right="0" w:firstLine="500"/>
        <w:jc w:val="both"/>
      </w:pPr>
      <w:r>
        <w:rPr>
          <w:color w:val="000000"/>
          <w:spacing w:val="0"/>
          <w:w w:val="100"/>
          <w:position w:val="0"/>
        </w:rPr>
        <w:t>整改情况：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年下半年疫情有所缓解，公司已于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日完成换届工作。</w:t>
      </w:r>
    </w:p>
    <w:p>
      <w:pPr>
        <w:pStyle w:val="Style18"/>
        <w:keepNext w:val="0"/>
        <w:keepLines w:val="0"/>
        <w:widowControl w:val="0"/>
        <w:numPr>
          <w:ilvl w:val="0"/>
          <w:numId w:val="23"/>
        </w:numPr>
        <w:shd w:val="clear" w:color="auto" w:fill="auto"/>
        <w:tabs>
          <w:tab w:pos="820" w:val="left"/>
        </w:tabs>
        <w:bidi w:val="0"/>
        <w:spacing w:before="0" w:after="0" w:line="360" w:lineRule="auto"/>
        <w:ind w:left="0" w:right="0" w:firstLine="500"/>
        <w:jc w:val="both"/>
      </w:pPr>
      <w:bookmarkStart w:id="400" w:name="bookmark400"/>
      <w:bookmarkEnd w:id="400"/>
      <w:r>
        <w:rPr>
          <w:color w:val="000000"/>
          <w:spacing w:val="0"/>
          <w:w w:val="100"/>
          <w:position w:val="0"/>
        </w:rPr>
        <w:t>独立董事现场工作时间少于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w:t>
      </w:r>
    </w:p>
    <w:p>
      <w:pPr>
        <w:pStyle w:val="Style1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年度现场工作时间均符合规定。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年度，鉴于当时紧张的防疫、抗疫政策及实际情况， 独董来公司的现场工作时间少于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1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公司作为央企控股的上市公司，坚决执行国家和各级地方政府的防疫、抗疫政策，履行保障安全生产的职责。为此公 司与独立董事积极协商应对，采取多种方式，包括通过电话、远程会议、视频会议、邮件审批等各种方法，有效履行了独董 的职责。</w:t>
      </w:r>
    </w:p>
    <w:p>
      <w:pPr>
        <w:pStyle w:val="Style1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整改情况：公司已与独立董事积极沟通，在坚持疫情防控的前提下，以后将按照规定安排现场工作，保障独立董事履 行职责的工作时间和条件。</w:t>
      </w:r>
    </w:p>
    <w:p>
      <w:pPr>
        <w:pStyle w:val="Style18"/>
        <w:keepNext w:val="0"/>
        <w:keepLines w:val="0"/>
        <w:widowControl w:val="0"/>
        <w:shd w:val="clear" w:color="auto" w:fill="auto"/>
        <w:bidi w:val="0"/>
        <w:spacing w:before="0" w:after="260" w:line="314" w:lineRule="exact"/>
        <w:ind w:left="0" w:right="0" w:firstLine="500"/>
        <w:jc w:val="both"/>
        <w:sectPr>
          <w:footnotePr>
            <w:pos w:val="pageBottom"/>
            <w:numFmt w:val="decimal"/>
            <w:numRestart w:val="continuous"/>
          </w:footnotePr>
          <w:pgSz w:w="11900" w:h="16840"/>
          <w:pgMar w:top="1383" w:right="1056" w:bottom="1474" w:left="1057" w:header="0" w:footer="3" w:gutter="0"/>
          <w:cols w:space="720"/>
          <w:noEndnote/>
          <w:rtlGutter w:val="0"/>
          <w:docGrid w:linePitch="360"/>
        </w:sectPr>
      </w:pPr>
      <w:r>
        <w:rPr>
          <w:color w:val="000000"/>
          <w:spacing w:val="0"/>
          <w:w w:val="100"/>
          <w:position w:val="0"/>
        </w:rPr>
        <w:t>公司高度重视治理，将持续改进相关工作，按照国家法律、法规、深圳证券交易所《股票上市规则》和《上市公司自 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号一主板上市公司规范运作》等规定，真实、准确、完整、及时、公平地履行信息披露义务，做好投资者 关系管理工作，确保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规范运作，切实推动公司治理整体水平有效提升。</w:t>
      </w:r>
    </w:p>
    <w:p>
      <w:pPr>
        <w:pStyle w:val="Style10"/>
        <w:keepNext/>
        <w:keepLines/>
        <w:widowControl w:val="0"/>
        <w:shd w:val="clear" w:color="auto" w:fill="auto"/>
        <w:bidi w:val="0"/>
        <w:spacing w:before="580" w:after="540" w:line="240" w:lineRule="auto"/>
        <w:ind w:left="0" w:right="0" w:firstLine="0"/>
        <w:jc w:val="center"/>
      </w:pPr>
      <w:bookmarkStart w:id="401" w:name="bookmark401"/>
      <w:bookmarkStart w:id="402" w:name="bookmark402"/>
      <w:bookmarkStart w:id="403" w:name="bookmark403"/>
      <w:r>
        <w:rPr>
          <w:color w:val="000000"/>
          <w:spacing w:val="0"/>
          <w:w w:val="100"/>
          <w:position w:val="0"/>
        </w:rPr>
        <w:t>第五节环境和社会责任</w:t>
      </w:r>
      <w:bookmarkEnd w:id="401"/>
      <w:bookmarkEnd w:id="402"/>
      <w:bookmarkEnd w:id="403"/>
    </w:p>
    <w:p>
      <w:pPr>
        <w:pStyle w:val="Style24"/>
        <w:keepNext/>
        <w:keepLines/>
        <w:widowControl w:val="0"/>
        <w:shd w:val="clear" w:color="auto" w:fill="auto"/>
        <w:bidi w:val="0"/>
        <w:spacing w:before="0" w:after="380" w:line="240" w:lineRule="auto"/>
        <w:ind w:left="0" w:right="0" w:firstLine="260"/>
        <w:jc w:val="left"/>
      </w:pPr>
      <w:bookmarkStart w:id="404" w:name="bookmark404"/>
      <w:bookmarkStart w:id="405" w:name="bookmark405"/>
      <w:bookmarkStart w:id="406" w:name="bookmark406"/>
      <w:bookmarkStart w:id="407" w:name="bookmark407"/>
      <w:r>
        <w:rPr>
          <w:color w:val="000000"/>
          <w:spacing w:val="0"/>
          <w:w w:val="100"/>
          <w:position w:val="0"/>
        </w:rPr>
        <w:t>、重大环保问题</w:t>
      </w:r>
      <w:bookmarkEnd w:id="405"/>
      <w:bookmarkEnd w:id="406"/>
      <w:bookmarkEnd w:id="407"/>
      <w:bookmarkEnd w:id="404"/>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公司以向集团企业提供管理信息化产品及服务为主要经营方向，不属于环境保护部门公布的重点排污单位，在日常生产经营 过程中不存在产生、排放污染物等不利环境保护的情形。公司董事长陈利浩编写并印制两版《低碳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》，成为员工日常低 碳行为准则，取得良好成效。</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二</w:t>
      </w:r>
      <w:bookmarkEnd w:id="410"/>
      <w:r>
        <w:rPr>
          <w:color w:val="000000"/>
          <w:spacing w:val="0"/>
          <w:w w:val="100"/>
          <w:position w:val="0"/>
        </w:rPr>
        <w:t>、</w:t>
        <w:tab/>
        <w:t>社会责任情况</w:t>
      </w:r>
      <w:bookmarkEnd w:id="408"/>
      <w:bookmarkEnd w:id="409"/>
      <w:bookmarkEnd w:id="41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年度环境、社会及治理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w:t>
      </w:r>
      <w:r>
        <w:rPr>
          <w:color w:val="000000"/>
          <w:spacing w:val="0"/>
          <w:w w:val="100"/>
          <w:position w:val="0"/>
        </w:rPr>
        <w:t>报告</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上市以来，公司持续披露《社会责任报告》。公司编制了首份</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报告，记录了公司在践行</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理念方面的一些实践与 收获，希望通过这份报告，向同事、客户、合作伙伴、投资人及社会公众分享公司在可持续发展方面所做的努力。公司履行 社会责任情况详见于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年度环境、社会及治理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w:t>
      </w:r>
      <w:r>
        <w:rPr>
          <w:color w:val="000000"/>
          <w:spacing w:val="0"/>
          <w:w w:val="100"/>
          <w:position w:val="0"/>
        </w:rPr>
        <w:t>报告》。</w:t>
      </w:r>
    </w:p>
    <w:p>
      <w:pPr>
        <w:pStyle w:val="Style33"/>
        <w:keepNext w:val="0"/>
        <w:keepLines w:val="0"/>
        <w:widowControl w:val="0"/>
        <w:shd w:val="clear" w:color="auto" w:fill="auto"/>
        <w:bidi w:val="0"/>
        <w:spacing w:before="0" w:after="0" w:line="36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增加值</w:t>
      </w:r>
      <w:r>
        <w:rPr>
          <w:rFonts w:ascii="Times New Roman" w:eastAsia="Times New Roman" w:hAnsi="Times New Roman" w:cs="Times New Roman"/>
          <w:color w:val="000000"/>
          <w:spacing w:val="0"/>
          <w:w w:val="100"/>
          <w:position w:val="0"/>
          <w:sz w:val="18"/>
          <w:szCs w:val="18"/>
        </w:rPr>
        <w:t>”</w:t>
      </w:r>
      <w:r>
        <w:rPr>
          <w:color w:val="222222"/>
          <w:spacing w:val="0"/>
          <w:w w:val="100"/>
          <w:position w:val="0"/>
          <w:sz w:val="20"/>
          <w:szCs w:val="20"/>
        </w:rPr>
        <w:t>（</w:t>
      </w:r>
      <w:r>
        <w:rPr>
          <w:b/>
          <w:bCs/>
          <w:color w:val="222222"/>
          <w:spacing w:val="0"/>
          <w:w w:val="100"/>
          <w:position w:val="0"/>
          <w:sz w:val="20"/>
          <w:szCs w:val="20"/>
        </w:rPr>
        <w:t>value added</w:t>
      </w:r>
      <w:r>
        <w:rPr>
          <w:color w:val="222222"/>
          <w:spacing w:val="0"/>
          <w:w w:val="100"/>
          <w:position w:val="0"/>
          <w:sz w:val="20"/>
          <w:szCs w:val="20"/>
        </w:rPr>
        <w:t>）</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高质量发展是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时期中国经济发展的必由之路。要实现这一目标，每个企业、整个社会都要更加注重质量、效益。</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同时体现了企业对员工、股东、国家和自身的责任，可以全面反映企业发展质量与社会价值贡献。根据国 家统计局对增加值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收入法计算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的规定，增加值由劳动者报酬、生产税净额、固定资产折旧和营业盈余四个部分相加而得。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劳动者报酬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体现对员工的责任；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生产税净额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反映对财政税收的贡献；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衡量对自身更新改造的投入；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 业盈余额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则是对股东的回报。</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根据国家统计局有关增加值的计算方法，远光软件首次披露公司的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指标：</w:t>
      </w:r>
    </w:p>
    <w:p>
      <w:pPr>
        <w:pStyle w:val="Style18"/>
        <w:keepNext w:val="0"/>
        <w:keepLines w:val="0"/>
        <w:widowControl w:val="0"/>
        <w:shd w:val="clear" w:color="auto" w:fill="auto"/>
        <w:bidi w:val="0"/>
        <w:spacing w:before="0" w:after="380" w:line="313"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137,230.33</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年增加</w:t>
      </w:r>
      <w:r>
        <w:rPr>
          <w:rFonts w:ascii="Times New Roman" w:eastAsia="Times New Roman" w:hAnsi="Times New Roman" w:cs="Times New Roman"/>
          <w:color w:val="000000"/>
          <w:spacing w:val="0"/>
          <w:w w:val="100"/>
          <w:position w:val="0"/>
          <w:sz w:val="18"/>
          <w:szCs w:val="18"/>
        </w:rPr>
        <w:t>12,141.46</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9.71%</w:t>
      </w:r>
      <w:r>
        <w:rPr>
          <w:color w:val="000000"/>
          <w:spacing w:val="0"/>
          <w:w w:val="100"/>
          <w:position w:val="0"/>
        </w:rPr>
        <w:t>，其中劳动者报酬增加</w:t>
      </w:r>
      <w:r>
        <w:rPr>
          <w:rFonts w:ascii="Times New Roman" w:eastAsia="Times New Roman" w:hAnsi="Times New Roman" w:cs="Times New Roman"/>
          <w:color w:val="000000"/>
          <w:spacing w:val="0"/>
          <w:w w:val="100"/>
          <w:position w:val="0"/>
          <w:sz w:val="18"/>
          <w:szCs w:val="18"/>
        </w:rPr>
        <w:t>6,512.97</w:t>
      </w:r>
      <w:r>
        <w:rPr>
          <w:color w:val="000000"/>
          <w:spacing w:val="0"/>
          <w:w w:val="100"/>
          <w:position w:val="0"/>
        </w:rPr>
        <w:t>万元、增 幅</w:t>
      </w:r>
      <w:r>
        <w:rPr>
          <w:rFonts w:ascii="Times New Roman" w:eastAsia="Times New Roman" w:hAnsi="Times New Roman" w:cs="Times New Roman"/>
          <w:color w:val="000000"/>
          <w:spacing w:val="0"/>
          <w:w w:val="100"/>
          <w:position w:val="0"/>
          <w:sz w:val="18"/>
          <w:szCs w:val="18"/>
        </w:rPr>
        <w:t>7.61%</w:t>
      </w:r>
      <w:r>
        <w:rPr>
          <w:color w:val="000000"/>
          <w:spacing w:val="0"/>
          <w:w w:val="100"/>
          <w:position w:val="0"/>
        </w:rPr>
        <w:t>，生产税净额增加</w:t>
      </w:r>
      <w:r>
        <w:rPr>
          <w:rFonts w:ascii="Times New Roman" w:eastAsia="Times New Roman" w:hAnsi="Times New Roman" w:cs="Times New Roman"/>
          <w:color w:val="000000"/>
          <w:spacing w:val="0"/>
          <w:w w:val="100"/>
          <w:position w:val="0"/>
          <w:sz w:val="18"/>
          <w:szCs w:val="18"/>
        </w:rPr>
        <w:t>835.48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11.36%</w:t>
      </w:r>
      <w:r>
        <w:rPr>
          <w:color w:val="000000"/>
          <w:spacing w:val="0"/>
          <w:w w:val="100"/>
          <w:position w:val="0"/>
        </w:rPr>
        <w:t>，固定资产折旧增加</w:t>
      </w:r>
      <w:r>
        <w:rPr>
          <w:rFonts w:ascii="Times New Roman" w:eastAsia="Times New Roman" w:hAnsi="Times New Roman" w:cs="Times New Roman"/>
          <w:color w:val="000000"/>
          <w:spacing w:val="0"/>
          <w:w w:val="100"/>
          <w:position w:val="0"/>
          <w:sz w:val="18"/>
          <w:szCs w:val="18"/>
        </w:rPr>
        <w:t>58.62</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，营业盈余增加</w:t>
      </w:r>
      <w:r>
        <w:rPr>
          <w:rFonts w:ascii="Times New Roman" w:eastAsia="Times New Roman" w:hAnsi="Times New Roman" w:cs="Times New Roman"/>
          <w:color w:val="000000"/>
          <w:spacing w:val="0"/>
          <w:w w:val="100"/>
          <w:position w:val="0"/>
          <w:sz w:val="18"/>
          <w:szCs w:val="18"/>
        </w:rPr>
        <w:t>4,734.39</w:t>
      </w:r>
      <w:r>
        <w:rPr>
          <w:color w:val="000000"/>
          <w:spacing w:val="0"/>
          <w:w w:val="100"/>
          <w:position w:val="0"/>
        </w:rPr>
        <w:t>万元、 增幅</w:t>
      </w:r>
      <w:r>
        <w:rPr>
          <w:rFonts w:ascii="Times New Roman" w:eastAsia="Times New Roman" w:hAnsi="Times New Roman" w:cs="Times New Roman"/>
          <w:color w:val="000000"/>
          <w:spacing w:val="0"/>
          <w:w w:val="100"/>
          <w:position w:val="0"/>
          <w:sz w:val="18"/>
          <w:szCs w:val="18"/>
        </w:rPr>
        <w:t>15.44%</w:t>
      </w:r>
      <w:r>
        <w:rPr>
          <w:color w:val="000000"/>
          <w:spacing w:val="0"/>
          <w:w w:val="100"/>
          <w:position w:val="0"/>
        </w:rPr>
        <w:t>，对员工、股东、国家和自身的责任与贡献均增长良好。</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三</w:t>
      </w:r>
      <w:bookmarkEnd w:id="414"/>
      <w:r>
        <w:rPr>
          <w:color w:val="000000"/>
          <w:spacing w:val="0"/>
          <w:w w:val="100"/>
          <w:position w:val="0"/>
        </w:rPr>
        <w:t>、</w:t>
        <w:tab/>
        <w:t>巩固拓展脱贫攻坚成果、乡村振兴的情况</w:t>
      </w:r>
      <w:bookmarkEnd w:id="412"/>
      <w:bookmarkEnd w:id="413"/>
      <w:bookmarkEnd w:id="415"/>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报告期内，公司着力于振兴乡村教育，进行了系列扶贫援建工作。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月，珠海高新区组织区工商业联合会、区新 </w:t>
      </w:r>
      <w:r>
        <w:rPr>
          <w:color w:val="000000"/>
          <w:spacing w:val="0"/>
          <w:w w:val="100"/>
          <w:position w:val="0"/>
        </w:rPr>
        <w:t>的社会阶层人士联合会、珠海欧美同学会高新分会等成员开展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广东扶贫济困日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扶贫慰问活动。公司积极响应，深入参与扶 贫援建工作，与各会员代表共赴对口帮扶对象化州市文楼镇八寨小学，送去一批图书、文具等慰问物资，并捐款支持学校建 设，完善教学器材及配套设施，改善当地教育教学条件。</w:t>
      </w:r>
    </w:p>
    <w:p>
      <w:pPr>
        <w:pStyle w:val="Style18"/>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月，全国人大常委会委员、宪法和法律委员会副主任、九三学社中央副主席、中国工程院院士丛斌代表九三学 社中央赴四川旺苍县、贵州威宁县开展调研慰问活动，远光软件董事长、九三学社中央资源环境专委会副主任、促进技术创 新工作委员会副主任陈利浩随同参与调研。调研期间，公司通过陈利浩所创办的广东省依依关爱儿童基金会向贵州威宁县困 难家庭学生捐赠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九三学社同心树人助学金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，助力更多贫困家庭学生有学上、上好学，以切实行动支持贫困地区的教育事业， 为切实阻断贫困代际传递，打好脱贫攻坚战，巩固脱贫攻坚成果汇聚力量。</w:t>
      </w:r>
    </w:p>
    <w:p>
      <w:pPr>
        <w:pStyle w:val="Style18"/>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日，各民主党派、工商联、无党派人士为全面建成小康社会作贡献评选表彰大会在北京召开，中共中央政 治局常委、全国政协主席汪洋出席并讲话，远光软件董事长陈利浩作为全国</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名先进个人之一在北京主会场接受表彰。</w:t>
      </w:r>
      <w:r>
        <w:br w:type="page"/>
      </w:r>
    </w:p>
    <w:p>
      <w:pPr>
        <w:pStyle w:val="Style10"/>
        <w:keepNext/>
        <w:keepLines/>
        <w:widowControl w:val="0"/>
        <w:shd w:val="clear" w:color="auto" w:fill="auto"/>
        <w:bidi w:val="0"/>
        <w:spacing w:before="0" w:after="520" w:line="240" w:lineRule="auto"/>
        <w:ind w:left="0" w:right="0" w:firstLine="0"/>
        <w:jc w:val="center"/>
      </w:pPr>
      <w:bookmarkStart w:id="416" w:name="bookmark416"/>
      <w:bookmarkStart w:id="417" w:name="bookmark417"/>
      <w:bookmarkStart w:id="418" w:name="bookmark418"/>
      <w:r>
        <w:rPr>
          <w:color w:val="000000"/>
          <w:spacing w:val="0"/>
          <w:w w:val="100"/>
          <w:position w:val="0"/>
        </w:rPr>
        <w:t>第六节重要事项</w:t>
      </w:r>
      <w:bookmarkEnd w:id="416"/>
      <w:bookmarkEnd w:id="417"/>
      <w:bookmarkEnd w:id="418"/>
    </w:p>
    <w:p>
      <w:pPr>
        <w:pStyle w:val="Style24"/>
        <w:keepNext/>
        <w:keepLines/>
        <w:widowControl w:val="0"/>
        <w:shd w:val="clear" w:color="auto" w:fill="auto"/>
        <w:bidi w:val="0"/>
        <w:spacing w:before="0" w:after="340" w:line="240" w:lineRule="auto"/>
        <w:ind w:left="0" w:right="0" w:firstLine="0"/>
        <w:jc w:val="left"/>
      </w:pPr>
      <w:bookmarkStart w:id="419" w:name="bookmark419"/>
      <w:bookmarkStart w:id="420" w:name="bookmark420"/>
      <w:bookmarkStart w:id="421" w:name="bookmark421"/>
      <w:bookmarkStart w:id="422" w:name="bookmark422"/>
      <w:bookmarkStart w:id="423" w:name="bookmark423"/>
      <w:r>
        <w:rPr>
          <w:color w:val="000000"/>
          <w:spacing w:val="0"/>
          <w:w w:val="100"/>
          <w:position w:val="0"/>
        </w:rPr>
        <w:t>一</w:t>
      </w:r>
      <w:bookmarkEnd w:id="422"/>
      <w:r>
        <w:rPr>
          <w:color w:val="000000"/>
          <w:spacing w:val="0"/>
          <w:w w:val="100"/>
          <w:position w:val="0"/>
        </w:rPr>
        <w:t>、承诺事项履行情况</w:t>
      </w:r>
      <w:bookmarkEnd w:id="420"/>
      <w:bookmarkEnd w:id="421"/>
      <w:bookmarkEnd w:id="423"/>
      <w:bookmarkEnd w:id="419"/>
    </w:p>
    <w:p>
      <w:pPr>
        <w:pStyle w:val="Style29"/>
        <w:keepNext/>
        <w:keepLines/>
        <w:widowControl w:val="0"/>
        <w:shd w:val="clear" w:color="auto" w:fill="auto"/>
        <w:bidi w:val="0"/>
        <w:spacing w:before="0" w:after="340" w:line="307" w:lineRule="exact"/>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、公司实际控制人、股东、关联方、收购人以及公司等承诺相关方在报告期内履行完毕及截至报告期末 尚未履行完毕的承诺事项</w:t>
      </w:r>
      <w:bookmarkEnd w:id="424"/>
      <w:bookmarkEnd w:id="425"/>
      <w:bookmarkEnd w:id="42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收购报告书或权益变动报告书中所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国网电子商 务有限公司、 陈利浩、黄笑 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关于保持上</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市公司独立</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性、关于避免</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同业竞争、关</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于规范关联</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交易的承诺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、保证上市 公司资产、人 员、财务、机 构、业务独 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、避免 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规范与上市 公司之间的 关联交易，自 觉维护上市 公司及全体 股东的利益， 不利用关联 交易谋取不 正当利益。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报告期内，承</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诺人严格履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行了承诺。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陈利浩、林芝</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地区荣光科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关于同业竞</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争、关联交</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易、资金占用</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避免同业竞</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报告期内，承</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诺人严格履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行了该承诺。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国网电子商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增持计划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国网电子商 务有限公司 计划自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内增持公司</w:t>
            </w:r>
          </w:p>
          <w:p>
            <w:pPr>
              <w:pStyle w:val="Style2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股份，本次拟 增持股份数 量不少于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已履行完毕。</w:t>
            </w:r>
          </w:p>
        </w:tc>
      </w:tr>
    </w:tbl>
    <w:tbl>
      <w:tblPr>
        <w:tblOverlap w:val="never"/>
        <w:jc w:val="center"/>
        <w:tblLayout w:type="fixed"/>
      </w:tblPr>
      <w:tblGrid>
        <w:gridCol w:w="2842"/>
        <w:gridCol w:w="1123"/>
        <w:gridCol w:w="1128"/>
        <w:gridCol w:w="1123"/>
        <w:gridCol w:w="1128"/>
        <w:gridCol w:w="1123"/>
        <w:gridCol w:w="1114"/>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万股， 不超过</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7"/>
                <w:szCs w:val="17"/>
              </w:rPr>
              <w:t>万股。增持所 需资金为国 网电商自有 资金或自筹 资金。本次 增持不设定 价格区间，将 根据远光软 件股票价格 波动情况及 资本市场整 体趋势，择机 实施增持计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39" w:line="1" w:lineRule="exact"/>
      </w:pPr>
    </w:p>
    <w:p>
      <w:pPr>
        <w:pStyle w:val="Style29"/>
        <w:keepNext/>
        <w:keepLines/>
        <w:widowControl w:val="0"/>
        <w:shd w:val="clear" w:color="auto" w:fill="auto"/>
        <w:bidi w:val="0"/>
        <w:spacing w:before="0" w:after="380" w:line="322" w:lineRule="exact"/>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、公司资产或项目存在盈利预测，且报告期仍处在盈利预测期间，公司就资产或项目达到原盈利预测及 其原因做出说明</w:t>
      </w:r>
      <w:bookmarkEnd w:id="428"/>
      <w:bookmarkEnd w:id="429"/>
      <w:bookmarkEnd w:id="43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二</w:t>
      </w:r>
      <w:bookmarkEnd w:id="434"/>
      <w:r>
        <w:rPr>
          <w:color w:val="000000"/>
          <w:spacing w:val="0"/>
          <w:w w:val="100"/>
          <w:position w:val="0"/>
        </w:rPr>
        <w:t>、</w:t>
        <w:tab/>
        <w:t>控股股东及其他关联方对上市公司的非经营性占用资金情况</w:t>
      </w:r>
      <w:bookmarkEnd w:id="432"/>
      <w:bookmarkEnd w:id="433"/>
      <w:bookmarkEnd w:id="435"/>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三</w:t>
      </w:r>
      <w:bookmarkEnd w:id="438"/>
      <w:r>
        <w:rPr>
          <w:color w:val="000000"/>
          <w:spacing w:val="0"/>
          <w:w w:val="100"/>
          <w:position w:val="0"/>
        </w:rPr>
        <w:t>、</w:t>
        <w:tab/>
        <w:t>违规对外担保情况</w:t>
      </w:r>
      <w:bookmarkEnd w:id="436"/>
      <w:bookmarkEnd w:id="437"/>
      <w:bookmarkEnd w:id="439"/>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四</w:t>
      </w:r>
      <w:bookmarkEnd w:id="44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40"/>
      <w:bookmarkEnd w:id="441"/>
      <w:bookmarkEnd w:id="44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五</w:t>
      </w:r>
      <w:bookmarkEnd w:id="44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44"/>
      <w:bookmarkEnd w:id="445"/>
      <w:bookmarkEnd w:id="44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w:t>
        <w:tab/>
        <w:t>与上年度财务报告相比，会计政策、会计估计变更或重大会计差错更正的情况说明</w:t>
      </w:r>
      <w:bookmarkEnd w:id="448"/>
      <w:bookmarkEnd w:id="449"/>
      <w:bookmarkEnd w:id="451"/>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七</w:t>
      </w:r>
      <w:bookmarkEnd w:id="454"/>
      <w:r>
        <w:rPr>
          <w:color w:val="000000"/>
          <w:spacing w:val="0"/>
          <w:w w:val="100"/>
          <w:position w:val="0"/>
        </w:rPr>
        <w:t>、</w:t>
        <w:tab/>
        <w:t>与上年度财务报告相比，合并报表范围发生变化的情况说明</w:t>
      </w:r>
      <w:bookmarkEnd w:id="452"/>
      <w:bookmarkEnd w:id="453"/>
      <w:bookmarkEnd w:id="455"/>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八</w:t>
      </w:r>
      <w:bookmarkEnd w:id="458"/>
      <w:r>
        <w:rPr>
          <w:color w:val="000000"/>
          <w:spacing w:val="0"/>
          <w:w w:val="100"/>
          <w:position w:val="0"/>
        </w:rPr>
        <w:t>、</w:t>
        <w:tab/>
        <w:t>聘任、解聘会计师事务所情况</w:t>
      </w:r>
      <w:bookmarkEnd w:id="456"/>
      <w:bookmarkEnd w:id="457"/>
      <w:bookmarkEnd w:id="45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李恩成、余红</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九</w:t>
      </w:r>
      <w:bookmarkEnd w:id="462"/>
      <w:r>
        <w:rPr>
          <w:color w:val="000000"/>
          <w:spacing w:val="0"/>
          <w:w w:val="100"/>
          <w:position w:val="0"/>
        </w:rPr>
        <w:t>、年度报告披露后面临退市情况</w:t>
      </w:r>
      <w:bookmarkEnd w:id="460"/>
      <w:bookmarkEnd w:id="461"/>
      <w:bookmarkEnd w:id="463"/>
    </w:p>
    <w:p>
      <w:pPr>
        <w:pStyle w:val="Style18"/>
        <w:keepNext w:val="0"/>
        <w:keepLines w:val="0"/>
        <w:widowControl w:val="0"/>
        <w:numPr>
          <w:ilvl w:val="0"/>
          <w:numId w:val="25"/>
        </w:numPr>
        <w:shd w:val="clear" w:color="auto" w:fill="auto"/>
        <w:tabs>
          <w:tab w:pos="282" w:val="left"/>
        </w:tabs>
        <w:bidi w:val="0"/>
        <w:spacing w:before="0" w:after="380" w:line="240" w:lineRule="auto"/>
        <w:ind w:left="0" w:right="0" w:firstLine="0"/>
        <w:jc w:val="both"/>
      </w:pPr>
      <w:bookmarkStart w:id="464" w:name="bookmark464"/>
      <w:bookmarkEnd w:id="4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r>
        <w:rPr>
          <w:color w:val="000000"/>
          <w:spacing w:val="0"/>
          <w:w w:val="100"/>
          <w:position w:val="0"/>
        </w:rPr>
        <w:t>十、破产重整相关事项</w:t>
      </w:r>
      <w:bookmarkEnd w:id="465"/>
      <w:bookmarkEnd w:id="466"/>
      <w:bookmarkEnd w:id="467"/>
    </w:p>
    <w:p>
      <w:pPr>
        <w:pStyle w:val="Style18"/>
        <w:keepNext w:val="0"/>
        <w:keepLines w:val="0"/>
        <w:widowControl w:val="0"/>
        <w:numPr>
          <w:ilvl w:val="0"/>
          <w:numId w:val="25"/>
        </w:numPr>
        <w:shd w:val="clear" w:color="auto" w:fill="auto"/>
        <w:tabs>
          <w:tab w:pos="282" w:val="left"/>
        </w:tabs>
        <w:bidi w:val="0"/>
        <w:spacing w:before="0" w:line="240" w:lineRule="auto"/>
        <w:ind w:left="0" w:right="0" w:firstLine="0"/>
        <w:jc w:val="both"/>
      </w:pPr>
      <w:bookmarkStart w:id="468" w:name="bookmark468"/>
      <w:bookmarkEnd w:id="4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both"/>
      </w:pPr>
      <w:bookmarkStart w:id="469" w:name="bookmark469"/>
      <w:bookmarkStart w:id="470" w:name="bookmark470"/>
      <w:bookmarkStart w:id="471" w:name="bookmark471"/>
      <w:r>
        <w:rPr>
          <w:color w:val="000000"/>
          <w:spacing w:val="0"/>
          <w:w w:val="100"/>
          <w:position w:val="0"/>
        </w:rPr>
        <w:t>十一、重大诉讼、仲裁事项</w:t>
      </w:r>
      <w:bookmarkEnd w:id="469"/>
      <w:bookmarkEnd w:id="470"/>
      <w:bookmarkEnd w:id="471"/>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涉案金额（万</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r>
      <w:tr>
        <w:trPr>
          <w:trHeight w:val="16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本报告期公司无重 大诉讼、仲裁事项。 未达到重大诉讼披 露标准的其他诉讼 涉案总金额为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326.02 </w:t>
            </w:r>
            <w:r>
              <w:rPr>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r>
        <w:rPr>
          <w:color w:val="000000"/>
          <w:spacing w:val="0"/>
          <w:w w:val="100"/>
          <w:position w:val="0"/>
        </w:rPr>
        <w:t>十二、处罚及整改情况</w:t>
      </w:r>
      <w:bookmarkEnd w:id="472"/>
      <w:bookmarkEnd w:id="473"/>
      <w:bookmarkEnd w:id="474"/>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r>
        <w:rPr>
          <w:color w:val="000000"/>
          <w:spacing w:val="0"/>
          <w:w w:val="100"/>
          <w:position w:val="0"/>
        </w:rPr>
        <w:t>十三、公司及其控股股东、实际控制人的诚信状况</w:t>
      </w:r>
      <w:bookmarkEnd w:id="475"/>
      <w:bookmarkEnd w:id="476"/>
      <w:bookmarkEnd w:id="47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r>
        <w:rPr>
          <w:color w:val="000000"/>
          <w:spacing w:val="0"/>
          <w:w w:val="100"/>
          <w:position w:val="0"/>
        </w:rPr>
        <w:t>十四、重大关联交易</w:t>
      </w:r>
      <w:bookmarkEnd w:id="478"/>
      <w:bookmarkEnd w:id="479"/>
      <w:bookmarkEnd w:id="480"/>
    </w:p>
    <w:p>
      <w:pPr>
        <w:pStyle w:val="Style29"/>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、与日常经营相关的关联交易</w:t>
      </w:r>
      <w:bookmarkEnd w:id="481"/>
      <w:bookmarkEnd w:id="482"/>
      <w:bookmarkEnd w:id="48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易金额 （万</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占同类</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交易金</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额的比</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是否超</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过获批</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披露索 引</w:t>
            </w:r>
          </w:p>
        </w:tc>
      </w:tr>
      <w:tr>
        <w:trPr>
          <w:trHeight w:val="75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国电电力 发展股份 有限公司 及其下属 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独立核</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算及公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9,487,9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9,487,9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 在《证 券时 报》、</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 证券 报》以 及巨潮 资讯网 披露</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《远光 软件股 份有限 公司关 于对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 度日常 关联交 易金额 进行预 计的公 告》（公</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 xml:space="preserve">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在《证</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券时</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及巨潮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资讯网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披露</w:t>
            </w:r>
          </w:p>
        </w:tc>
      </w:tr>
      <w:tr>
        <w:trPr>
          <w:trHeight w:val="50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国家电网 有限公司 及其其他 下属单位</w:t>
            </w:r>
          </w:p>
        </w:tc>
        <w:tc>
          <w:tcPr>
            <w:tcBorders>
              <w:left w:val="single" w:sz="4"/>
            </w:tcBorders>
            <w:shd w:val="clear" w:color="auto" w:fill="FFFFFF"/>
            <w:vAlign w:val="top"/>
          </w:tcPr>
          <w:p>
            <w:pPr>
              <w:pStyle w:val="Style20"/>
              <w:keepNext w:val="0"/>
              <w:keepLines w:val="0"/>
              <w:widowControl w:val="0"/>
              <w:shd w:val="clear" w:color="auto" w:fill="auto"/>
              <w:bidi w:val="0"/>
              <w:spacing w:before="100" w:after="0" w:line="314" w:lineRule="exact"/>
              <w:ind w:left="0" w:right="0" w:firstLine="0"/>
              <w:jc w:val="both"/>
              <w:rPr>
                <w:sz w:val="17"/>
                <w:szCs w:val="17"/>
              </w:rPr>
            </w:pPr>
            <w:r>
              <w:rPr>
                <w:color w:val="000000"/>
                <w:spacing w:val="0"/>
                <w:w w:val="100"/>
                <w:position w:val="0"/>
                <w:sz w:val="17"/>
                <w:szCs w:val="17"/>
              </w:rPr>
              <w:t>控股股 东的股 东</w:t>
            </w:r>
          </w:p>
        </w:tc>
        <w:tc>
          <w:tcPr>
            <w:tcBorders>
              <w:left w:val="single" w:sz="4"/>
            </w:tcBorders>
            <w:shd w:val="clear" w:color="auto" w:fill="FFFFFF"/>
            <w:vAlign w:val="top"/>
          </w:tcPr>
          <w:p>
            <w:pPr>
              <w:pStyle w:val="Style20"/>
              <w:keepNext w:val="0"/>
              <w:keepLines w:val="0"/>
              <w:widowControl w:val="0"/>
              <w:shd w:val="clear" w:color="auto" w:fill="auto"/>
              <w:bidi w:val="0"/>
              <w:spacing w:before="100" w:after="0" w:line="314" w:lineRule="exact"/>
              <w:ind w:left="0" w:right="0" w:firstLine="0"/>
              <w:jc w:val="both"/>
              <w:rPr>
                <w:sz w:val="17"/>
                <w:szCs w:val="17"/>
              </w:rPr>
            </w:pPr>
            <w:r>
              <w:rPr>
                <w:color w:val="000000"/>
                <w:spacing w:val="0"/>
                <w:w w:val="100"/>
                <w:position w:val="0"/>
                <w:sz w:val="17"/>
                <w:szCs w:val="17"/>
              </w:rPr>
              <w:t>销售商 品及提 供服务</w:t>
            </w:r>
          </w:p>
        </w:tc>
        <w:tc>
          <w:tcPr>
            <w:tcBorders>
              <w:left w:val="single" w:sz="4"/>
            </w:tcBorders>
            <w:shd w:val="clear" w:color="auto" w:fill="FFFFFF"/>
            <w:vAlign w:val="top"/>
          </w:tcPr>
          <w:p>
            <w:pPr>
              <w:pStyle w:val="Style20"/>
              <w:keepNext w:val="0"/>
              <w:keepLines w:val="0"/>
              <w:widowControl w:val="0"/>
              <w:shd w:val="clear" w:color="auto" w:fill="auto"/>
              <w:bidi w:val="0"/>
              <w:spacing w:before="100" w:after="0" w:line="314" w:lineRule="exact"/>
              <w:ind w:left="0" w:right="0" w:firstLine="0"/>
              <w:jc w:val="both"/>
              <w:rPr>
                <w:sz w:val="17"/>
                <w:szCs w:val="17"/>
              </w:rPr>
            </w:pPr>
            <w:r>
              <w:rPr>
                <w:color w:val="000000"/>
                <w:spacing w:val="0"/>
                <w:w w:val="100"/>
                <w:position w:val="0"/>
                <w:sz w:val="17"/>
                <w:szCs w:val="17"/>
              </w:rPr>
              <w:t>销售商 品及提 供服务</w:t>
            </w:r>
          </w:p>
        </w:tc>
        <w:tc>
          <w:tcPr>
            <w:tcBorders>
              <w:left w:val="single" w:sz="4"/>
            </w:tcBorders>
            <w:shd w:val="clear" w:color="auto" w:fill="FFFFFF"/>
            <w:vAlign w:val="top"/>
          </w:tcPr>
          <w:p>
            <w:pPr>
              <w:pStyle w:val="Style20"/>
              <w:keepNext w:val="0"/>
              <w:keepLines w:val="0"/>
              <w:widowControl w:val="0"/>
              <w:shd w:val="clear" w:color="auto" w:fill="auto"/>
              <w:bidi w:val="0"/>
              <w:spacing w:before="220" w:after="120" w:line="240" w:lineRule="auto"/>
              <w:ind w:left="0" w:right="0" w:firstLine="0"/>
              <w:jc w:val="both"/>
              <w:rPr>
                <w:sz w:val="17"/>
                <w:szCs w:val="17"/>
              </w:rPr>
            </w:pPr>
            <w:r>
              <w:rPr>
                <w:color w:val="000000"/>
                <w:spacing w:val="0"/>
                <w:w w:val="100"/>
                <w:position w:val="0"/>
                <w:sz w:val="17"/>
                <w:szCs w:val="17"/>
              </w:rPr>
              <w:t>独立核</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算及公</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允价值</w:t>
            </w:r>
          </w:p>
        </w:tc>
        <w:tc>
          <w:tcPr>
            <w:tcBorders>
              <w:left w:val="single" w:sz="4"/>
            </w:tcBorders>
            <w:shd w:val="clear" w:color="auto" w:fill="FFFFFF"/>
            <w:vAlign w:val="top"/>
          </w:tcPr>
          <w:p>
            <w:pPr>
              <w:pStyle w:val="Style20"/>
              <w:keepNext w:val="0"/>
              <w:keepLines w:val="0"/>
              <w:widowControl w:val="0"/>
              <w:shd w:val="clear" w:color="auto" w:fill="auto"/>
              <w:bidi w:val="0"/>
              <w:spacing w:before="20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1,033,9 </w:t>
            </w:r>
            <w:r>
              <w:rPr>
                <w:rFonts w:ascii="Times New Roman" w:eastAsia="Times New Roman" w:hAnsi="Times New Roman" w:cs="Times New Roman"/>
                <w:color w:val="000000"/>
                <w:spacing w:val="0"/>
                <w:w w:val="100"/>
                <w:position w:val="0"/>
                <w:sz w:val="18"/>
                <w:szCs w:val="18"/>
              </w:rPr>
              <w:t xml:space="preserve">15,084. </w:t>
            </w: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20"/>
              <w:keepNext w:val="0"/>
              <w:keepLines w:val="0"/>
              <w:widowControl w:val="0"/>
              <w:shd w:val="clear" w:color="auto" w:fill="auto"/>
              <w:bidi w:val="0"/>
              <w:spacing w:before="36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0"/>
              <w:keepNext w:val="0"/>
              <w:keepLines w:val="0"/>
              <w:widowControl w:val="0"/>
              <w:shd w:val="clear" w:color="auto" w:fill="auto"/>
              <w:bidi w:val="0"/>
              <w:spacing w:before="5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w:t>
            </w:r>
          </w:p>
        </w:tc>
        <w:tc>
          <w:tcPr>
            <w:tcBorders>
              <w:left w:val="single" w:sz="4"/>
            </w:tcBorders>
            <w:shd w:val="clear" w:color="auto" w:fill="FFFFFF"/>
            <w:vAlign w:val="top"/>
          </w:tcPr>
          <w:p>
            <w:pPr>
              <w:pStyle w:val="Style20"/>
              <w:keepNext w:val="0"/>
              <w:keepLines w:val="0"/>
              <w:widowControl w:val="0"/>
              <w:shd w:val="clear" w:color="auto" w:fill="auto"/>
              <w:bidi w:val="0"/>
              <w:spacing w:before="5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tcBorders>
              <w:left w:val="single" w:sz="4"/>
            </w:tcBorders>
            <w:shd w:val="clear" w:color="auto" w:fill="FFFFFF"/>
            <w:vAlign w:val="top"/>
          </w:tcPr>
          <w:p>
            <w:pPr>
              <w:pStyle w:val="Style20"/>
              <w:keepNext w:val="0"/>
              <w:keepLines w:val="0"/>
              <w:widowControl w:val="0"/>
              <w:shd w:val="clear" w:color="auto" w:fill="auto"/>
              <w:bidi w:val="0"/>
              <w:spacing w:before="520" w:after="0" w:line="240" w:lineRule="auto"/>
              <w:ind w:left="0" w:right="0" w:firstLine="0"/>
              <w:jc w:val="both"/>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360" w:after="100" w:line="240" w:lineRule="auto"/>
              <w:ind w:left="0" w:right="0" w:firstLine="0"/>
              <w:jc w:val="both"/>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left w:val="single" w:sz="4"/>
            </w:tcBorders>
            <w:shd w:val="clear" w:color="auto" w:fill="FFFFFF"/>
            <w:vAlign w:val="top"/>
          </w:tcPr>
          <w:p>
            <w:pPr>
              <w:pStyle w:val="Style20"/>
              <w:keepNext w:val="0"/>
              <w:keepLines w:val="0"/>
              <w:widowControl w:val="0"/>
              <w:shd w:val="clear" w:color="auto" w:fill="auto"/>
              <w:bidi w:val="0"/>
              <w:spacing w:before="20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1,033,9 </w:t>
            </w:r>
            <w:r>
              <w:rPr>
                <w:rFonts w:ascii="Times New Roman" w:eastAsia="Times New Roman" w:hAnsi="Times New Roman" w:cs="Times New Roman"/>
                <w:color w:val="000000"/>
                <w:spacing w:val="0"/>
                <w:w w:val="100"/>
                <w:position w:val="0"/>
                <w:sz w:val="18"/>
                <w:szCs w:val="18"/>
              </w:rPr>
              <w:t xml:space="preserve">15,084. </w:t>
            </w: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20"/>
              <w:keepNext w:val="0"/>
              <w:keepLines w:val="0"/>
              <w:widowControl w:val="0"/>
              <w:shd w:val="clear" w:color="auto" w:fill="auto"/>
              <w:bidi w:val="0"/>
              <w:spacing w:before="8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《远光 软件股 份有限 公司关 于对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度日常 关联交 易金额 进行预 计的公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在《证</w:t>
            </w:r>
          </w:p>
        </w:tc>
      </w:tr>
      <w:tr>
        <w:trPr>
          <w:trHeight w:val="2515"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国网电子 商务有限 公司及其 下属单位</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240" w:after="0" w:line="317" w:lineRule="exact"/>
              <w:ind w:left="0" w:right="0" w:firstLine="0"/>
              <w:jc w:val="both"/>
              <w:rPr>
                <w:sz w:val="17"/>
                <w:szCs w:val="17"/>
              </w:rPr>
            </w:pPr>
            <w:r>
              <w:rPr>
                <w:color w:val="000000"/>
                <w:spacing w:val="0"/>
                <w:w w:val="100"/>
                <w:position w:val="0"/>
                <w:sz w:val="17"/>
                <w:szCs w:val="17"/>
              </w:rPr>
              <w:t>控股股 东</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80" w:after="0" w:line="314" w:lineRule="exact"/>
              <w:ind w:left="0" w:right="0" w:firstLine="0"/>
              <w:jc w:val="both"/>
              <w:rPr>
                <w:sz w:val="17"/>
                <w:szCs w:val="17"/>
              </w:rPr>
            </w:pPr>
            <w:r>
              <w:rPr>
                <w:color w:val="000000"/>
                <w:spacing w:val="0"/>
                <w:w w:val="100"/>
                <w:position w:val="0"/>
                <w:sz w:val="17"/>
                <w:szCs w:val="17"/>
              </w:rPr>
              <w:t>销售商 品及提 供服务</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80" w:after="0" w:line="314" w:lineRule="exact"/>
              <w:ind w:left="0" w:right="0" w:firstLine="0"/>
              <w:jc w:val="both"/>
              <w:rPr>
                <w:sz w:val="17"/>
                <w:szCs w:val="17"/>
              </w:rPr>
            </w:pPr>
            <w:r>
              <w:rPr>
                <w:color w:val="000000"/>
                <w:spacing w:val="0"/>
                <w:w w:val="100"/>
                <w:position w:val="0"/>
                <w:sz w:val="17"/>
                <w:szCs w:val="17"/>
              </w:rPr>
              <w:t>销售商 品及提 供服务</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200" w:after="100" w:line="240" w:lineRule="auto"/>
              <w:ind w:left="0" w:right="0" w:firstLine="0"/>
              <w:jc w:val="both"/>
              <w:rPr>
                <w:sz w:val="17"/>
                <w:szCs w:val="17"/>
              </w:rPr>
            </w:pPr>
            <w:r>
              <w:rPr>
                <w:color w:val="000000"/>
                <w:spacing w:val="0"/>
                <w:w w:val="100"/>
                <w:position w:val="0"/>
                <w:sz w:val="17"/>
                <w:szCs w:val="17"/>
              </w:rPr>
              <w:t>独立核</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算及公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允价值</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50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74,107,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838.07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34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5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5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520" w:after="0" w:line="240" w:lineRule="auto"/>
              <w:ind w:left="0" w:right="0" w:firstLine="0"/>
              <w:jc w:val="both"/>
              <w:rPr>
                <w:sz w:val="17"/>
                <w:szCs w:val="17"/>
              </w:rPr>
            </w:pPr>
            <w:r>
              <w:rPr>
                <w:color w:val="000000"/>
                <w:spacing w:val="0"/>
                <w:w w:val="100"/>
                <w:position w:val="0"/>
                <w:sz w:val="17"/>
                <w:szCs w:val="17"/>
              </w:rPr>
              <w:t>否</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360" w:after="100" w:line="240" w:lineRule="auto"/>
              <w:ind w:left="0" w:right="0" w:firstLine="0"/>
              <w:jc w:val="both"/>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34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74,107,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838.07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券时 报》、</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 证券 报》以 及巨潮 资讯网 披露</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《远光 软件股 份有限 公司关 于对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度日常 关联交 易金额 进行预 计的公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r>
        <w:trPr>
          <w:trHeight w:val="88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国家电网 有限公司 及其其他 下属单位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控股股 东的股 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采购材</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料及服</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采购材</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料及服</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独立核</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算及公</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 在《证 券时 报》、</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 证券 报》以 及巨潮 资讯网 披露</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《远光 软件股 份有限 公司关 于对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度日常 关联交 易金额 进行预 计的公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88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国网电子 商务有限 公司及其 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控股股 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料及服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采购材</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料及服</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独立核</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算及公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货币资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 在《证 券时 报》、</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 证券 报》以 及巨潮 资讯网 披露</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《远光 软件股 份有限 公司关 于对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度日常 关联交 易金额 进行预 计的公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r>
        <w:trPr>
          <w:trHeight w:val="71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42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6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年度销售商品及提供服务关联交易</w:t>
            </w:r>
            <w:r>
              <w:rPr>
                <w:rFonts w:ascii="Times New Roman" w:eastAsia="Times New Roman" w:hAnsi="Times New Roman" w:cs="Times New Roman"/>
                <w:color w:val="000000"/>
                <w:spacing w:val="0"/>
                <w:w w:val="100"/>
                <w:position w:val="0"/>
                <w:sz w:val="18"/>
                <w:szCs w:val="18"/>
              </w:rPr>
              <w:t>145,000</w:t>
            </w:r>
            <w:r>
              <w:rPr>
                <w:color w:val="000000"/>
                <w:spacing w:val="0"/>
                <w:w w:val="100"/>
                <w:position w:val="0"/>
                <w:sz w:val="17"/>
                <w:szCs w:val="17"/>
              </w:rPr>
              <w:t xml:space="preserve">万元，报告期已发生 </w:t>
            </w:r>
            <w:r>
              <w:rPr>
                <w:rFonts w:ascii="Times New Roman" w:eastAsia="Times New Roman" w:hAnsi="Times New Roman" w:cs="Times New Roman"/>
                <w:color w:val="000000"/>
                <w:spacing w:val="0"/>
                <w:w w:val="100"/>
                <w:position w:val="0"/>
                <w:sz w:val="18"/>
                <w:szCs w:val="18"/>
              </w:rPr>
              <w:t>111,751.09</w:t>
            </w:r>
            <w:r>
              <w:rPr>
                <w:color w:val="000000"/>
                <w:spacing w:val="0"/>
                <w:w w:val="100"/>
                <w:position w:val="0"/>
                <w:sz w:val="17"/>
                <w:szCs w:val="17"/>
              </w:rPr>
              <w:t>万元，占预计年度总金额的</w:t>
            </w:r>
            <w:r>
              <w:rPr>
                <w:rFonts w:ascii="Times New Roman" w:eastAsia="Times New Roman" w:hAnsi="Times New Roman" w:cs="Times New Roman"/>
                <w:color w:val="000000"/>
                <w:spacing w:val="0"/>
                <w:w w:val="100"/>
                <w:position w:val="0"/>
                <w:sz w:val="18"/>
                <w:szCs w:val="18"/>
              </w:rPr>
              <w:t>77.07%</w:t>
            </w:r>
            <w:r>
              <w:rPr>
                <w:color w:val="000000"/>
                <w:spacing w:val="0"/>
                <w:w w:val="100"/>
                <w:position w:val="0"/>
                <w:sz w:val="17"/>
                <w:szCs w:val="17"/>
              </w:rPr>
              <w:t>。</w:t>
            </w:r>
          </w:p>
          <w:p>
            <w:pPr>
              <w:pStyle w:val="Style20"/>
              <w:keepNext w:val="0"/>
              <w:keepLines w:val="0"/>
              <w:widowControl w:val="0"/>
              <w:shd w:val="clear" w:color="auto" w:fill="auto"/>
              <w:tabs>
                <w:tab w:pos="240"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年度采购材料及服务关联交易</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万元，报告期已发生</w:t>
            </w:r>
            <w:r>
              <w:rPr>
                <w:rFonts w:ascii="Times New Roman" w:eastAsia="Times New Roman" w:hAnsi="Times New Roman" w:cs="Times New Roman"/>
                <w:color w:val="000000"/>
                <w:spacing w:val="0"/>
                <w:w w:val="100"/>
                <w:position w:val="0"/>
                <w:sz w:val="18"/>
                <w:szCs w:val="18"/>
              </w:rPr>
              <w:t xml:space="preserve">3,356.57 </w:t>
            </w:r>
            <w:r>
              <w:rPr>
                <w:color w:val="000000"/>
                <w:spacing w:val="0"/>
                <w:w w:val="100"/>
                <w:position w:val="0"/>
                <w:sz w:val="17"/>
                <w:szCs w:val="17"/>
              </w:rPr>
              <w:t>万元，占预计年度总金额的</w:t>
            </w:r>
            <w:r>
              <w:rPr>
                <w:rFonts w:ascii="Times New Roman" w:eastAsia="Times New Roman" w:hAnsi="Times New Roman" w:cs="Times New Roman"/>
                <w:color w:val="000000"/>
                <w:spacing w:val="0"/>
                <w:w w:val="100"/>
                <w:position w:val="0"/>
                <w:sz w:val="18"/>
                <w:szCs w:val="18"/>
              </w:rPr>
              <w:t>83.91%</w:t>
            </w:r>
            <w:r>
              <w:rPr>
                <w:color w:val="000000"/>
                <w:spacing w:val="0"/>
                <w:w w:val="100"/>
                <w:position w:val="0"/>
                <w:sz w:val="17"/>
                <w:szCs w:val="17"/>
              </w:rPr>
              <w:t>。</w:t>
            </w:r>
          </w:p>
        </w:tc>
      </w:tr>
      <w:tr>
        <w:trPr>
          <w:trHeight w:val="720"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、资产或股权收购、出售发生的关联交易</w:t>
      </w:r>
      <w:bookmarkEnd w:id="485"/>
      <w:bookmarkEnd w:id="486"/>
      <w:bookmarkEnd w:id="488"/>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共同对外投资的关联交易</w:t>
      </w:r>
      <w:bookmarkEnd w:id="489"/>
      <w:bookmarkEnd w:id="490"/>
      <w:bookmarkEnd w:id="492"/>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关联债权债务往来</w:t>
      </w:r>
      <w:bookmarkEnd w:id="493"/>
      <w:bookmarkEnd w:id="494"/>
      <w:bookmarkEnd w:id="496"/>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与存在关联关系的财务公司的往来情况</w:t>
      </w:r>
      <w:bookmarkEnd w:id="497"/>
      <w:bookmarkEnd w:id="498"/>
      <w:bookmarkEnd w:id="500"/>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6</w:t>
      </w:r>
      <w:bookmarkEnd w:id="503"/>
      <w:r>
        <w:rPr>
          <w:color w:val="000000"/>
          <w:spacing w:val="0"/>
          <w:w w:val="100"/>
          <w:position w:val="0"/>
        </w:rPr>
        <w:t>、</w:t>
        <w:tab/>
        <w:t>公司控股的财务公司与关联方的往来情况</w:t>
      </w:r>
      <w:bookmarkEnd w:id="501"/>
      <w:bookmarkEnd w:id="502"/>
      <w:bookmarkEnd w:id="504"/>
    </w:p>
    <w:p>
      <w:pPr>
        <w:pStyle w:val="Style18"/>
        <w:keepNext w:val="0"/>
        <w:keepLines w:val="0"/>
        <w:widowControl w:val="0"/>
        <w:numPr>
          <w:ilvl w:val="0"/>
          <w:numId w:val="25"/>
        </w:numPr>
        <w:shd w:val="clear" w:color="auto" w:fill="auto"/>
        <w:tabs>
          <w:tab w:pos="302" w:val="left"/>
        </w:tabs>
        <w:bidi w:val="0"/>
        <w:spacing w:before="0" w:line="240" w:lineRule="auto"/>
        <w:ind w:left="0" w:right="0" w:firstLine="0"/>
        <w:jc w:val="left"/>
      </w:pPr>
      <w:bookmarkStart w:id="505" w:name="bookmark505"/>
      <w:bookmarkEnd w:id="5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7</w:t>
      </w:r>
      <w:bookmarkEnd w:id="508"/>
      <w:r>
        <w:rPr>
          <w:color w:val="000000"/>
          <w:spacing w:val="0"/>
          <w:w w:val="100"/>
          <w:position w:val="0"/>
        </w:rPr>
        <w:t>、</w:t>
        <w:tab/>
        <w:t>其他重大关联交易</w:t>
      </w:r>
      <w:bookmarkEnd w:id="506"/>
      <w:bookmarkEnd w:id="507"/>
      <w:bookmarkEnd w:id="509"/>
    </w:p>
    <w:p>
      <w:pPr>
        <w:pStyle w:val="Style18"/>
        <w:keepNext w:val="0"/>
        <w:keepLines w:val="0"/>
        <w:widowControl w:val="0"/>
        <w:numPr>
          <w:ilvl w:val="0"/>
          <w:numId w:val="25"/>
        </w:numPr>
        <w:shd w:val="clear" w:color="auto" w:fill="auto"/>
        <w:tabs>
          <w:tab w:pos="302" w:val="left"/>
        </w:tabs>
        <w:bidi w:val="0"/>
        <w:spacing w:before="0" w:line="240" w:lineRule="auto"/>
        <w:ind w:left="0" w:right="0" w:firstLine="0"/>
        <w:jc w:val="left"/>
      </w:pPr>
      <w:bookmarkStart w:id="510" w:name="bookmark510"/>
      <w:bookmarkEnd w:id="5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r>
        <w:rPr>
          <w:color w:val="000000"/>
          <w:spacing w:val="0"/>
          <w:w w:val="100"/>
          <w:position w:val="0"/>
        </w:rPr>
        <w:t>十五、重大合同及其履行情况</w:t>
      </w:r>
      <w:bookmarkEnd w:id="511"/>
      <w:bookmarkEnd w:id="512"/>
      <w:bookmarkEnd w:id="513"/>
    </w:p>
    <w:p>
      <w:pPr>
        <w:pStyle w:val="Style29"/>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、托管、承包、租赁事项情况</w:t>
      </w:r>
      <w:bookmarkEnd w:id="514"/>
      <w:bookmarkEnd w:id="515"/>
      <w:bookmarkEnd w:id="517"/>
    </w:p>
    <w:p>
      <w:pPr>
        <w:pStyle w:val="Style41"/>
        <w:keepNext/>
        <w:keepLines/>
        <w:widowControl w:val="0"/>
        <w:shd w:val="clear" w:color="auto" w:fill="auto"/>
        <w:tabs>
          <w:tab w:pos="493"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8"/>
      <w:bookmarkEnd w:id="519"/>
      <w:bookmarkEnd w:id="521"/>
    </w:p>
    <w:p>
      <w:pPr>
        <w:pStyle w:val="Style18"/>
        <w:keepNext w:val="0"/>
        <w:keepLines w:val="0"/>
        <w:widowControl w:val="0"/>
        <w:numPr>
          <w:ilvl w:val="0"/>
          <w:numId w:val="25"/>
        </w:numPr>
        <w:shd w:val="clear" w:color="auto" w:fill="auto"/>
        <w:tabs>
          <w:tab w:pos="302" w:val="left"/>
        </w:tabs>
        <w:bidi w:val="0"/>
        <w:spacing w:before="0" w:line="240" w:lineRule="auto"/>
        <w:ind w:left="0" w:right="0" w:firstLine="0"/>
        <w:jc w:val="left"/>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3"/>
      <w:bookmarkEnd w:id="524"/>
      <w:bookmarkEnd w:id="526"/>
    </w:p>
    <w:p>
      <w:pPr>
        <w:pStyle w:val="Style18"/>
        <w:keepNext w:val="0"/>
        <w:keepLines w:val="0"/>
        <w:widowControl w:val="0"/>
        <w:numPr>
          <w:ilvl w:val="0"/>
          <w:numId w:val="25"/>
        </w:numPr>
        <w:shd w:val="clear" w:color="auto" w:fill="auto"/>
        <w:tabs>
          <w:tab w:pos="302" w:val="left"/>
        </w:tabs>
        <w:bidi w:val="0"/>
        <w:spacing w:before="0" w:line="24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8"/>
      <w:bookmarkEnd w:id="529"/>
      <w:bookmarkEnd w:id="531"/>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报告期内，公司部分房产出租，报告期租金收入</w:t>
      </w:r>
      <w:r>
        <w:rPr>
          <w:rFonts w:ascii="Times New Roman" w:eastAsia="Times New Roman" w:hAnsi="Times New Roman" w:cs="Times New Roman"/>
          <w:color w:val="000000"/>
          <w:spacing w:val="0"/>
          <w:w w:val="100"/>
          <w:position w:val="0"/>
          <w:sz w:val="18"/>
          <w:szCs w:val="18"/>
        </w:rPr>
        <w:t>1,435,993.98</w:t>
      </w:r>
      <w:r>
        <w:rPr>
          <w:color w:val="000000"/>
          <w:spacing w:val="0"/>
          <w:w w:val="100"/>
          <w:position w:val="0"/>
        </w:rPr>
        <w:t>元。</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t>重大担保</w:t>
      </w:r>
      <w:bookmarkEnd w:id="532"/>
      <w:bookmarkEnd w:id="533"/>
      <w:bookmarkEnd w:id="535"/>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委托他人进行现金资产管理情况</w:t>
      </w:r>
      <w:bookmarkEnd w:id="536"/>
      <w:bookmarkEnd w:id="537"/>
      <w:bookmarkEnd w:id="539"/>
    </w:p>
    <w:p>
      <w:pPr>
        <w:pStyle w:val="Style41"/>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0"/>
      <w:bookmarkEnd w:id="541"/>
      <w:bookmarkEnd w:id="543"/>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0"/>
        <w:gridCol w:w="1642"/>
        <w:gridCol w:w="1656"/>
        <w:gridCol w:w="1603"/>
        <w:gridCol w:w="1550"/>
        <w:gridCol w:w="156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30,267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numPr>
          <w:ilvl w:val="0"/>
          <w:numId w:val="25"/>
        </w:numPr>
        <w:shd w:val="clear" w:color="auto" w:fill="auto"/>
        <w:tabs>
          <w:tab w:pos="282" w:val="left"/>
        </w:tabs>
        <w:bidi w:val="0"/>
        <w:spacing w:before="0" w:after="380" w:line="240" w:lineRule="auto"/>
        <w:ind w:left="0" w:right="0" w:firstLine="0"/>
        <w:jc w:val="left"/>
      </w:pPr>
      <w:bookmarkStart w:id="544" w:name="bookmark544"/>
      <w:bookmarkEnd w:id="5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5"/>
      <w:bookmarkEnd w:id="546"/>
      <w:bookmarkEnd w:id="548"/>
    </w:p>
    <w:p>
      <w:pPr>
        <w:pStyle w:val="Style18"/>
        <w:keepNext w:val="0"/>
        <w:keepLines w:val="0"/>
        <w:widowControl w:val="0"/>
        <w:numPr>
          <w:ilvl w:val="0"/>
          <w:numId w:val="25"/>
        </w:numPr>
        <w:shd w:val="clear" w:color="auto" w:fill="auto"/>
        <w:tabs>
          <w:tab w:pos="282" w:val="left"/>
        </w:tabs>
        <w:bidi w:val="0"/>
        <w:spacing w:before="0" w:line="240" w:lineRule="auto"/>
        <w:ind w:left="0" w:right="0" w:firstLine="0"/>
        <w:jc w:val="left"/>
      </w:pPr>
      <w:bookmarkStart w:id="549" w:name="bookmark549"/>
      <w:bookmarkEnd w:id="54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、其他重大合同</w:t>
      </w:r>
      <w:bookmarkEnd w:id="550"/>
      <w:bookmarkEnd w:id="551"/>
      <w:bookmarkEnd w:id="553"/>
    </w:p>
    <w:p>
      <w:pPr>
        <w:pStyle w:val="Style18"/>
        <w:keepNext w:val="0"/>
        <w:keepLines w:val="0"/>
        <w:widowControl w:val="0"/>
        <w:numPr>
          <w:ilvl w:val="0"/>
          <w:numId w:val="25"/>
        </w:numPr>
        <w:shd w:val="clear" w:color="auto" w:fill="auto"/>
        <w:tabs>
          <w:tab w:pos="282" w:val="left"/>
        </w:tabs>
        <w:bidi w:val="0"/>
        <w:spacing w:before="0" w:line="240" w:lineRule="auto"/>
        <w:ind w:left="0" w:right="0" w:firstLine="0"/>
        <w:jc w:val="left"/>
      </w:pPr>
      <w:bookmarkStart w:id="554" w:name="bookmark554"/>
      <w:bookmarkEnd w:id="55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555" w:name="bookmark555"/>
      <w:bookmarkStart w:id="556" w:name="bookmark556"/>
      <w:bookmarkStart w:id="557" w:name="bookmark557"/>
      <w:r>
        <w:rPr>
          <w:color w:val="000000"/>
          <w:spacing w:val="0"/>
          <w:w w:val="100"/>
          <w:position w:val="0"/>
        </w:rPr>
        <w:t>十六、其他重大事项的说明</w:t>
      </w:r>
      <w:bookmarkEnd w:id="555"/>
      <w:bookmarkEnd w:id="556"/>
      <w:bookmarkEnd w:id="557"/>
    </w:p>
    <w:p>
      <w:pPr>
        <w:pStyle w:val="Style18"/>
        <w:keepNext w:val="0"/>
        <w:keepLines w:val="0"/>
        <w:widowControl w:val="0"/>
        <w:numPr>
          <w:ilvl w:val="0"/>
          <w:numId w:val="25"/>
        </w:numPr>
        <w:shd w:val="clear" w:color="auto" w:fill="auto"/>
        <w:tabs>
          <w:tab w:pos="282" w:val="left"/>
        </w:tabs>
        <w:bidi w:val="0"/>
        <w:spacing w:before="0" w:line="240" w:lineRule="auto"/>
        <w:ind w:left="0" w:right="0" w:firstLine="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r>
        <w:rPr>
          <w:color w:val="000000"/>
          <w:spacing w:val="0"/>
          <w:w w:val="100"/>
          <w:position w:val="0"/>
        </w:rPr>
        <w:t>十七、公司子公司重大事项</w:t>
      </w:r>
      <w:bookmarkEnd w:id="559"/>
      <w:bookmarkEnd w:id="560"/>
      <w:bookmarkEnd w:id="561"/>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numPr>
          <w:ilvl w:val="0"/>
          <w:numId w:val="27"/>
        </w:numPr>
        <w:shd w:val="clear" w:color="auto" w:fill="auto"/>
        <w:tabs>
          <w:tab w:pos="301" w:val="left"/>
        </w:tabs>
        <w:bidi w:val="0"/>
        <w:spacing w:before="0" w:after="100" w:line="240" w:lineRule="auto"/>
        <w:ind w:left="0" w:right="0" w:firstLine="0"/>
        <w:jc w:val="left"/>
      </w:pPr>
      <w:bookmarkStart w:id="562" w:name="bookmark562"/>
      <w:bookmarkEnd w:id="562"/>
      <w:r>
        <w:rPr>
          <w:color w:val="000000"/>
          <w:spacing w:val="0"/>
          <w:w w:val="100"/>
          <w:position w:val="0"/>
        </w:rPr>
        <w:t>《关于挂牌转让控股子公司股权及债权的公告》</w:t>
      </w:r>
    </w:p>
    <w:p>
      <w:pPr>
        <w:pStyle w:val="Style56"/>
        <w:keepNext w:val="0"/>
        <w:keepLines w:val="0"/>
        <w:widowControl w:val="0"/>
        <w:shd w:val="clear" w:color="auto" w:fill="auto"/>
        <w:bidi w:val="0"/>
        <w:spacing w:before="0" w:line="240" w:lineRule="auto"/>
        <w:ind w:left="0" w:right="0" w:firstLine="0"/>
        <w:jc w:val="left"/>
      </w:pPr>
      <w:r>
        <w:fldChar w:fldCharType="begin"/>
      </w:r>
      <w:r>
        <w:rPr/>
        <w:instrText> HYPERLINK "http://www.cninfo.com.cn/new/disclosure/detail?plate=szse&amp;orgId=9900000382&amp;stockCode=002063&amp;announcementId=121140530" </w:instrText>
      </w:r>
      <w:r>
        <w:fldChar w:fldCharType="separate"/>
      </w:r>
      <w:r>
        <w:rPr>
          <w:color w:val="000000"/>
          <w:spacing w:val="0"/>
          <w:w w:val="100"/>
          <w:position w:val="0"/>
        </w:rPr>
        <w:t>http://www.cninfo.com.cn/new/disclosure/detail?plate=szse&amp;orgId=9900000382&amp;stockCode=002063&amp;announcementId=121140530</w:t>
      </w:r>
      <w:r>
        <w:fldChar w:fldCharType="end"/>
      </w: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rPr>
        <w:t>2&amp;announcementTime=2021-10-28</w:t>
      </w:r>
    </w:p>
    <w:p>
      <w:pPr>
        <w:pStyle w:val="Style18"/>
        <w:keepNext w:val="0"/>
        <w:keepLines w:val="0"/>
        <w:widowControl w:val="0"/>
        <w:numPr>
          <w:ilvl w:val="0"/>
          <w:numId w:val="27"/>
        </w:numPr>
        <w:shd w:val="clear" w:color="auto" w:fill="auto"/>
        <w:tabs>
          <w:tab w:pos="320" w:val="left"/>
        </w:tabs>
        <w:bidi w:val="0"/>
        <w:spacing w:before="0" w:after="100" w:line="240" w:lineRule="auto"/>
        <w:ind w:left="0" w:right="0" w:firstLine="0"/>
        <w:jc w:val="left"/>
      </w:pPr>
      <w:bookmarkStart w:id="563" w:name="bookmark563"/>
      <w:bookmarkEnd w:id="563"/>
      <w:r>
        <w:rPr>
          <w:color w:val="000000"/>
          <w:spacing w:val="0"/>
          <w:w w:val="100"/>
          <w:position w:val="0"/>
        </w:rPr>
        <w:t>《关于挂牌转让控股子公司股权及债权的进展公告》</w:t>
      </w:r>
    </w:p>
    <w:p>
      <w:pPr>
        <w:pStyle w:val="Style56"/>
        <w:keepNext w:val="0"/>
        <w:keepLines w:val="0"/>
        <w:widowControl w:val="0"/>
        <w:shd w:val="clear" w:color="auto" w:fill="auto"/>
        <w:bidi w:val="0"/>
        <w:spacing w:before="0" w:line="240" w:lineRule="auto"/>
        <w:ind w:left="0" w:right="0" w:firstLine="0"/>
        <w:jc w:val="left"/>
      </w:pPr>
      <w:r>
        <w:fldChar w:fldCharType="begin"/>
      </w:r>
      <w:r>
        <w:rPr/>
        <w:instrText> HYPERLINK "http://www.cninfo.com.cn/new/disclosure/detail?plate=szse&amp;orgId=9900000382&amp;stockCode=002063&amp;announcementId=121172144" </w:instrText>
      </w:r>
      <w:r>
        <w:fldChar w:fldCharType="separate"/>
      </w:r>
      <w:r>
        <w:rPr>
          <w:color w:val="000000"/>
          <w:spacing w:val="0"/>
          <w:w w:val="100"/>
          <w:position w:val="0"/>
        </w:rPr>
        <w:t>http://www.cninfo.com.cn/new/disclosure/detail?plate=szse&amp;orgId=9900000382&amp;stockCode=002063&amp;announcementId=121172144</w:t>
      </w:r>
      <w:r>
        <w:fldChar w:fldCharType="end"/>
      </w: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rPr>
        <w:t>7&amp;announcementTime=2021-11-30</w:t>
      </w:r>
    </w:p>
    <w:p>
      <w:pPr>
        <w:pStyle w:val="Style18"/>
        <w:keepNext w:val="0"/>
        <w:keepLines w:val="0"/>
        <w:widowControl w:val="0"/>
        <w:numPr>
          <w:ilvl w:val="0"/>
          <w:numId w:val="27"/>
        </w:numPr>
        <w:shd w:val="clear" w:color="auto" w:fill="auto"/>
        <w:tabs>
          <w:tab w:pos="320" w:val="left"/>
        </w:tabs>
        <w:bidi w:val="0"/>
        <w:spacing w:before="0" w:after="100" w:line="240" w:lineRule="auto"/>
        <w:ind w:left="0" w:right="0" w:firstLine="0"/>
        <w:jc w:val="left"/>
      </w:pPr>
      <w:bookmarkStart w:id="564" w:name="bookmark564"/>
      <w:bookmarkEnd w:id="564"/>
      <w:r>
        <w:rPr>
          <w:color w:val="000000"/>
          <w:spacing w:val="0"/>
          <w:w w:val="100"/>
          <w:position w:val="0"/>
        </w:rPr>
        <w:t>《关于挂牌转让控股子公司股权及债权的进展公告》</w:t>
      </w:r>
    </w:p>
    <w:p>
      <w:pPr>
        <w:pStyle w:val="Style56"/>
        <w:keepNext w:val="0"/>
        <w:keepLines w:val="0"/>
        <w:widowControl w:val="0"/>
        <w:shd w:val="clear" w:color="auto" w:fill="auto"/>
        <w:bidi w:val="0"/>
        <w:spacing w:before="0" w:line="240" w:lineRule="auto"/>
        <w:ind w:left="0" w:right="0" w:firstLine="0"/>
        <w:jc w:val="left"/>
      </w:pPr>
      <w:r>
        <w:fldChar w:fldCharType="begin"/>
      </w:r>
      <w:r>
        <w:rPr/>
        <w:instrText> HYPERLINK "http://www.cninfo.com.cn/new/disclosure/detail?plate=szse&amp;orgId=9900000382&amp;stockCode=002063&amp;announcementId=121201585" </w:instrText>
      </w:r>
      <w:r>
        <w:fldChar w:fldCharType="separate"/>
      </w:r>
      <w:r>
        <w:rPr>
          <w:color w:val="000000"/>
          <w:spacing w:val="0"/>
          <w:w w:val="100"/>
          <w:position w:val="0"/>
        </w:rPr>
        <w:t>http://www.cninfo.com.cn/new/disclosure/detail?plate=szse&amp;orgId=9900000382&amp;stockCode=002063&amp;announcementId=121201585</w:t>
      </w:r>
      <w:r>
        <w:fldChar w:fldCharType="end"/>
      </w: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rPr>
        <w:t>1&amp;announcementT ime=2021-12-25</w:t>
      </w:r>
      <w:r>
        <w:br w:type="page"/>
      </w:r>
    </w:p>
    <w:p>
      <w:pPr>
        <w:pStyle w:val="Style10"/>
        <w:keepNext/>
        <w:keepLines/>
        <w:widowControl w:val="0"/>
        <w:shd w:val="clear" w:color="auto" w:fill="auto"/>
        <w:bidi w:val="0"/>
        <w:spacing w:before="0" w:after="540" w:line="240" w:lineRule="auto"/>
        <w:ind w:left="0" w:right="0" w:firstLine="0"/>
        <w:jc w:val="center"/>
      </w:pPr>
      <w:bookmarkStart w:id="565" w:name="bookmark565"/>
      <w:bookmarkStart w:id="566" w:name="bookmark566"/>
      <w:bookmarkStart w:id="567" w:name="bookmark567"/>
      <w:r>
        <w:rPr>
          <w:color w:val="000000"/>
          <w:spacing w:val="0"/>
          <w:w w:val="100"/>
          <w:position w:val="0"/>
        </w:rPr>
        <w:t>第七节股份变动及股东情况</w:t>
      </w:r>
      <w:bookmarkEnd w:id="565"/>
      <w:bookmarkEnd w:id="566"/>
      <w:bookmarkEnd w:id="567"/>
    </w:p>
    <w:p>
      <w:pPr>
        <w:pStyle w:val="Style24"/>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bookmarkStart w:id="572" w:name="bookmark572"/>
      <w:r>
        <w:rPr>
          <w:color w:val="000000"/>
          <w:spacing w:val="0"/>
          <w:w w:val="100"/>
          <w:position w:val="0"/>
        </w:rPr>
        <w:t>一</w:t>
      </w:r>
      <w:bookmarkEnd w:id="571"/>
      <w:r>
        <w:rPr>
          <w:color w:val="000000"/>
          <w:spacing w:val="0"/>
          <w:w w:val="100"/>
          <w:position w:val="0"/>
        </w:rPr>
        <w:t>、股份变动情况</w:t>
      </w:r>
      <w:bookmarkEnd w:id="569"/>
      <w:bookmarkEnd w:id="570"/>
      <w:bookmarkEnd w:id="572"/>
      <w:bookmarkEnd w:id="568"/>
    </w:p>
    <w:p>
      <w:pPr>
        <w:pStyle w:val="Style29"/>
        <w:keepNext/>
        <w:keepLines/>
        <w:widowControl w:val="0"/>
        <w:shd w:val="clear" w:color="auto" w:fill="auto"/>
        <w:bidi w:val="0"/>
        <w:spacing w:before="0" w:after="38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、股份变动情况</w:t>
      </w:r>
      <w:bookmarkEnd w:id="573"/>
      <w:bookmarkEnd w:id="574"/>
      <w:bookmarkEnd w:id="57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87,011,38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17,473,23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86,669,59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17,404,87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104,074,4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86,669,59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104,074,4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1,015,474,</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203,083,1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203,023,9 86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1,218,498</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1,015,474,</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203,083,1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203,023,9 86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1,218,498</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1,102,486,</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1,322,983</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股份变动的原因</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年度利润分配预案》，同意公司以实施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年度权益分配方案 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元人民币现金（含税），不以资本公积 金转增股本。本次权益分派实施完成后，公司股本总额由</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rPr>
        <w:t>股。</w:t>
      </w:r>
    </w:p>
    <w:p>
      <w:pPr>
        <w:pStyle w:val="Style18"/>
        <w:keepNext w:val="0"/>
        <w:keepLines w:val="0"/>
        <w:widowControl w:val="0"/>
        <w:shd w:val="clear" w:color="auto" w:fill="auto"/>
        <w:bidi w:val="0"/>
        <w:spacing w:before="0" w:line="319"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4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年度利润分配预案》，同意公司以实施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年度权益分配方案 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元人民币现金（含税），不以资本公积 金转增股本。</w:t>
      </w:r>
    </w:p>
    <w:p>
      <w:pPr>
        <w:pStyle w:val="Style18"/>
        <w:keepNext w:val="0"/>
        <w:keepLines w:val="0"/>
        <w:widowControl w:val="0"/>
        <w:shd w:val="clear" w:color="auto" w:fill="auto"/>
        <w:bidi w:val="0"/>
        <w:spacing w:before="0" w:line="319"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经中国证券登记结算有限责任公司深圳分公司确认，以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日为股权登记日、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日为除权除息日， 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年度权益分派后，公司股本总额由</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rPr>
        <w:t>股。</w:t>
      </w:r>
    </w:p>
    <w:p>
      <w:pPr>
        <w:pStyle w:val="Style18"/>
        <w:keepNext w:val="0"/>
        <w:keepLines w:val="0"/>
        <w:widowControl w:val="0"/>
        <w:shd w:val="clear" w:color="auto" w:fill="auto"/>
        <w:bidi w:val="0"/>
        <w:spacing w:before="0" w:line="319"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股）影响每股收益减少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.039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元，每股净资产减少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.3998</w:t>
      </w:r>
      <w:r>
        <w:rPr>
          <w:color w:val="000000"/>
          <w:spacing w:val="0"/>
          <w:w w:val="100"/>
          <w:position w:val="0"/>
        </w:rPr>
        <w:t>元。</w:t>
      </w:r>
    </w:p>
    <w:p>
      <w:pPr>
        <w:pStyle w:val="Style18"/>
        <w:keepNext w:val="0"/>
        <w:keepLines w:val="0"/>
        <w:widowControl w:val="0"/>
        <w:shd w:val="clear" w:color="auto" w:fill="auto"/>
        <w:bidi w:val="0"/>
        <w:spacing w:before="0" w:line="319"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、限售股份变动情况</w:t>
      </w:r>
      <w:bookmarkEnd w:id="577"/>
      <w:bookmarkEnd w:id="578"/>
      <w:bookmarkEnd w:id="580"/>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82,375,518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黄笑华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1,254,857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16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向万红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491,689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简露然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秦秀芬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毛华夏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郑佩敏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高管锁定股，本 期增加的限售股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日实施权益分 派所致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每年按照上年最 后一个交易日登 记在其名下的股 份为基数，按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计算其本年 度可转让股份法 定额度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87,011,389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104,484,625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二</w:t>
      </w:r>
      <w:bookmarkEnd w:id="583"/>
      <w:r>
        <w:rPr>
          <w:color w:val="000000"/>
          <w:spacing w:val="0"/>
          <w:w w:val="100"/>
          <w:position w:val="0"/>
        </w:rPr>
        <w:t>、证券发行与上市情况</w:t>
      </w:r>
      <w:bookmarkEnd w:id="581"/>
      <w:bookmarkEnd w:id="582"/>
      <w:bookmarkEnd w:id="584"/>
    </w:p>
    <w:p>
      <w:pPr>
        <w:pStyle w:val="Style29"/>
        <w:keepNext/>
        <w:keepLines/>
        <w:widowControl w:val="0"/>
        <w:shd w:val="clear" w:color="auto" w:fill="auto"/>
        <w:tabs>
          <w:tab w:pos="368" w:val="left"/>
        </w:tabs>
        <w:bidi w:val="0"/>
        <w:spacing w:before="0" w:after="2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w:t>
        <w:tab/>
        <w:t>报告期内证券发行（不含优先股）情况</w:t>
      </w:r>
      <w:bookmarkEnd w:id="585"/>
      <w:bookmarkEnd w:id="586"/>
      <w:bookmarkEnd w:id="588"/>
    </w:p>
    <w:p>
      <w:pPr>
        <w:pStyle w:val="Style18"/>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公司股份总数及股东结构的变动、公司资产和负债结构的变动情况说明</w:t>
      </w:r>
      <w:bookmarkEnd w:id="589"/>
      <w:bookmarkEnd w:id="590"/>
      <w:bookmarkEnd w:id="592"/>
    </w:p>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700" w:line="307" w:lineRule="exact"/>
        <w:ind w:left="0" w:right="0" w:firstLine="0"/>
        <w:jc w:val="left"/>
      </w:pPr>
      <w:r>
        <w:rPr>
          <w:color w:val="000000"/>
          <w:spacing w:val="0"/>
          <w:w w:val="100"/>
          <w:position w:val="0"/>
        </w:rPr>
        <w:t>报告期内，公司实施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年度权益分派，以实施权益分派股权登记日的总股本</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元（含税）。分红前本公司总股本为</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rPr>
        <w:t>股。</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现存的内部职工股情况</w:t>
      </w:r>
      <w:bookmarkEnd w:id="593"/>
      <w:bookmarkEnd w:id="594"/>
      <w:bookmarkEnd w:id="596"/>
    </w:p>
    <w:p>
      <w:pPr>
        <w:pStyle w:val="Style18"/>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三</w:t>
      </w:r>
      <w:bookmarkEnd w:id="599"/>
      <w:r>
        <w:rPr>
          <w:color w:val="000000"/>
          <w:spacing w:val="0"/>
          <w:w w:val="100"/>
          <w:position w:val="0"/>
        </w:rPr>
        <w:t>、股东和实际控制人情况</w:t>
      </w:r>
      <w:bookmarkEnd w:id="597"/>
      <w:bookmarkEnd w:id="598"/>
      <w:bookmarkEnd w:id="600"/>
    </w:p>
    <w:p>
      <w:pPr>
        <w:pStyle w:val="Style29"/>
        <w:keepNext/>
        <w:keepLines/>
        <w:widowControl w:val="0"/>
        <w:shd w:val="clear" w:color="auto" w:fill="auto"/>
        <w:bidi w:val="0"/>
        <w:spacing w:before="0" w:after="2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、公司股东数量及持股情况</w:t>
      </w:r>
      <w:bookmarkEnd w:id="601"/>
      <w:bookmarkEnd w:id="602"/>
      <w:bookmarkEnd w:id="604"/>
    </w:p>
    <w:p>
      <w:pPr>
        <w:pStyle w:val="Style18"/>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6"/>
        <w:gridCol w:w="1459"/>
        <w:gridCol w:w="1066"/>
        <w:gridCol w:w="1325"/>
        <w:gridCol w:w="936"/>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报告期末表决权</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恢复的优先股股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东总数（如有）（参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年度报告披露日 前上一月末表决 权恢复的优先股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5"/>
        <w:gridCol w:w="269"/>
        <w:gridCol w:w="926"/>
        <w:gridCol w:w="485"/>
        <w:gridCol w:w="792"/>
        <w:gridCol w:w="782"/>
        <w:gridCol w:w="336"/>
        <w:gridCol w:w="456"/>
        <w:gridCol w:w="782"/>
        <w:gridCol w:w="221"/>
        <w:gridCol w:w="619"/>
        <w:gridCol w:w="446"/>
        <w:gridCol w:w="902"/>
        <w:gridCol w:w="422"/>
        <w:gridCol w:w="936"/>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股东总数（如有）</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报告期末</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增减变动</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国网电子商务有 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57,958,23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陈利浩</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21,966,80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98,850,62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国电电力发展股 份有限公司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82,121,95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13,686,99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82,121,95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9,034,855</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香港中央结算有 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27,647,82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27,647,82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魏兆琪</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国泰君安证券资 管一建设银行</w:t>
            </w:r>
            <w:r>
              <w:rPr>
                <w:color w:val="000000"/>
                <w:spacing w:val="0"/>
                <w:w w:val="100"/>
                <w:position w:val="0"/>
                <w:sz w:val="17"/>
                <w:szCs w:val="17"/>
              </w:rPr>
              <w:t xml:space="preserve">一 </w:t>
            </w:r>
            <w:r>
              <w:rPr>
                <w:color w:val="000000"/>
                <w:spacing w:val="0"/>
                <w:w w:val="100"/>
                <w:position w:val="0"/>
                <w:sz w:val="17"/>
                <w:szCs w:val="17"/>
              </w:rPr>
              <w:t>国泰君安君得鑫 两年持有期混合 型集合资产管理 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13,480,38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赖汉宣</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10,228,95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全国社保基金六</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零四组合</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10,107,90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-3,211,17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中国工商银行股 份有限公司一兴 全绿色投资混合 型证券投资基金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9,331,584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9,331,584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日照钢铁有限公 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上述股东关联关系或一致行动的说 明</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上述股东中，国网电子商务有限公司与陈利浩是一致行动人。未知其他股东之间是否 具有关联关系，也未知是否属于一致行动人。</w:t>
            </w:r>
          </w:p>
        </w:tc>
      </w:tr>
      <w:tr>
        <w:trPr>
          <w:trHeight w:val="72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 弃表决权情况的说明</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175,315,783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175,315,783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82,121,950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82,121,950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32,950,207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32,950,207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27,647,826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27,647,826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魏兆琪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国泰君安证券资管一建设银行一国 泰君安君得鑫两年持有期混合型集 合资产管理计划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13,480,386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13,480,386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赖汉宣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10,228,953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10,228,953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全国社保基金六零四组合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10,107,900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10,107,900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17" w:lineRule="exact"/>
              <w:ind w:left="0" w:right="0" w:firstLine="0"/>
              <w:jc w:val="left"/>
              <w:rPr>
                <w:sz w:val="17"/>
                <w:szCs w:val="17"/>
              </w:rPr>
            </w:pPr>
            <w:r>
              <w:rPr>
                <w:color w:val="000000"/>
                <w:spacing w:val="0"/>
                <w:w w:val="100"/>
                <w:position w:val="0"/>
                <w:sz w:val="17"/>
                <w:szCs w:val="17"/>
              </w:rPr>
              <w:t>中国工商银行股份有限公司一兴全 绿色投资混合型证券投资基金</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9,331,584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日照钢铁有限公司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上述股东中，国网电子商务有限公司与陈利浩是一致行动人。未知其他股东之间是否 具有关联关系，也未知是否属于一致行动人。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股东魏兆琪通过普通账户持股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股，通过信用账户持股</w:t>
            </w:r>
            <w:r>
              <w:rPr>
                <w:rFonts w:ascii="Times New Roman" w:eastAsia="Times New Roman" w:hAnsi="Times New Roman" w:cs="Times New Roman"/>
                <w:color w:val="000000"/>
                <w:spacing w:val="0"/>
                <w:w w:val="100"/>
                <w:position w:val="0"/>
                <w:sz w:val="18"/>
                <w:szCs w:val="18"/>
              </w:rPr>
              <w:t>13,800,000</w:t>
            </w:r>
            <w:r>
              <w:rPr>
                <w:color w:val="000000"/>
                <w:spacing w:val="0"/>
                <w:w w:val="100"/>
                <w:position w:val="0"/>
                <w:sz w:val="17"/>
                <w:szCs w:val="17"/>
              </w:rPr>
              <w:t>股。</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40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、公司控股股东情况</w:t>
      </w:r>
      <w:bookmarkEnd w:id="605"/>
      <w:bookmarkEnd w:id="606"/>
      <w:bookmarkEnd w:id="60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82"/>
        <w:gridCol w:w="20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 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国网电子商务有限公司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闫华锋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91110000MA0033TY4D</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销售汽车、日用品、五金 交电、化工产品、电子产 品、机械设备、计算机、 软件及辅助设备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电子支</w:t>
            </w:r>
          </w:p>
        </w:tc>
      </w:tr>
    </w:tbl>
    <w:p>
      <w:pPr>
        <w:spacing w:lineRule="exact" w:line="1"/>
        <w:rPr>
          <w:sz w:val="2"/>
          <w:szCs w:val="2"/>
        </w:rPr>
      </w:pPr>
      <w:r>
        <w:br w:type="page"/>
      </w:r>
    </w:p>
    <w:tbl>
      <w:tblPr>
        <w:tblOverlap w:val="never"/>
        <w:jc w:val="center"/>
        <w:tblLayout w:type="fixed"/>
      </w:tblPr>
      <w:tblGrid>
        <w:gridCol w:w="2270"/>
        <w:gridCol w:w="1613"/>
        <w:gridCol w:w="1723"/>
        <w:gridCol w:w="1882"/>
        <w:gridCol w:w="2093"/>
      </w:tblGrid>
      <w:tr>
        <w:trPr>
          <w:trHeight w:val="75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保险 代理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制作、代理、发布广 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技术开发、技术转让、 技术咨询、技术服务、技 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合同能源管理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 算机系统服务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数据处理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数据处理中的银卡中心、 </w:t>
            </w:r>
            <w:r>
              <w:rPr>
                <w:rFonts w:ascii="Times New Roman" w:eastAsia="Times New Roman" w:hAnsi="Times New Roman" w:cs="Times New Roman"/>
                <w:color w:val="000000"/>
                <w:spacing w:val="0"/>
                <w:w w:val="100"/>
                <w:position w:val="0"/>
                <w:sz w:val="18"/>
                <w:szCs w:val="18"/>
              </w:rPr>
              <w:t>PUE</w:t>
            </w:r>
            <w:r>
              <w:rPr>
                <w:color w:val="000000"/>
                <w:spacing w:val="0"/>
                <w:w w:val="100"/>
                <w:position w:val="0"/>
                <w:sz w:val="17"/>
                <w:szCs w:val="17"/>
              </w:rPr>
              <w:t>值在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以上的云计 算数据中心除外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接受金 融机构委托从事金融信息 技术外包服务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接受金融 机构委托从事金融业务流 程外包服务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接受金融机 构委托从事金融知识流程 外包服务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票务代理。</w:t>
            </w:r>
            <w:r>
              <w:rPr>
                <w:color w:val="000000"/>
                <w:spacing w:val="0"/>
                <w:w w:val="100"/>
                <w:position w:val="0"/>
                <w:sz w:val="18"/>
                <w:szCs w:val="18"/>
              </w:rPr>
              <w:t>（</w:t>
            </w:r>
            <w:r>
              <w:rPr>
                <w:color w:val="000000"/>
                <w:spacing w:val="0"/>
                <w:w w:val="100"/>
                <w:position w:val="0"/>
                <w:sz w:val="17"/>
                <w:szCs w:val="17"/>
              </w:rPr>
              <w:t>市场 主体依法自主选择经营项 目</w:t>
            </w:r>
            <w:r>
              <w:rPr>
                <w:color w:val="000000"/>
                <w:spacing w:val="0"/>
                <w:w w:val="100"/>
                <w:position w:val="0"/>
                <w:sz w:val="18"/>
                <w:szCs w:val="18"/>
              </w:rPr>
              <w:t>，</w:t>
            </w:r>
            <w:r>
              <w:rPr>
                <w:color w:val="000000"/>
                <w:spacing w:val="0"/>
                <w:w w:val="100"/>
                <w:position w:val="0"/>
                <w:sz w:val="17"/>
                <w:szCs w:val="17"/>
              </w:rPr>
              <w:t>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 信息服务、保险代理业务、 保险经纪业务以及依法须 经批准的项目</w:t>
            </w:r>
            <w:r>
              <w:rPr>
                <w:color w:val="000000"/>
                <w:spacing w:val="0"/>
                <w:w w:val="100"/>
                <w:position w:val="0"/>
                <w:sz w:val="18"/>
                <w:szCs w:val="18"/>
              </w:rPr>
              <w:t>，</w:t>
            </w:r>
            <w:r>
              <w:rPr>
                <w:color w:val="000000"/>
                <w:spacing w:val="0"/>
                <w:w w:val="100"/>
                <w:position w:val="0"/>
                <w:sz w:val="17"/>
                <w:szCs w:val="17"/>
              </w:rPr>
              <w:t>经相关部门 批准后依批准的内容开展 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不得从事国家 和本市产业政策禁止和限 制类项目的经营活动。</w:t>
            </w:r>
            <w:r>
              <w:rPr>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、公司实际控制人及其一致行动人</w:t>
      </w:r>
      <w:bookmarkEnd w:id="609"/>
      <w:bookmarkEnd w:id="610"/>
      <w:bookmarkEnd w:id="61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 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国务院国有资产监督管理委员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597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259715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4</w:t>
      </w:r>
      <w:bookmarkEnd w:id="61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3"/>
      <w:bookmarkEnd w:id="614"/>
      <w:bookmarkEnd w:id="61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5</w:t>
      </w:r>
      <w:bookmarkEnd w:id="61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7"/>
      <w:bookmarkEnd w:id="618"/>
      <w:bookmarkEnd w:id="62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6</w:t>
      </w:r>
      <w:bookmarkEnd w:id="623"/>
      <w:r>
        <w:rPr>
          <w:color w:val="000000"/>
          <w:spacing w:val="0"/>
          <w:w w:val="100"/>
          <w:position w:val="0"/>
        </w:rPr>
        <w:t>、</w:t>
        <w:tab/>
        <w:t>控股股东、实际控制人、重组方及其他承诺主体股份限制减持情况</w:t>
      </w:r>
      <w:bookmarkEnd w:id="621"/>
      <w:bookmarkEnd w:id="622"/>
      <w:bookmarkEnd w:id="62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四</w:t>
      </w:r>
      <w:bookmarkEnd w:id="627"/>
      <w:r>
        <w:rPr>
          <w:color w:val="000000"/>
          <w:spacing w:val="0"/>
          <w:w w:val="100"/>
          <w:position w:val="0"/>
        </w:rPr>
        <w:t>、股份回购在报告期的具体实施情况</w:t>
      </w:r>
      <w:bookmarkEnd w:id="625"/>
      <w:bookmarkEnd w:id="626"/>
      <w:bookmarkEnd w:id="62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8"/>
        <w:keepNext w:val="0"/>
        <w:keepLines w:val="0"/>
        <w:widowControl w:val="0"/>
        <w:numPr>
          <w:ilvl w:val="0"/>
          <w:numId w:val="25"/>
        </w:numPr>
        <w:shd w:val="clear" w:color="auto" w:fill="auto"/>
        <w:tabs>
          <w:tab w:pos="282" w:val="left"/>
        </w:tabs>
        <w:bidi w:val="0"/>
        <w:spacing w:before="0" w:line="240" w:lineRule="auto"/>
        <w:ind w:left="0" w:right="0" w:firstLine="0"/>
        <w:jc w:val="left"/>
      </w:pPr>
      <w:bookmarkStart w:id="629" w:name="bookmark629"/>
      <w:bookmarkEnd w:id="6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numPr>
          <w:ilvl w:val="0"/>
          <w:numId w:val="25"/>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393" w:right="1063" w:bottom="1446" w:left="1049" w:header="0" w:footer="3" w:gutter="0"/>
          <w:cols w:space="720"/>
          <w:noEndnote/>
          <w:rtlGutter w:val="0"/>
          <w:docGrid w:linePitch="360"/>
        </w:sectPr>
      </w:pPr>
      <w:bookmarkStart w:id="630" w:name="bookmark630"/>
      <w:bookmarkEnd w:id="63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31" w:name="bookmark631"/>
      <w:bookmarkStart w:id="632" w:name="bookmark632"/>
      <w:bookmarkStart w:id="633" w:name="bookmark633"/>
      <w:r>
        <w:rPr>
          <w:color w:val="000000"/>
          <w:spacing w:val="0"/>
          <w:w w:val="100"/>
          <w:position w:val="0"/>
        </w:rPr>
        <w:t>第八节优先股相关情况</w:t>
      </w:r>
      <w:bookmarkEnd w:id="631"/>
      <w:bookmarkEnd w:id="632"/>
      <w:bookmarkEnd w:id="633"/>
    </w:p>
    <w:p>
      <w:pPr>
        <w:pStyle w:val="Style18"/>
        <w:keepNext w:val="0"/>
        <w:keepLines w:val="0"/>
        <w:widowControl w:val="0"/>
        <w:shd w:val="clear" w:color="auto" w:fill="auto"/>
        <w:bidi w:val="0"/>
        <w:spacing w:before="0" w:line="240" w:lineRule="auto"/>
        <w:ind w:left="0" w:right="0" w:firstLine="0"/>
        <w:jc w:val="left"/>
      </w:pPr>
      <w:bookmarkStart w:id="634" w:name="bookmark63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4"/>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35" w:name="bookmark635"/>
      <w:bookmarkStart w:id="636" w:name="bookmark636"/>
      <w:bookmarkStart w:id="637" w:name="bookmark637"/>
      <w:r>
        <w:rPr>
          <w:color w:val="000000"/>
          <w:spacing w:val="0"/>
          <w:w w:val="100"/>
          <w:position w:val="0"/>
        </w:rPr>
        <w:t>第九节债券相关情况</w:t>
      </w:r>
      <w:bookmarkEnd w:id="635"/>
      <w:bookmarkEnd w:id="636"/>
      <w:bookmarkEnd w:id="637"/>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bookmarkStart w:id="638" w:name="bookmark63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38"/>
    </w:p>
    <w:p>
      <w:pPr>
        <w:pStyle w:val="Style10"/>
        <w:keepNext/>
        <w:keepLines/>
        <w:widowControl w:val="0"/>
        <w:shd w:val="clear" w:color="auto" w:fill="auto"/>
        <w:bidi w:val="0"/>
        <w:spacing w:before="540" w:after="520" w:line="240" w:lineRule="auto"/>
        <w:ind w:left="0" w:right="0" w:firstLine="0"/>
        <w:jc w:val="center"/>
      </w:pPr>
      <w:bookmarkStart w:id="639" w:name="bookmark639"/>
      <w:bookmarkStart w:id="640" w:name="bookmark640"/>
      <w:bookmarkStart w:id="641" w:name="bookmark641"/>
      <w:r>
        <w:rPr>
          <w:color w:val="000000"/>
          <w:spacing w:val="0"/>
          <w:w w:val="100"/>
          <w:position w:val="0"/>
        </w:rPr>
        <w:t>第十节财务报告</w:t>
      </w:r>
      <w:bookmarkEnd w:id="639"/>
      <w:bookmarkEnd w:id="640"/>
      <w:bookmarkEnd w:id="641"/>
    </w:p>
    <w:p>
      <w:pPr>
        <w:pStyle w:val="Style26"/>
        <w:keepNext w:val="0"/>
        <w:keepLines w:val="0"/>
        <w:widowControl w:val="0"/>
        <w:shd w:val="clear" w:color="auto" w:fill="auto"/>
        <w:bidi w:val="0"/>
        <w:spacing w:before="0" w:after="0" w:line="240" w:lineRule="auto"/>
        <w:ind w:left="0" w:right="0" w:firstLine="0"/>
        <w:jc w:val="left"/>
        <w:rPr>
          <w:sz w:val="22"/>
          <w:szCs w:val="22"/>
        </w:rPr>
      </w:pPr>
      <w:bookmarkStart w:id="642" w:name="bookmark642"/>
      <w:bookmarkStart w:id="643" w:name="bookmark643"/>
      <w:r>
        <w:rPr>
          <w:b/>
          <w:bCs/>
          <w:color w:val="000000"/>
          <w:spacing w:val="0"/>
          <w:w w:val="100"/>
          <w:position w:val="0"/>
          <w:sz w:val="22"/>
          <w:szCs w:val="22"/>
        </w:rPr>
        <w:t>一、审计报告</w:t>
      </w:r>
      <w:bookmarkEnd w:id="643"/>
      <w:bookmarkEnd w:id="64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442A010918</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李恩成余红</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19" w:line="1" w:lineRule="exact"/>
      </w:pPr>
    </w:p>
    <w:p>
      <w:pPr>
        <w:pStyle w:val="Style33"/>
        <w:keepNext w:val="0"/>
        <w:keepLines w:val="0"/>
        <w:widowControl w:val="0"/>
        <w:shd w:val="clear" w:color="auto" w:fill="auto"/>
        <w:bidi w:val="0"/>
        <w:spacing w:before="0" w:after="120" w:line="312" w:lineRule="exact"/>
        <w:ind w:left="0" w:right="0" w:firstLine="0"/>
        <w:jc w:val="both"/>
      </w:pPr>
      <w:r>
        <w:rPr>
          <w:b/>
          <w:bCs/>
          <w:color w:val="000000"/>
          <w:spacing w:val="0"/>
          <w:w w:val="100"/>
          <w:position w:val="0"/>
        </w:rPr>
        <w:t>远光软件股份有限公司：</w:t>
      </w:r>
    </w:p>
    <w:p>
      <w:pPr>
        <w:pStyle w:val="Style33"/>
        <w:keepNext w:val="0"/>
        <w:keepLines w:val="0"/>
        <w:widowControl w:val="0"/>
        <w:shd w:val="clear" w:color="auto" w:fill="auto"/>
        <w:tabs>
          <w:tab w:pos="1017" w:val="left"/>
        </w:tabs>
        <w:bidi w:val="0"/>
        <w:spacing w:before="0" w:after="200" w:line="312" w:lineRule="exact"/>
        <w:ind w:left="0" w:right="0" w:firstLine="500"/>
        <w:jc w:val="both"/>
      </w:pPr>
      <w:bookmarkStart w:id="644" w:name="bookmark644"/>
      <w:r>
        <w:rPr>
          <w:b/>
          <w:bCs/>
          <w:color w:val="000000"/>
          <w:spacing w:val="0"/>
          <w:w w:val="100"/>
          <w:position w:val="0"/>
        </w:rPr>
        <w:t>一</w:t>
      </w:r>
      <w:bookmarkEnd w:id="644"/>
      <w:r>
        <w:rPr>
          <w:b/>
          <w:bCs/>
          <w:color w:val="000000"/>
          <w:spacing w:val="0"/>
          <w:w w:val="100"/>
          <w:position w:val="0"/>
        </w:rPr>
        <w:t>、</w:t>
        <w:tab/>
        <w:t>审计意见</w:t>
      </w:r>
    </w:p>
    <w:p>
      <w:pPr>
        <w:pStyle w:val="Style33"/>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我们审计了远光软件股份有限公司（以下简称远光软件公司）财务报表，包括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年度的合并及公司利润表、合并及公司现金流量表、 合并及公司股东权益变动表以及相关财务报表附注。</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我们认为，后附的财务报表在所有重大方面按照企业会计准则的规定编制，公允反映了 远光软件公司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年度的合并及公司经营成果和 现金流量。</w:t>
      </w:r>
    </w:p>
    <w:p>
      <w:pPr>
        <w:pStyle w:val="Style33"/>
        <w:keepNext w:val="0"/>
        <w:keepLines w:val="0"/>
        <w:widowControl w:val="0"/>
        <w:shd w:val="clear" w:color="auto" w:fill="auto"/>
        <w:tabs>
          <w:tab w:pos="1017" w:val="left"/>
        </w:tabs>
        <w:bidi w:val="0"/>
        <w:spacing w:before="0" w:after="200" w:line="312" w:lineRule="exact"/>
        <w:ind w:left="0" w:right="0" w:firstLine="500"/>
        <w:jc w:val="both"/>
      </w:pPr>
      <w:bookmarkStart w:id="645" w:name="bookmark645"/>
      <w:r>
        <w:rPr>
          <w:b/>
          <w:bCs/>
          <w:color w:val="000000"/>
          <w:spacing w:val="0"/>
          <w:w w:val="100"/>
          <w:position w:val="0"/>
        </w:rPr>
        <w:t>二</w:t>
      </w:r>
      <w:bookmarkEnd w:id="645"/>
      <w:r>
        <w:rPr>
          <w:b/>
          <w:bCs/>
          <w:color w:val="000000"/>
          <w:spacing w:val="0"/>
          <w:w w:val="100"/>
          <w:position w:val="0"/>
        </w:rPr>
        <w:t>、</w:t>
        <w:tab/>
        <w:t>形成审计意见的基础</w:t>
      </w:r>
    </w:p>
    <w:p>
      <w:pPr>
        <w:pStyle w:val="Style33"/>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德守则，我们独立于远光软件公司，并履行了职业道德方面的其他责任。我们相信，我们获 取的审计证据是充分、适当的，为发表审计意见提供了基础。</w:t>
      </w:r>
    </w:p>
    <w:p>
      <w:pPr>
        <w:pStyle w:val="Style33"/>
        <w:keepNext w:val="0"/>
        <w:keepLines w:val="0"/>
        <w:widowControl w:val="0"/>
        <w:shd w:val="clear" w:color="auto" w:fill="auto"/>
        <w:tabs>
          <w:tab w:pos="1017" w:val="left"/>
        </w:tabs>
        <w:bidi w:val="0"/>
        <w:spacing w:before="0" w:after="200" w:line="312" w:lineRule="exact"/>
        <w:ind w:left="0" w:right="0" w:firstLine="500"/>
        <w:jc w:val="both"/>
      </w:pPr>
      <w:bookmarkStart w:id="646" w:name="bookmark646"/>
      <w:r>
        <w:rPr>
          <w:b/>
          <w:bCs/>
          <w:color w:val="000000"/>
          <w:spacing w:val="0"/>
          <w:w w:val="100"/>
          <w:position w:val="0"/>
        </w:rPr>
        <w:t>三</w:t>
      </w:r>
      <w:bookmarkEnd w:id="646"/>
      <w:r>
        <w:rPr>
          <w:b/>
          <w:bCs/>
          <w:color w:val="000000"/>
          <w:spacing w:val="0"/>
          <w:w w:val="100"/>
          <w:position w:val="0"/>
        </w:rPr>
        <w:t>、</w:t>
        <w:tab/>
        <w:t>关键审计事项</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（一）收入确认</w:t>
      </w:r>
    </w:p>
    <w:p>
      <w:pPr>
        <w:pStyle w:val="Style33"/>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w:t>
      </w:r>
    </w:p>
    <w:p>
      <w:pPr>
        <w:pStyle w:val="Style33"/>
        <w:keepNext w:val="0"/>
        <w:keepLines w:val="0"/>
        <w:widowControl w:val="0"/>
        <w:shd w:val="clear" w:color="auto" w:fill="auto"/>
        <w:bidi w:val="0"/>
        <w:spacing w:before="0" w:after="120" w:line="271" w:lineRule="auto"/>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、事项描述</w:t>
      </w:r>
    </w:p>
    <w:p>
      <w:pPr>
        <w:pStyle w:val="Style33"/>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远光软件公司的主要业务为向客户提供财务和管理信息化全面解决方案。</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年度远光 软件公司主营业务收入</w:t>
      </w:r>
      <w:r>
        <w:rPr>
          <w:rFonts w:ascii="Times New Roman" w:eastAsia="Times New Roman" w:hAnsi="Times New Roman" w:cs="Times New Roman"/>
          <w:color w:val="000000"/>
          <w:spacing w:val="0"/>
          <w:w w:val="100"/>
          <w:position w:val="0"/>
          <w:sz w:val="24"/>
          <w:szCs w:val="24"/>
        </w:rPr>
        <w:t>191,382.68</w:t>
      </w:r>
      <w:r>
        <w:rPr>
          <w:color w:val="000000"/>
          <w:spacing w:val="0"/>
          <w:w w:val="100"/>
          <w:position w:val="0"/>
        </w:rPr>
        <w:t xml:space="preserve">万元，由于收入为关键业绩指标，其收入确认的准确性以及 是否在恰当的财务报表期间确认涉及管理层的重大判断，且对远光软件公司报告期的经营业 </w:t>
      </w:r>
      <w:r>
        <w:rPr>
          <w:color w:val="000000"/>
          <w:spacing w:val="0"/>
          <w:w w:val="100"/>
          <w:position w:val="0"/>
        </w:rPr>
        <w:t>绩具有重大影响。因此我们将收入确认识别为关键审计事项。</w:t>
      </w:r>
    </w:p>
    <w:p>
      <w:pPr>
        <w:pStyle w:val="Style33"/>
        <w:keepNext w:val="0"/>
        <w:keepLines w:val="0"/>
        <w:widowControl w:val="0"/>
        <w:shd w:val="clear" w:color="auto" w:fill="auto"/>
        <w:bidi w:val="0"/>
        <w:spacing w:before="0" w:after="180" w:line="276" w:lineRule="auto"/>
        <w:ind w:left="0" w:right="0" w:firstLine="500"/>
        <w:jc w:val="both"/>
      </w:pPr>
      <w:bookmarkStart w:id="647" w:name="bookmark647"/>
      <w:r>
        <w:rPr>
          <w:rFonts w:ascii="Times New Roman" w:eastAsia="Times New Roman" w:hAnsi="Times New Roman" w:cs="Times New Roman"/>
          <w:color w:val="000000"/>
          <w:spacing w:val="0"/>
          <w:w w:val="100"/>
          <w:position w:val="0"/>
          <w:sz w:val="24"/>
          <w:szCs w:val="24"/>
        </w:rPr>
        <w:t>2</w:t>
      </w:r>
      <w:bookmarkEnd w:id="647"/>
      <w:r>
        <w:rPr>
          <w:color w:val="000000"/>
          <w:spacing w:val="0"/>
          <w:w w:val="100"/>
          <w:position w:val="0"/>
        </w:rPr>
        <w:t>、审计应对</w:t>
      </w:r>
    </w:p>
    <w:p>
      <w:pPr>
        <w:pStyle w:val="Style33"/>
        <w:keepNext w:val="0"/>
        <w:keepLines w:val="0"/>
        <w:widowControl w:val="0"/>
        <w:shd w:val="clear" w:color="auto" w:fill="auto"/>
        <w:tabs>
          <w:tab w:pos="1026" w:val="left"/>
        </w:tabs>
        <w:bidi w:val="0"/>
        <w:spacing w:before="0" w:after="180" w:line="322" w:lineRule="exact"/>
        <w:ind w:left="0" w:right="0" w:firstLine="50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了解和评价管理层对有关收入循环的关键内部控制的设计，并执行控制测试；</w:t>
      </w:r>
    </w:p>
    <w:p>
      <w:pPr>
        <w:pStyle w:val="Style33"/>
        <w:keepNext w:val="0"/>
        <w:keepLines w:val="0"/>
        <w:widowControl w:val="0"/>
        <w:shd w:val="clear" w:color="auto" w:fill="auto"/>
        <w:tabs>
          <w:tab w:pos="1146" w:val="left"/>
        </w:tabs>
        <w:bidi w:val="0"/>
        <w:spacing w:before="0" w:after="180" w:line="326" w:lineRule="exact"/>
        <w:ind w:left="0" w:right="0" w:firstLine="50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获取远光软件公司与客户签订的主要合同，对合同关键条款进行核查，评价收入确 认政策是否符合企业会计准则的规定；</w:t>
      </w:r>
    </w:p>
    <w:p>
      <w:pPr>
        <w:pStyle w:val="Style33"/>
        <w:keepNext w:val="0"/>
        <w:keepLines w:val="0"/>
        <w:widowControl w:val="0"/>
        <w:shd w:val="clear" w:color="auto" w:fill="auto"/>
        <w:tabs>
          <w:tab w:pos="1026" w:val="left"/>
        </w:tabs>
        <w:bidi w:val="0"/>
        <w:spacing w:before="0" w:after="180" w:line="322" w:lineRule="exact"/>
        <w:ind w:left="0" w:right="0" w:firstLine="50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执行分析程序，识别收入确认可能存在重大错报的迹象或异常情形；</w:t>
      </w:r>
    </w:p>
    <w:p>
      <w:pPr>
        <w:pStyle w:val="Style33"/>
        <w:keepNext w:val="0"/>
        <w:keepLines w:val="0"/>
        <w:widowControl w:val="0"/>
        <w:shd w:val="clear" w:color="auto" w:fill="auto"/>
        <w:tabs>
          <w:tab w:pos="1150" w:val="left"/>
        </w:tabs>
        <w:bidi w:val="0"/>
        <w:spacing w:before="0" w:after="0" w:line="322" w:lineRule="exact"/>
        <w:ind w:left="0" w:right="0" w:firstLine="50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抽样检查中标通知书、合同、发票、回款单据、对甲方需求及项目实施目标的了解 沟通资料（如邮件、会议记录等）、经批准的项目预算书、项目执行过程中的沟通资料（项</w:t>
      </w:r>
    </w:p>
    <w:p>
      <w:pPr>
        <w:pStyle w:val="Style33"/>
        <w:keepNext w:val="0"/>
        <w:keepLines w:val="0"/>
        <w:widowControl w:val="0"/>
        <w:shd w:val="clear" w:color="auto" w:fill="auto"/>
        <w:bidi w:val="0"/>
        <w:spacing w:before="0" w:after="180" w:line="322" w:lineRule="exact"/>
        <w:ind w:left="0" w:right="0" w:firstLine="0"/>
        <w:jc w:val="both"/>
      </w:pPr>
      <w:r>
        <w:rPr>
          <w:color w:val="000000"/>
          <w:spacing w:val="0"/>
          <w:w w:val="100"/>
          <w:position w:val="0"/>
        </w:rPr>
        <w:t>目周报、测试记录等）、项目人员考勤记录、项目验收通知书、验收阶段双方沟通记录等相 关资料，确认当期收入的真实性、完整性。</w:t>
      </w:r>
    </w:p>
    <w:p>
      <w:pPr>
        <w:pStyle w:val="Style33"/>
        <w:keepNext w:val="0"/>
        <w:keepLines w:val="0"/>
        <w:widowControl w:val="0"/>
        <w:shd w:val="clear" w:color="auto" w:fill="auto"/>
        <w:tabs>
          <w:tab w:pos="1150" w:val="left"/>
        </w:tabs>
        <w:bidi w:val="0"/>
        <w:spacing w:before="0" w:after="180" w:line="326" w:lineRule="exact"/>
        <w:ind w:left="0" w:right="0" w:firstLine="50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获取经客户盖章认可的项目实施报告或项目验收报告，检查履约进度是否与账面收 入确认进度一致。</w:t>
      </w:r>
    </w:p>
    <w:p>
      <w:pPr>
        <w:pStyle w:val="Style33"/>
        <w:keepNext w:val="0"/>
        <w:keepLines w:val="0"/>
        <w:widowControl w:val="0"/>
        <w:shd w:val="clear" w:color="auto" w:fill="auto"/>
        <w:tabs>
          <w:tab w:pos="1146" w:val="left"/>
        </w:tabs>
        <w:bidi w:val="0"/>
        <w:spacing w:before="0" w:after="180" w:line="319" w:lineRule="exact"/>
        <w:ind w:left="0" w:right="0" w:firstLine="50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结合对应收账款、合同资产和合同负债的审计，在抽样的基础上执行函证程序，对 主要客户函证项目履约进度情况、应收账款、合同资产期末余额、本期结算金额及本期回款 金额；</w:t>
      </w:r>
    </w:p>
    <w:p>
      <w:pPr>
        <w:pStyle w:val="Style33"/>
        <w:keepNext w:val="0"/>
        <w:keepLines w:val="0"/>
        <w:widowControl w:val="0"/>
        <w:shd w:val="clear" w:color="auto" w:fill="auto"/>
        <w:tabs>
          <w:tab w:pos="1026" w:val="left"/>
        </w:tabs>
        <w:bidi w:val="0"/>
        <w:spacing w:before="0" w:after="180" w:line="322" w:lineRule="exact"/>
        <w:ind w:left="0" w:right="0" w:firstLine="50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对收入进行截止性测试；</w:t>
      </w:r>
    </w:p>
    <w:p>
      <w:pPr>
        <w:pStyle w:val="Style33"/>
        <w:keepNext w:val="0"/>
        <w:keepLines w:val="0"/>
        <w:widowControl w:val="0"/>
        <w:shd w:val="clear" w:color="auto" w:fill="auto"/>
        <w:tabs>
          <w:tab w:pos="1150" w:val="left"/>
        </w:tabs>
        <w:bidi w:val="0"/>
        <w:spacing w:before="0" w:after="180" w:line="331" w:lineRule="exact"/>
        <w:ind w:left="0" w:right="0" w:firstLine="50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随机抽取客户进行现场访谈，了解客户对违约条款的理解、如何确定项目的实施进 度等情况。</w:t>
      </w:r>
    </w:p>
    <w:p>
      <w:pPr>
        <w:pStyle w:val="Style33"/>
        <w:keepNext w:val="0"/>
        <w:keepLines w:val="0"/>
        <w:widowControl w:val="0"/>
        <w:shd w:val="clear" w:color="auto" w:fill="auto"/>
        <w:bidi w:val="0"/>
        <w:spacing w:before="0" w:after="240" w:line="322" w:lineRule="exact"/>
        <w:ind w:left="0" w:right="0" w:firstLine="500"/>
        <w:jc w:val="left"/>
      </w:pPr>
      <w:r>
        <w:rPr>
          <w:color w:val="000000"/>
          <w:spacing w:val="0"/>
          <w:w w:val="100"/>
          <w:position w:val="0"/>
        </w:rPr>
        <w:t>（二）应收账款及合同资产预期信用损失的计量</w:t>
      </w:r>
    </w:p>
    <w:p>
      <w:pPr>
        <w:pStyle w:val="Style33"/>
        <w:keepNext w:val="0"/>
        <w:keepLines w:val="0"/>
        <w:widowControl w:val="0"/>
        <w:shd w:val="clear" w:color="auto" w:fill="auto"/>
        <w:bidi w:val="0"/>
        <w:spacing w:before="0" w:after="240" w:line="322" w:lineRule="exact"/>
        <w:ind w:left="0" w:right="0" w:firstLine="50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r>
    </w:p>
    <w:p>
      <w:pPr>
        <w:pStyle w:val="Style33"/>
        <w:keepNext w:val="0"/>
        <w:keepLines w:val="0"/>
        <w:widowControl w:val="0"/>
        <w:shd w:val="clear" w:color="auto" w:fill="auto"/>
        <w:tabs>
          <w:tab w:pos="999" w:val="left"/>
        </w:tabs>
        <w:bidi w:val="0"/>
        <w:spacing w:before="0" w:after="180" w:line="276" w:lineRule="auto"/>
        <w:ind w:left="0" w:right="0" w:firstLine="500"/>
        <w:jc w:val="both"/>
      </w:pPr>
      <w:bookmarkStart w:id="656" w:name="bookmark656"/>
      <w:r>
        <w:rPr>
          <w:rFonts w:ascii="Times New Roman" w:eastAsia="Times New Roman" w:hAnsi="Times New Roman" w:cs="Times New Roman"/>
          <w:color w:val="000000"/>
          <w:spacing w:val="0"/>
          <w:w w:val="100"/>
          <w:position w:val="0"/>
          <w:sz w:val="24"/>
          <w:szCs w:val="24"/>
        </w:rPr>
        <w:t>1</w:t>
      </w:r>
      <w:bookmarkEnd w:id="656"/>
      <w:r>
        <w:rPr>
          <w:color w:val="000000"/>
          <w:spacing w:val="0"/>
          <w:w w:val="100"/>
          <w:position w:val="0"/>
        </w:rPr>
        <w:t>、</w:t>
        <w:tab/>
        <w:t>事项描述</w:t>
      </w:r>
    </w:p>
    <w:p>
      <w:pPr>
        <w:pStyle w:val="Style33"/>
        <w:keepNext w:val="0"/>
        <w:keepLines w:val="0"/>
        <w:widowControl w:val="0"/>
        <w:shd w:val="clear" w:color="auto" w:fill="auto"/>
        <w:bidi w:val="0"/>
        <w:spacing w:before="0" w:after="240" w:line="317"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日，远光软件公司应收账款及合同资产账面余额为</w:t>
      </w:r>
      <w:r>
        <w:rPr>
          <w:rFonts w:ascii="Times New Roman" w:eastAsia="Times New Roman" w:hAnsi="Times New Roman" w:cs="Times New Roman"/>
          <w:color w:val="000000"/>
          <w:spacing w:val="0"/>
          <w:w w:val="100"/>
          <w:position w:val="0"/>
          <w:sz w:val="24"/>
          <w:szCs w:val="24"/>
        </w:rPr>
        <w:t>153,423.28</w:t>
      </w:r>
      <w:r>
        <w:rPr>
          <w:color w:val="000000"/>
          <w:spacing w:val="0"/>
          <w:w w:val="100"/>
          <w:position w:val="0"/>
        </w:rPr>
        <w:t>万元，计 提的坏账准备为</w:t>
      </w:r>
      <w:r>
        <w:rPr>
          <w:rFonts w:ascii="Times New Roman" w:eastAsia="Times New Roman" w:hAnsi="Times New Roman" w:cs="Times New Roman"/>
          <w:color w:val="000000"/>
          <w:spacing w:val="0"/>
          <w:w w:val="100"/>
          <w:position w:val="0"/>
          <w:sz w:val="24"/>
          <w:szCs w:val="24"/>
        </w:rPr>
        <w:t>21,227.89</w:t>
      </w:r>
      <w:r>
        <w:rPr>
          <w:color w:val="000000"/>
          <w:spacing w:val="0"/>
          <w:w w:val="100"/>
          <w:position w:val="0"/>
        </w:rPr>
        <w:t>万元，应收账款及合同资产账面净值占年末资产总额的</w:t>
      </w:r>
      <w:r>
        <w:rPr>
          <w:rFonts w:ascii="Times New Roman" w:eastAsia="Times New Roman" w:hAnsi="Times New Roman" w:cs="Times New Roman"/>
          <w:color w:val="000000"/>
          <w:spacing w:val="0"/>
          <w:w w:val="100"/>
          <w:position w:val="0"/>
          <w:sz w:val="24"/>
          <w:szCs w:val="24"/>
        </w:rPr>
        <w:t>37.89%</w:t>
      </w:r>
      <w:r>
        <w:rPr>
          <w:color w:val="000000"/>
          <w:spacing w:val="0"/>
          <w:w w:val="100"/>
          <w:position w:val="0"/>
        </w:rPr>
        <w:t>。由 于应收账款及合同资产金额重大，坏账准备的计提涉及管理层的重大估计和判断，且应收账 款及合同资产的可收回性对于财务报表具有较大影响，因此我们将应收账款及合同资产预期 信用损失的计量识别为关键审计事项。</w:t>
      </w:r>
    </w:p>
    <w:p>
      <w:pPr>
        <w:pStyle w:val="Style33"/>
        <w:keepNext w:val="0"/>
        <w:keepLines w:val="0"/>
        <w:widowControl w:val="0"/>
        <w:shd w:val="clear" w:color="auto" w:fill="auto"/>
        <w:tabs>
          <w:tab w:pos="999" w:val="left"/>
        </w:tabs>
        <w:bidi w:val="0"/>
        <w:spacing w:before="0" w:after="180" w:line="276" w:lineRule="auto"/>
        <w:ind w:left="0" w:right="0" w:firstLine="500"/>
        <w:jc w:val="both"/>
      </w:pPr>
      <w:bookmarkStart w:id="657" w:name="bookmark657"/>
      <w:r>
        <w:rPr>
          <w:rFonts w:ascii="Times New Roman" w:eastAsia="Times New Roman" w:hAnsi="Times New Roman" w:cs="Times New Roman"/>
          <w:color w:val="000000"/>
          <w:spacing w:val="0"/>
          <w:w w:val="100"/>
          <w:position w:val="0"/>
          <w:sz w:val="24"/>
          <w:szCs w:val="24"/>
        </w:rPr>
        <w:t>2</w:t>
      </w:r>
      <w:bookmarkEnd w:id="657"/>
      <w:r>
        <w:rPr>
          <w:color w:val="000000"/>
          <w:spacing w:val="0"/>
          <w:w w:val="100"/>
          <w:position w:val="0"/>
        </w:rPr>
        <w:t>、</w:t>
        <w:tab/>
        <w:t>审计应对</w:t>
      </w:r>
    </w:p>
    <w:p>
      <w:pPr>
        <w:pStyle w:val="Style33"/>
        <w:keepNext w:val="0"/>
        <w:keepLines w:val="0"/>
        <w:widowControl w:val="0"/>
        <w:shd w:val="clear" w:color="auto" w:fill="auto"/>
        <w:tabs>
          <w:tab w:pos="1146" w:val="left"/>
        </w:tabs>
        <w:bidi w:val="0"/>
        <w:spacing w:before="0" w:after="180" w:line="317" w:lineRule="exact"/>
        <w:ind w:left="0" w:right="0" w:firstLine="50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了解远光软件公司的信用政策，测试与应收账款及合同资产管理相关内部控制的设 计和执行，以评价内部控制的有效性；</w:t>
      </w:r>
    </w:p>
    <w:p>
      <w:pPr>
        <w:pStyle w:val="Style33"/>
        <w:keepNext w:val="0"/>
        <w:keepLines w:val="0"/>
        <w:widowControl w:val="0"/>
        <w:shd w:val="clear" w:color="auto" w:fill="auto"/>
        <w:tabs>
          <w:tab w:pos="1150" w:val="left"/>
        </w:tabs>
        <w:bidi w:val="0"/>
        <w:spacing w:before="0" w:after="180" w:line="322" w:lineRule="exact"/>
        <w:ind w:left="0" w:right="0" w:firstLine="50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结合远光软件公司行业特点及信用风险特征、同行业其他公司的预期信用损失计量 方法，评价管理层制定的相关会计政策是否符合准则的规定；</w:t>
      </w:r>
    </w:p>
    <w:p>
      <w:pPr>
        <w:pStyle w:val="Style33"/>
        <w:keepNext w:val="0"/>
        <w:keepLines w:val="0"/>
        <w:widowControl w:val="0"/>
        <w:shd w:val="clear" w:color="auto" w:fill="auto"/>
        <w:tabs>
          <w:tab w:pos="526" w:val="left"/>
        </w:tabs>
        <w:bidi w:val="0"/>
        <w:spacing w:before="0" w:after="200" w:line="322" w:lineRule="exact"/>
        <w:ind w:left="0" w:right="0" w:firstLine="50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 xml:space="preserve">获取管理层评估应收账款及合同资产是否发生减值以及确认预期损失率所依据的数 </w:t>
      </w:r>
      <w:r>
        <w:rPr>
          <w:color w:val="000000"/>
          <w:spacing w:val="0"/>
          <w:w w:val="100"/>
          <w:position w:val="0"/>
        </w:rPr>
        <w:t>据及相关资料，检查远光软件公司应收账款及合同资产的账龄迁徙情况、客户信誉情况及经 营情况、历史坏账情况、预期信用损失判断等，并执行应收账款及合同资产函证程序及检查 期后回款情况，评价应收账款及合同资产预期信用损失率的合理性及应收账款及合同资产损 失准备计提的充分性；</w:t>
      </w:r>
    </w:p>
    <w:p>
      <w:pPr>
        <w:pStyle w:val="Style33"/>
        <w:keepNext w:val="0"/>
        <w:keepLines w:val="0"/>
        <w:widowControl w:val="0"/>
        <w:shd w:val="clear" w:color="auto" w:fill="auto"/>
        <w:bidi w:val="0"/>
        <w:spacing w:before="0" w:after="200" w:line="322" w:lineRule="exact"/>
        <w:ind w:left="0" w:right="0" w:firstLine="50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24"/>
          <w:szCs w:val="24"/>
        </w:rPr>
        <w:t>4</w:t>
      </w:r>
      <w:r>
        <w:rPr>
          <w:color w:val="000000"/>
          <w:spacing w:val="0"/>
          <w:w w:val="100"/>
          <w:position w:val="0"/>
        </w:rPr>
        <w:t>） 对于账龄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年以上大额未回款的应收款项，了解未回款原因，检查合同付款条件， 结合客户经营状况、期后回款情况和函证回函，复核管理层对其可收回金额现值的预测使用 的相关考虑；</w:t>
      </w:r>
    </w:p>
    <w:p>
      <w:pPr>
        <w:pStyle w:val="Style33"/>
        <w:keepNext w:val="0"/>
        <w:keepLines w:val="0"/>
        <w:widowControl w:val="0"/>
        <w:shd w:val="clear" w:color="auto" w:fill="auto"/>
        <w:tabs>
          <w:tab w:pos="1146" w:val="left"/>
        </w:tabs>
        <w:bidi w:val="0"/>
        <w:spacing w:before="0" w:after="200" w:line="322" w:lineRule="exact"/>
        <w:ind w:left="0" w:right="0" w:firstLine="50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获取应收账款及合同资产预期信用损失计算表，复核与预期信用损失计算相关的假 设及前瞻性调整的考虑因素，重新计算预期信用损失金额是否准确。</w:t>
      </w:r>
    </w:p>
    <w:p>
      <w:pPr>
        <w:pStyle w:val="Style33"/>
        <w:keepNext w:val="0"/>
        <w:keepLines w:val="0"/>
        <w:widowControl w:val="0"/>
        <w:shd w:val="clear" w:color="auto" w:fill="auto"/>
        <w:tabs>
          <w:tab w:pos="998" w:val="left"/>
        </w:tabs>
        <w:bidi w:val="0"/>
        <w:spacing w:before="0" w:after="200" w:line="312" w:lineRule="exact"/>
        <w:ind w:left="0" w:right="0" w:firstLine="500"/>
        <w:jc w:val="both"/>
      </w:pPr>
      <w:bookmarkStart w:id="663" w:name="bookmark663"/>
      <w:r>
        <w:rPr>
          <w:b/>
          <w:bCs/>
          <w:color w:val="000000"/>
          <w:spacing w:val="0"/>
          <w:w w:val="100"/>
          <w:position w:val="0"/>
        </w:rPr>
        <w:t>四</w:t>
      </w:r>
      <w:bookmarkEnd w:id="663"/>
      <w:r>
        <w:rPr>
          <w:b/>
          <w:bCs/>
          <w:color w:val="000000"/>
          <w:spacing w:val="0"/>
          <w:w w:val="100"/>
          <w:position w:val="0"/>
        </w:rPr>
        <w:t>、</w:t>
        <w:tab/>
        <w:t>其他信息</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远光软件公司管理层对其他信息负责。其他信息包括远光软件公司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年年度报告中涵 盖的信息，但不包括财务报表和我们的审计报告。</w:t>
      </w:r>
    </w:p>
    <w:p>
      <w:pPr>
        <w:pStyle w:val="Style33"/>
        <w:keepNext w:val="0"/>
        <w:keepLines w:val="0"/>
        <w:widowControl w:val="0"/>
        <w:shd w:val="clear" w:color="auto" w:fill="auto"/>
        <w:bidi w:val="0"/>
        <w:spacing w:before="0" w:after="200" w:line="302" w:lineRule="exact"/>
        <w:ind w:left="0" w:right="0" w:firstLine="500"/>
        <w:jc w:val="both"/>
      </w:pPr>
      <w:r>
        <w:rPr>
          <w:color w:val="000000"/>
          <w:spacing w:val="0"/>
          <w:w w:val="100"/>
          <w:position w:val="0"/>
        </w:rPr>
        <w:t>我们对财务报表发表的审计意见不涵盖其他信息，我们也不对其他信息发表任何形式的 鉴证结论。</w:t>
      </w:r>
    </w:p>
    <w:p>
      <w:pPr>
        <w:pStyle w:val="Style33"/>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33"/>
        <w:keepNext w:val="0"/>
        <w:keepLines w:val="0"/>
        <w:widowControl w:val="0"/>
        <w:shd w:val="clear" w:color="auto" w:fill="auto"/>
        <w:tabs>
          <w:tab w:pos="1017" w:val="left"/>
        </w:tabs>
        <w:bidi w:val="0"/>
        <w:spacing w:before="0" w:after="200" w:line="312" w:lineRule="exact"/>
        <w:ind w:left="0" w:right="0" w:firstLine="500"/>
        <w:jc w:val="both"/>
      </w:pPr>
      <w:bookmarkStart w:id="664" w:name="bookmark664"/>
      <w:r>
        <w:rPr>
          <w:b/>
          <w:bCs/>
          <w:color w:val="000000"/>
          <w:spacing w:val="0"/>
          <w:w w:val="100"/>
          <w:position w:val="0"/>
        </w:rPr>
        <w:t>五</w:t>
      </w:r>
      <w:bookmarkEnd w:id="664"/>
      <w:r>
        <w:rPr>
          <w:b/>
          <w:bCs/>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远光软件公司管理层负责按照企业会计准则的规定编制财务报表，使其实现公允反映， 并设计、执行和维护必要的内部控制，以使财务报表不存在由于舞弊或错误导致的重大错报。</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在编制财务报表时，管理层负责评估远光软件公司的持续经营能力，披露与持续经营相 关的事项（如适用），并运用持续经营假设，除非管理层计划清算远光软件公司、终止运营 或别无其他现实的选择。</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治理层负责监督远光软件公司的财务报告过程。</w:t>
      </w:r>
    </w:p>
    <w:p>
      <w:pPr>
        <w:pStyle w:val="Style33"/>
        <w:keepNext w:val="0"/>
        <w:keepLines w:val="0"/>
        <w:widowControl w:val="0"/>
        <w:shd w:val="clear" w:color="auto" w:fill="auto"/>
        <w:tabs>
          <w:tab w:pos="1017" w:val="left"/>
        </w:tabs>
        <w:bidi w:val="0"/>
        <w:spacing w:before="0" w:after="200" w:line="312" w:lineRule="exact"/>
        <w:ind w:left="0" w:right="0" w:firstLine="500"/>
        <w:jc w:val="both"/>
      </w:pPr>
      <w:bookmarkStart w:id="665" w:name="bookmark665"/>
      <w:r>
        <w:rPr>
          <w:b/>
          <w:bCs/>
          <w:color w:val="000000"/>
          <w:spacing w:val="0"/>
          <w:w w:val="100"/>
          <w:position w:val="0"/>
        </w:rPr>
        <w:t>六</w:t>
      </w:r>
      <w:bookmarkEnd w:id="665"/>
      <w:r>
        <w:rPr>
          <w:b/>
          <w:bCs/>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200" w:line="311" w:lineRule="exact"/>
        <w:ind w:left="0" w:right="0" w:firstLine="50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3"/>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在按照审计准则执行审计工作的过程中，我们运用职业判断，并保持职业怀疑。同时， 我们也执行以下工作：</w:t>
      </w:r>
    </w:p>
    <w:p>
      <w:pPr>
        <w:pStyle w:val="Style33"/>
        <w:keepNext w:val="0"/>
        <w:keepLines w:val="0"/>
        <w:widowControl w:val="0"/>
        <w:shd w:val="clear" w:color="auto" w:fill="auto"/>
        <w:bidi w:val="0"/>
        <w:spacing w:before="0" w:after="200" w:line="312" w:lineRule="exact"/>
        <w:ind w:left="0" w:right="0" w:firstLine="50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）识别和评估由于舞弊或错误导致的财务报表重大错报风险，设计和实施审计程序以</w:t>
        <w:br w:type="page"/>
      </w:r>
      <w:r>
        <w:rPr>
          <w:color w:val="000000"/>
          <w:spacing w:val="0"/>
          <w:w w:val="100"/>
          <w:position w:val="0"/>
        </w:rPr>
        <w:t>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3"/>
        <w:keepNext w:val="0"/>
        <w:keepLines w:val="0"/>
        <w:widowControl w:val="0"/>
        <w:shd w:val="clear" w:color="auto" w:fill="auto"/>
        <w:tabs>
          <w:tab w:pos="1141" w:val="left"/>
        </w:tabs>
        <w:bidi w:val="0"/>
        <w:spacing w:before="0" w:after="200" w:line="317" w:lineRule="exact"/>
        <w:ind w:left="0" w:right="0" w:firstLine="50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了解与审计相关的内部控制，以设计恰当的审计程序，但目的并非对内部控制的有 效性发表意见。</w:t>
      </w:r>
    </w:p>
    <w:p>
      <w:pPr>
        <w:pStyle w:val="Style33"/>
        <w:keepNext w:val="0"/>
        <w:keepLines w:val="0"/>
        <w:widowControl w:val="0"/>
        <w:shd w:val="clear" w:color="auto" w:fill="auto"/>
        <w:tabs>
          <w:tab w:pos="1048" w:val="left"/>
        </w:tabs>
        <w:bidi w:val="0"/>
        <w:spacing w:before="0" w:after="200" w:line="317" w:lineRule="exact"/>
        <w:ind w:left="0" w:right="0" w:firstLine="50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33"/>
        <w:keepNext w:val="0"/>
        <w:keepLines w:val="0"/>
        <w:widowControl w:val="0"/>
        <w:shd w:val="clear" w:color="auto" w:fill="auto"/>
        <w:tabs>
          <w:tab w:pos="1150" w:val="left"/>
        </w:tabs>
        <w:bidi w:val="0"/>
        <w:spacing w:before="0" w:after="200" w:line="314" w:lineRule="exact"/>
        <w:ind w:left="0" w:right="0" w:firstLine="50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对管理层使用持续经营假设的恰当性得出结论。同时，根据获取的审计证据，就可 能导致对远光软件公司的持续经营能力产生重大疑虑的事项或情况是否存在重大不确定性得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的结论基于截至审计报告日可获得的信息。然而，未来的事项或情况可能导致远光软件公司 不能持续经营。</w:t>
      </w:r>
    </w:p>
    <w:p>
      <w:pPr>
        <w:pStyle w:val="Style33"/>
        <w:keepNext w:val="0"/>
        <w:keepLines w:val="0"/>
        <w:widowControl w:val="0"/>
        <w:shd w:val="clear" w:color="auto" w:fill="auto"/>
        <w:tabs>
          <w:tab w:pos="1146" w:val="left"/>
        </w:tabs>
        <w:bidi w:val="0"/>
        <w:spacing w:before="0" w:after="200" w:line="322" w:lineRule="exact"/>
        <w:ind w:left="0" w:right="0" w:firstLine="50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评价财务报表的总体列报、结构和内容，并评价财务报表是否公允反映相关交易和 事项。</w:t>
      </w:r>
    </w:p>
    <w:p>
      <w:pPr>
        <w:pStyle w:val="Style33"/>
        <w:keepNext w:val="0"/>
        <w:keepLines w:val="0"/>
        <w:widowControl w:val="0"/>
        <w:shd w:val="clear" w:color="auto" w:fill="auto"/>
        <w:tabs>
          <w:tab w:pos="1150" w:val="left"/>
        </w:tabs>
        <w:bidi w:val="0"/>
        <w:spacing w:before="0" w:after="200" w:line="322" w:lineRule="exact"/>
        <w:ind w:left="0" w:right="0" w:firstLine="50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就远光软件公司中实体或业务活动的财务信息获取充分、适当的审计证据，以对财 务报表发表意见。我们负责指导、监督和执行集团审计，并对审计意见承担全部责任。</w:t>
      </w:r>
    </w:p>
    <w:p>
      <w:pPr>
        <w:pStyle w:val="Style33"/>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33"/>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33"/>
        <w:keepNext w:val="0"/>
        <w:keepLines w:val="0"/>
        <w:widowControl w:val="0"/>
        <w:shd w:val="clear" w:color="auto" w:fill="auto"/>
        <w:bidi w:val="0"/>
        <w:spacing w:before="0" w:after="1880" w:line="312" w:lineRule="exact"/>
        <w:ind w:left="0" w:right="0" w:firstLine="500"/>
        <w:jc w:val="both"/>
      </w:pPr>
      <w:r>
        <mc:AlternateContent>
          <mc:Choice Requires="wps">
            <w:drawing>
              <wp:anchor distT="0" distB="0" distL="114300" distR="114300" simplePos="0" relativeHeight="125829378" behindDoc="0" locked="0" layoutInCell="1" allowOverlap="1">
                <wp:simplePos x="0" y="0"/>
                <wp:positionH relativeFrom="page">
                  <wp:posOffset>3678555</wp:posOffset>
                </wp:positionH>
                <wp:positionV relativeFrom="paragraph">
                  <wp:posOffset>1955800</wp:posOffset>
                </wp:positionV>
                <wp:extent cx="1078865" cy="414655"/>
                <wp:wrapSquare wrapText="left"/>
                <wp:docPr id="2" name="Shape 2"/>
                <a:graphic xmlns:a="http://schemas.openxmlformats.org/drawingml/2006/main">
                  <a:graphicData uri="http://schemas.microsoft.com/office/word/2010/wordprocessingShape">
                    <wps:wsp>
                      <wps:cNvSpPr txBox="1"/>
                      <wps:spPr>
                        <a:xfrm>
                          <a:ext cx="1078865" cy="414655"/>
                        </a:xfrm>
                        <a:prstGeom prst="rect"/>
                        <a:noFill/>
                      </wps:spPr>
                      <wps:txbx>
                        <w:txbxContent>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中国注册会计师</w:t>
                              <w:br/>
                              <w:t>（项目合伙人）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9.65000000000003pt;margin-top:154.pt;width:84.950000000000003pt;height:32.649999999999999pt;z-index:-125829375;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中国注册会计师</w:t>
                        <w:br/>
                        <w:t>（项目合伙人）</w:t>
                      </w:r>
                    </w:p>
                  </w:txbxContent>
                </v:textbox>
                <w10:wrap type="square" side="left" anchorx="page"/>
              </v:shape>
            </w:pict>
          </mc:Fallback>
        </mc:AlternateContent>
      </w: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致同会计师事务所</w:t>
      </w:r>
    </w:p>
    <w:p>
      <w:pPr>
        <w:pStyle w:val="Style33"/>
        <w:keepNext w:val="0"/>
        <w:keepLines w:val="0"/>
        <w:widowControl w:val="0"/>
        <w:shd w:val="clear" w:color="auto" w:fill="auto"/>
        <w:bidi w:val="0"/>
        <w:spacing w:before="0" w:after="680" w:line="240" w:lineRule="auto"/>
        <w:ind w:left="0" w:right="0" w:firstLine="0"/>
        <w:jc w:val="both"/>
      </w:pPr>
      <w:r>
        <w:rPr>
          <w:color w:val="000000"/>
          <w:spacing w:val="0"/>
          <w:w w:val="100"/>
          <w:position w:val="0"/>
        </w:rPr>
        <w:t>（特殊普通合伙）</w:t>
      </w:r>
    </w:p>
    <w:p>
      <w:pPr>
        <w:pStyle w:val="Style33"/>
        <w:keepNext w:val="0"/>
        <w:keepLines w:val="0"/>
        <w:widowControl w:val="0"/>
        <w:shd w:val="clear" w:color="auto" w:fill="auto"/>
        <w:bidi w:val="0"/>
        <w:spacing w:before="0" w:after="1000" w:line="240" w:lineRule="auto"/>
        <w:ind w:left="4680" w:right="0" w:firstLine="0"/>
        <w:jc w:val="left"/>
      </w:pPr>
      <w:r>
        <w:rPr>
          <w:color w:val="000000"/>
          <w:spacing w:val="0"/>
          <w:w w:val="100"/>
          <w:position w:val="0"/>
        </w:rPr>
        <w:t>中国注册会计师</w:t>
      </w:r>
    </w:p>
    <w:p>
      <w:pPr>
        <w:pStyle w:val="Style33"/>
        <w:keepNext w:val="0"/>
        <w:keepLines w:val="0"/>
        <w:widowControl w:val="0"/>
        <w:shd w:val="clear" w:color="auto" w:fill="auto"/>
        <w:bidi w:val="0"/>
        <w:spacing w:before="0" w:after="200" w:line="240" w:lineRule="auto"/>
        <w:ind w:left="3180" w:right="0" w:firstLine="0"/>
        <w:jc w:val="left"/>
      </w:pPr>
      <w:r>
        <mc:AlternateContent>
          <mc:Choice Requires="wps">
            <w:drawing>
              <wp:anchor distT="0" distB="0" distL="114300" distR="114300" simplePos="0" relativeHeight="125829380" behindDoc="0" locked="0" layoutInCell="1" allowOverlap="1">
                <wp:simplePos x="0" y="0"/>
                <wp:positionH relativeFrom="page">
                  <wp:posOffset>724535</wp:posOffset>
                </wp:positionH>
                <wp:positionV relativeFrom="paragraph">
                  <wp:posOffset>12700</wp:posOffset>
                </wp:positionV>
                <wp:extent cx="673735" cy="201295"/>
                <wp:wrapSquare wrapText="right"/>
                <wp:docPr id="4" name="Shape 4"/>
                <a:graphic xmlns:a="http://schemas.openxmlformats.org/drawingml/2006/main">
                  <a:graphicData uri="http://schemas.microsoft.com/office/word/2010/wordprocessingShape">
                    <wps:wsp>
                      <wps:cNvSpPr txBox="1"/>
                      <wps:spPr>
                        <a:xfrm>
                          <a:ext cx="673735" cy="2012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0" type="#_x0000_t202" style="position:absolute;margin-left:57.050000000000004pt;margin-top:1.pt;width:53.050000000000004pt;height:15.85pt;z-index:-125829373;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rFonts w:ascii="Arial" w:eastAsia="Arial" w:hAnsi="Arial" w:cs="Arial"/>
          <w:color w:val="000000"/>
          <w:spacing w:val="0"/>
          <w:w w:val="100"/>
          <w:position w:val="0"/>
          <w:sz w:val="24"/>
          <w:szCs w:val="24"/>
        </w:rPr>
        <w:t>O</w:t>
      </w:r>
      <w:r>
        <w:rPr>
          <w:color w:val="000000"/>
          <w:spacing w:val="0"/>
          <w:w w:val="100"/>
          <w:position w:val="0"/>
        </w:rPr>
        <w:t>二二年四月二十日</w:t>
      </w:r>
      <w:r>
        <w:br w:type="page"/>
      </w:r>
    </w:p>
    <w:p>
      <w:pPr>
        <w:pStyle w:val="Style24"/>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rPr>
        <w:t>二、财务报表</w:t>
      </w:r>
      <w:bookmarkEnd w:id="672"/>
      <w:bookmarkEnd w:id="673"/>
      <w:bookmarkEnd w:id="67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、合并资产负债表</w:t>
      </w:r>
      <w:bookmarkEnd w:id="675"/>
      <w:bookmarkEnd w:id="676"/>
      <w:bookmarkEnd w:id="67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编制单位：远光软件股份有限公司</w:t>
      </w:r>
    </w:p>
    <w:p>
      <w:pPr>
        <w:pStyle w:val="Style5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257,843,994.79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237,155,865.85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552,650,000.00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79,645,945.03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76,020,395.09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1,124,488,003.69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913,793,228.30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10,007,105.59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18,184,470.07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15,716,727.13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33,674,468.40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31,603,533.89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197,465,882.68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49,681,193.66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794,821,811.59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461,149,296.35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2,636,131,681.84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2,345,520,921.46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66,050,875.87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72,208,284.32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108,169,247.71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132,948,288.25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30,966,719.19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32,336,072.43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170,119,152.16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170,434,359.28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129,822,557.62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12,741,106.93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123,959,436.59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138,987,445.05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92,801,301.84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36,252,729.72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35,310,460.25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35,310,460.25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2,718,101.55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317,429.34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44,869,063.79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43,995,859.30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852,360,819.47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792,613,485.56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3,488,492,501.31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3,138,134,407.02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275,170,804.76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195,496,965.54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9,335,560.41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12,709,283.05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95,445,585.16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98,363,778.32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64,894,012.71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44,794,427.86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9,703,088.12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4,050,115.39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4,752,897.04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4,071,909.35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2,323,296.51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463,373,857.55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357,737,866.67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7,309,908.40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9,231,795.16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10,310,392.28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18,518,634.63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12,910,392.28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481,892,492.18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370,648,258.95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1,322,983,334.00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1,102,486,112.00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61,879,527.01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61,720,512.30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-59,926,158.31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-38,752,195.99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298,620,039.88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270,820,605.43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1,250,225,149.08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1,248,258,642.88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2,873,781,891.66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2,644,533,676.62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132,818,117.47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122,952,471.45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3,006,600,009.13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2,767,486,148.07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3,488,492,501.31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3,138,134,407.02</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704850</wp:posOffset>
                </wp:positionH>
                <wp:positionV relativeFrom="margin">
                  <wp:posOffset>2551430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032" type="#_x0000_t202" style="position:absolute;margin-left:55.5pt;margin-top:200.90000000000001pt;width:83.049999999999997pt;height:11.75pt;z-index:-125829371;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2880995</wp:posOffset>
                </wp:positionH>
                <wp:positionV relativeFrom="margin">
                  <wp:posOffset>2551430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主管会计工作负责人：毛华夏</w:t>
                            </w:r>
                          </w:p>
                        </w:txbxContent>
                      </wps:txbx>
                      <wps:bodyPr wrap="none" lIns="0" tIns="0" rIns="0" bIns="0">
                        <a:noAutoFit/>
                      </wps:bodyPr>
                    </wps:wsp>
                  </a:graphicData>
                </a:graphic>
              </wp:anchor>
            </w:drawing>
          </mc:Choice>
          <mc:Fallback>
            <w:pict>
              <v:shape id="_x0000_s1034" type="#_x0000_t202" style="position:absolute;margin-left:226.84999999999999pt;margin-top:200.90000000000001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主管会计工作负责人：毛华夏</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5505450</wp:posOffset>
                </wp:positionH>
                <wp:positionV relativeFrom="margin">
                  <wp:posOffset>2551430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会计机构负责人：马春霞</w:t>
                            </w:r>
                          </w:p>
                        </w:txbxContent>
                      </wps:txbx>
                      <wps:bodyPr wrap="none" lIns="0" tIns="0" rIns="0" bIns="0">
                        <a:noAutoFit/>
                      </wps:bodyPr>
                    </wps:wsp>
                  </a:graphicData>
                </a:graphic>
              </wp:anchor>
            </w:drawing>
          </mc:Choice>
          <mc:Fallback>
            <w:pict>
              <v:shape id="_x0000_s1036" type="#_x0000_t202" style="position:absolute;margin-left:433.5pt;margin-top:200.90000000000001pt;width:101.3pt;height:11.75pt;z-index:-125829367;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会计机构负责人：马春霞</w:t>
                      </w:r>
                    </w:p>
                  </w:txbxContent>
                </v:textbox>
                <w10:wrap type="topAndBottom" anchorx="page" anchory="margin"/>
              </v:shape>
            </w:pict>
          </mc:Fallback>
        </mc:AlternateContent>
      </w: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、母公司资产负债表</w:t>
      </w:r>
      <w:bookmarkEnd w:id="679"/>
      <w:bookmarkEnd w:id="680"/>
      <w:bookmarkEnd w:id="6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88,649,937.49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92,257,690.29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44,363,618.09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67,123,750.00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944,308,825.90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749,442,461.41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6,751,727.19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4,748,116.94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128,604,869.77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112,009,839.37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10,422,271.75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11,360,543.09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187,853,556.17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44,298,952.05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2,304,454,806.36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2,041,241,353.15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309,143,776.59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303,331,513.50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108,169,247.71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132,948,288.25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30,966,719.19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32,336,072.43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74,645,626.58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70,488,939.66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129,822,557.62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11,161,599.38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120,590,606.78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131,181,436.38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92,801,301.84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36,252,729.72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3,082,833.36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31,904,303.35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27,357,299.74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947,121,368.37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864,003,984.45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3,251,576,174.73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2,905,245,337.60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309,315,823.03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191,861,682.35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5,815,181.78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7,490,515.57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67,595,756.52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47,590,666.08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26,041,825.22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3,024,871.53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17,095,081.83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3,998,535.20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14,332,018.91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1,777,664.22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450,677,096.53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311,862,525.71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6,611,254.20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8,448,005.25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8,931,585.06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16,559,259.45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11,531,585.06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467,236,355.98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323,394,110.77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1,322,983,334.00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1,102,486,112.00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65,532,675.33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64,774,276.18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-59,871,165.42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-38,731,319.26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298,557,862.86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270,758,428.41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1,157,137,111.98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1,182,563,729.50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2,784,339,818.75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2,581,851,226.83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3,251,576,174.73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2,905,245,337.60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、合并利润表</w:t>
      </w:r>
      <w:bookmarkEnd w:id="683"/>
      <w:bookmarkEnd w:id="684"/>
      <w:bookmarkEnd w:id="6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1,691,519,226.39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1,691,519,226.39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1,583,496,488.83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1,406,866,983.32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786,900,173.23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652,423,360.71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20"/>
              <w:jc w:val="left"/>
              <w:rPr>
                <w:sz w:val="17"/>
                <w:szCs w:val="17"/>
              </w:rPr>
            </w:pPr>
            <w:r>
              <w:rPr>
                <w:color w:val="000000"/>
                <w:spacing w:val="0"/>
                <w:w w:val="100"/>
                <w:position w:val="0"/>
                <w:sz w:val="17"/>
                <w:szCs w:val="17"/>
              </w:rPr>
              <w:t>提取保险责任合同准备金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13,056,364.20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13,972,256.93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186,651,521.77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193,961,738.99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183,691,347.83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197,219,550.68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418,589,622.64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354,137,608.36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-5,392,540.84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-4,847,532.35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330,644.03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6,294,253.59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5,809,615.14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17,865,308.48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17,145,799.26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18,880,239.07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54,183,803.36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-1,392,452.16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32,700,115.33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公允价值变动收益（损失以</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-15,251,235.78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-51,889,161.09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-175,492.62</w:t>
            </w:r>
          </w:p>
        </w:tc>
      </w:tr>
    </w:tbl>
    <w:p>
      <w:pPr>
        <w:widowControl w:val="0"/>
        <w:spacing w:line="1" w:lineRule="exact"/>
      </w:pPr>
      <w:r>
        <w:br w:type="page"/>
      </w:r>
    </w:p>
    <w:tbl>
      <w:tblPr>
        <w:tblOverlap w:val="never"/>
        <w:jc w:val="center"/>
        <w:tblLayout w:type="fixed"/>
      </w:tblPr>
      <w:tblGrid>
        <w:gridCol w:w="3082"/>
        <w:gridCol w:w="3211"/>
        <w:gridCol w:w="328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341,754,590.77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303,963,570.78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816,204.27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248,366.56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2,082,329.34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340,488,465.70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303,691,464.07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20,405,351.43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22,672,418.19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320,083,114.27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281,019,045.88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320,083,114.27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281,019,045.88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305,387,468.25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262,885,099.41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14,695,646.02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18,133,946.47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-21,173,962.32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-49,710,004.35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-21,173,962.32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-49,710,004.35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-21,139,846.16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-49,684,669.71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-21,139,846.16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-49,684,669.71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-25,334.64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-25,334.64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298,909,151.95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231,309,041.53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284,213,505.93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213,175,095.06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14,695,646.02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18,133,946.47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0.1987</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法定代表人：陈利浩</w:t>
        <w:tab/>
        <w:t>主管会计工作负责人：毛华夏</w:t>
        <w:tab/>
        <w:t>会计机构负责人：马春霞</w:t>
      </w:r>
    </w:p>
    <w:p>
      <w:pPr>
        <w:pStyle w:val="Style29"/>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、母公司利润表</w:t>
      </w:r>
      <w:bookmarkEnd w:id="687"/>
      <w:bookmarkEnd w:id="688"/>
      <w:bookmarkEnd w:id="69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1,658,450,873.17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1,395,198,382.77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731,235,519.12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570,497,997.85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9,877,252.89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10,240,980.17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146,208,347.92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138,784,536.73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147,724,586.89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158,095,874.64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349,236,769.60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305,709,876.33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-4,530,302.50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-4,115,875.13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306,689.22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5,290,631.00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4,711,565.82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11,342,008.84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11,409,141.71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21,251,524.54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53,156,232.32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33,363,479.80</w:t>
            </w:r>
          </w:p>
        </w:tc>
      </w:tr>
    </w:tbl>
    <w:p>
      <w:pPr>
        <w:widowControl w:val="0"/>
        <w:spacing w:line="1" w:lineRule="exact"/>
      </w:pPr>
      <w:r>
        <w:br w:type="page"/>
      </w:r>
    </w:p>
    <w:tbl>
      <w:tblPr>
        <w:tblOverlap w:val="never"/>
        <w:jc w:val="center"/>
        <w:tblLayout w:type="fixed"/>
      </w:tblPr>
      <w:tblGrid>
        <w:gridCol w:w="2971"/>
        <w:gridCol w:w="3302"/>
        <w:gridCol w:w="3307"/>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100"/>
              <w:jc w:val="both"/>
              <w:rPr>
                <w:sz w:val="17"/>
                <w:szCs w:val="17"/>
              </w:rPr>
            </w:pPr>
            <w:r>
              <w:rPr>
                <w:color w:val="000000"/>
                <w:spacing w:val="0"/>
                <w:w w:val="100"/>
                <w:position w:val="0"/>
                <w:sz w:val="17"/>
                <w:szCs w:val="17"/>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公允价值变动收益（损失以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-11,095,650.89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-43,208,500.66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-10,775,328.21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55,762.81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49,591.85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289,342,283.32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237,447,220.21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808,398.68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243,061.19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2,074,393.38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505,059.97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288,076,288.62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237,185,221.43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10,081,944.09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10,654,374.15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277,994,344.53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226,530,847.28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277,994,344.53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226,530,847.28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-21,139,846.16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-49,684,669.71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-21,139,846.16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-49,684,669.71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-21,139,846.16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-49,684,669.71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256,854,498.37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176,846,177.57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、合并现金流量表</w:t>
      </w:r>
      <w:bookmarkEnd w:id="691"/>
      <w:bookmarkEnd w:id="692"/>
      <w:bookmarkEnd w:id="6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1,643,257,541.19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1,551,049,061.75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5,211,905.76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7,367,767.87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52,849,029.03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19,877,404.25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1,701,318,475.98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1,578,294,233.87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440,239,348.94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298,318,593.24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931,250,466.78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859,018,372.95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101,928,015.10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124,280,088.20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206,054,182.98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217,828,068.22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1,679,472,013.80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1,499,445,122.61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21,846,462.18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78,849,111.26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1,106,310,322.58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1,168,743,376.00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25,211,907.28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44,450,399.27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361,906.40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1,132,049,012.86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1,213,555,681.67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61,708,470.67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53,371,346.50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1,004,670,000.00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1,238,650,000.00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1,066,378,470.67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1,292,021,346.50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65,670,542.19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-78,465,664.83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59,966,136.51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47,024,654.29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5,570,499.41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65,536,635.92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102,024,654.29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-65,536,635.92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-57,024,654.29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-23,549.34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21,954,333.25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-56,664,757.20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224,155,734.85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280,820,492.05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246,110,068.10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224,155,734.85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、母公司现金流量表</w:t>
      </w:r>
      <w:bookmarkEnd w:id="695"/>
      <w:bookmarkEnd w:id="696"/>
      <w:bookmarkEnd w:id="6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1,436,504,743.75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1,250,392,103.37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2,260,869.09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4,791,172.04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28,476,281.16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32,173,746.62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1,467,241,894.00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1,287,357,022.03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396,602,380.86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268,590,603.67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770,053,093.28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721,392,749.06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72,256,872.95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89,943,285.87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192,384,823.76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192,992,520.91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1,431,297,170.85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1,272,919,159.51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35,944,723.15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14,437,862.52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962,490,322.58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911,743,376.00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26,212,906.65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42,576,954.12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433,672.55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347,442.43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1,000,136,901.78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971,667,772.55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63,319,375.49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52,698,641.73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980,229,376.49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1,022,698,641.73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19,907,525.29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-51,030,869.18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55,124,305.60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46,704,584.25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4,616,620.61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59,740,926.21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76,704,584.25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-59,740,926.21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-46,704,584.25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-3,889,098.49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-83,297,590.91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89,435,709.29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172,733,300.20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85,546,610.80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89,435,709.29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、合并所有者权益变动表</w:t>
      </w:r>
      <w:bookmarkEnd w:id="699"/>
      <w:bookmarkEnd w:id="700"/>
      <w:bookmarkEnd w:id="702"/>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1,102 ,486, </w:t>
            </w:r>
            <w:r>
              <w:rPr>
                <w:rFonts w:ascii="Times New Roman" w:eastAsia="Times New Roman" w:hAnsi="Times New Roman" w:cs="Times New Roman"/>
                <w:color w:val="000000"/>
                <w:spacing w:val="0"/>
                <w:w w:val="100"/>
                <w:position w:val="0"/>
                <w:sz w:val="18"/>
                <w:szCs w:val="18"/>
              </w:rPr>
              <w:t xml:space="preserve">112.0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61,720 </w:t>
            </w:r>
            <w:r>
              <w:rPr>
                <w:rFonts w:ascii="Times New Roman" w:eastAsia="Times New Roman" w:hAnsi="Times New Roman" w:cs="Times New Roman"/>
                <w:color w:val="000000"/>
                <w:spacing w:val="0"/>
                <w:w w:val="100"/>
                <w:position w:val="0"/>
                <w:sz w:val="18"/>
                <w:szCs w:val="18"/>
              </w:rPr>
              <w:t xml:space="preserve">,512.3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258,64</w:t>
            </w:r>
          </w:p>
          <w:p>
            <w:pPr>
              <w:pStyle w:val="Style20"/>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533,67</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486,14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1,102 ,486, </w:t>
            </w:r>
            <w:r>
              <w:rPr>
                <w:rFonts w:ascii="Times New Roman" w:eastAsia="Times New Roman" w:hAnsi="Times New Roman" w:cs="Times New Roman"/>
                <w:color w:val="000000"/>
                <w:spacing w:val="0"/>
                <w:w w:val="100"/>
                <w:position w:val="0"/>
                <w:sz w:val="18"/>
                <w:szCs w:val="18"/>
              </w:rPr>
              <w:t xml:space="preserve">112.0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61,720 </w:t>
            </w:r>
            <w:r>
              <w:rPr>
                <w:rFonts w:ascii="Times New Roman" w:eastAsia="Times New Roman" w:hAnsi="Times New Roman" w:cs="Times New Roman"/>
                <w:color w:val="000000"/>
                <w:spacing w:val="0"/>
                <w:w w:val="100"/>
                <w:position w:val="0"/>
                <w:sz w:val="18"/>
                <w:szCs w:val="18"/>
              </w:rPr>
              <w:t xml:space="preserve">,512.3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258,64</w:t>
            </w:r>
          </w:p>
          <w:p>
            <w:pPr>
              <w:pStyle w:val="Style20"/>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533,67</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486,14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27,799 </w:t>
            </w:r>
            <w:r>
              <w:rPr>
                <w:rFonts w:ascii="Times New Roman" w:eastAsia="Times New Roman" w:hAnsi="Times New Roman" w:cs="Times New Roman"/>
                <w:color w:val="000000"/>
                <w:spacing w:val="0"/>
                <w:w w:val="100"/>
                <w:position w:val="0"/>
                <w:sz w:val="18"/>
                <w:szCs w:val="18"/>
              </w:rPr>
              <w:t xml:space="preserve">,434.4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8,215.</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284,21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3,505.</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-59,95</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27,799 </w:t>
            </w:r>
            <w:r>
              <w:rPr>
                <w:rFonts w:ascii="Times New Roman" w:eastAsia="Times New Roman" w:hAnsi="Times New Roman" w:cs="Times New Roman"/>
                <w:color w:val="000000"/>
                <w:spacing w:val="0"/>
                <w:w w:val="100"/>
                <w:position w:val="0"/>
                <w:sz w:val="18"/>
                <w:szCs w:val="18"/>
              </w:rPr>
              <w:t xml:space="preserve">,434.4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21,527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61,879</w:t>
            </w:r>
          </w:p>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781,89</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所有者</w:t>
            </w:r>
          </w:p>
          <w:p>
            <w:pPr>
              <w:pStyle w:val="Style20"/>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权益合</w:t>
            </w:r>
          </w:p>
          <w:p>
            <w:pPr>
              <w:pStyle w:val="Style20"/>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未分</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配利</w:t>
            </w:r>
          </w:p>
          <w:p>
            <w:pPr>
              <w:pStyle w:val="Style20"/>
              <w:keepNext w:val="0"/>
              <w:keepLines w:val="0"/>
              <w:widowControl w:val="0"/>
              <w:shd w:val="clear" w:color="auto" w:fill="auto"/>
              <w:bidi w:val="0"/>
              <w:spacing w:before="0" w:after="120" w:line="240" w:lineRule="auto"/>
              <w:ind w:left="0" w:right="18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6,582.</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10,957 </w:t>
            </w:r>
            <w:r>
              <w:rPr>
                <w:rFonts w:ascii="Times New Roman" w:eastAsia="Times New Roman" w:hAnsi="Times New Roman" w:cs="Times New Roman"/>
                <w:color w:val="000000"/>
                <w:spacing w:val="0"/>
                <w:w w:val="100"/>
                <w:position w:val="0"/>
                <w:sz w:val="18"/>
                <w:szCs w:val="18"/>
              </w:rPr>
              <w:t>,808.3</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531,65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104,818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6,582.</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10,957 </w:t>
            </w:r>
            <w:r>
              <w:rPr>
                <w:rFonts w:ascii="Times New Roman" w:eastAsia="Times New Roman" w:hAnsi="Times New Roman" w:cs="Times New Roman"/>
                <w:color w:val="000000"/>
                <w:spacing w:val="0"/>
                <w:w w:val="100"/>
                <w:position w:val="0"/>
                <w:sz w:val="18"/>
                <w:szCs w:val="18"/>
              </w:rPr>
              <w:t>,808.3</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283,50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531,65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104,818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-84,33 6,070.</w:t>
            </w:r>
          </w:p>
          <w:p>
            <w:pPr>
              <w:pStyle w:val="Style20"/>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0,004.</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22,653 </w:t>
            </w:r>
            <w:r>
              <w:rPr>
                <w:rFonts w:ascii="Times New Roman" w:eastAsia="Times New Roman" w:hAnsi="Times New Roman" w:cs="Times New Roman"/>
                <w:color w:val="000000"/>
                <w:spacing w:val="0"/>
                <w:w w:val="100"/>
                <w:position w:val="0"/>
                <w:sz w:val="18"/>
                <w:szCs w:val="18"/>
              </w:rPr>
              <w:t xml:space="preserve">,084.7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23,975 </w:t>
            </w:r>
            <w:r>
              <w:rPr>
                <w:rFonts w:ascii="Times New Roman" w:eastAsia="Times New Roman" w:hAnsi="Times New Roman" w:cs="Times New Roman"/>
                <w:color w:val="000000"/>
                <w:spacing w:val="0"/>
                <w:w w:val="100"/>
                <w:position w:val="0"/>
                <w:sz w:val="18"/>
                <w:szCs w:val="18"/>
              </w:rPr>
              <w:t xml:space="preserve">,140.7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167,00 </w:t>
            </w:r>
            <w:r>
              <w:rPr>
                <w:rFonts w:ascii="Times New Roman" w:eastAsia="Times New Roman" w:hAnsi="Times New Roman" w:cs="Times New Roman"/>
                <w:color w:val="000000"/>
                <w:spacing w:val="0"/>
                <w:w w:val="100"/>
                <w:position w:val="0"/>
                <w:sz w:val="18"/>
                <w:szCs w:val="18"/>
              </w:rPr>
              <w:t>2,022.</w:t>
            </w:r>
          </w:p>
          <w:p>
            <w:pPr>
              <w:pStyle w:val="Style20"/>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185,135 </w:t>
            </w:r>
            <w:r>
              <w:rPr>
                <w:rFonts w:ascii="Times New Roman" w:eastAsia="Times New Roman" w:hAnsi="Times New Roman" w:cs="Times New Roman"/>
                <w:color w:val="000000"/>
                <w:spacing w:val="0"/>
                <w:w w:val="100"/>
                <w:position w:val="0"/>
                <w:sz w:val="18"/>
                <w:szCs w:val="18"/>
              </w:rPr>
              <w:t>,969.08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0,004.</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,041.53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22,653 </w:t>
            </w:r>
            <w:r>
              <w:rPr>
                <w:rFonts w:ascii="Times New Roman" w:eastAsia="Times New Roman" w:hAnsi="Times New Roman" w:cs="Times New Roman"/>
                <w:color w:val="000000"/>
                <w:spacing w:val="0"/>
                <w:w w:val="100"/>
                <w:position w:val="0"/>
                <w:sz w:val="18"/>
                <w:szCs w:val="18"/>
              </w:rPr>
              <w:t xml:space="preserve">,084.7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-22,65 3,084.</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1,102 ,486, </w:t>
            </w:r>
            <w:r>
              <w:rPr>
                <w:rFonts w:ascii="Times New Roman" w:eastAsia="Times New Roman" w:hAnsi="Times New Roman" w:cs="Times New Roman"/>
                <w:color w:val="000000"/>
                <w:spacing w:val="0"/>
                <w:w w:val="100"/>
                <w:position w:val="0"/>
                <w:sz w:val="18"/>
                <w:szCs w:val="18"/>
              </w:rPr>
              <w:t xml:space="preserve">112.0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61,720 </w:t>
            </w:r>
            <w:r>
              <w:rPr>
                <w:rFonts w:ascii="Times New Roman" w:eastAsia="Times New Roman" w:hAnsi="Times New Roman" w:cs="Times New Roman"/>
                <w:color w:val="000000"/>
                <w:spacing w:val="0"/>
                <w:w w:val="100"/>
                <w:position w:val="0"/>
                <w:sz w:val="18"/>
                <w:szCs w:val="18"/>
              </w:rPr>
              <w:t xml:space="preserve">,512.3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、母公司所有者权益变动表</w:t>
      </w:r>
      <w:bookmarkEnd w:id="703"/>
      <w:bookmarkEnd w:id="704"/>
      <w:bookmarkEnd w:id="70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86,112.</w:t>
            </w:r>
          </w:p>
          <w:p>
            <w:pPr>
              <w:pStyle w:val="Style20"/>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64,774,2</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86,112.</w:t>
            </w:r>
          </w:p>
          <w:p>
            <w:pPr>
              <w:pStyle w:val="Style20"/>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64,774,2</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27,799,4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-25,426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27,799,4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0,962.0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758,399.1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1,194,942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2,451,648,6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248,105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2,451,648,6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-49,684,</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22,653,</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-12,379,1</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130,202,55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-49,684,</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226,530,8</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176,846,17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22,653,</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-46,643,625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22,653,</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-22,653,0</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w:t>
            </w:r>
          </w:p>
          <w:p>
            <w:pPr>
              <w:pStyle w:val="Style20"/>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-46,643,625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84,806 </w:t>
            </w:r>
            <w:r>
              <w:rPr>
                <w:rFonts w:ascii="Times New Roman" w:eastAsia="Times New Roman" w:hAnsi="Times New Roman" w:cs="Times New Roman"/>
                <w:color w:val="000000"/>
                <w:spacing w:val="0"/>
                <w:w w:val="100"/>
                <w:position w:val="0"/>
                <w:sz w:val="18"/>
                <w:szCs w:val="18"/>
              </w:rPr>
              <w:t xml:space="preserve">,624.0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-84,806,</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486,11</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w:t>
            </w:r>
          </w:p>
        </w:tc>
      </w:tr>
    </w:tbl>
    <w:p>
      <w:pPr>
        <w:pStyle w:val="Style26"/>
        <w:keepNext w:val="0"/>
        <w:keepLines w:val="0"/>
        <w:widowControl w:val="0"/>
        <w:shd w:val="clear" w:color="auto" w:fill="auto"/>
        <w:bidi w:val="0"/>
        <w:spacing w:before="0" w:after="0" w:line="240" w:lineRule="auto"/>
        <w:ind w:left="0" w:right="0" w:firstLine="0"/>
        <w:jc w:val="left"/>
        <w:rPr>
          <w:sz w:val="22"/>
          <w:szCs w:val="22"/>
        </w:rPr>
      </w:pPr>
      <w:bookmarkStart w:id="707" w:name="bookmark707"/>
      <w:r>
        <w:rPr>
          <w:b/>
          <w:bCs/>
          <w:color w:val="000000"/>
          <w:spacing w:val="0"/>
          <w:w w:val="100"/>
          <w:position w:val="0"/>
          <w:sz w:val="22"/>
          <w:szCs w:val="22"/>
        </w:rPr>
        <w:t>三、公司基本情况</w:t>
      </w:r>
      <w:bookmarkEnd w:id="707"/>
    </w:p>
    <w:p>
      <w:pPr>
        <w:widowControl w:val="0"/>
        <w:spacing w:after="299" w:line="1" w:lineRule="exact"/>
      </w:pPr>
    </w:p>
    <w:p>
      <w:pPr>
        <w:pStyle w:val="Style33"/>
        <w:keepNext w:val="0"/>
        <w:keepLines w:val="0"/>
        <w:widowControl w:val="0"/>
        <w:shd w:val="clear" w:color="auto" w:fill="auto"/>
        <w:bidi w:val="0"/>
        <w:spacing w:before="0" w:after="240" w:line="310" w:lineRule="exact"/>
        <w:ind w:left="0" w:right="0" w:firstLine="0"/>
        <w:jc w:val="both"/>
      </w:pPr>
      <w:r>
        <w:rPr>
          <w:color w:val="000000"/>
          <w:spacing w:val="0"/>
          <w:w w:val="100"/>
          <w:position w:val="0"/>
        </w:rPr>
        <w:t>远光软件股份有限公司（以下简称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）前身是珠海远光新纪元软件产业有限 公司，经广东省人民政府办公厅</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日粤办函</w:t>
      </w:r>
      <w:r>
        <w:rPr>
          <w:rFonts w:ascii="Times New Roman" w:eastAsia="Times New Roman" w:hAnsi="Times New Roman" w:cs="Times New Roman"/>
          <w:color w:val="000000"/>
          <w:spacing w:val="0"/>
          <w:w w:val="100"/>
          <w:position w:val="0"/>
          <w:sz w:val="24"/>
          <w:szCs w:val="24"/>
        </w:rPr>
        <w:t>[2001]366</w:t>
      </w:r>
      <w:r>
        <w:rPr>
          <w:color w:val="000000"/>
          <w:spacing w:val="0"/>
          <w:w w:val="100"/>
          <w:position w:val="0"/>
        </w:rPr>
        <w:t>号《关于同意变更设立广东 远光软件股份有限公司的复函》和广东省经济贸易委员会</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日粤经贸监督 </w:t>
      </w:r>
      <w:r>
        <w:rPr>
          <w:rFonts w:ascii="Times New Roman" w:eastAsia="Times New Roman" w:hAnsi="Times New Roman" w:cs="Times New Roman"/>
          <w:color w:val="000000"/>
          <w:spacing w:val="0"/>
          <w:w w:val="100"/>
          <w:position w:val="0"/>
          <w:sz w:val="24"/>
          <w:szCs w:val="24"/>
        </w:rPr>
        <w:t>[2001]556</w:t>
      </w:r>
      <w:r>
        <w:rPr>
          <w:color w:val="000000"/>
          <w:spacing w:val="0"/>
          <w:w w:val="100"/>
          <w:position w:val="0"/>
        </w:rPr>
        <w:t>号《关于同意变更设立广东远光软件股份有限公司的批复》批准，整体变更设立为 广东远光软件股份有限公司，变更设立时股本总额为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万元，由利安达信隆会计师事务所 利安达验字</w:t>
      </w:r>
      <w:r>
        <w:rPr>
          <w:rFonts w:ascii="Times New Roman" w:eastAsia="Times New Roman" w:hAnsi="Times New Roman" w:cs="Times New Roman"/>
          <w:color w:val="000000"/>
          <w:spacing w:val="0"/>
          <w:w w:val="100"/>
          <w:position w:val="0"/>
          <w:sz w:val="24"/>
          <w:szCs w:val="24"/>
        </w:rPr>
        <w:t>[2001]B-1036</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日，广东省工商行政管理局核发注册 号为</w:t>
      </w:r>
      <w:r>
        <w:rPr>
          <w:rFonts w:ascii="Times New Roman" w:eastAsia="Times New Roman" w:hAnsi="Times New Roman" w:cs="Times New Roman"/>
          <w:color w:val="000000"/>
          <w:spacing w:val="0"/>
          <w:w w:val="100"/>
          <w:position w:val="0"/>
          <w:sz w:val="24"/>
          <w:szCs w:val="24"/>
        </w:rPr>
        <w:t>4400001009932</w:t>
      </w:r>
      <w:r>
        <w:rPr>
          <w:color w:val="000000"/>
          <w:spacing w:val="0"/>
          <w:w w:val="100"/>
          <w:position w:val="0"/>
        </w:rPr>
        <w:t>营业执照。</w:t>
      </w:r>
    </w:p>
    <w:p>
      <w:pPr>
        <w:pStyle w:val="Style33"/>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sz w:val="24"/>
          <w:szCs w:val="24"/>
        </w:rPr>
        <w:t>[2006]51</w:t>
      </w:r>
      <w:r>
        <w:rPr>
          <w:color w:val="000000"/>
          <w:spacing w:val="0"/>
          <w:w w:val="100"/>
          <w:position w:val="0"/>
        </w:rPr>
        <w:t>号文核准，本公司发行人民 币普通股</w:t>
      </w:r>
      <w:r>
        <w:rPr>
          <w:rFonts w:ascii="Times New Roman" w:eastAsia="Times New Roman" w:hAnsi="Times New Roman" w:cs="Times New Roman"/>
          <w:color w:val="000000"/>
          <w:spacing w:val="0"/>
          <w:w w:val="100"/>
          <w:position w:val="0"/>
          <w:sz w:val="24"/>
          <w:szCs w:val="24"/>
        </w:rPr>
        <w:t>2,750</w:t>
      </w:r>
      <w:r>
        <w:rPr>
          <w:color w:val="000000"/>
          <w:spacing w:val="0"/>
          <w:w w:val="100"/>
          <w:position w:val="0"/>
        </w:rPr>
        <w:t>万股，并于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日在深圳证券交易所上市。公司发行后总股本为</w:t>
      </w:r>
      <w:r>
        <w:rPr>
          <w:rFonts w:ascii="Times New Roman" w:eastAsia="Times New Roman" w:hAnsi="Times New Roman" w:cs="Times New Roman"/>
          <w:color w:val="000000"/>
          <w:spacing w:val="0"/>
          <w:w w:val="100"/>
          <w:position w:val="0"/>
          <w:sz w:val="24"/>
          <w:szCs w:val="24"/>
        </w:rPr>
        <w:t xml:space="preserve">10,982 </w:t>
      </w:r>
      <w:r>
        <w:rPr>
          <w:color w:val="000000"/>
          <w:spacing w:val="0"/>
          <w:w w:val="100"/>
          <w:position w:val="0"/>
        </w:rPr>
        <w:t>万元，此次增资已由利安达信隆会计师事务所利安达验字</w:t>
      </w:r>
      <w:r>
        <w:rPr>
          <w:rFonts w:ascii="Times New Roman" w:eastAsia="Times New Roman" w:hAnsi="Times New Roman" w:cs="Times New Roman"/>
          <w:color w:val="000000"/>
          <w:spacing w:val="0"/>
          <w:w w:val="100"/>
          <w:position w:val="0"/>
          <w:sz w:val="24"/>
          <w:szCs w:val="24"/>
        </w:rPr>
        <w:t>[2006]B-1032</w:t>
      </w:r>
      <w:r>
        <w:rPr>
          <w:color w:val="000000"/>
          <w:spacing w:val="0"/>
          <w:w w:val="100"/>
          <w:position w:val="0"/>
        </w:rPr>
        <w:t>号验资报告验证，并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日在广东省工商行政管理局办理了变更登记，变更后注册资本为</w:t>
      </w:r>
      <w:r>
        <w:rPr>
          <w:rFonts w:ascii="Times New Roman" w:eastAsia="Times New Roman" w:hAnsi="Times New Roman" w:cs="Times New Roman"/>
          <w:color w:val="000000"/>
          <w:spacing w:val="0"/>
          <w:w w:val="100"/>
          <w:position w:val="0"/>
          <w:sz w:val="24"/>
          <w:szCs w:val="24"/>
        </w:rPr>
        <w:t>10,982</w:t>
      </w:r>
      <w:r>
        <w:rPr>
          <w:color w:val="000000"/>
          <w:spacing w:val="0"/>
          <w:w w:val="100"/>
          <w:position w:val="0"/>
        </w:rPr>
        <w:t>万元。</w:t>
      </w:r>
    </w:p>
    <w:p>
      <w:pPr>
        <w:pStyle w:val="Style33"/>
        <w:keepNext w:val="0"/>
        <w:keepLines w:val="0"/>
        <w:widowControl w:val="0"/>
        <w:shd w:val="clear" w:color="auto" w:fill="auto"/>
        <w:bidi w:val="0"/>
        <w:spacing w:before="0" w:after="240" w:line="326" w:lineRule="exact"/>
        <w:ind w:left="0" w:right="0" w:firstLine="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日，经广东省工商行政管理局核准，公司名称由广东远光软件股份有限公司变更 为远光软件股份有限公司。</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日，本公司股本</w:t>
      </w:r>
      <w:r>
        <w:rPr>
          <w:rFonts w:ascii="Times New Roman" w:eastAsia="Times New Roman" w:hAnsi="Times New Roman" w:cs="Times New Roman"/>
          <w:color w:val="000000"/>
          <w:spacing w:val="0"/>
          <w:w w:val="100"/>
          <w:position w:val="0"/>
          <w:sz w:val="24"/>
          <w:szCs w:val="24"/>
        </w:rPr>
        <w:t>1,322,983,334</w:t>
      </w:r>
      <w:r>
        <w:rPr>
          <w:color w:val="000000"/>
          <w:spacing w:val="0"/>
          <w:w w:val="100"/>
          <w:position w:val="0"/>
        </w:rPr>
        <w:t>元。</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公司统一社会信用代码：</w:t>
      </w:r>
      <w:r>
        <w:rPr>
          <w:rFonts w:ascii="Times New Roman" w:eastAsia="Times New Roman" w:hAnsi="Times New Roman" w:cs="Times New Roman"/>
          <w:color w:val="000000"/>
          <w:spacing w:val="0"/>
          <w:w w:val="100"/>
          <w:position w:val="0"/>
          <w:sz w:val="24"/>
          <w:szCs w:val="24"/>
        </w:rPr>
        <w:t>91440400707956364B</w:t>
      </w:r>
      <w:r>
        <w:rPr>
          <w:color w:val="000000"/>
          <w:spacing w:val="0"/>
          <w:w w:val="100"/>
          <w:position w:val="0"/>
        </w:rPr>
        <w:t>。</w:t>
      </w:r>
    </w:p>
    <w:p>
      <w:pPr>
        <w:pStyle w:val="Style33"/>
        <w:keepNext w:val="0"/>
        <w:keepLines w:val="0"/>
        <w:widowControl w:val="0"/>
        <w:shd w:val="clear" w:color="auto" w:fill="auto"/>
        <w:bidi w:val="0"/>
        <w:spacing w:before="0" w:after="220" w:line="308" w:lineRule="exact"/>
        <w:ind w:left="0" w:right="0" w:firstLine="0"/>
        <w:jc w:val="left"/>
      </w:pPr>
      <w:r>
        <w:rPr>
          <w:color w:val="000000"/>
          <w:spacing w:val="0"/>
          <w:w w:val="100"/>
          <w:position w:val="0"/>
        </w:rPr>
        <w:t>公司注册地址：广东省珠海市港湾大道科技一路</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p>
    <w:p>
      <w:pPr>
        <w:pStyle w:val="Style33"/>
        <w:keepNext w:val="0"/>
        <w:keepLines w:val="0"/>
        <w:widowControl w:val="0"/>
        <w:shd w:val="clear" w:color="auto" w:fill="auto"/>
        <w:bidi w:val="0"/>
        <w:spacing w:before="0" w:after="220" w:line="308" w:lineRule="exact"/>
        <w:ind w:left="0" w:right="0" w:firstLine="0"/>
        <w:jc w:val="left"/>
      </w:pPr>
      <w:r>
        <w:rPr>
          <w:color w:val="000000"/>
          <w:spacing w:val="0"/>
          <w:w w:val="100"/>
          <w:position w:val="0"/>
        </w:rPr>
        <w:t>公司法定代表人：陈利浩。</w:t>
      </w:r>
    </w:p>
    <w:p>
      <w:pPr>
        <w:pStyle w:val="Style33"/>
        <w:keepNext w:val="0"/>
        <w:keepLines w:val="0"/>
        <w:widowControl w:val="0"/>
        <w:shd w:val="clear" w:color="auto" w:fill="auto"/>
        <w:bidi w:val="0"/>
        <w:spacing w:before="0" w:after="220" w:line="308" w:lineRule="exact"/>
        <w:ind w:left="0" w:right="0" w:firstLine="0"/>
        <w:jc w:val="left"/>
      </w:pPr>
      <w:r>
        <w:rPr>
          <w:color w:val="000000"/>
          <w:spacing w:val="0"/>
          <w:w w:val="100"/>
          <w:position w:val="0"/>
        </w:rPr>
        <w:t>公司行业性质：</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w:t>
      </w:r>
    </w:p>
    <w:p>
      <w:pPr>
        <w:pStyle w:val="Style33"/>
        <w:keepNext w:val="0"/>
        <w:keepLines w:val="0"/>
        <w:widowControl w:val="0"/>
        <w:shd w:val="clear" w:color="auto" w:fill="auto"/>
        <w:bidi w:val="0"/>
        <w:spacing w:before="0" w:after="220" w:line="308" w:lineRule="exact"/>
        <w:ind w:left="0" w:right="0" w:firstLine="0"/>
        <w:jc w:val="left"/>
      </w:pPr>
      <w:r>
        <w:rPr>
          <w:color w:val="000000"/>
          <w:spacing w:val="0"/>
          <w:w w:val="100"/>
          <w:position w:val="0"/>
        </w:rPr>
        <w:t>本公司及其子公司主要经营活动：从事向客户提供财务和管理信息化全面解决方案等服务。</w:t>
      </w:r>
    </w:p>
    <w:p>
      <w:pPr>
        <w:pStyle w:val="Style33"/>
        <w:keepNext w:val="0"/>
        <w:keepLines w:val="0"/>
        <w:widowControl w:val="0"/>
        <w:shd w:val="clear" w:color="auto" w:fill="auto"/>
        <w:bidi w:val="0"/>
        <w:spacing w:before="0" w:after="160" w:line="308" w:lineRule="exact"/>
        <w:ind w:left="0" w:right="0" w:firstLine="0"/>
        <w:jc w:val="left"/>
      </w:pPr>
      <w:r>
        <w:rPr>
          <w:color w:val="000000"/>
          <w:spacing w:val="0"/>
          <w:w w:val="100"/>
          <w:position w:val="0"/>
        </w:rPr>
        <w:t>本财务报表及财务报表附注业经本公司董事会</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日批准。</w:t>
      </w:r>
    </w:p>
    <w:p>
      <w:pPr>
        <w:pStyle w:val="Style33"/>
        <w:keepNext w:val="0"/>
        <w:keepLines w:val="0"/>
        <w:widowControl w:val="0"/>
        <w:shd w:val="clear" w:color="auto" w:fill="auto"/>
        <w:bidi w:val="0"/>
        <w:spacing w:before="0" w:after="28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日，本公司纳入合并范围的子公司共</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家，详见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附注九在其他主体中的 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。本期合并范围较上年同期未发生变化。</w:t>
      </w:r>
    </w:p>
    <w:p>
      <w:pPr>
        <w:pStyle w:val="Style24"/>
        <w:keepNext/>
        <w:keepLines/>
        <w:widowControl w:val="0"/>
        <w:shd w:val="clear" w:color="auto" w:fill="auto"/>
        <w:tabs>
          <w:tab w:pos="498" w:val="left"/>
        </w:tabs>
        <w:bidi w:val="0"/>
        <w:spacing w:before="0" w:after="380" w:line="308" w:lineRule="exact"/>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四</w:t>
      </w:r>
      <w:bookmarkEnd w:id="710"/>
      <w:r>
        <w:rPr>
          <w:color w:val="000000"/>
          <w:spacing w:val="0"/>
          <w:w w:val="100"/>
          <w:position w:val="0"/>
        </w:rPr>
        <w:t>、</w:t>
        <w:tab/>
        <w:t>财务报表的编制基础</w:t>
      </w:r>
      <w:bookmarkEnd w:id="708"/>
      <w:bookmarkEnd w:id="709"/>
      <w:bookmarkEnd w:id="711"/>
    </w:p>
    <w:p>
      <w:pPr>
        <w:pStyle w:val="Style29"/>
        <w:keepNext/>
        <w:keepLines/>
        <w:widowControl w:val="0"/>
        <w:shd w:val="clear" w:color="auto" w:fill="auto"/>
        <w:tabs>
          <w:tab w:pos="368" w:val="left"/>
        </w:tabs>
        <w:bidi w:val="0"/>
        <w:spacing w:before="0" w:after="28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编制基础</w:t>
      </w:r>
      <w:bookmarkEnd w:id="712"/>
      <w:bookmarkEnd w:id="713"/>
      <w:bookmarkEnd w:id="715"/>
    </w:p>
    <w:p>
      <w:pPr>
        <w:pStyle w:val="Style33"/>
        <w:keepNext w:val="0"/>
        <w:keepLines w:val="0"/>
        <w:widowControl w:val="0"/>
        <w:shd w:val="clear" w:color="auto" w:fill="auto"/>
        <w:bidi w:val="0"/>
        <w:spacing w:before="0" w:after="220" w:line="305" w:lineRule="exact"/>
        <w:ind w:left="0" w:right="0" w:firstLine="0"/>
        <w:jc w:val="both"/>
      </w:pPr>
      <w:r>
        <w:rPr>
          <w:color w:val="000000"/>
          <w:spacing w:val="0"/>
          <w:w w:val="100"/>
          <w:position w:val="0"/>
        </w:rPr>
        <w:t>本财务报表按照财政部发布的企业会计准则及其应用指南、解释及其他有关规定（统称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 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）编制。此外，本公司还按照中国证监会《公开发行证券的公司信息披露编报规则 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w:t>
      </w:r>
      <w:r>
        <w:rPr>
          <w:color w:val="000000"/>
          <w:spacing w:val="0"/>
          <w:w w:val="100"/>
          <w:position w:val="0"/>
          <w:sz w:val="24"/>
          <w:szCs w:val="24"/>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年修订）披露有关财务信息。</w:t>
      </w:r>
    </w:p>
    <w:p>
      <w:pPr>
        <w:pStyle w:val="Style33"/>
        <w:keepNext w:val="0"/>
        <w:keepLines w:val="0"/>
        <w:widowControl w:val="0"/>
        <w:shd w:val="clear" w:color="auto" w:fill="auto"/>
        <w:bidi w:val="0"/>
        <w:spacing w:before="0" w:after="220" w:line="308" w:lineRule="exact"/>
        <w:ind w:left="0" w:right="0" w:firstLine="0"/>
        <w:jc w:val="both"/>
      </w:pPr>
      <w:r>
        <w:rPr>
          <w:color w:val="000000"/>
          <w:spacing w:val="0"/>
          <w:w w:val="100"/>
          <w:position w:val="0"/>
        </w:rPr>
        <w:t>本财务报表以持续经营为基础列报。</w:t>
      </w:r>
    </w:p>
    <w:p>
      <w:pPr>
        <w:pStyle w:val="Style33"/>
        <w:keepNext w:val="0"/>
        <w:keepLines w:val="0"/>
        <w:widowControl w:val="0"/>
        <w:shd w:val="clear" w:color="auto" w:fill="auto"/>
        <w:bidi w:val="0"/>
        <w:spacing w:before="0" w:after="380" w:line="302" w:lineRule="exact"/>
        <w:ind w:left="0" w:right="0" w:firstLine="0"/>
        <w:jc w:val="both"/>
      </w:pPr>
      <w:r>
        <w:rPr>
          <w:color w:val="000000"/>
          <w:spacing w:val="0"/>
          <w:w w:val="100"/>
          <w:position w:val="0"/>
        </w:rPr>
        <w:t>本公司会计核算以权责发生制为基础。除某些金融工具外，本财务报表均以历史成本为计量 基础。资产如果发生减值，则按照相关规定计提相应的减值准备。</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持续经营</w:t>
      </w:r>
      <w:bookmarkEnd w:id="716"/>
      <w:bookmarkEnd w:id="717"/>
      <w:bookmarkEnd w:id="719"/>
    </w:p>
    <w:p>
      <w:pPr>
        <w:pStyle w:val="Style33"/>
        <w:keepNext w:val="0"/>
        <w:keepLines w:val="0"/>
        <w:widowControl w:val="0"/>
        <w:shd w:val="clear" w:color="auto" w:fill="auto"/>
        <w:bidi w:val="0"/>
        <w:spacing w:before="0" w:after="280" w:line="326" w:lineRule="exact"/>
        <w:ind w:left="0" w:right="0" w:firstLine="0"/>
        <w:jc w:val="both"/>
      </w:pPr>
      <w:r>
        <w:rPr>
          <w:color w:val="000000"/>
          <w:spacing w:val="0"/>
          <w:w w:val="100"/>
          <w:position w:val="0"/>
        </w:rPr>
        <w:t>本公司自报告期末起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个月内仍具有较强的持续经营能力，未发现对公司持续经营能力产生 重大影响的事项或其他重要影响因素。</w:t>
      </w:r>
    </w:p>
    <w:p>
      <w:pPr>
        <w:pStyle w:val="Style24"/>
        <w:keepNext/>
        <w:keepLines/>
        <w:widowControl w:val="0"/>
        <w:shd w:val="clear" w:color="auto" w:fill="auto"/>
        <w:tabs>
          <w:tab w:pos="517" w:val="left"/>
        </w:tabs>
        <w:bidi w:val="0"/>
        <w:spacing w:before="0" w:after="380" w:line="308" w:lineRule="exact"/>
        <w:ind w:left="0" w:right="0" w:firstLine="0"/>
        <w:jc w:val="both"/>
      </w:pPr>
      <w:bookmarkStart w:id="720" w:name="bookmark720"/>
      <w:bookmarkStart w:id="721" w:name="bookmark721"/>
      <w:bookmarkStart w:id="722" w:name="bookmark722"/>
      <w:bookmarkStart w:id="723" w:name="bookmark723"/>
      <w:r>
        <w:rPr>
          <w:color w:val="000000"/>
          <w:spacing w:val="0"/>
          <w:w w:val="100"/>
          <w:position w:val="0"/>
        </w:rPr>
        <w:t>五</w:t>
      </w:r>
      <w:bookmarkEnd w:id="722"/>
      <w:r>
        <w:rPr>
          <w:color w:val="000000"/>
          <w:spacing w:val="0"/>
          <w:w w:val="100"/>
          <w:position w:val="0"/>
        </w:rPr>
        <w:t>、</w:t>
        <w:tab/>
        <w:t>重要会计政策及会计估计</w:t>
      </w:r>
      <w:bookmarkEnd w:id="720"/>
      <w:bookmarkEnd w:id="721"/>
      <w:bookmarkEnd w:id="723"/>
    </w:p>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02" w:lineRule="exact"/>
        <w:ind w:left="0" w:right="0" w:firstLine="0"/>
        <w:jc w:val="both"/>
      </w:pPr>
      <w:r>
        <w:rPr>
          <w:color w:val="000000"/>
          <w:spacing w:val="0"/>
          <w:w w:val="100"/>
          <w:position w:val="0"/>
        </w:rPr>
        <w:t>本公司根据自身生产经营特点，确定研发费用资本化条件以及收入确认政策，具体会计政策 见五、</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和五、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w:t>
      </w:r>
    </w:p>
    <w:p>
      <w:pPr>
        <w:pStyle w:val="Style29"/>
        <w:keepNext/>
        <w:keepLines/>
        <w:widowControl w:val="0"/>
        <w:shd w:val="clear" w:color="auto" w:fill="auto"/>
        <w:tabs>
          <w:tab w:pos="368" w:val="left"/>
        </w:tabs>
        <w:bidi w:val="0"/>
        <w:spacing w:before="0" w:after="28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遵循企业会计准则的声明</w:t>
      </w:r>
      <w:bookmarkEnd w:id="724"/>
      <w:bookmarkEnd w:id="725"/>
      <w:bookmarkEnd w:id="727"/>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年度的合并及公司经营成果和合并及公司现金流量等有关信息。</w:t>
      </w:r>
    </w:p>
    <w:p>
      <w:pPr>
        <w:pStyle w:val="Style29"/>
        <w:keepNext/>
        <w:keepLines/>
        <w:widowControl w:val="0"/>
        <w:shd w:val="clear" w:color="auto" w:fill="auto"/>
        <w:tabs>
          <w:tab w:pos="378" w:val="left"/>
        </w:tabs>
        <w:bidi w:val="0"/>
        <w:spacing w:before="0" w:after="28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会计期间</w:t>
      </w:r>
      <w:bookmarkEnd w:id="728"/>
      <w:bookmarkEnd w:id="729"/>
      <w:bookmarkEnd w:id="731"/>
    </w:p>
    <w:p>
      <w:pPr>
        <w:pStyle w:val="Style33"/>
        <w:keepNext w:val="0"/>
        <w:keepLines w:val="0"/>
        <w:widowControl w:val="0"/>
        <w:shd w:val="clear" w:color="auto" w:fill="auto"/>
        <w:bidi w:val="0"/>
        <w:spacing w:before="0" w:after="280" w:line="308" w:lineRule="exact"/>
        <w:ind w:left="0" w:right="0" w:firstLine="0"/>
        <w:jc w:val="both"/>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29"/>
        <w:keepNext/>
        <w:keepLines/>
        <w:widowControl w:val="0"/>
        <w:shd w:val="clear" w:color="auto" w:fill="auto"/>
        <w:bidi w:val="0"/>
        <w:spacing w:before="0" w:after="30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color w:val="000000"/>
          <w:spacing w:val="0"/>
          <w:w w:val="100"/>
          <w:position w:val="0"/>
        </w:rPr>
        <w:t>、营业周期</w:t>
      </w:r>
      <w:bookmarkEnd w:id="732"/>
      <w:bookmarkEnd w:id="733"/>
      <w:bookmarkEnd w:id="735"/>
    </w:p>
    <w:p>
      <w:pPr>
        <w:pStyle w:val="Style3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本公司的营业周期为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w:t>
      </w:r>
    </w:p>
    <w:p>
      <w:pPr>
        <w:pStyle w:val="Style29"/>
        <w:keepNext/>
        <w:keepLines/>
        <w:widowControl w:val="0"/>
        <w:shd w:val="clear" w:color="auto" w:fill="auto"/>
        <w:tabs>
          <w:tab w:pos="389" w:val="left"/>
        </w:tabs>
        <w:bidi w:val="0"/>
        <w:spacing w:before="0" w:after="30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4</w:t>
      </w:r>
      <w:bookmarkEnd w:id="738"/>
      <w:r>
        <w:rPr>
          <w:color w:val="000000"/>
          <w:spacing w:val="0"/>
          <w:w w:val="100"/>
          <w:position w:val="0"/>
        </w:rPr>
        <w:t>、</w:t>
        <w:tab/>
        <w:t>记账本位币</w:t>
      </w:r>
      <w:bookmarkEnd w:id="736"/>
      <w:bookmarkEnd w:id="737"/>
      <w:bookmarkEnd w:id="739"/>
    </w:p>
    <w:p>
      <w:pPr>
        <w:pStyle w:val="Style3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本公司及境内子公司以人民币为记账本位币。本公司之境外子公司根据其经营所处的主要经 济环境中的货币确定其记账本位币。本公司编制本财务报表时所采用的货币为人民币。</w:t>
      </w:r>
    </w:p>
    <w:p>
      <w:pPr>
        <w:pStyle w:val="Style29"/>
        <w:keepNext/>
        <w:keepLines/>
        <w:widowControl w:val="0"/>
        <w:shd w:val="clear" w:color="auto" w:fill="auto"/>
        <w:tabs>
          <w:tab w:pos="389" w:val="left"/>
        </w:tabs>
        <w:bidi w:val="0"/>
        <w:spacing w:before="0" w:after="30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5</w:t>
      </w:r>
      <w:bookmarkEnd w:id="742"/>
      <w:r>
        <w:rPr>
          <w:color w:val="000000"/>
          <w:spacing w:val="0"/>
          <w:w w:val="100"/>
          <w:position w:val="0"/>
        </w:rPr>
        <w:t>、</w:t>
        <w:tab/>
        <w:t>同一控制下和非同一控制下企业合并的会计处理方法</w:t>
      </w:r>
      <w:bookmarkEnd w:id="740"/>
      <w:bookmarkEnd w:id="741"/>
      <w:bookmarkEnd w:id="743"/>
    </w:p>
    <w:p>
      <w:pPr>
        <w:pStyle w:val="Style33"/>
        <w:keepNext w:val="0"/>
        <w:keepLines w:val="0"/>
        <w:widowControl w:val="0"/>
        <w:shd w:val="clear" w:color="auto" w:fill="auto"/>
        <w:tabs>
          <w:tab w:pos="501" w:val="left"/>
        </w:tabs>
        <w:bidi w:val="0"/>
        <w:spacing w:before="0" w:after="200" w:line="312" w:lineRule="exact"/>
        <w:ind w:left="0" w:right="0" w:firstLine="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同一控制下的企业合并</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对于同一控制下的企业合并，合并方在合并中取得的被合并方的资产、负债，除因会计政策 不同而进行的调整以外，按合并日被合并方在最终控制方合并财务报表中的账面价值计量。 合并对价的账面价值与合并中取得的净资产账面价值的差额调整资本公积，资本公积不足冲 减的，调整留存收益。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通过多次交易分步实现同一控制下的企业合并</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的累计公允价值变动在改按成本法核算时转入留存收益。</w:t>
      </w:r>
    </w:p>
    <w:p>
      <w:pPr>
        <w:pStyle w:val="Style33"/>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 调整资本公积，资本公积不足冲减的，调整留存收益。合并方在取得被合并方控制权之前持 有的长期股权投资，在取得原股权之日与合并方与被合并方同处于同一方最终控制之日孰晚 日起至合并日之间已确认有关损益、其他综合收益和其他所有者权益变动，应分别冲减比较 报表期间的期初留存收益或当期损益。</w:t>
      </w:r>
    </w:p>
    <w:p>
      <w:pPr>
        <w:pStyle w:val="Style33"/>
        <w:keepNext w:val="0"/>
        <w:keepLines w:val="0"/>
        <w:widowControl w:val="0"/>
        <w:shd w:val="clear" w:color="auto" w:fill="auto"/>
        <w:tabs>
          <w:tab w:pos="501" w:val="left"/>
        </w:tabs>
        <w:bidi w:val="0"/>
        <w:spacing w:before="0" w:after="200" w:line="312" w:lineRule="exact"/>
        <w:ind w:left="0" w:right="0" w:firstLine="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非同一控制下的企业合并</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对于非同一控制下的企业合并，合并成本为购买日为取得对被购买方的控制权而付出的资产、 发生或承担的负债以及发行的权益性证券的公允价值。在购买日，取得的被购买方的资产、 负债及或有负债按公允价值确认。</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通过多次交易分步实现非同一控制下的企业合并</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的累计公允价值变动在改按成本法核算时转入留存损益。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在合并财务报表中，合并成本为购买日支付的对价与购买日之前已经持有的被购买方的股权 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Style33"/>
        <w:keepNext w:val="0"/>
        <w:keepLines w:val="0"/>
        <w:widowControl w:val="0"/>
        <w:shd w:val="clear" w:color="auto" w:fill="auto"/>
        <w:bidi w:val="0"/>
        <w:spacing w:before="0" w:after="200" w:line="312" w:lineRule="exact"/>
        <w:ind w:left="0" w:right="0" w:firstLine="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）企业合并中有关交易费用的处理</w:t>
      </w:r>
    </w:p>
    <w:p>
      <w:pPr>
        <w:pStyle w:val="Style33"/>
        <w:keepNext w:val="0"/>
        <w:keepLines w:val="0"/>
        <w:widowControl w:val="0"/>
        <w:shd w:val="clear" w:color="auto" w:fill="auto"/>
        <w:bidi w:val="0"/>
        <w:spacing w:before="0" w:after="360" w:line="319" w:lineRule="exact"/>
        <w:ind w:left="0" w:right="0" w:firstLine="0"/>
        <w:jc w:val="both"/>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pStyle w:val="Style29"/>
        <w:keepNext/>
        <w:keepLines/>
        <w:widowControl w:val="0"/>
        <w:shd w:val="clear" w:color="auto" w:fill="auto"/>
        <w:bidi w:val="0"/>
        <w:spacing w:before="0" w:after="30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、合并财务报表的编制方法</w:t>
      </w:r>
      <w:bookmarkEnd w:id="747"/>
      <w:bookmarkEnd w:id="748"/>
      <w:bookmarkEnd w:id="750"/>
    </w:p>
    <w:p>
      <w:pPr>
        <w:pStyle w:val="Style33"/>
        <w:keepNext w:val="0"/>
        <w:keepLines w:val="0"/>
        <w:widowControl w:val="0"/>
        <w:shd w:val="clear" w:color="auto" w:fill="auto"/>
        <w:tabs>
          <w:tab w:pos="476" w:val="left"/>
        </w:tabs>
        <w:bidi w:val="0"/>
        <w:spacing w:before="0" w:after="200" w:line="312" w:lineRule="exact"/>
        <w:ind w:left="0" w:right="0" w:firstLine="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合并范围</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合并财务报表的合并范围以控制为基础予以确定。控制，是指本公司拥有对被投资单位的权 力，通过参与被投资单位的相关活动而享有可变回报，并且有能力运用对被投资单位的权力 影响其回报金额。子公司，是指被本公司控制的主体（含企业、被投资单位中可分割的部分、 结构化主体等）。</w:t>
      </w:r>
    </w:p>
    <w:p>
      <w:pPr>
        <w:pStyle w:val="Style33"/>
        <w:keepNext w:val="0"/>
        <w:keepLines w:val="0"/>
        <w:widowControl w:val="0"/>
        <w:shd w:val="clear" w:color="auto" w:fill="auto"/>
        <w:tabs>
          <w:tab w:pos="476" w:val="left"/>
        </w:tabs>
        <w:bidi w:val="0"/>
        <w:spacing w:before="0" w:after="200" w:line="312" w:lineRule="exact"/>
        <w:ind w:left="0" w:right="0" w:firstLine="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合并财务报表的编制方法</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在报告期内因同一控制下企业合并增加的子公司以及业务，视同该子公司以及业务自同受最 终控制方控制之日起纳入本公司的合并范围，将其自同受最终控制方控制之日起的经营成果、 现金流量分别纳入合并利润表、合并现金流量表中。</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在报告期内因非同一控制下企业合并增加的子公司以及业务，将该子公司以及业务自购买日 至报告期末的收入、费用、利润纳入合并利润表，将其现金流量纳入合并现金流量表。</w:t>
      </w:r>
    </w:p>
    <w:p>
      <w:pPr>
        <w:pStyle w:val="Style33"/>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子公司的股东权益中不属于本公司所拥有的部分，作为少数股东权益在合并资产负债表中股 东权益项下单独列示；子公司当期净损益中属于少数股东权益的份额，在合并利润表中净利 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项目列示。少数股东分担的子公司的亏损超过了少数股东在该子 公司期初所有者权益中所享有的份额，其余额仍冲减少数股东权益。</w:t>
      </w:r>
    </w:p>
    <w:p>
      <w:pPr>
        <w:pStyle w:val="Style33"/>
        <w:keepNext w:val="0"/>
        <w:keepLines w:val="0"/>
        <w:widowControl w:val="0"/>
        <w:shd w:val="clear" w:color="auto" w:fill="auto"/>
        <w:tabs>
          <w:tab w:pos="525" w:val="left"/>
        </w:tabs>
        <w:bidi w:val="0"/>
        <w:spacing w:before="0" w:after="200" w:line="312" w:lineRule="exact"/>
        <w:ind w:left="0" w:right="0" w:firstLine="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购买子公司少数股东股权</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因购买少数股权新取得的长期股权投资成本与按照新增持股比例计算应享有子公司自购买日 或合并日开始持续计算的净资产份额之间的差额，以及在不丧失控制权的情况下因部分处置 对子公司的股权投资而取得的处置价款与处置长期股权投资相对应享有子公司自购买日或合 并日开始持续计算的净资产份额之间的差额，均调整合并资产负债表中的资本公积，资本公 积不足冲减的，调整留存收益。</w:t>
      </w:r>
    </w:p>
    <w:p>
      <w:pPr>
        <w:pStyle w:val="Style33"/>
        <w:keepNext w:val="0"/>
        <w:keepLines w:val="0"/>
        <w:widowControl w:val="0"/>
        <w:shd w:val="clear" w:color="auto" w:fill="auto"/>
        <w:tabs>
          <w:tab w:pos="525" w:val="left"/>
        </w:tabs>
        <w:bidi w:val="0"/>
        <w:spacing w:before="0" w:after="200" w:line="312" w:lineRule="exact"/>
        <w:ind w:left="0" w:right="0" w:firstLine="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丧失子公司控制权的处理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因处置部分股权投资或其他原因丧失了对原有子公司控制权的，剩余股权按照其在丧失控制 权日的公允价值进行重新计量；处置股权取得的对价与剩余股权公允价值之和，减去按原持 股比例计算应享有原有子公司自购买日开始持续计算的净资产账面价值的份额与商誉之和， 形成的差额计入丧失控制权当期的投资收益。</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与原有子公司的股权投资相关的其他综合收益等，在丧失控制权时转入当期损益，由于被投 资方重新计量设定收益计划净负债或净资产变动而产生的其他综合收益除外。</w:t>
      </w:r>
    </w:p>
    <w:p>
      <w:pPr>
        <w:pStyle w:val="Style33"/>
        <w:keepNext w:val="0"/>
        <w:keepLines w:val="0"/>
        <w:widowControl w:val="0"/>
        <w:shd w:val="clear" w:color="auto" w:fill="auto"/>
        <w:tabs>
          <w:tab w:pos="525" w:val="left"/>
        </w:tabs>
        <w:bidi w:val="0"/>
        <w:spacing w:before="0" w:after="200" w:line="312" w:lineRule="exact"/>
        <w:ind w:left="0" w:right="0" w:firstLine="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分步处置股权直至丧失控制权的处理</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通过多次交易分步处置股权直至丧失控制权的各项交易的条款、条件以及经济影响符合以下 一种或多种情况的，本公司将多次交易事项作为一揽子交易进行会计处理：</w:t>
      </w:r>
    </w:p>
    <w:p>
      <w:pPr>
        <w:pStyle w:val="Style33"/>
        <w:keepNext w:val="0"/>
        <w:keepLines w:val="0"/>
        <w:widowControl w:val="0"/>
        <w:numPr>
          <w:ilvl w:val="0"/>
          <w:numId w:val="29"/>
        </w:numPr>
        <w:shd w:val="clear" w:color="auto" w:fill="auto"/>
        <w:tabs>
          <w:tab w:pos="420" w:val="left"/>
        </w:tabs>
        <w:bidi w:val="0"/>
        <w:spacing w:before="0" w:after="200" w:line="312" w:lineRule="exact"/>
        <w:ind w:left="0" w:right="0" w:firstLine="0"/>
        <w:jc w:val="both"/>
      </w:pPr>
      <w:bookmarkStart w:id="756" w:name="bookmark756"/>
      <w:bookmarkEnd w:id="756"/>
      <w:r>
        <w:rPr>
          <w:color w:val="000000"/>
          <w:spacing w:val="0"/>
          <w:w w:val="100"/>
          <w:position w:val="0"/>
        </w:rPr>
        <w:t>这些交易是同时或者在考虑了彼此影响的情况下订立的；</w:t>
      </w:r>
    </w:p>
    <w:p>
      <w:pPr>
        <w:pStyle w:val="Style33"/>
        <w:keepNext w:val="0"/>
        <w:keepLines w:val="0"/>
        <w:widowControl w:val="0"/>
        <w:numPr>
          <w:ilvl w:val="0"/>
          <w:numId w:val="29"/>
        </w:numPr>
        <w:shd w:val="clear" w:color="auto" w:fill="auto"/>
        <w:tabs>
          <w:tab w:pos="420" w:val="left"/>
        </w:tabs>
        <w:bidi w:val="0"/>
        <w:spacing w:before="0" w:after="200" w:line="312" w:lineRule="exact"/>
        <w:ind w:left="0" w:right="0" w:firstLine="0"/>
        <w:jc w:val="both"/>
      </w:pPr>
      <w:bookmarkStart w:id="757" w:name="bookmark757"/>
      <w:bookmarkEnd w:id="757"/>
      <w:r>
        <w:rPr>
          <w:color w:val="000000"/>
          <w:spacing w:val="0"/>
          <w:w w:val="100"/>
          <w:position w:val="0"/>
        </w:rPr>
        <w:t>这些交易整体才能达成一项完整的商业结果；</w:t>
      </w:r>
    </w:p>
    <w:p>
      <w:pPr>
        <w:pStyle w:val="Style33"/>
        <w:keepNext w:val="0"/>
        <w:keepLines w:val="0"/>
        <w:widowControl w:val="0"/>
        <w:numPr>
          <w:ilvl w:val="0"/>
          <w:numId w:val="29"/>
        </w:numPr>
        <w:shd w:val="clear" w:color="auto" w:fill="auto"/>
        <w:tabs>
          <w:tab w:pos="420" w:val="left"/>
        </w:tabs>
        <w:bidi w:val="0"/>
        <w:spacing w:before="0" w:after="200" w:line="312" w:lineRule="exact"/>
        <w:ind w:left="0" w:right="0" w:firstLine="0"/>
        <w:jc w:val="both"/>
      </w:pPr>
      <w:bookmarkStart w:id="758" w:name="bookmark758"/>
      <w:bookmarkEnd w:id="758"/>
      <w:r>
        <w:rPr>
          <w:color w:val="000000"/>
          <w:spacing w:val="0"/>
          <w:w w:val="100"/>
          <w:position w:val="0"/>
        </w:rPr>
        <w:t>一项交易的发生取决于其他至少一项交易的发生；</w:t>
      </w:r>
    </w:p>
    <w:p>
      <w:pPr>
        <w:pStyle w:val="Style33"/>
        <w:keepNext w:val="0"/>
        <w:keepLines w:val="0"/>
        <w:widowControl w:val="0"/>
        <w:numPr>
          <w:ilvl w:val="0"/>
          <w:numId w:val="29"/>
        </w:numPr>
        <w:shd w:val="clear" w:color="auto" w:fill="auto"/>
        <w:tabs>
          <w:tab w:pos="420" w:val="left"/>
        </w:tabs>
        <w:bidi w:val="0"/>
        <w:spacing w:before="0" w:after="200" w:line="312" w:lineRule="exact"/>
        <w:ind w:left="0" w:right="0" w:firstLine="0"/>
        <w:jc w:val="both"/>
      </w:pPr>
      <w:bookmarkStart w:id="759" w:name="bookmark759"/>
      <w:bookmarkEnd w:id="759"/>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在个别财务报表中，分步处置股权直至丧失控制权的各项交易不属于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的，结转 每一次处置股权相对应的长期股权投资的账面价值，所得价款与处置长期股权投资账面价值 之间的差额计入当期投资收益；属于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的，在丧失控制权之前每一次处置价款与 所处置的股权对应的长期股权投资账面价值之间的差额，先确认为其他综合收益，到丧失控 制权时再一并转入丧失控制权的当期损益。</w:t>
      </w:r>
    </w:p>
    <w:p>
      <w:pPr>
        <w:pStyle w:val="Style33"/>
        <w:keepNext w:val="0"/>
        <w:keepLines w:val="0"/>
        <w:widowControl w:val="0"/>
        <w:shd w:val="clear" w:color="auto" w:fill="auto"/>
        <w:bidi w:val="0"/>
        <w:spacing w:before="0" w:after="200" w:line="315" w:lineRule="exact"/>
        <w:ind w:left="0" w:right="0" w:firstLine="0"/>
        <w:jc w:val="both"/>
      </w:pPr>
      <w:r>
        <w:rPr>
          <w:color w:val="000000"/>
          <w:spacing w:val="0"/>
          <w:w w:val="100"/>
          <w:position w:val="0"/>
        </w:rPr>
        <w:t>在合并财务报表中，分步处置股权直至丧失控制权时，剩余股权的计量以及有关处置股权损 益的核算比照前述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丧失子公司控制权的处理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。在丧失控制权之前每一次处置价款与处置投 资对应的享有该子公司自购买日开始持续计算的净资产账面价值份额之间的差额，分别进行 如下处理：</w:t>
      </w:r>
    </w:p>
    <w:p>
      <w:pPr>
        <w:pStyle w:val="Style33"/>
        <w:keepNext w:val="0"/>
        <w:keepLines w:val="0"/>
        <w:widowControl w:val="0"/>
        <w:numPr>
          <w:ilvl w:val="0"/>
          <w:numId w:val="31"/>
        </w:numPr>
        <w:shd w:val="clear" w:color="auto" w:fill="auto"/>
        <w:tabs>
          <w:tab w:pos="420" w:val="left"/>
        </w:tabs>
        <w:bidi w:val="0"/>
        <w:spacing w:before="0" w:after="200" w:line="307" w:lineRule="exact"/>
        <w:ind w:left="0" w:right="0" w:firstLine="0"/>
        <w:jc w:val="both"/>
      </w:pPr>
      <w:bookmarkStart w:id="760" w:name="bookmark760"/>
      <w:bookmarkEnd w:id="760"/>
      <w:r>
        <w:rPr>
          <w:color w:val="000000"/>
          <w:spacing w:val="0"/>
          <w:w w:val="100"/>
          <w:position w:val="0"/>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的，确认为其他综合收益。在丧失控制权时一并转入丧失控制权当期的 损益。</w:t>
      </w:r>
    </w:p>
    <w:p>
      <w:pPr>
        <w:pStyle w:val="Style33"/>
        <w:keepNext w:val="0"/>
        <w:keepLines w:val="0"/>
        <w:widowControl w:val="0"/>
        <w:numPr>
          <w:ilvl w:val="0"/>
          <w:numId w:val="31"/>
        </w:numPr>
        <w:shd w:val="clear" w:color="auto" w:fill="auto"/>
        <w:tabs>
          <w:tab w:pos="420" w:val="left"/>
        </w:tabs>
        <w:bidi w:val="0"/>
        <w:spacing w:before="0" w:after="200" w:line="312" w:lineRule="exact"/>
        <w:ind w:left="0" w:right="0" w:firstLine="0"/>
        <w:jc w:val="both"/>
      </w:pPr>
      <w:bookmarkStart w:id="761" w:name="bookmark761"/>
      <w:bookmarkEnd w:id="761"/>
      <w:r>
        <w:rPr>
          <w:color w:val="000000"/>
          <w:spacing w:val="0"/>
          <w:w w:val="100"/>
          <w:position w:val="0"/>
        </w:rPr>
        <w:t>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的，作为权益性交易计入资本公积（股本溢价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资本溢价）。在丧失控 制权时不得转入丧失控制权当期的损益。</w:t>
      </w:r>
    </w:p>
    <w:p>
      <w:pPr>
        <w:pStyle w:val="Style29"/>
        <w:keepNext/>
        <w:keepLines/>
        <w:widowControl w:val="0"/>
        <w:shd w:val="clear" w:color="auto" w:fill="auto"/>
        <w:bidi w:val="0"/>
        <w:spacing w:before="0" w:after="3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、合营安排分类及共同经营会计处理方法</w:t>
      </w:r>
      <w:bookmarkEnd w:id="762"/>
      <w:bookmarkEnd w:id="763"/>
      <w:bookmarkEnd w:id="765"/>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合营安排，是指一项由两个或两个以上的参与方共同控制的安排。本公司合营安排分为共同 经营和合营企业。</w:t>
      </w:r>
    </w:p>
    <w:p>
      <w:pPr>
        <w:pStyle w:val="Style33"/>
        <w:keepNext w:val="0"/>
        <w:keepLines w:val="0"/>
        <w:widowControl w:val="0"/>
        <w:shd w:val="clear" w:color="auto" w:fill="auto"/>
        <w:tabs>
          <w:tab w:pos="526" w:val="left"/>
        </w:tabs>
        <w:bidi w:val="0"/>
        <w:spacing w:before="0" w:after="200" w:line="311" w:lineRule="exact"/>
        <w:ind w:left="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共同经营</w:t>
      </w:r>
    </w:p>
    <w:p>
      <w:pPr>
        <w:pStyle w:val="Style33"/>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共同经营是指本公司享有该安排相关资产且承担该安排相关负债的合营安排。</w:t>
      </w:r>
    </w:p>
    <w:p>
      <w:pPr>
        <w:pStyle w:val="Style33"/>
        <w:keepNext w:val="0"/>
        <w:keepLines w:val="0"/>
        <w:widowControl w:val="0"/>
        <w:shd w:val="clear" w:color="auto" w:fill="auto"/>
        <w:bidi w:val="0"/>
        <w:spacing w:before="0" w:after="240" w:line="317" w:lineRule="exact"/>
        <w:ind w:left="0" w:right="0" w:firstLine="0"/>
        <w:jc w:val="left"/>
      </w:pPr>
      <w:r>
        <w:rPr>
          <w:color w:val="000000"/>
          <w:spacing w:val="0"/>
          <w:w w:val="100"/>
          <w:position w:val="0"/>
        </w:rPr>
        <w:t>本公司确认与共同经营中利益份额相关的下列项目，并按照相关企业会计准则的规定进行会 计处理：</w:t>
      </w:r>
    </w:p>
    <w:p>
      <w:pPr>
        <w:pStyle w:val="Style33"/>
        <w:keepNext w:val="0"/>
        <w:keepLines w:val="0"/>
        <w:widowControl w:val="0"/>
        <w:shd w:val="clear" w:color="auto" w:fill="auto"/>
        <w:tabs>
          <w:tab w:pos="450" w:val="left"/>
        </w:tabs>
        <w:bidi w:val="0"/>
        <w:spacing w:before="0" w:after="200" w:line="271" w:lineRule="auto"/>
        <w:ind w:left="0" w:right="0" w:firstLine="0"/>
        <w:jc w:val="left"/>
      </w:pPr>
      <w:bookmarkStart w:id="767" w:name="bookmark767"/>
      <w:r>
        <w:rPr>
          <w:rFonts w:ascii="Times New Roman" w:eastAsia="Times New Roman" w:hAnsi="Times New Roman" w:cs="Times New Roman"/>
          <w:color w:val="000000"/>
          <w:spacing w:val="0"/>
          <w:w w:val="100"/>
          <w:position w:val="0"/>
          <w:sz w:val="24"/>
          <w:szCs w:val="24"/>
        </w:rPr>
        <w:t>A</w:t>
      </w:r>
      <w:bookmarkEnd w:id="767"/>
      <w:r>
        <w:rPr>
          <w:color w:val="000000"/>
          <w:spacing w:val="0"/>
          <w:w w:val="100"/>
          <w:position w:val="0"/>
        </w:rPr>
        <w:t>、</w:t>
        <w:tab/>
      </w:r>
      <w:r>
        <w:rPr>
          <w:color w:val="000000"/>
          <w:spacing w:val="0"/>
          <w:w w:val="100"/>
          <w:position w:val="0"/>
        </w:rPr>
        <w:t>确认单独所持有的资产，以及按其份额确认共同持有的资产；</w:t>
      </w:r>
    </w:p>
    <w:p>
      <w:pPr>
        <w:pStyle w:val="Style33"/>
        <w:keepNext w:val="0"/>
        <w:keepLines w:val="0"/>
        <w:widowControl w:val="0"/>
        <w:shd w:val="clear" w:color="auto" w:fill="auto"/>
        <w:tabs>
          <w:tab w:pos="450" w:val="left"/>
        </w:tabs>
        <w:bidi w:val="0"/>
        <w:spacing w:before="0" w:after="200" w:line="271" w:lineRule="auto"/>
        <w:ind w:left="0" w:right="0" w:firstLine="0"/>
        <w:jc w:val="left"/>
      </w:pPr>
      <w:bookmarkStart w:id="768" w:name="bookmark768"/>
      <w:r>
        <w:rPr>
          <w:rFonts w:ascii="Times New Roman" w:eastAsia="Times New Roman" w:hAnsi="Times New Roman" w:cs="Times New Roman"/>
          <w:color w:val="000000"/>
          <w:spacing w:val="0"/>
          <w:w w:val="100"/>
          <w:position w:val="0"/>
          <w:sz w:val="24"/>
          <w:szCs w:val="24"/>
        </w:rPr>
        <w:t>B</w:t>
      </w:r>
      <w:bookmarkEnd w:id="768"/>
      <w:r>
        <w:rPr>
          <w:color w:val="000000"/>
          <w:spacing w:val="0"/>
          <w:w w:val="100"/>
          <w:position w:val="0"/>
        </w:rPr>
        <w:t>、</w:t>
        <w:tab/>
      </w:r>
      <w:r>
        <w:rPr>
          <w:color w:val="000000"/>
          <w:spacing w:val="0"/>
          <w:w w:val="100"/>
          <w:position w:val="0"/>
        </w:rPr>
        <w:t>确认单独所承担的负债，以及按其份额确认共同承担的负债；</w:t>
      </w:r>
    </w:p>
    <w:p>
      <w:pPr>
        <w:pStyle w:val="Style33"/>
        <w:keepNext w:val="0"/>
        <w:keepLines w:val="0"/>
        <w:widowControl w:val="0"/>
        <w:shd w:val="clear" w:color="auto" w:fill="auto"/>
        <w:tabs>
          <w:tab w:pos="450" w:val="left"/>
        </w:tabs>
        <w:bidi w:val="0"/>
        <w:spacing w:before="0" w:after="200" w:line="271" w:lineRule="auto"/>
        <w:ind w:left="0" w:right="0" w:firstLine="0"/>
        <w:jc w:val="left"/>
      </w:pPr>
      <w:bookmarkStart w:id="769" w:name="bookmark769"/>
      <w:r>
        <w:rPr>
          <w:rFonts w:ascii="Times New Roman" w:eastAsia="Times New Roman" w:hAnsi="Times New Roman" w:cs="Times New Roman"/>
          <w:color w:val="000000"/>
          <w:spacing w:val="0"/>
          <w:w w:val="100"/>
          <w:position w:val="0"/>
          <w:sz w:val="24"/>
          <w:szCs w:val="24"/>
        </w:rPr>
        <w:t>C</w:t>
      </w:r>
      <w:bookmarkEnd w:id="769"/>
      <w:r>
        <w:rPr>
          <w:color w:val="000000"/>
          <w:spacing w:val="0"/>
          <w:w w:val="100"/>
          <w:position w:val="0"/>
        </w:rPr>
        <w:t>、</w:t>
        <w:tab/>
      </w:r>
      <w:r>
        <w:rPr>
          <w:color w:val="000000"/>
          <w:spacing w:val="0"/>
          <w:w w:val="100"/>
          <w:position w:val="0"/>
        </w:rPr>
        <w:t>确认出售其享有的共同经营产出份额所产生的收入；</w:t>
      </w:r>
    </w:p>
    <w:p>
      <w:pPr>
        <w:pStyle w:val="Style33"/>
        <w:keepNext w:val="0"/>
        <w:keepLines w:val="0"/>
        <w:widowControl w:val="0"/>
        <w:shd w:val="clear" w:color="auto" w:fill="auto"/>
        <w:tabs>
          <w:tab w:pos="459" w:val="left"/>
        </w:tabs>
        <w:bidi w:val="0"/>
        <w:spacing w:before="0" w:after="200" w:line="271" w:lineRule="auto"/>
        <w:ind w:left="0" w:right="0" w:firstLine="0"/>
        <w:jc w:val="left"/>
      </w:pPr>
      <w:bookmarkStart w:id="770" w:name="bookmark770"/>
      <w:r>
        <w:rPr>
          <w:rFonts w:ascii="Times New Roman" w:eastAsia="Times New Roman" w:hAnsi="Times New Roman" w:cs="Times New Roman"/>
          <w:color w:val="000000"/>
          <w:spacing w:val="0"/>
          <w:w w:val="100"/>
          <w:position w:val="0"/>
          <w:sz w:val="24"/>
          <w:szCs w:val="24"/>
        </w:rPr>
        <w:t>D</w:t>
      </w:r>
      <w:bookmarkEnd w:id="770"/>
      <w:r>
        <w:rPr>
          <w:color w:val="000000"/>
          <w:spacing w:val="0"/>
          <w:w w:val="100"/>
          <w:position w:val="0"/>
        </w:rPr>
        <w:t>、</w:t>
        <w:tab/>
      </w:r>
      <w:r>
        <w:rPr>
          <w:color w:val="000000"/>
          <w:spacing w:val="0"/>
          <w:w w:val="100"/>
          <w:position w:val="0"/>
        </w:rPr>
        <w:t>按其份额确认共同经营因出售产出所产生的收入；</w:t>
      </w:r>
    </w:p>
    <w:p>
      <w:pPr>
        <w:pStyle w:val="Style33"/>
        <w:keepNext w:val="0"/>
        <w:keepLines w:val="0"/>
        <w:widowControl w:val="0"/>
        <w:shd w:val="clear" w:color="auto" w:fill="auto"/>
        <w:tabs>
          <w:tab w:pos="459" w:val="left"/>
        </w:tabs>
        <w:bidi w:val="0"/>
        <w:spacing w:before="0" w:after="200" w:line="271" w:lineRule="auto"/>
        <w:ind w:left="0" w:right="0" w:firstLine="0"/>
        <w:jc w:val="left"/>
      </w:pPr>
      <w:bookmarkStart w:id="771" w:name="bookmark771"/>
      <w:r>
        <w:rPr>
          <w:rFonts w:ascii="Times New Roman" w:eastAsia="Times New Roman" w:hAnsi="Times New Roman" w:cs="Times New Roman"/>
          <w:color w:val="000000"/>
          <w:spacing w:val="0"/>
          <w:w w:val="100"/>
          <w:position w:val="0"/>
          <w:sz w:val="24"/>
          <w:szCs w:val="24"/>
        </w:rPr>
        <w:t>E</w:t>
      </w:r>
      <w:bookmarkEnd w:id="771"/>
      <w:r>
        <w:rPr>
          <w:color w:val="000000"/>
          <w:spacing w:val="0"/>
          <w:w w:val="100"/>
          <w:position w:val="0"/>
        </w:rPr>
        <w:t>、</w:t>
        <w:tab/>
      </w:r>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tabs>
          <w:tab w:pos="526" w:val="left"/>
        </w:tabs>
        <w:bidi w:val="0"/>
        <w:spacing w:before="0" w:after="200" w:line="311" w:lineRule="exact"/>
        <w:ind w:left="0" w:right="0" w:firstLine="0"/>
        <w:jc w:val="left"/>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合营企业</w:t>
      </w:r>
    </w:p>
    <w:p>
      <w:pPr>
        <w:pStyle w:val="Style33"/>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合营企业是指本公司仅对该安排的净资产享有权利的合营安排。</w:t>
      </w:r>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本公司按照长期股权投资有关权益法核算的规定对合营企业的投资进行会计处理。</w:t>
      </w:r>
    </w:p>
    <w:p>
      <w:pPr>
        <w:pStyle w:val="Style29"/>
        <w:keepNext/>
        <w:keepLines/>
        <w:widowControl w:val="0"/>
        <w:shd w:val="clear" w:color="auto" w:fill="auto"/>
        <w:tabs>
          <w:tab w:pos="415" w:val="left"/>
        </w:tabs>
        <w:bidi w:val="0"/>
        <w:spacing w:before="0" w:after="30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8</w:t>
      </w:r>
      <w:bookmarkEnd w:id="775"/>
      <w:r>
        <w:rPr>
          <w:color w:val="000000"/>
          <w:spacing w:val="0"/>
          <w:w w:val="100"/>
          <w:position w:val="0"/>
        </w:rPr>
        <w:t>、</w:t>
        <w:tab/>
        <w:t>现金及现金等价物的确定标准</w:t>
      </w:r>
      <w:bookmarkEnd w:id="773"/>
      <w:bookmarkEnd w:id="774"/>
      <w:bookmarkEnd w:id="776"/>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现金是指库存现金以及可以随时用于支付的存款。现金等价物，是指本公司持有的期限短、 流动性强、易于转换为已知金额现金、价值变动风险很小的投资。</w:t>
      </w:r>
    </w:p>
    <w:p>
      <w:pPr>
        <w:pStyle w:val="Style29"/>
        <w:keepNext/>
        <w:keepLines/>
        <w:widowControl w:val="0"/>
        <w:shd w:val="clear" w:color="auto" w:fill="auto"/>
        <w:tabs>
          <w:tab w:pos="415" w:val="left"/>
        </w:tabs>
        <w:bidi w:val="0"/>
        <w:spacing w:before="0" w:after="30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9</w:t>
      </w:r>
      <w:bookmarkEnd w:id="779"/>
      <w:r>
        <w:rPr>
          <w:color w:val="000000"/>
          <w:spacing w:val="0"/>
          <w:w w:val="100"/>
          <w:position w:val="0"/>
        </w:rPr>
        <w:t>、</w:t>
        <w:tab/>
        <w:t>外币业务和外币报表折算</w:t>
      </w:r>
      <w:bookmarkEnd w:id="777"/>
      <w:bookmarkEnd w:id="778"/>
      <w:bookmarkEnd w:id="780"/>
    </w:p>
    <w:p>
      <w:pPr>
        <w:pStyle w:val="Style33"/>
        <w:keepNext w:val="0"/>
        <w:keepLines w:val="0"/>
        <w:widowControl w:val="0"/>
        <w:shd w:val="clear" w:color="auto" w:fill="auto"/>
        <w:tabs>
          <w:tab w:pos="526" w:val="left"/>
        </w:tabs>
        <w:bidi w:val="0"/>
        <w:spacing w:before="0" w:after="200" w:line="311" w:lineRule="exact"/>
        <w:ind w:left="0" w:right="0" w:firstLine="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外币业务</w:t>
      </w:r>
    </w:p>
    <w:p>
      <w:pPr>
        <w:pStyle w:val="Style33"/>
        <w:keepNext w:val="0"/>
        <w:keepLines w:val="0"/>
        <w:widowControl w:val="0"/>
        <w:shd w:val="clear" w:color="auto" w:fill="auto"/>
        <w:bidi w:val="0"/>
        <w:spacing w:before="0" w:after="200" w:line="311" w:lineRule="exact"/>
        <w:ind w:left="0" w:right="0" w:firstLine="0"/>
        <w:jc w:val="left"/>
      </w:pPr>
      <w:r>
        <w:rPr>
          <w:color w:val="000000"/>
          <w:spacing w:val="0"/>
          <w:w w:val="100"/>
          <w:position w:val="0"/>
        </w:rPr>
        <w:t>本公司发生外币业务，按交易发生日的即期汇率折算为记账本位币金额。</w:t>
      </w:r>
    </w:p>
    <w:p>
      <w:pPr>
        <w:pStyle w:val="Style33"/>
        <w:keepNext w:val="0"/>
        <w:keepLines w:val="0"/>
        <w:widowControl w:val="0"/>
        <w:shd w:val="clear" w:color="auto" w:fill="auto"/>
        <w:bidi w:val="0"/>
        <w:spacing w:before="0" w:after="200" w:line="311" w:lineRule="exact"/>
        <w:ind w:left="0" w:right="0" w:firstLine="0"/>
        <w:jc w:val="left"/>
      </w:pPr>
      <w:r>
        <w:rPr>
          <w:color w:val="000000"/>
          <w:spacing w:val="0"/>
          <w:w w:val="100"/>
          <w:position w:val="0"/>
        </w:rPr>
        <w:t>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与原记账本位币金额的差额，根据非货币性项目的性质计入当期损益或其他综合收益。</w:t>
      </w:r>
    </w:p>
    <w:p>
      <w:pPr>
        <w:pStyle w:val="Style33"/>
        <w:keepNext w:val="0"/>
        <w:keepLines w:val="0"/>
        <w:widowControl w:val="0"/>
        <w:shd w:val="clear" w:color="auto" w:fill="auto"/>
        <w:tabs>
          <w:tab w:pos="526" w:val="left"/>
        </w:tabs>
        <w:bidi w:val="0"/>
        <w:spacing w:before="0" w:after="240" w:line="311" w:lineRule="exact"/>
        <w:ind w:left="0" w:right="0" w:firstLine="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外币财务报表的折算</w:t>
      </w:r>
    </w:p>
    <w:p>
      <w:pPr>
        <w:pStyle w:val="Style33"/>
        <w:keepNext w:val="0"/>
        <w:keepLines w:val="0"/>
        <w:widowControl w:val="0"/>
        <w:shd w:val="clear" w:color="auto" w:fill="auto"/>
        <w:bidi w:val="0"/>
        <w:spacing w:before="0" w:after="240" w:line="307" w:lineRule="exact"/>
        <w:ind w:left="0" w:right="0" w:firstLine="0"/>
        <w:jc w:val="left"/>
      </w:pPr>
      <w:r>
        <w:rPr>
          <w:color w:val="000000"/>
          <w:spacing w:val="0"/>
          <w:w w:val="100"/>
          <w:position w:val="0"/>
        </w:rPr>
        <w:t>资产负债表日，对境外子公司外币财务报表进行折算时，资产负债表中的资产和负债项目， 采用资产负债表日的即期汇率折算，股东权益项目除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外，其他项目采用发生日 </w:t>
      </w:r>
      <w:r>
        <w:rPr>
          <w:color w:val="000000"/>
          <w:spacing w:val="0"/>
          <w:w w:val="100"/>
          <w:position w:val="0"/>
        </w:rPr>
        <w:t>的即期汇率折算。</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利润表中的收入和费用项目，采用交易发生日的当期平均汇率折算。</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现金流量表所有项目均按照现金流量发生日的当期平均汇率折算。汇率变动对现金的影响额 作为调节项目，在现金流量表中单独列示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项目反映。</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项目反映。</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处置境外经营并丧失控制权时，将资产负债表中股东权益项目下列示的、与该境外经营相关 的外币报表折算差额，全部或按处置该境外经营的比例转入处置当期损益。</w:t>
      </w:r>
    </w:p>
    <w:p>
      <w:pPr>
        <w:pStyle w:val="Style29"/>
        <w:keepNext/>
        <w:keepLines/>
        <w:widowControl w:val="0"/>
        <w:shd w:val="clear" w:color="auto" w:fill="auto"/>
        <w:bidi w:val="0"/>
        <w:spacing w:before="0" w:after="24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3"/>
      <w:bookmarkEnd w:id="784"/>
      <w:bookmarkEnd w:id="786"/>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金融工具是指形成一方的金融资产，并形成其他方的金融负债或权益工具的合同。</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金融工具的确认和终止确认</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本公司于成为金融工具合同的一方时确认一项金融资产或金融负债。</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金融资产满足下列条件之一的，终止确认：</w:t>
      </w:r>
    </w:p>
    <w:p>
      <w:pPr>
        <w:pStyle w:val="Style33"/>
        <w:keepNext w:val="0"/>
        <w:keepLines w:val="0"/>
        <w:widowControl w:val="0"/>
        <w:numPr>
          <w:ilvl w:val="0"/>
          <w:numId w:val="33"/>
        </w:numPr>
        <w:shd w:val="clear" w:color="auto" w:fill="auto"/>
        <w:tabs>
          <w:tab w:pos="421" w:val="left"/>
        </w:tabs>
        <w:bidi w:val="0"/>
        <w:spacing w:before="0" w:after="200" w:line="312" w:lineRule="exact"/>
        <w:ind w:left="0" w:right="0" w:firstLine="0"/>
        <w:jc w:val="both"/>
      </w:pPr>
      <w:bookmarkStart w:id="788" w:name="bookmark788"/>
      <w:bookmarkEnd w:id="788"/>
      <w:r>
        <w:rPr>
          <w:color w:val="000000"/>
          <w:spacing w:val="0"/>
          <w:w w:val="100"/>
          <w:position w:val="0"/>
        </w:rPr>
        <w:t>收取该金融资产现金流量的合同权利终止；</w:t>
      </w:r>
    </w:p>
    <w:p>
      <w:pPr>
        <w:pStyle w:val="Style33"/>
        <w:keepNext w:val="0"/>
        <w:keepLines w:val="0"/>
        <w:widowControl w:val="0"/>
        <w:numPr>
          <w:ilvl w:val="0"/>
          <w:numId w:val="33"/>
        </w:numPr>
        <w:shd w:val="clear" w:color="auto" w:fill="auto"/>
        <w:tabs>
          <w:tab w:pos="421" w:val="left"/>
        </w:tabs>
        <w:bidi w:val="0"/>
        <w:spacing w:before="0" w:after="200" w:line="312" w:lineRule="exact"/>
        <w:ind w:left="0" w:right="0" w:firstLine="0"/>
        <w:jc w:val="both"/>
      </w:pPr>
      <w:bookmarkStart w:id="789" w:name="bookmark789"/>
      <w:bookmarkEnd w:id="789"/>
      <w:r>
        <w:rPr>
          <w:color w:val="000000"/>
          <w:spacing w:val="0"/>
          <w:w w:val="100"/>
          <w:position w:val="0"/>
        </w:rPr>
        <w:t>该金融资产已转移，且符合下述金融资产转移的终止确认条件。</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金融负债的现时义务全部或部分已经解除的，终止确认该金融负债或其一部分。本公司（债 务人）与债权人之间签订协议，以承担新金融负债方式替换现存金融负债，且新金融负债与 现存金融负债的合同条款实质上不同的，终止确认现存金融负债，并同时确认新金融负债。</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以常规方式买卖金融资产，按交易日进行会计确认和终止确认。</w:t>
      </w:r>
    </w:p>
    <w:p>
      <w:pPr>
        <w:pStyle w:val="Style33"/>
        <w:keepNext w:val="0"/>
        <w:keepLines w:val="0"/>
        <w:widowControl w:val="0"/>
        <w:shd w:val="clear" w:color="auto" w:fill="auto"/>
        <w:tabs>
          <w:tab w:pos="526" w:val="left"/>
        </w:tabs>
        <w:bidi w:val="0"/>
        <w:spacing w:before="0" w:after="200" w:line="312" w:lineRule="exact"/>
        <w:ind w:left="0" w:right="0" w:firstLine="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金融资产分类和计量</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本公司在初始确认时根据管理金融资产的业务模式和金融资产的合同现金流量特征，将金融 资产分为以下三类：以摊余成本计量的金融资产、以公允价值计量且其变动计入其他综合收 益的金融资产、以公允价值计量且其变动计入当期损益的金融资产。</w:t>
      </w:r>
    </w:p>
    <w:p>
      <w:pPr>
        <w:pStyle w:val="Style33"/>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以摊余成本计量的金融资产</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本公司管理该金融资产的业务模式是以收取合同现金流量为目标；</w:t>
      </w:r>
    </w:p>
    <w:p>
      <w:pPr>
        <w:pStyle w:val="Style33"/>
        <w:keepNext w:val="0"/>
        <w:keepLines w:val="0"/>
        <w:widowControl w:val="0"/>
        <w:shd w:val="clear" w:color="auto" w:fill="auto"/>
        <w:bidi w:val="0"/>
        <w:spacing w:before="0" w:after="200" w:line="307" w:lineRule="exact"/>
        <w:ind w:left="440" w:right="0" w:hanging="440"/>
        <w:jc w:val="both"/>
      </w:pPr>
      <w:r>
        <w:rPr>
          <w:color w:val="000000"/>
          <w:spacing w:val="0"/>
          <w:w w:val="100"/>
          <w:position w:val="0"/>
        </w:rPr>
        <w:t>•</w:t>
      </w:r>
      <w:r>
        <w:rPr>
          <w:color w:val="000000"/>
          <w:spacing w:val="0"/>
          <w:w w:val="100"/>
          <w:position w:val="0"/>
        </w:rPr>
        <w:t>该金融资产的合同条款规定，在特定日期产生的现金流量，仅为对本金和以未偿付本金 金额为基础的利息的支付。</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初始确认后，对于该类金融资产采用实际利率法以摊余成本计量。以摊余成本计量且不属于 任何套期关系的一部分的金融资产所产生的利得或损失，在终止确认、按照实际利率法摊销 </w:t>
      </w:r>
      <w:r>
        <w:rPr>
          <w:color w:val="000000"/>
          <w:spacing w:val="0"/>
          <w:w w:val="100"/>
          <w:position w:val="0"/>
        </w:rPr>
        <w:t>或确认减值时，计入当期损益。</w:t>
      </w:r>
    </w:p>
    <w:p>
      <w:pPr>
        <w:pStyle w:val="Style33"/>
        <w:keepNext w:val="0"/>
        <w:keepLines w:val="0"/>
        <w:widowControl w:val="0"/>
        <w:shd w:val="clear" w:color="auto" w:fill="auto"/>
        <w:bidi w:val="0"/>
        <w:spacing w:before="0" w:after="200" w:line="314" w:lineRule="exact"/>
        <w:ind w:left="0" w:right="0" w:firstLine="0"/>
        <w:jc w:val="both"/>
      </w:pPr>
      <w:r>
        <w:rPr>
          <w:b/>
          <w:bCs/>
          <w:color w:val="000000"/>
          <w:spacing w:val="0"/>
          <w:w w:val="100"/>
          <w:position w:val="0"/>
        </w:rPr>
        <w:t>以公允价值计量且其变动计入其他综合收益的金融资产</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w:t>
      </w:r>
    </w:p>
    <w:p>
      <w:pPr>
        <w:pStyle w:val="Style33"/>
        <w:keepNext w:val="0"/>
        <w:keepLines w:val="0"/>
        <w:widowControl w:val="0"/>
        <w:shd w:val="clear" w:color="auto" w:fill="auto"/>
        <w:bidi w:val="0"/>
        <w:spacing w:before="0" w:after="200" w:line="341" w:lineRule="exact"/>
        <w:ind w:left="440" w:right="0" w:hanging="440"/>
        <w:jc w:val="left"/>
      </w:pPr>
      <w:r>
        <w:rPr>
          <w:color w:val="000000"/>
          <w:spacing w:val="0"/>
          <w:w w:val="100"/>
          <w:position w:val="0"/>
        </w:rPr>
        <w:t>•</w:t>
      </w:r>
      <w:r>
        <w:rPr>
          <w:color w:val="000000"/>
          <w:spacing w:val="0"/>
          <w:w w:val="100"/>
          <w:position w:val="0"/>
        </w:rPr>
        <w:t>本公司管理该金融资产的业务模式既以收取合同现金流量为目标又以出售该金融资产为 目标；</w:t>
      </w:r>
    </w:p>
    <w:p>
      <w:pPr>
        <w:pStyle w:val="Style33"/>
        <w:keepNext w:val="0"/>
        <w:keepLines w:val="0"/>
        <w:widowControl w:val="0"/>
        <w:shd w:val="clear" w:color="auto" w:fill="auto"/>
        <w:bidi w:val="0"/>
        <w:spacing w:before="0" w:after="200" w:line="307" w:lineRule="exact"/>
        <w:ind w:left="440" w:right="0" w:hanging="440"/>
        <w:jc w:val="left"/>
      </w:pPr>
      <w:r>
        <w:rPr>
          <w:color w:val="000000"/>
          <w:spacing w:val="0"/>
          <w:w w:val="100"/>
          <w:position w:val="0"/>
        </w:rPr>
        <w:t>•</w:t>
      </w:r>
      <w:r>
        <w:rPr>
          <w:color w:val="000000"/>
          <w:spacing w:val="0"/>
          <w:w w:val="100"/>
          <w:position w:val="0"/>
        </w:rPr>
        <w:t>该金融资产的合同条款规定，在特定日期产生的现金流量，仅为对本金和以未偿付本金 金额为基础的利息的支付。</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33"/>
        <w:keepNext w:val="0"/>
        <w:keepLines w:val="0"/>
        <w:widowControl w:val="0"/>
        <w:shd w:val="clear" w:color="auto" w:fill="auto"/>
        <w:bidi w:val="0"/>
        <w:spacing w:before="0" w:after="200" w:line="314" w:lineRule="exact"/>
        <w:ind w:left="0" w:right="0" w:firstLine="0"/>
        <w:jc w:val="both"/>
      </w:pPr>
      <w:r>
        <w:rPr>
          <w:b/>
          <w:bCs/>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200" w:line="316" w:lineRule="exact"/>
        <w:ind w:left="0"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认时，为消除或显著减少会计错配，本公司将部分本应以摊余成本计量或以公允价值计量且 其变动计入其他综合收益的金融资产不可撤销地指定为以公允价值计量且其变动计入当期损 益的金融资产。</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初始确认后，对于该类金融资产以公允价值进行后续计量，产生的利得或损失（包括利息和 股利收入）计入当期损益，除非该金融资产属于套期关系的一部分。</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但是，对于非交易性权益工具投资，本公司在初始确认时将其不可撤销地指定为以公允价值 计量且其变动计入其他综合收益的金融资产。该指定在单项投资的基础上作出，且相关投资 从发行方的角度符合权益工具的定义。</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初始确认后，对于该类金融资产以公允价值进行后续计量。满足条件的股利收入计入损益， 其他利得或损失及公允价值变动计入其他综合收益。终止确认时，将之前计入其他综合收益 的累计利得或损失从其他综合收益中转出，计入留存收益。</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管理金融资产的业务模式，是指本公司如何管理金融资产以产生现金流量。业务模式决定本 公司所管理金融资产现金流量的来源是收取合同现金流量、出售金融资产还是两者兼有。本 公司以客观事实为依据、以关键管理人员决定的对金融资产进行管理的特定业务目标为基础， 确定管理金融资产的业务模式。</w:t>
      </w:r>
    </w:p>
    <w:p>
      <w:pPr>
        <w:pStyle w:val="Style33"/>
        <w:keepNext w:val="0"/>
        <w:keepLines w:val="0"/>
        <w:widowControl w:val="0"/>
        <w:shd w:val="clear" w:color="auto" w:fill="auto"/>
        <w:bidi w:val="0"/>
        <w:spacing w:before="0" w:after="200" w:line="311" w:lineRule="exact"/>
        <w:ind w:left="0" w:right="0" w:firstLine="0"/>
        <w:jc w:val="both"/>
      </w:pPr>
      <w:r>
        <w:rPr>
          <w:color w:val="000000"/>
          <w:spacing w:val="0"/>
          <w:w w:val="100"/>
          <w:position w:val="0"/>
        </w:rPr>
        <w:t>本公司对金融资产的合同现金流量特征进行评估，以确定相关金融资产在特定日期产生的合 同现金流量是否仅为对本金和以未偿付本金金额为基础的利息的支付。其中，本金是指金融 资产在初始确认时的公允价值；利息包括对货币时间价值、与特定时期未偿付本金金额相关 的信用风险、以及其他基本借贷风险、成本和利润的对价。此外，本公司对可能导致金融资 产合同现金流量的时间分布或金额发生变更的合同条款进行评估，以确定其是否满足上述合 同现金流量特征的要求。</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仅在本公司改变管理金融资产的业务模式时，所有受影响的相关金融资产在业务模式发生变 更后的首个报告期间的第一天进行重分类，否则金融资产在初始确认后不得进行重分类。</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 确认金额。因销售产品或提供劳务而产生的、未包含或不考虑重大融资成分的应收账款，本 公司按照预期有权收取的对价金额作为初始确认金额。</w:t>
      </w:r>
    </w:p>
    <w:p>
      <w:pPr>
        <w:pStyle w:val="Style33"/>
        <w:keepNext w:val="0"/>
        <w:keepLines w:val="0"/>
        <w:widowControl w:val="0"/>
        <w:shd w:val="clear" w:color="auto" w:fill="auto"/>
        <w:bidi w:val="0"/>
        <w:spacing w:before="0" w:after="200" w:line="312" w:lineRule="exact"/>
        <w:ind w:left="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）金融负债分类和计量</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本公司的金融负债于初始确认时分类为：以公允价值计量且其变动计入当期损益的金融负债、 以摊余成本计量的金融负债。对于未划分为以公允价值计量且其变动计入当期损益的金融负 债的，相关交易费用计入其初始确认金额。</w:t>
      </w:r>
    </w:p>
    <w:p>
      <w:pPr>
        <w:pStyle w:val="Style33"/>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 入当期损益。</w:t>
      </w:r>
    </w:p>
    <w:p>
      <w:pPr>
        <w:pStyle w:val="Style33"/>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以摊余成本计量的金融负债</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其他金融负债采用实际利率法，按摊余成本进行后续计量，终止确认或摊销产生的利得或损 失计入当期损益。</w:t>
      </w:r>
    </w:p>
    <w:p>
      <w:pPr>
        <w:pStyle w:val="Style33"/>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金融负债与权益工具的区分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金融负债，是指符合下列条件之一的负债：</w:t>
      </w:r>
    </w:p>
    <w:p>
      <w:pPr>
        <w:pStyle w:val="Style33"/>
        <w:keepNext w:val="0"/>
        <w:keepLines w:val="0"/>
        <w:widowControl w:val="0"/>
        <w:numPr>
          <w:ilvl w:val="0"/>
          <w:numId w:val="35"/>
        </w:numPr>
        <w:shd w:val="clear" w:color="auto" w:fill="auto"/>
        <w:tabs>
          <w:tab w:pos="421" w:val="left"/>
        </w:tabs>
        <w:bidi w:val="0"/>
        <w:spacing w:before="0" w:after="200" w:line="312" w:lineRule="exact"/>
        <w:ind w:left="0" w:right="0" w:firstLine="0"/>
        <w:jc w:val="both"/>
      </w:pPr>
      <w:bookmarkStart w:id="792" w:name="bookmark792"/>
      <w:bookmarkEnd w:id="792"/>
      <w:r>
        <w:rPr>
          <w:color w:val="000000"/>
          <w:spacing w:val="0"/>
          <w:w w:val="100"/>
          <w:position w:val="0"/>
        </w:rPr>
        <w:t>向其他方交付现金或其他金融资产的合同义务。</w:t>
      </w:r>
    </w:p>
    <w:p>
      <w:pPr>
        <w:pStyle w:val="Style33"/>
        <w:keepNext w:val="0"/>
        <w:keepLines w:val="0"/>
        <w:widowControl w:val="0"/>
        <w:numPr>
          <w:ilvl w:val="0"/>
          <w:numId w:val="35"/>
        </w:numPr>
        <w:shd w:val="clear" w:color="auto" w:fill="auto"/>
        <w:tabs>
          <w:tab w:pos="421" w:val="left"/>
        </w:tabs>
        <w:bidi w:val="0"/>
        <w:spacing w:before="0" w:after="200" w:line="312" w:lineRule="exact"/>
        <w:ind w:left="0" w:right="0" w:firstLine="0"/>
        <w:jc w:val="both"/>
      </w:pPr>
      <w:bookmarkStart w:id="793" w:name="bookmark793"/>
      <w:bookmarkEnd w:id="793"/>
      <w:r>
        <w:rPr>
          <w:color w:val="000000"/>
          <w:spacing w:val="0"/>
          <w:w w:val="100"/>
          <w:position w:val="0"/>
        </w:rPr>
        <w:t>在潜在不利条件下，与其他方交换金融资产或金融负债的合同义务。</w:t>
      </w:r>
    </w:p>
    <w:p>
      <w:pPr>
        <w:pStyle w:val="Style33"/>
        <w:keepNext w:val="0"/>
        <w:keepLines w:val="0"/>
        <w:widowControl w:val="0"/>
        <w:numPr>
          <w:ilvl w:val="0"/>
          <w:numId w:val="35"/>
        </w:numPr>
        <w:shd w:val="clear" w:color="auto" w:fill="auto"/>
        <w:tabs>
          <w:tab w:pos="421" w:val="left"/>
        </w:tabs>
        <w:bidi w:val="0"/>
        <w:spacing w:before="0" w:after="200" w:line="312" w:lineRule="exact"/>
        <w:ind w:left="0" w:right="0" w:firstLine="0"/>
        <w:jc w:val="both"/>
      </w:pPr>
      <w:bookmarkStart w:id="794" w:name="bookmark794"/>
      <w:bookmarkEnd w:id="794"/>
      <w:r>
        <w:rPr>
          <w:color w:val="000000"/>
          <w:spacing w:val="0"/>
          <w:w w:val="100"/>
          <w:position w:val="0"/>
        </w:rPr>
        <w:t>将来须用或可用企业自身权益工具进行结算的非衍生工具合同，且企业根据该合同将交付 可变数量的自身权益工具。</w:t>
      </w:r>
    </w:p>
    <w:p>
      <w:pPr>
        <w:pStyle w:val="Style33"/>
        <w:keepNext w:val="0"/>
        <w:keepLines w:val="0"/>
        <w:widowControl w:val="0"/>
        <w:numPr>
          <w:ilvl w:val="0"/>
          <w:numId w:val="35"/>
        </w:numPr>
        <w:shd w:val="clear" w:color="auto" w:fill="auto"/>
        <w:tabs>
          <w:tab w:pos="421" w:val="left"/>
        </w:tabs>
        <w:bidi w:val="0"/>
        <w:spacing w:before="0" w:after="200" w:line="312" w:lineRule="exact"/>
        <w:ind w:left="0" w:right="0" w:firstLine="0"/>
        <w:jc w:val="both"/>
      </w:pPr>
      <w:bookmarkStart w:id="795" w:name="bookmark795"/>
      <w:bookmarkEnd w:id="795"/>
      <w:r>
        <w:rPr>
          <w:color w:val="000000"/>
          <w:spacing w:val="0"/>
          <w:w w:val="100"/>
          <w:position w:val="0"/>
        </w:rPr>
        <w:t>将来须用或可用企业自身权益工具进行结算的衍生工具合同，但以固定数量的自身权益工 具交换固定金额的现金或其他金融资产的衍生工具合同除外。</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如果本公司不能无条件地避免以交付现金或其他金融资产来履行一项合同义务，则该合同义 务符合金融负债的定义。</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如果一项金融工具须用或可用本公司自身权益工具进行结算，需要考虑用于结算该工具的本 公司自身权益工具，是作为现金或其他金融资产的替代品，还是为了使该工具持有方享有在 发行方扣除所有负债后的资产中的剩余权益。如果是前者，该工具是本公司的金融负债；如 果是后者，该工具是本公司的权益工具。</w:t>
      </w:r>
    </w:p>
    <w:p>
      <w:pPr>
        <w:pStyle w:val="Style33"/>
        <w:keepNext w:val="0"/>
        <w:keepLines w:val="0"/>
        <w:widowControl w:val="0"/>
        <w:numPr>
          <w:ilvl w:val="0"/>
          <w:numId w:val="37"/>
        </w:numPr>
        <w:shd w:val="clear" w:color="auto" w:fill="auto"/>
        <w:tabs>
          <w:tab w:pos="526" w:val="left"/>
        </w:tabs>
        <w:bidi w:val="0"/>
        <w:spacing w:before="0" w:after="200" w:line="313" w:lineRule="exact"/>
        <w:ind w:left="0" w:right="0" w:firstLine="0"/>
        <w:jc w:val="left"/>
      </w:pPr>
      <w:bookmarkStart w:id="796" w:name="bookmark796"/>
      <w:bookmarkEnd w:id="796"/>
      <w:r>
        <w:rPr>
          <w:color w:val="000000"/>
          <w:spacing w:val="0"/>
          <w:w w:val="100"/>
          <w:position w:val="0"/>
        </w:rPr>
        <w:t>衍生金融工具及嵌入衍生工具</w:t>
      </w:r>
    </w:p>
    <w:p>
      <w:pPr>
        <w:pStyle w:val="Style33"/>
        <w:keepNext w:val="0"/>
        <w:keepLines w:val="0"/>
        <w:widowControl w:val="0"/>
        <w:shd w:val="clear" w:color="auto" w:fill="auto"/>
        <w:bidi w:val="0"/>
        <w:spacing w:before="0" w:after="200" w:line="309" w:lineRule="exact"/>
        <w:ind w:left="0" w:right="0" w:firstLine="0"/>
        <w:jc w:val="both"/>
      </w:pPr>
      <w:r>
        <w:rPr>
          <w:color w:val="000000"/>
          <w:spacing w:val="0"/>
          <w:w w:val="100"/>
          <w:position w:val="0"/>
        </w:rPr>
        <w:t>本公司衍生金融工具初始以衍生交易合同签订当日的公允价值进行计量，并以其公允价值进 行后续计量。公允价值为正数的衍生金融工具确认为一项资产，公允价值为负数的确认为一 项负债。因公允价值变动而产生的任何不符合套期会计规定的利得或损失，直接计入当期损 益。</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对包含嵌入衍生工具的混合工具，如主合同为金融资产的，混合工具作为一个整体适用金融 资产分类的相关规定。如主合同并非金融资产，且该混合工具不是以公允价值计量且其变动 计入当期损益进行会计处理，嵌入衍生工具与该主合同在经济特征及风险方面不存在紧密关 系，且与嵌入衍生工具条件相同，单独存在的工具符合衍生工具定义的，嵌入衍生工具从混 合工具中分拆，作为单独的衍生金融工具处理。如果无法在取得时或后续的资产负债表日对 嵌入衍生工具进行单独计量，则将混合工具整体指定为以公允价值计量且其变动计入当期损 益的金融资产或金融负债。</w:t>
      </w:r>
    </w:p>
    <w:p>
      <w:pPr>
        <w:pStyle w:val="Style33"/>
        <w:keepNext w:val="0"/>
        <w:keepLines w:val="0"/>
        <w:widowControl w:val="0"/>
        <w:numPr>
          <w:ilvl w:val="0"/>
          <w:numId w:val="37"/>
        </w:numPr>
        <w:shd w:val="clear" w:color="auto" w:fill="auto"/>
        <w:tabs>
          <w:tab w:pos="526" w:val="left"/>
        </w:tabs>
        <w:bidi w:val="0"/>
        <w:spacing w:before="0" w:after="200" w:line="313" w:lineRule="exact"/>
        <w:ind w:left="0" w:right="0" w:firstLine="0"/>
        <w:jc w:val="both"/>
      </w:pPr>
      <w:bookmarkStart w:id="797" w:name="bookmark797"/>
      <w:bookmarkEnd w:id="797"/>
      <w:r>
        <w:rPr>
          <w:color w:val="000000"/>
          <w:spacing w:val="0"/>
          <w:w w:val="100"/>
          <w:position w:val="0"/>
        </w:rPr>
        <w:t>金融工具的公允价值</w:t>
      </w:r>
    </w:p>
    <w:p>
      <w:pPr>
        <w:pStyle w:val="Style33"/>
        <w:keepNext w:val="0"/>
        <w:keepLines w:val="0"/>
        <w:widowControl w:val="0"/>
        <w:shd w:val="clear" w:color="auto" w:fill="auto"/>
        <w:bidi w:val="0"/>
        <w:spacing w:before="0" w:after="200" w:line="313" w:lineRule="exact"/>
        <w:ind w:left="0" w:right="0" w:firstLine="0"/>
        <w:jc w:val="left"/>
      </w:pPr>
      <w:r>
        <w:rPr>
          <w:color w:val="000000"/>
          <w:spacing w:val="0"/>
          <w:w w:val="100"/>
          <w:position w:val="0"/>
        </w:rPr>
        <w:t>金融资产和金融负债的公允价值确定方法见附注三、</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r>
    </w:p>
    <w:p>
      <w:pPr>
        <w:pStyle w:val="Style33"/>
        <w:keepNext w:val="0"/>
        <w:keepLines w:val="0"/>
        <w:widowControl w:val="0"/>
        <w:numPr>
          <w:ilvl w:val="0"/>
          <w:numId w:val="37"/>
        </w:numPr>
        <w:shd w:val="clear" w:color="auto" w:fill="auto"/>
        <w:tabs>
          <w:tab w:pos="526" w:val="left"/>
        </w:tabs>
        <w:bidi w:val="0"/>
        <w:spacing w:before="0" w:after="200" w:line="313" w:lineRule="exact"/>
        <w:ind w:left="0" w:right="0" w:firstLine="0"/>
        <w:jc w:val="left"/>
      </w:pPr>
      <w:bookmarkStart w:id="798" w:name="bookmark798"/>
      <w:bookmarkEnd w:id="798"/>
      <w:r>
        <w:rPr>
          <w:color w:val="000000"/>
          <w:spacing w:val="0"/>
          <w:w w:val="100"/>
          <w:position w:val="0"/>
        </w:rPr>
        <w:t>金融资产减值</w:t>
      </w:r>
    </w:p>
    <w:p>
      <w:pPr>
        <w:pStyle w:val="Style33"/>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本公司以预期信用损失为基础，对下列项目进行减值会计处理并确认损失准备：</w:t>
      </w:r>
    </w:p>
    <w:p>
      <w:pPr>
        <w:pStyle w:val="Style33"/>
        <w:keepNext w:val="0"/>
        <w:keepLines w:val="0"/>
        <w:widowControl w:val="0"/>
        <w:shd w:val="clear" w:color="auto" w:fill="auto"/>
        <w:bidi w:val="0"/>
        <w:spacing w:before="0" w:after="200" w:line="313" w:lineRule="exact"/>
        <w:ind w:left="0" w:right="0" w:firstLine="0"/>
        <w:jc w:val="left"/>
      </w:pPr>
      <w:r>
        <w:rPr>
          <w:color w:val="000000"/>
          <w:spacing w:val="0"/>
          <w:w w:val="100"/>
          <w:position w:val="0"/>
        </w:rPr>
        <w:t>•</w:t>
      </w:r>
      <w:r>
        <w:rPr>
          <w:color w:val="000000"/>
          <w:spacing w:val="0"/>
          <w:w w:val="100"/>
          <w:position w:val="0"/>
        </w:rPr>
        <w:t>以摊余成本计量的金融资产；</w:t>
      </w:r>
    </w:p>
    <w:p>
      <w:pPr>
        <w:pStyle w:val="Style33"/>
        <w:keepNext w:val="0"/>
        <w:keepLines w:val="0"/>
        <w:widowControl w:val="0"/>
        <w:shd w:val="clear" w:color="auto" w:fill="auto"/>
        <w:bidi w:val="0"/>
        <w:spacing w:before="0" w:after="200" w:line="313" w:lineRule="exact"/>
        <w:ind w:left="0" w:right="0" w:firstLine="0"/>
        <w:jc w:val="left"/>
      </w:pPr>
      <w:r>
        <w:rPr>
          <w:color w:val="000000"/>
          <w:spacing w:val="0"/>
          <w:w w:val="100"/>
          <w:position w:val="0"/>
        </w:rPr>
        <w:t>•</w:t>
      </w:r>
      <w:r>
        <w:rPr>
          <w:color w:val="000000"/>
          <w:spacing w:val="0"/>
          <w:w w:val="100"/>
          <w:position w:val="0"/>
        </w:rPr>
        <w:t>以公允价值计量且其变动计入其他综合收益的应收款项和债权投资；</w:t>
      </w:r>
    </w:p>
    <w:p>
      <w:pPr>
        <w:pStyle w:val="Style33"/>
        <w:keepNext w:val="0"/>
        <w:keepLines w:val="0"/>
        <w:widowControl w:val="0"/>
        <w:shd w:val="clear" w:color="auto" w:fill="auto"/>
        <w:bidi w:val="0"/>
        <w:spacing w:before="0" w:after="200" w:line="313" w:lineRule="exact"/>
        <w:ind w:left="0" w:right="0" w:firstLine="0"/>
        <w:jc w:val="left"/>
      </w:pPr>
      <w:r>
        <w:rPr>
          <w:color w:val="000000"/>
          <w:spacing w:val="0"/>
          <w:w w:val="100"/>
          <w:position w:val="0"/>
        </w:rPr>
        <w:t>•</w:t>
      </w:r>
      <w:r>
        <w:rPr>
          <w:color w:val="000000"/>
          <w:spacing w:val="0"/>
          <w:w w:val="100"/>
          <w:position w:val="0"/>
        </w:rPr>
        <w:t>租赁应收款；</w:t>
      </w:r>
    </w:p>
    <w:p>
      <w:pPr>
        <w:pStyle w:val="Style33"/>
        <w:keepNext w:val="0"/>
        <w:keepLines w:val="0"/>
        <w:widowControl w:val="0"/>
        <w:shd w:val="clear" w:color="auto" w:fill="auto"/>
        <w:bidi w:val="0"/>
        <w:spacing w:before="0" w:after="200" w:line="312" w:lineRule="exact"/>
        <w:ind w:left="440" w:right="0" w:hanging="440"/>
        <w:jc w:val="left"/>
      </w:pPr>
      <w:r>
        <w:rPr>
          <w:color w:val="000000"/>
          <w:spacing w:val="0"/>
          <w:w w:val="100"/>
          <w:position w:val="0"/>
        </w:rPr>
        <w:t>•</w:t>
      </w:r>
      <w:r>
        <w:rPr>
          <w:color w:val="000000"/>
          <w:spacing w:val="0"/>
          <w:w w:val="100"/>
          <w:position w:val="0"/>
        </w:rPr>
        <w:t>财务担保合同(以公允价值计量且其变动计入当期损益、金融资产转移不符合终止确认 条件或继续涉入被转移金融资产所形成的除外)。</w:t>
      </w:r>
    </w:p>
    <w:p>
      <w:pPr>
        <w:pStyle w:val="Style33"/>
        <w:keepNext w:val="0"/>
        <w:keepLines w:val="0"/>
        <w:widowControl w:val="0"/>
        <w:shd w:val="clear" w:color="auto" w:fill="auto"/>
        <w:bidi w:val="0"/>
        <w:spacing w:before="0" w:after="200" w:line="313" w:lineRule="exact"/>
        <w:ind w:left="0" w:right="0" w:firstLine="0"/>
        <w:jc w:val="both"/>
      </w:pPr>
      <w:r>
        <w:rPr>
          <w:b/>
          <w:bCs/>
          <w:color w:val="000000"/>
          <w:spacing w:val="0"/>
          <w:w w:val="100"/>
          <w:position w:val="0"/>
        </w:rPr>
        <w:t>预期信用损失的计量</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 金流量之间的差额，即全部现金短缺的现值。</w:t>
      </w:r>
    </w:p>
    <w:p>
      <w:pPr>
        <w:pStyle w:val="Style33"/>
        <w:keepNext w:val="0"/>
        <w:keepLines w:val="0"/>
        <w:widowControl w:val="0"/>
        <w:shd w:val="clear" w:color="auto" w:fill="auto"/>
        <w:bidi w:val="0"/>
        <w:spacing w:before="0" w:after="200" w:line="293" w:lineRule="exact"/>
        <w:ind w:left="0" w:right="0" w:firstLine="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本公司对于处于不同阶段的金融工具的预期信用损失分别进行计量。金融工具自初始确认后 信用风险未显著增加的，处于第一阶段，本公司按照未来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个月内的预期信用损失计量损失 准备；金融工具自初始确认后信用风险已显著增加但尚未发生信用减值的，处于第二阶段， 本公司按照该工具整个存续期的预期信用损失计量损失准备；金融工具自初始确认后已经发 生信用减值的，处于第三阶段，本公司按照该工具整个存续期的预期信用损失计量损失准备。</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 xml:space="preserve">对于在资产负债表日具有较低信用风险的金融工具，本公司假设其信用风险自初始确认后并 </w:t>
      </w:r>
      <w:r>
        <w:rPr>
          <w:color w:val="000000"/>
          <w:spacing w:val="0"/>
          <w:w w:val="100"/>
          <w:position w:val="0"/>
        </w:rPr>
        <w:t>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个月内的预期信用损失计量损失准备。</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整个存续期预期信用损失，是指因金融工具整个预计存续期内所有可能发生的违约事件而导 致的预期信用损失。未来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个月内（若金融 工具的预计存续期少于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个月，则为预计存续期）可能发生的金融工具违约事件而导致的预 期信用损失，是整个存续期预期信用损失的一部分。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在计量预期信用损失时，本公司需考虑的最长期限为企业面临信用风险的最长合同期限（包 括考虑续约选择权）。</w:t>
      </w:r>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 已计提减值准备后的摊余成本和实际利率计算利息收入。</w:t>
      </w:r>
    </w:p>
    <w:p>
      <w:pPr>
        <w:pStyle w:val="Style29"/>
        <w:keepNext/>
        <w:keepLines/>
        <w:widowControl w:val="0"/>
        <w:shd w:val="clear" w:color="auto" w:fill="auto"/>
        <w:tabs>
          <w:tab w:pos="474" w:val="left"/>
        </w:tabs>
        <w:bidi w:val="0"/>
        <w:spacing w:before="0" w:after="2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9"/>
      <w:bookmarkEnd w:id="800"/>
      <w:bookmarkEnd w:id="802"/>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对于应收票据，无论是否存在重大融资成分，本公司始终按照相当于整个存续期内预期信用 损失的金额计量其损失准备。</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当单项金融资产无法以合理成本评估预期信用损失的信息时，本公司依据信用风险特征对应 收票据和应收账款划分组合，在组合基础上计算预期信用损失，确定组合的依据如下：</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：银行承兑汇票</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：商业承兑汇票</w:t>
      </w:r>
    </w:p>
    <w:p>
      <w:pPr>
        <w:pStyle w:val="Style3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对于划分为组合的应收票据，本公司参考历史信用损失经验，结合当前状况以及对未来经济 状况的预测，通过违约风险敞口和整个存续期预期信用损失率，计算预期信用损失。</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3"/>
      <w:bookmarkEnd w:id="804"/>
      <w:bookmarkEnd w:id="806"/>
    </w:p>
    <w:p>
      <w:pPr>
        <w:pStyle w:val="Style33"/>
        <w:keepNext w:val="0"/>
        <w:keepLines w:val="0"/>
        <w:widowControl w:val="0"/>
        <w:shd w:val="clear" w:color="auto" w:fill="auto"/>
        <w:bidi w:val="0"/>
        <w:spacing w:before="0" w:after="200" w:line="331" w:lineRule="exact"/>
        <w:ind w:left="0" w:right="0" w:firstLine="0"/>
        <w:jc w:val="both"/>
      </w:pPr>
      <w:r>
        <w:rPr>
          <w:color w:val="000000"/>
          <w:spacing w:val="0"/>
          <w:w w:val="100"/>
          <w:position w:val="0"/>
        </w:rPr>
        <w:t>对于应收账款，无论是否存在重大融资成分，本公司始终按照相当于整个存续期内预期信用 损失的金额计量其损失准备。</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当单项金融资产无法以合理成本评估预期信用损失的信息时，本公司依据信用风险特征对应 收票据和应收账款划分组合，在组合基础上计算预期信用损失，确定组合的依据如下：</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应收账款组合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:应收合并范围内关联方</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应收账款组合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：应收其他客户</w:t>
      </w:r>
    </w:p>
    <w:p>
      <w:pPr>
        <w:pStyle w:val="Style33"/>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对于划分为组合的应收账款，本公司参考历史信用损失经验，结合当前状况以及对未来经济 状况的预测，编制应收账款账龄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逾期天数与整个存续期预期信用损失率对照表，计算预期信 用损失。</w:t>
      </w:r>
    </w:p>
    <w:p>
      <w:pPr>
        <w:pStyle w:val="Style29"/>
        <w:keepNext/>
        <w:keepLines/>
        <w:widowControl w:val="0"/>
        <w:shd w:val="clear" w:color="auto" w:fill="auto"/>
        <w:tabs>
          <w:tab w:pos="474" w:val="left"/>
        </w:tabs>
        <w:bidi w:val="0"/>
        <w:spacing w:before="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7"/>
      <w:bookmarkEnd w:id="808"/>
      <w:bookmarkEnd w:id="810"/>
    </w:p>
    <w:p>
      <w:pPr>
        <w:pStyle w:val="Style33"/>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11"/>
      <w:bookmarkEnd w:id="812"/>
      <w:bookmarkEnd w:id="814"/>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本公司依据信用风险特征将其他应收款划分为若干组合，在组合基础上计算预期信用损失， 确定组合的依据如下：</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：应收合并范围内关联方</w:t>
      </w: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其他应收款组合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：应收其他款项</w:t>
      </w:r>
    </w:p>
    <w:p>
      <w:pPr>
        <w:pStyle w:val="Style33"/>
        <w:keepNext w:val="0"/>
        <w:keepLines w:val="0"/>
        <w:widowControl w:val="0"/>
        <w:shd w:val="clear" w:color="auto" w:fill="auto"/>
        <w:bidi w:val="0"/>
        <w:spacing w:before="0" w:after="380" w:line="288" w:lineRule="exact"/>
        <w:ind w:left="0" w:right="0" w:firstLine="0"/>
        <w:jc w:val="both"/>
      </w:pPr>
      <w:r>
        <w:rPr>
          <w:color w:val="000000"/>
          <w:spacing w:val="0"/>
          <w:w w:val="100"/>
          <w:position w:val="0"/>
        </w:rPr>
        <w:t>对划分为组合的其他应收款，本公司通过违约风险敞口和未来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个月内或整个存续期预期信 用损失率，计算预期信用损失。</w:t>
      </w:r>
    </w:p>
    <w:p>
      <w:pPr>
        <w:pStyle w:val="Style29"/>
        <w:keepNext/>
        <w:keepLines/>
        <w:widowControl w:val="0"/>
        <w:shd w:val="clear" w:color="auto" w:fill="auto"/>
        <w:tabs>
          <w:tab w:pos="474" w:val="left"/>
        </w:tabs>
        <w:bidi w:val="0"/>
        <w:spacing w:before="0" w:after="30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5"/>
      <w:bookmarkEnd w:id="816"/>
      <w:bookmarkEnd w:id="818"/>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本公司存货分为原材料、在产品、库存商品、发出商品、合同履约成本等。</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发出存货的计价方法</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本公司存货取得时按实际成本计价。系统集成项目的硬件发出采用个别认定法，其他存货发 出采用加权平均法。</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存货可变现净值的确定依据及存货跌价准备的计提方法</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资产负债表日，存货成本高于其可变现净值的，计提存货跌价准备。本公司通常按照单个存 货项目计提存货跌价准备，资产负债表日，以前减记存货价值的影响因素已经消失的，存货 跌价准备在原已计提的金额内转回。</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本公司存货盘存制度采用永续盘存制。</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低值易耗品的摊销方法</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本公司低值易耗品领用时采用一次转销法摊销。</w:t>
      </w:r>
    </w:p>
    <w:p>
      <w:pPr>
        <w:pStyle w:val="Style29"/>
        <w:keepNext/>
        <w:keepLines/>
        <w:widowControl w:val="0"/>
        <w:shd w:val="clear" w:color="auto" w:fill="auto"/>
        <w:tabs>
          <w:tab w:pos="474" w:val="left"/>
        </w:tabs>
        <w:bidi w:val="0"/>
        <w:spacing w:before="0" w:after="30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4"/>
      <w:bookmarkEnd w:id="825"/>
      <w:bookmarkEnd w:id="827"/>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对于合同资产，无论是否存在重大融资成分，本公司始终按照相当于整个存续期内预期信用 损失的金额计量其损失准备。</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当单项金融资产无法以合理成本评估预期信用损失的信息时，本公司依据信用风险特征对应 收票据和应收账款划分组合，在组合基础上计算预期信用损失，确定组合的依据如下：</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w:t>
      </w:r>
      <w:r>
        <w:rPr>
          <w:color w:val="000000"/>
          <w:spacing w:val="0"/>
          <w:w w:val="100"/>
          <w:position w:val="0"/>
        </w:rPr>
        <w:t>合同资产组合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:已履约待结算</w:t>
      </w:r>
    </w:p>
    <w:p>
      <w:pPr>
        <w:pStyle w:val="Style3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对于划分为组合的合同资产，本公司参考历史信用损失经验，结合当前状况以及对未来经济 状况的预测，通过违约风险敞口和整个存续期预期信用损失率，计算预期信用损失。</w:t>
      </w:r>
    </w:p>
    <w:p>
      <w:pPr>
        <w:pStyle w:val="Style29"/>
        <w:keepNext/>
        <w:keepLines/>
        <w:widowControl w:val="0"/>
        <w:shd w:val="clear" w:color="auto" w:fill="auto"/>
        <w:tabs>
          <w:tab w:pos="474" w:val="left"/>
        </w:tabs>
        <w:bidi w:val="0"/>
        <w:spacing w:before="0" w:after="30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8"/>
      <w:bookmarkEnd w:id="829"/>
      <w:bookmarkEnd w:id="831"/>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合同成本包括为取得合同发生的增量成本及合同履约成本。</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为取得合同发生的增量成本是指本公司不取得合同就不会发生的成本（如销售佣金等）。该 成本预期能够收回的，本公司将其作为合同取得成本确认为一项资产。本公司为取得合同发 生的、除预期能够收回的增量成本之外的其他支出于发生时计入当期损益。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33"/>
        <w:keepNext w:val="0"/>
        <w:keepLines w:val="0"/>
        <w:widowControl w:val="0"/>
        <w:numPr>
          <w:ilvl w:val="0"/>
          <w:numId w:val="39"/>
        </w:numPr>
        <w:shd w:val="clear" w:color="auto" w:fill="auto"/>
        <w:tabs>
          <w:tab w:pos="421" w:val="left"/>
        </w:tabs>
        <w:bidi w:val="0"/>
        <w:spacing w:before="0" w:after="200" w:line="317" w:lineRule="exact"/>
        <w:ind w:left="0" w:right="0" w:firstLine="0"/>
        <w:jc w:val="both"/>
      </w:pPr>
      <w:bookmarkStart w:id="832" w:name="bookmark832"/>
      <w:bookmarkEnd w:id="832"/>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33"/>
        <w:keepNext w:val="0"/>
        <w:keepLines w:val="0"/>
        <w:widowControl w:val="0"/>
        <w:numPr>
          <w:ilvl w:val="0"/>
          <w:numId w:val="39"/>
        </w:numPr>
        <w:shd w:val="clear" w:color="auto" w:fill="auto"/>
        <w:tabs>
          <w:tab w:pos="421" w:val="left"/>
        </w:tabs>
        <w:bidi w:val="0"/>
        <w:spacing w:before="0" w:after="200" w:line="312" w:lineRule="exact"/>
        <w:ind w:left="0" w:right="0" w:firstLine="0"/>
        <w:jc w:val="both"/>
      </w:pPr>
      <w:bookmarkStart w:id="833" w:name="bookmark833"/>
      <w:bookmarkEnd w:id="833"/>
      <w:r>
        <w:rPr>
          <w:color w:val="000000"/>
          <w:spacing w:val="0"/>
          <w:w w:val="100"/>
          <w:position w:val="0"/>
        </w:rPr>
        <w:t>该成本增加了本公司未来用于履行履约义务的资源；</w:t>
      </w:r>
    </w:p>
    <w:p>
      <w:pPr>
        <w:pStyle w:val="Style33"/>
        <w:keepNext w:val="0"/>
        <w:keepLines w:val="0"/>
        <w:widowControl w:val="0"/>
        <w:numPr>
          <w:ilvl w:val="0"/>
          <w:numId w:val="39"/>
        </w:numPr>
        <w:shd w:val="clear" w:color="auto" w:fill="auto"/>
        <w:tabs>
          <w:tab w:pos="421" w:val="left"/>
        </w:tabs>
        <w:bidi w:val="0"/>
        <w:spacing w:before="0" w:after="200" w:line="312" w:lineRule="exact"/>
        <w:ind w:left="0" w:right="0" w:firstLine="0"/>
        <w:jc w:val="both"/>
      </w:pPr>
      <w:bookmarkStart w:id="834" w:name="bookmark834"/>
      <w:bookmarkEnd w:id="834"/>
      <w:r>
        <w:rPr>
          <w:color w:val="000000"/>
          <w:spacing w:val="0"/>
          <w:w w:val="100"/>
          <w:position w:val="0"/>
        </w:rPr>
        <w:t>该成本预期能够收回。</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采用与该资产相关的商品或服务收入确认相同的基础进行摊销，计入当期损益。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当与合同成本有关的资产的账面价值高于下列两项的差额时，本公司对超出部分计提减值准 备，并确认为资产减值损失：</w:t>
      </w:r>
    </w:p>
    <w:p>
      <w:pPr>
        <w:pStyle w:val="Style33"/>
        <w:keepNext w:val="0"/>
        <w:keepLines w:val="0"/>
        <w:widowControl w:val="0"/>
        <w:numPr>
          <w:ilvl w:val="0"/>
          <w:numId w:val="41"/>
        </w:numPr>
        <w:shd w:val="clear" w:color="auto" w:fill="auto"/>
        <w:tabs>
          <w:tab w:pos="421" w:val="left"/>
        </w:tabs>
        <w:bidi w:val="0"/>
        <w:spacing w:before="0" w:after="200" w:line="312" w:lineRule="exact"/>
        <w:ind w:left="0" w:right="0" w:firstLine="0"/>
        <w:jc w:val="both"/>
      </w:pPr>
      <w:bookmarkStart w:id="835" w:name="bookmark835"/>
      <w:bookmarkEnd w:id="835"/>
      <w:r>
        <w:rPr>
          <w:color w:val="000000"/>
          <w:spacing w:val="0"/>
          <w:w w:val="100"/>
          <w:position w:val="0"/>
        </w:rPr>
        <w:t>本公司因转让与该资产相关的商品或服务预期能够取得的剩余对价；</w:t>
      </w:r>
    </w:p>
    <w:p>
      <w:pPr>
        <w:pStyle w:val="Style33"/>
        <w:keepNext w:val="0"/>
        <w:keepLines w:val="0"/>
        <w:widowControl w:val="0"/>
        <w:numPr>
          <w:ilvl w:val="0"/>
          <w:numId w:val="41"/>
        </w:numPr>
        <w:shd w:val="clear" w:color="auto" w:fill="auto"/>
        <w:tabs>
          <w:tab w:pos="421" w:val="left"/>
        </w:tabs>
        <w:bidi w:val="0"/>
        <w:spacing w:before="0" w:after="200" w:line="312" w:lineRule="exact"/>
        <w:ind w:left="0" w:right="0" w:firstLine="0"/>
        <w:jc w:val="both"/>
      </w:pPr>
      <w:bookmarkStart w:id="836" w:name="bookmark836"/>
      <w:bookmarkEnd w:id="836"/>
      <w:r>
        <w:rPr>
          <w:color w:val="000000"/>
          <w:spacing w:val="0"/>
          <w:w w:val="100"/>
          <w:position w:val="0"/>
        </w:rPr>
        <w:t>为转让该相关商品或服务估计将要发生的成本。</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存货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 中列示。</w:t>
      </w:r>
    </w:p>
    <w:p>
      <w:pPr>
        <w:pStyle w:val="Style33"/>
        <w:keepNext w:val="0"/>
        <w:keepLines w:val="0"/>
        <w:widowControl w:val="0"/>
        <w:shd w:val="clear" w:color="auto" w:fill="auto"/>
        <w:bidi w:val="0"/>
        <w:spacing w:before="0" w:after="360" w:line="302" w:lineRule="exact"/>
        <w:ind w:left="0" w:right="0" w:firstLine="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 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w:t>
      </w:r>
    </w:p>
    <w:p>
      <w:pPr>
        <w:pStyle w:val="Style29"/>
        <w:keepNext/>
        <w:keepLines/>
        <w:widowControl w:val="0"/>
        <w:shd w:val="clear" w:color="auto" w:fill="auto"/>
        <w:tabs>
          <w:tab w:pos="474" w:val="left"/>
        </w:tabs>
        <w:bidi w:val="0"/>
        <w:spacing w:before="0" w:after="30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7"/>
      <w:bookmarkEnd w:id="838"/>
      <w:bookmarkEnd w:id="840"/>
    </w:p>
    <w:p>
      <w:pPr>
        <w:pStyle w:val="Style33"/>
        <w:keepNext w:val="0"/>
        <w:keepLines w:val="0"/>
        <w:widowControl w:val="0"/>
        <w:shd w:val="clear" w:color="auto" w:fill="auto"/>
        <w:bidi w:val="0"/>
        <w:spacing w:before="0" w:after="200" w:line="312"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）持有待售的非流动资产或处置组的分类与计量</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本公司主要通过出售（包括具有商业实质的非货币性资产交换）而非持续使用一项非流动资 产或处置组收回其账面价值时，该非流动资产或处置组被划分为持有待售类别。</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 xml:space="preserve">上述非流动资产不包括采用公允价值模式进行后续计量的投资性房地产、采用公允价值减去 </w:t>
      </w:r>
      <w:r>
        <w:rPr>
          <w:color w:val="000000"/>
          <w:spacing w:val="0"/>
          <w:w w:val="100"/>
          <w:position w:val="0"/>
        </w:rPr>
        <w:t>出售费用后的净额计量的生物资产、职工薪酬形成的资产、金融资产、递延所得税资产及保 险合同产生的权利。</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 xml:space="preserve">处置组，是指在一项交易中作为整体通过出售或其他方式一并处置的一组资产，以及在该交 易中转让的与这些资产直接相关的负债。在特定情况下，处置组包括企业合并中取得的商誉 </w:t>
      </w:r>
      <w:r>
        <w:rPr>
          <w:color w:val="000000"/>
          <w:spacing w:val="0"/>
          <w:w w:val="100"/>
          <w:position w:val="0"/>
        </w:rPr>
        <w:t>同时满足下列条件的非流动资产或处置组被划分为持有待售类别：根据类似交易中出售此类 资产或处置组的惯例，该非流动资产或处置组在当前状况下即可立即出售；出售极可能发生， 即已经就一项出售计划作出决议且获得确定的购买承诺，预计出售将在一年内完成。因出售 对子公司的投资等原因导致丧失对子公司控制权的，无论出售后本公司是否保留部分权益性 投资，在拟出售的对子公司投资满足持有待售类别划分条件时，在个别财务报表中将对子公 司投资整体划分为持有待售类别，在合并财务报表中将子公司所有资产和负债划分为持有待 售类别。</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初始计量或在资产负债表日重新计量持有待售的非流动资产或处置组时，账面价值高于公允 价值减去出售费用后净额的差额确认为资产减值损失。对于持有待售的处置组确认的资产减 值损失金额，先抵减处置组中商誉的账面价值，再根据处置组中的各项非流动资产账面价值 所占比重，按比例抵减其账面价值。</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后续资产负债表日持有待售的非流动资产或处置组公允价值减去出售费用后的净额增加的， 以前减记的金额予以恢复，并在划分为持有待售类别后确认的资产减值损失金额内转回，转 回金额计入当期损益。已抵减的商誉账面价值不得转回。</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持有待售的非流动资产和持有待售的处置组中的资产不计提折旧或进行摊销；持有待售的处 置组中负债的利息和其他费用继续予以确认。被划分为持有待售的联营企业或合营企业的全 部或部分投资，对于划分为持有待售的部分停止权益法核算，保留的部分（未被划分为持有 待售类别）则继续采用权益法核算；当本公司因出售丧失对联营企业和合营企业的重大影响 时，停止使用权益法。</w:t>
      </w:r>
    </w:p>
    <w:p>
      <w:pPr>
        <w:pStyle w:val="Style33"/>
        <w:keepNext w:val="0"/>
        <w:keepLines w:val="0"/>
        <w:widowControl w:val="0"/>
        <w:shd w:val="clear" w:color="auto" w:fill="auto"/>
        <w:bidi w:val="0"/>
        <w:spacing w:before="0" w:after="220" w:line="302" w:lineRule="exact"/>
        <w:ind w:left="0" w:right="0" w:firstLine="0"/>
        <w:jc w:val="both"/>
      </w:pPr>
      <w:r>
        <w:rPr>
          <w:color w:val="000000"/>
          <w:spacing w:val="0"/>
          <w:w w:val="100"/>
          <w:position w:val="0"/>
        </w:rPr>
        <w:t>某项非流动资产或处置组被划分为持有待售类别，但后来不再满足持有待售类别划分条件的， 本公司停止将其划分为持有待售类别，并按照下列两项金额中较低者计量：</w:t>
      </w:r>
    </w:p>
    <w:p>
      <w:pPr>
        <w:pStyle w:val="Style33"/>
        <w:keepNext w:val="0"/>
        <w:keepLines w:val="0"/>
        <w:widowControl w:val="0"/>
        <w:numPr>
          <w:ilvl w:val="0"/>
          <w:numId w:val="43"/>
        </w:numPr>
        <w:shd w:val="clear" w:color="auto" w:fill="auto"/>
        <w:tabs>
          <w:tab w:pos="390" w:val="left"/>
        </w:tabs>
        <w:bidi w:val="0"/>
        <w:spacing w:before="0" w:after="220" w:line="312" w:lineRule="exact"/>
        <w:ind w:left="0" w:right="0" w:firstLine="0"/>
        <w:jc w:val="both"/>
      </w:pPr>
      <w:bookmarkStart w:id="842" w:name="bookmark842"/>
      <w:bookmarkEnd w:id="842"/>
      <w:r>
        <w:rPr>
          <w:color w:val="000000"/>
          <w:spacing w:val="0"/>
          <w:w w:val="100"/>
          <w:position w:val="0"/>
        </w:rPr>
        <w:t>该资产或处置组被划分为持有待售类别之前的账面价值，按照其假定在没有被划分为持有 待售类别的情况下本应确认的折旧、摊销或减值进行调整后的金额；</w:t>
      </w:r>
    </w:p>
    <w:p>
      <w:pPr>
        <w:pStyle w:val="Style33"/>
        <w:keepNext w:val="0"/>
        <w:keepLines w:val="0"/>
        <w:widowControl w:val="0"/>
        <w:numPr>
          <w:ilvl w:val="0"/>
          <w:numId w:val="43"/>
        </w:numPr>
        <w:shd w:val="clear" w:color="auto" w:fill="auto"/>
        <w:tabs>
          <w:tab w:pos="390" w:val="left"/>
        </w:tabs>
        <w:bidi w:val="0"/>
        <w:spacing w:before="0" w:after="220" w:line="311" w:lineRule="exact"/>
        <w:ind w:left="0" w:right="0" w:firstLine="0"/>
        <w:jc w:val="both"/>
      </w:pPr>
      <w:bookmarkStart w:id="843" w:name="bookmark843"/>
      <w:bookmarkEnd w:id="843"/>
      <w:r>
        <w:rPr>
          <w:color w:val="000000"/>
          <w:spacing w:val="0"/>
          <w:w w:val="100"/>
          <w:position w:val="0"/>
        </w:rPr>
        <w:t>可收回金额。</w:t>
      </w:r>
    </w:p>
    <w:p>
      <w:pPr>
        <w:pStyle w:val="Style33"/>
        <w:keepNext w:val="0"/>
        <w:keepLines w:val="0"/>
        <w:widowControl w:val="0"/>
        <w:shd w:val="clear" w:color="auto" w:fill="auto"/>
        <w:bidi w:val="0"/>
        <w:spacing w:before="0" w:after="220" w:line="311" w:lineRule="exact"/>
        <w:ind w:left="0" w:right="0" w:firstLine="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）终止经营</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终止经营，是指满足下列条件之一的已被本公司处置或被本公司划分为持有待售类别的、能 够单独区分的组成部分：</w:t>
      </w:r>
    </w:p>
    <w:p>
      <w:pPr>
        <w:pStyle w:val="Style33"/>
        <w:keepNext w:val="0"/>
        <w:keepLines w:val="0"/>
        <w:widowControl w:val="0"/>
        <w:numPr>
          <w:ilvl w:val="0"/>
          <w:numId w:val="45"/>
        </w:numPr>
        <w:shd w:val="clear" w:color="auto" w:fill="auto"/>
        <w:tabs>
          <w:tab w:pos="390" w:val="left"/>
        </w:tabs>
        <w:bidi w:val="0"/>
        <w:spacing w:before="0" w:after="220" w:line="311" w:lineRule="exact"/>
        <w:ind w:left="0" w:right="0" w:firstLine="0"/>
        <w:jc w:val="both"/>
      </w:pPr>
      <w:bookmarkStart w:id="845" w:name="bookmark845"/>
      <w:bookmarkEnd w:id="845"/>
      <w:r>
        <w:rPr>
          <w:color w:val="000000"/>
          <w:spacing w:val="0"/>
          <w:w w:val="100"/>
          <w:position w:val="0"/>
        </w:rPr>
        <w:t>该组成部分代表一项独立的主要业务或一个单独的主要经营地区。</w:t>
      </w:r>
    </w:p>
    <w:p>
      <w:pPr>
        <w:pStyle w:val="Style33"/>
        <w:keepNext w:val="0"/>
        <w:keepLines w:val="0"/>
        <w:widowControl w:val="0"/>
        <w:numPr>
          <w:ilvl w:val="0"/>
          <w:numId w:val="45"/>
        </w:numPr>
        <w:shd w:val="clear" w:color="auto" w:fill="auto"/>
        <w:tabs>
          <w:tab w:pos="390" w:val="left"/>
        </w:tabs>
        <w:bidi w:val="0"/>
        <w:spacing w:before="0" w:after="220" w:line="317" w:lineRule="exact"/>
        <w:ind w:left="0" w:right="0" w:firstLine="0"/>
        <w:jc w:val="both"/>
      </w:pPr>
      <w:bookmarkStart w:id="846" w:name="bookmark846"/>
      <w:bookmarkEnd w:id="846"/>
      <w:r>
        <w:rPr>
          <w:color w:val="000000"/>
          <w:spacing w:val="0"/>
          <w:w w:val="100"/>
          <w:position w:val="0"/>
        </w:rPr>
        <w:t>该组成部分是拟对一项独立的主要业务或一个单独的主要经营地区进行处置的一项相关联 计划的一部分。</w:t>
      </w:r>
    </w:p>
    <w:p>
      <w:pPr>
        <w:pStyle w:val="Style33"/>
        <w:keepNext w:val="0"/>
        <w:keepLines w:val="0"/>
        <w:widowControl w:val="0"/>
        <w:numPr>
          <w:ilvl w:val="0"/>
          <w:numId w:val="45"/>
        </w:numPr>
        <w:shd w:val="clear" w:color="auto" w:fill="auto"/>
        <w:bidi w:val="0"/>
        <w:spacing w:before="0" w:after="220" w:line="312" w:lineRule="exact"/>
        <w:ind w:left="0" w:right="0" w:firstLine="0"/>
        <w:jc w:val="both"/>
      </w:pPr>
      <w:bookmarkStart w:id="847" w:name="bookmark847"/>
      <w:bookmarkEnd w:id="847"/>
      <w:r>
        <w:rPr>
          <w:color w:val="000000"/>
          <w:spacing w:val="0"/>
          <w:w w:val="100"/>
          <w:position w:val="0"/>
        </w:rPr>
        <w:t>该组成部分是专为转售而取得的子公司。</w:t>
      </w:r>
    </w:p>
    <w:p>
      <w:pPr>
        <w:pStyle w:val="Style33"/>
        <w:keepNext w:val="0"/>
        <w:keepLines w:val="0"/>
        <w:widowControl w:val="0"/>
        <w:shd w:val="clear" w:color="auto" w:fill="auto"/>
        <w:bidi w:val="0"/>
        <w:spacing w:before="0" w:after="220" w:line="312"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24"/>
          <w:szCs w:val="24"/>
        </w:rPr>
        <w:t>3</w:t>
      </w:r>
      <w:r>
        <w:rPr>
          <w:color w:val="000000"/>
          <w:spacing w:val="0"/>
          <w:w w:val="100"/>
          <w:position w:val="0"/>
        </w:rPr>
        <w:t>）列报</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 待售资产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，将持有待售的处置组中的负债列报于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持有待售负债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3"/>
        <w:keepNext w:val="0"/>
        <w:keepLines w:val="0"/>
        <w:widowControl w:val="0"/>
        <w:shd w:val="clear" w:color="auto" w:fill="auto"/>
        <w:bidi w:val="0"/>
        <w:spacing w:before="0" w:after="220" w:line="314" w:lineRule="exact"/>
        <w:ind w:left="0" w:right="0" w:firstLine="0"/>
        <w:jc w:val="both"/>
      </w:pPr>
      <w:r>
        <w:rPr>
          <w:color w:val="000000"/>
          <w:spacing w:val="0"/>
          <w:w w:val="100"/>
          <w:position w:val="0"/>
        </w:rPr>
        <w:t>本公司在利润表中分别列示持续经营损益和终止经营损益。不符合终止经营定义的持有待售 的非流动资产或处置组，其减值损失和转回金额及处置损益作为持续经营损益列报。终止经 营的减值损失和转回金额等经营损益及处置损益作为终止经营损益列报。</w:t>
      </w:r>
    </w:p>
    <w:p>
      <w:pPr>
        <w:pStyle w:val="Style33"/>
        <w:keepNext w:val="0"/>
        <w:keepLines w:val="0"/>
        <w:widowControl w:val="0"/>
        <w:shd w:val="clear" w:color="auto" w:fill="auto"/>
        <w:bidi w:val="0"/>
        <w:spacing w:before="0" w:after="220" w:line="302" w:lineRule="exact"/>
        <w:ind w:left="0" w:right="0" w:firstLine="0"/>
        <w:jc w:val="both"/>
      </w:pPr>
      <w:r>
        <w:rPr>
          <w:color w:val="000000"/>
          <w:spacing w:val="0"/>
          <w:w w:val="100"/>
          <w:position w:val="0"/>
        </w:rPr>
        <w:t>拟结束使用而非出售且满足终止经营定义中有关组成部分的条件的处置组，自其停止使用日 起作为终止经营列报。</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对于当期列报的终止经营，在当期财务报表中，原来作为持续经营损益列报的信息被重新作 为可比会计期间的终止经营损益列报。终止经营不再满足持有待售类别划分条件的，在</w:t>
      </w:r>
    </w:p>
    <w:p>
      <w:pPr>
        <w:pStyle w:val="Style33"/>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当期财务报表中，原来作为终止经营损益列报的信息被重新作为可比会计期间的持续经营损 益列报。</w:t>
      </w:r>
    </w:p>
    <w:p>
      <w:pPr>
        <w:pStyle w:val="Style29"/>
        <w:keepNext/>
        <w:keepLines/>
        <w:widowControl w:val="0"/>
        <w:shd w:val="clear" w:color="auto" w:fill="auto"/>
        <w:tabs>
          <w:tab w:pos="474" w:val="left"/>
        </w:tabs>
        <w:bidi w:val="0"/>
        <w:spacing w:before="0" w:after="32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9"/>
      <w:bookmarkEnd w:id="850"/>
      <w:bookmarkEnd w:id="852"/>
    </w:p>
    <w:p>
      <w:pPr>
        <w:pStyle w:val="Style33"/>
        <w:keepNext w:val="0"/>
        <w:keepLines w:val="0"/>
        <w:widowControl w:val="0"/>
        <w:shd w:val="clear" w:color="auto" w:fill="auto"/>
        <w:bidi w:val="0"/>
        <w:spacing w:before="0" w:after="380" w:line="298" w:lineRule="exact"/>
        <w:ind w:left="0" w:right="0" w:firstLine="0"/>
        <w:jc w:val="both"/>
      </w:pPr>
      <w:r>
        <w:rPr>
          <w:color w:val="000000"/>
          <w:spacing w:val="0"/>
          <w:w w:val="100"/>
          <w:position w:val="0"/>
        </w:rPr>
        <w:t>对于债权投资，本公司按照投资的性质，根据交易对手和风险敞口的各种类型，通过违约风 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个月内或整个存续期预期信用损失率，计算预期信用损失。</w:t>
      </w:r>
    </w:p>
    <w:p>
      <w:pPr>
        <w:pStyle w:val="Style29"/>
        <w:keepNext/>
        <w:keepLines/>
        <w:widowControl w:val="0"/>
        <w:shd w:val="clear" w:color="auto" w:fill="auto"/>
        <w:tabs>
          <w:tab w:pos="483" w:val="left"/>
        </w:tabs>
        <w:bidi w:val="0"/>
        <w:spacing w:before="0" w:after="32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3"/>
      <w:bookmarkEnd w:id="854"/>
      <w:bookmarkEnd w:id="856"/>
    </w:p>
    <w:p>
      <w:pPr>
        <w:pStyle w:val="Style33"/>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对于其他债权投资，本公司按照投资的性质，根据交易对手和风险敞口的各种类型，通过违 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个月内或整个存续期预期信用损失率，计算预期信用损失。</w:t>
      </w:r>
    </w:p>
    <w:p>
      <w:pPr>
        <w:pStyle w:val="Style29"/>
        <w:keepNext/>
        <w:keepLines/>
        <w:widowControl w:val="0"/>
        <w:shd w:val="clear" w:color="auto" w:fill="auto"/>
        <w:tabs>
          <w:tab w:pos="483" w:val="left"/>
        </w:tabs>
        <w:bidi w:val="0"/>
        <w:spacing w:before="0" w:after="38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7"/>
      <w:bookmarkEnd w:id="858"/>
      <w:bookmarkEnd w:id="860"/>
    </w:p>
    <w:p>
      <w:pPr>
        <w:pStyle w:val="Style29"/>
        <w:keepNext/>
        <w:keepLines/>
        <w:widowControl w:val="0"/>
        <w:shd w:val="clear" w:color="auto" w:fill="auto"/>
        <w:tabs>
          <w:tab w:pos="483" w:val="left"/>
        </w:tabs>
        <w:bidi w:val="0"/>
        <w:spacing w:before="0" w:after="32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1"/>
      <w:bookmarkEnd w:id="862"/>
      <w:bookmarkEnd w:id="864"/>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长期股权投资包括对子公司、合营企业和联营企业的权益性投资。本公司能够对被投资单位 施加重大影响的，为本公司的联营企业。</w:t>
      </w:r>
    </w:p>
    <w:p>
      <w:pPr>
        <w:pStyle w:val="Style33"/>
        <w:keepNext w:val="0"/>
        <w:keepLines w:val="0"/>
        <w:widowControl w:val="0"/>
        <w:shd w:val="clear" w:color="auto" w:fill="auto"/>
        <w:bidi w:val="0"/>
        <w:spacing w:before="0" w:after="220" w:line="312" w:lineRule="exact"/>
        <w:ind w:left="0" w:right="0" w:firstLine="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）初始投资成本确定</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Style33"/>
        <w:keepNext w:val="0"/>
        <w:keepLines w:val="0"/>
        <w:widowControl w:val="0"/>
        <w:shd w:val="clear" w:color="auto" w:fill="auto"/>
        <w:bidi w:val="0"/>
        <w:spacing w:before="0" w:after="200" w:line="240" w:lineRule="auto"/>
        <w:ind w:left="0" w:right="0" w:firstLine="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）后续计量及损益确认方法 </w:t>
      </w:r>
      <w:r>
        <w:rPr>
          <w:color w:val="000000"/>
          <w:spacing w:val="0"/>
          <w:w w:val="100"/>
          <w:position w:val="0"/>
        </w:rPr>
        <w:t>对子公司的投资，采用成本法核算，除非投资符合持有待售的条件；对联营企业和合营企业 的投资，采用权益法核算。</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采用权益法核算的长期股权投资，初始投资成本大于投资时应享有被投资单位可辨认净资产 公允价值份额的，不调整长期股权投资的投资成本；初始投资成本小于投资时应享有被投资 单位可辨认净资产公允价值份额的，对长期股权投资的账面价值进行调整，差额计入投资当 期的损益。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 告分派的利润或现金股利计算应享有的部分，相应减少长期股权投资的账面价值；被投资单 位除净损益、其他综合收益和利润分配以外所有者权益的其他变动，调整长期股权投资的账 面价值并计入资本公积（其他资本公积）。在确认应享有被投资单位净损益的份额时，以取 得投资时被投资单位各项可辨认资产等的公允价值为基础，并按照本公司的会计政策及会计 期间，对被投资单位的净利润进行调整后确认。</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因追加投资等原因能够对被投资单位施加重大影响或实施共同控制但不构成控制的，在转换 日，按照原股权的公允价值加上新增投资成本之和，作为改按权益法核算的初始投资成本。</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原股权分类为以公允价值计量且其变动计入其他综合收益的非交易性权益工具投资的，与其 相关的原计入其他综合收益的累计公允价值变动在改按权益法核算时转入留存收益。</w:t>
      </w:r>
    </w:p>
    <w:p>
      <w:pPr>
        <w:pStyle w:val="Style33"/>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因处置部分股权投资等原因丧失了对被投资单位的共同控制或重大影响的，处置后的剩余股 权在丧失共同控制或重大影响之日改按《企业会计准则第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w:t>
      </w:r>
      <w:r>
        <w:rPr>
          <w:color w:val="000000"/>
          <w:spacing w:val="0"/>
          <w:w w:val="100"/>
          <w:position w:val="0"/>
          <w:sz w:val="24"/>
          <w:szCs w:val="24"/>
        </w:rPr>
        <w:t>一</w:t>
      </w:r>
      <w:r>
        <w:rPr>
          <w:color w:val="000000"/>
          <w:spacing w:val="0"/>
          <w:w w:val="100"/>
          <w:position w:val="0"/>
        </w:rPr>
        <w:t>金融工具确认和计量》进行 会计处理，公允价值与账面价值之间的差额计入当期损益。原股权投资因采用权益法核算而 确认的其他综合收益，在终止采用权益法核算时采用与被投资单位直接处置相关资产或负债 相同的基础进行会计处理；原股权投资相关的其他所有者权益变动转入当期损益。</w:t>
      </w:r>
    </w:p>
    <w:p>
      <w:pPr>
        <w:pStyle w:val="Style33"/>
        <w:keepNext w:val="0"/>
        <w:keepLines w:val="0"/>
        <w:widowControl w:val="0"/>
        <w:shd w:val="clear" w:color="auto" w:fill="auto"/>
        <w:bidi w:val="0"/>
        <w:spacing w:before="0" w:after="200" w:line="316" w:lineRule="exact"/>
        <w:ind w:left="0" w:right="0" w:firstLine="0"/>
        <w:jc w:val="both"/>
      </w:pPr>
      <w:r>
        <w:rPr>
          <w:color w:val="000000"/>
          <w:spacing w:val="0"/>
          <w:w w:val="100"/>
          <w:position w:val="0"/>
        </w:rPr>
        <w:t>因处置部分股权投资等原因丧失了对被投资单位的控制的，处置后的剩余股权能够对被投资 单位实施共同控制或施加重大影响的，改按权益法核算，并对该剩余股权视同自取得时即采 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w:t>
      </w:r>
      <w:r>
        <w:rPr>
          <w:color w:val="000000"/>
          <w:spacing w:val="0"/>
          <w:w w:val="100"/>
          <w:position w:val="0"/>
          <w:sz w:val="24"/>
          <w:szCs w:val="24"/>
        </w:rPr>
        <w:t>一</w:t>
      </w:r>
      <w:r>
        <w:rPr>
          <w:color w:val="000000"/>
          <w:spacing w:val="0"/>
          <w:w w:val="100"/>
          <w:position w:val="0"/>
        </w:rPr>
        <w:t>金融工具确认和计量》的有关规定进行会计处理，其在丧 失控制之日的公允价值与账面价值之间的差额计入当期损益。</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因其他投资方增资而导致本公司持股比例下降、从而丧失控制权但能对被投资单位实施共同 控制或施加重大影响的，按照新的持股比例确认本公司应享有的被投资单位因增资扩股而增 加净资产的份额，与应结转持股比例下降部分所对应的长期股权投资原账面价值之间的差额 计入当期损益；然后，按照新的持股比例视同自取得投资时即采用权益法核算进行调整。</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本公司与联营企业及合营企业之间发生的未实现内部交易损益按照持股比例计算归属于本公 司的部分，在抵销基础上确认投资损益。但本公司与被投资单位发生的未实现内部交易损失， 属于所转让资产减值损失的，不予以抵销。</w:t>
      </w:r>
    </w:p>
    <w:p>
      <w:pPr>
        <w:pStyle w:val="Style33"/>
        <w:keepNext w:val="0"/>
        <w:keepLines w:val="0"/>
        <w:widowControl w:val="0"/>
        <w:shd w:val="clear" w:color="auto" w:fill="auto"/>
        <w:bidi w:val="0"/>
        <w:spacing w:before="0" w:after="200" w:line="313" w:lineRule="exact"/>
        <w:ind w:left="0" w:right="0" w:firstLine="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24"/>
          <w:szCs w:val="24"/>
        </w:rPr>
        <w:t>3</w:t>
      </w:r>
      <w:r>
        <w:rPr>
          <w:color w:val="000000"/>
          <w:spacing w:val="0"/>
          <w:w w:val="100"/>
          <w:position w:val="0"/>
        </w:rPr>
        <w:t>）确定对被投资单位具有共同控制、重大影响的依据</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享控制权的参与方一致同意后才能决策。在判断是否存在共同控制时，首先判断是否由所有 参与方或参与方组合集体控制该安排，其次再判断该安排相关活动的决策是否必须经过这些 集体控制该安排的参与方一致同意。如果所有参与方或一组参与方必须一致行动才能决定某 项安排的相关活动，则认为所有参与方或一组参与方集体控制该安排；如果存在两个或两个 以上的参与方组合能够集体控制某项安排的，不构成共同控制。判断是否存在共同控制时， 不考虑享有的保护性权利。</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 虑投资方直接或间接持有被投资单位的表决权股份以及投资方及其他方持有的当期可执行潜 在表决权在假定转换为对被投资方单位的股权后产生的影响，包括被投资单位发行的当期可 转换的认股权证、股份期权及可转换公司债券等的影响。</w:t>
      </w:r>
    </w:p>
    <w:p>
      <w:pPr>
        <w:pStyle w:val="Style33"/>
        <w:keepNext w:val="0"/>
        <w:keepLines w:val="0"/>
        <w:widowControl w:val="0"/>
        <w:shd w:val="clear" w:color="auto" w:fill="auto"/>
        <w:bidi w:val="0"/>
        <w:spacing w:before="0" w:after="200" w:line="316"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的表决权股份 时，一般认为对被投资单位具有重大影响，除非有明确证据表明该种情况下不能参与被投资 单位的生产经营决策，不形成重大影响；本公司拥有被投资单位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rPr>
        <w:t>（不含）以下的表决权 股份时，一般不认为对被投资单位具有重大影响，除非有明确证据表明该种情况下能够参与 被投资单位的生产经营决策，形成重大影响。</w:t>
      </w:r>
    </w:p>
    <w:p>
      <w:pPr>
        <w:pStyle w:val="Style33"/>
        <w:keepNext w:val="0"/>
        <w:keepLines w:val="0"/>
        <w:widowControl w:val="0"/>
        <w:shd w:val="clear" w:color="auto" w:fill="auto"/>
        <w:tabs>
          <w:tab w:pos="523" w:val="left"/>
        </w:tabs>
        <w:bidi w:val="0"/>
        <w:spacing w:before="0" w:after="200" w:line="312"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持有待售的权益性投资</w:t>
      </w:r>
    </w:p>
    <w:p>
      <w:pPr>
        <w:pStyle w:val="Style33"/>
        <w:keepNext w:val="0"/>
        <w:keepLines w:val="0"/>
        <w:widowControl w:val="0"/>
        <w:shd w:val="clear" w:color="auto" w:fill="auto"/>
        <w:bidi w:val="0"/>
        <w:spacing w:before="0" w:after="200" w:line="298" w:lineRule="exact"/>
        <w:ind w:left="0" w:right="0" w:firstLine="0"/>
        <w:jc w:val="both"/>
      </w:pPr>
      <w:r>
        <w:rPr>
          <w:color w:val="000000"/>
          <w:spacing w:val="0"/>
          <w:w w:val="100"/>
          <w:position w:val="0"/>
        </w:rPr>
        <w:t xml:space="preserve">对联营企业或合营企业的权益性投资全部或部分分类为持有待售资产的，相关会计处理见五、 </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对于未划分为持有待售资产的剩余权益性投资，采用权益法进行会计处理。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已划分为持有待售的对联营企业或合营企业的权益性投资，不再符合持有待售资产分类条件 的，从被分类为持有待售资产之日起采用权益法进行追溯调整。</w:t>
      </w:r>
    </w:p>
    <w:p>
      <w:pPr>
        <w:pStyle w:val="Style33"/>
        <w:keepNext w:val="0"/>
        <w:keepLines w:val="0"/>
        <w:widowControl w:val="0"/>
        <w:shd w:val="clear" w:color="auto" w:fill="auto"/>
        <w:tabs>
          <w:tab w:pos="523" w:val="left"/>
        </w:tabs>
        <w:bidi w:val="0"/>
        <w:spacing w:before="0" w:after="200" w:line="312" w:lineRule="exact"/>
        <w:ind w:left="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减值测试方法及减值准备计提方法</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对子公司、联营企业及合营企业的投资，计提资产减值的方法见五、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0"/>
      <w:bookmarkEnd w:id="871"/>
      <w:bookmarkEnd w:id="873"/>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投资性房地产是指为赚取租金或资本增值，或两者兼有而持有的房地产。本公司投资性房地 产包括已出租的土地使用权、持有并准备增值后转让的土地使用权、已出租的建筑物。</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本公司投资性房地产按照取得时的成本进行初始计量，并按照固定资产或无形资产的有关规 定，按期计提折旧或摊销。</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采用成本模式进行后续计量的投资性房地产，计提资产减值方法见五、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投资性房地产出售、转让、报废或毁损的处置收入扣除其账面价值和相关税费后的差额计入 当期损益。</w:t>
      </w:r>
    </w:p>
    <w:p>
      <w:pPr>
        <w:pStyle w:val="Style29"/>
        <w:keepNext/>
        <w:keepLines/>
        <w:widowControl w:val="0"/>
        <w:shd w:val="clear" w:color="auto" w:fill="auto"/>
        <w:bidi w:val="0"/>
        <w:spacing w:before="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74"/>
      <w:bookmarkEnd w:id="875"/>
      <w:bookmarkEnd w:id="877"/>
    </w:p>
    <w:p>
      <w:pPr>
        <w:pStyle w:val="Style41"/>
        <w:keepNext/>
        <w:keepLines/>
        <w:widowControl w:val="0"/>
        <w:shd w:val="clear" w:color="auto" w:fill="auto"/>
        <w:bidi w:val="0"/>
        <w:spacing w:before="0" w:after="260" w:line="240" w:lineRule="auto"/>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8"/>
      <w:bookmarkEnd w:id="879"/>
      <w:bookmarkEnd w:id="881"/>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本公司固定资产是指为生产商品、提供劳务、出租或经营管理而持有的，使用寿命超过一个会计年度的有形资产。</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与该固定资产有关的经济利益很可能流入企业，并且该固定资产的成本能够可靠地计量时，固定资产才能予以确认。</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本公司固定资产按照取得时的实际成本进行初始计量。</w:t>
      </w:r>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与固定资产有关的后续支出，在与其有关的经济利益很可能流入本公司且其成本能够可靠计量时，计入固定资产成本；不符 合固定资产资本化后续支出条件的固定资产日常修理费用，在发生时按照受益对象计入当期损益或计入相关资产的成本。对 于被替换的部分，终止确认其账面价值。</w:t>
      </w:r>
    </w:p>
    <w:p>
      <w:pPr>
        <w:pStyle w:val="Style41"/>
        <w:keepNext/>
        <w:keepLines/>
        <w:widowControl w:val="0"/>
        <w:shd w:val="clear" w:color="auto" w:fill="auto"/>
        <w:bidi w:val="0"/>
        <w:spacing w:before="0" w:after="360" w:line="240" w:lineRule="auto"/>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2"/>
      <w:bookmarkEnd w:id="883"/>
      <w:bookmarkEnd w:id="885"/>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电脑相关设备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光伏电站设备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bl>
    <w:p>
      <w:pPr>
        <w:widowControl w:val="0"/>
        <w:spacing w:after="59" w:line="1" w:lineRule="exact"/>
      </w:pPr>
    </w:p>
    <w:p>
      <w:pPr>
        <w:pStyle w:val="Style33"/>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其中，已计提减值准备的固定资产，还应扣除已计提的固定资产减值准备累计金额计算确定 折旧率。</w:t>
      </w:r>
    </w:p>
    <w:p>
      <w:pPr>
        <w:pStyle w:val="Style41"/>
        <w:keepNext/>
        <w:keepLines/>
        <w:widowControl w:val="0"/>
        <w:shd w:val="clear" w:color="auto" w:fill="auto"/>
        <w:bidi w:val="0"/>
        <w:spacing w:before="0" w:after="260" w:line="240" w:lineRule="auto"/>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6"/>
      <w:bookmarkEnd w:id="887"/>
      <w:bookmarkEnd w:id="889"/>
    </w:p>
    <w:p>
      <w:pPr>
        <w:pStyle w:val="Style18"/>
        <w:keepNext w:val="0"/>
        <w:keepLines w:val="0"/>
        <w:widowControl w:val="0"/>
        <w:shd w:val="clear" w:color="auto" w:fill="auto"/>
        <w:bidi w:val="0"/>
        <w:spacing w:before="0" w:after="0" w:line="331" w:lineRule="exact"/>
        <w:ind w:left="0" w:right="0" w:firstLine="0"/>
        <w:jc w:val="both"/>
      </w:pPr>
      <w:r>
        <w:rPr>
          <w:color w:val="000000"/>
          <w:spacing w:val="0"/>
          <w:w w:val="100"/>
          <w:position w:val="0"/>
        </w:rPr>
        <w:t>当本公司租入的固定资产符合下列一项或数项标准时，确认为融资租入固定资产：</w:t>
      </w:r>
    </w:p>
    <w:p>
      <w:pPr>
        <w:pStyle w:val="Style18"/>
        <w:keepNext w:val="0"/>
        <w:keepLines w:val="0"/>
        <w:widowControl w:val="0"/>
        <w:numPr>
          <w:ilvl w:val="0"/>
          <w:numId w:val="47"/>
        </w:numPr>
        <w:shd w:val="clear" w:color="auto" w:fill="auto"/>
        <w:tabs>
          <w:tab w:pos="373" w:val="left"/>
        </w:tabs>
        <w:bidi w:val="0"/>
        <w:spacing w:before="0" w:after="0" w:line="331" w:lineRule="exact"/>
        <w:ind w:left="0" w:right="0" w:firstLine="0"/>
        <w:jc w:val="both"/>
      </w:pPr>
      <w:bookmarkStart w:id="890" w:name="bookmark890"/>
      <w:bookmarkEnd w:id="890"/>
      <w:r>
        <w:rPr>
          <w:color w:val="000000"/>
          <w:spacing w:val="0"/>
          <w:w w:val="100"/>
          <w:position w:val="0"/>
        </w:rPr>
        <w:t>在租赁期届满时，租赁资产的所有权转移给本公司。</w:t>
      </w:r>
    </w:p>
    <w:p>
      <w:pPr>
        <w:pStyle w:val="Style18"/>
        <w:keepNext w:val="0"/>
        <w:keepLines w:val="0"/>
        <w:widowControl w:val="0"/>
        <w:numPr>
          <w:ilvl w:val="0"/>
          <w:numId w:val="47"/>
        </w:numPr>
        <w:shd w:val="clear" w:color="auto" w:fill="auto"/>
        <w:tabs>
          <w:tab w:pos="373" w:val="left"/>
        </w:tabs>
        <w:bidi w:val="0"/>
        <w:spacing w:before="0" w:after="0" w:line="331" w:lineRule="exact"/>
        <w:ind w:left="0" w:right="0" w:firstLine="0"/>
        <w:jc w:val="both"/>
      </w:pPr>
      <w:bookmarkStart w:id="891" w:name="bookmark891"/>
      <w:bookmarkEnd w:id="891"/>
      <w:r>
        <w:rPr>
          <w:color w:val="000000"/>
          <w:spacing w:val="0"/>
          <w:w w:val="100"/>
          <w:position w:val="0"/>
        </w:rPr>
        <w:t>本公司有购买租赁资产的选择权，所订立的购买价款预计将远低于行使选择权时租赁资产的公允价值，因而在租赁开始日 就可以合理确定本公司将会行使这种选择权。</w:t>
      </w:r>
    </w:p>
    <w:p>
      <w:pPr>
        <w:pStyle w:val="Style18"/>
        <w:keepNext w:val="0"/>
        <w:keepLines w:val="0"/>
        <w:widowControl w:val="0"/>
        <w:numPr>
          <w:ilvl w:val="0"/>
          <w:numId w:val="47"/>
        </w:numPr>
        <w:shd w:val="clear" w:color="auto" w:fill="auto"/>
        <w:tabs>
          <w:tab w:pos="373" w:val="left"/>
        </w:tabs>
        <w:bidi w:val="0"/>
        <w:spacing w:before="0" w:after="0" w:line="317" w:lineRule="exact"/>
        <w:ind w:left="0" w:right="0" w:firstLine="0"/>
        <w:jc w:val="both"/>
      </w:pPr>
      <w:bookmarkStart w:id="892" w:name="bookmark892"/>
      <w:bookmarkEnd w:id="892"/>
      <w:r>
        <w:rPr>
          <w:color w:val="000000"/>
          <w:spacing w:val="0"/>
          <w:w w:val="100"/>
          <w:position w:val="0"/>
        </w:rPr>
        <w:t>即使资产的所有权不转移，但租赁期占租赁资产使用寿命的大部分。</w:t>
      </w:r>
    </w:p>
    <w:p>
      <w:pPr>
        <w:pStyle w:val="Style18"/>
        <w:keepNext w:val="0"/>
        <w:keepLines w:val="0"/>
        <w:widowControl w:val="0"/>
        <w:numPr>
          <w:ilvl w:val="0"/>
          <w:numId w:val="47"/>
        </w:numPr>
        <w:shd w:val="clear" w:color="auto" w:fill="auto"/>
        <w:tabs>
          <w:tab w:pos="373" w:val="left"/>
        </w:tabs>
        <w:bidi w:val="0"/>
        <w:spacing w:before="0" w:after="60" w:line="317" w:lineRule="exact"/>
        <w:ind w:left="0" w:right="0" w:firstLine="0"/>
        <w:jc w:val="both"/>
      </w:pPr>
      <w:bookmarkStart w:id="893" w:name="bookmark893"/>
      <w:bookmarkEnd w:id="893"/>
      <w:r>
        <w:rPr>
          <w:color w:val="000000"/>
          <w:spacing w:val="0"/>
          <w:w w:val="100"/>
          <w:position w:val="0"/>
        </w:rPr>
        <w:t>本公司在租赁开始日的最低租赁付款额现值，几乎相当于租赁开始日租赁资产公允价值。</w:t>
      </w:r>
    </w:p>
    <w:p>
      <w:pPr>
        <w:pStyle w:val="Style18"/>
        <w:keepNext w:val="0"/>
        <w:keepLines w:val="0"/>
        <w:widowControl w:val="0"/>
        <w:numPr>
          <w:ilvl w:val="0"/>
          <w:numId w:val="47"/>
        </w:numPr>
        <w:shd w:val="clear" w:color="auto" w:fill="auto"/>
        <w:tabs>
          <w:tab w:pos="373" w:val="left"/>
        </w:tabs>
        <w:bidi w:val="0"/>
        <w:spacing w:before="0" w:after="0" w:line="317" w:lineRule="exact"/>
        <w:ind w:left="0" w:right="0" w:firstLine="0"/>
        <w:jc w:val="both"/>
      </w:pPr>
      <w:bookmarkStart w:id="894" w:name="bookmark894"/>
      <w:bookmarkEnd w:id="894"/>
      <w:r>
        <w:rPr>
          <w:color w:val="000000"/>
          <w:spacing w:val="0"/>
          <w:w w:val="100"/>
          <w:position w:val="0"/>
        </w:rPr>
        <w:t>租赁资产性质特殊，如果不作较大改造，只有本公司才能使用。</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18"/>
        <w:keepNext w:val="0"/>
        <w:keepLines w:val="0"/>
        <w:widowControl w:val="0"/>
        <w:shd w:val="clear" w:color="auto" w:fill="auto"/>
        <w:bidi w:val="0"/>
        <w:spacing w:before="0" w:after="40" w:line="317" w:lineRule="exact"/>
        <w:ind w:left="0" w:right="0" w:firstLine="0"/>
        <w:jc w:val="both"/>
      </w:pPr>
      <w:r>
        <w:rPr>
          <w:color w:val="000000"/>
          <w:spacing w:val="0"/>
          <w:w w:val="100"/>
          <w:position w:val="0"/>
        </w:rPr>
        <w:t>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29"/>
        <w:keepNext/>
        <w:keepLines/>
        <w:widowControl w:val="0"/>
        <w:shd w:val="clear" w:color="auto" w:fill="auto"/>
        <w:tabs>
          <w:tab w:pos="483" w:val="left"/>
        </w:tabs>
        <w:bidi w:val="0"/>
        <w:spacing w:before="0" w:after="30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95"/>
      <w:bookmarkEnd w:id="896"/>
      <w:bookmarkEnd w:id="898"/>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本公司在建工程成本按实际工程支出确定，包括在建期间发生的各项必要工程支出、工程达 到预定可使用状态前的应予资本化的借款费用以及其他相关费用等。</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在建工程在达到预定可使用状态时转入固定资产。</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在建工程计提资产减值方法见五、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w:t>
      </w:r>
    </w:p>
    <w:p>
      <w:pPr>
        <w:pStyle w:val="Style29"/>
        <w:keepNext/>
        <w:keepLines/>
        <w:widowControl w:val="0"/>
        <w:shd w:val="clear" w:color="auto" w:fill="auto"/>
        <w:tabs>
          <w:tab w:pos="483" w:val="left"/>
        </w:tabs>
        <w:bidi w:val="0"/>
        <w:spacing w:before="0" w:after="30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9"/>
      <w:bookmarkEnd w:id="900"/>
      <w:bookmarkEnd w:id="902"/>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借款费用资本化的确认原则</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 借款费用同时满足下列条件的，开始资本化：</w:t>
      </w:r>
    </w:p>
    <w:p>
      <w:pPr>
        <w:pStyle w:val="Style33"/>
        <w:keepNext w:val="0"/>
        <w:keepLines w:val="0"/>
        <w:widowControl w:val="0"/>
        <w:numPr>
          <w:ilvl w:val="0"/>
          <w:numId w:val="49"/>
        </w:numPr>
        <w:shd w:val="clear" w:color="auto" w:fill="auto"/>
        <w:tabs>
          <w:tab w:pos="421" w:val="left"/>
        </w:tabs>
        <w:bidi w:val="0"/>
        <w:spacing w:before="0" w:after="200" w:line="322" w:lineRule="exact"/>
        <w:ind w:left="0" w:right="0" w:firstLine="0"/>
        <w:jc w:val="both"/>
      </w:pPr>
      <w:bookmarkStart w:id="904" w:name="bookmark904"/>
      <w:bookmarkEnd w:id="904"/>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33"/>
        <w:keepNext w:val="0"/>
        <w:keepLines w:val="0"/>
        <w:widowControl w:val="0"/>
        <w:numPr>
          <w:ilvl w:val="0"/>
          <w:numId w:val="49"/>
        </w:numPr>
        <w:shd w:val="clear" w:color="auto" w:fill="auto"/>
        <w:tabs>
          <w:tab w:pos="421" w:val="left"/>
        </w:tabs>
        <w:bidi w:val="0"/>
        <w:spacing w:before="0" w:after="200" w:line="312" w:lineRule="exact"/>
        <w:ind w:left="0" w:right="0" w:firstLine="0"/>
        <w:jc w:val="both"/>
      </w:pPr>
      <w:bookmarkStart w:id="905" w:name="bookmark905"/>
      <w:bookmarkEnd w:id="905"/>
      <w:r>
        <w:rPr>
          <w:color w:val="000000"/>
          <w:spacing w:val="0"/>
          <w:w w:val="100"/>
          <w:position w:val="0"/>
        </w:rPr>
        <w:t>借款费用已经发生；</w:t>
      </w:r>
    </w:p>
    <w:p>
      <w:pPr>
        <w:pStyle w:val="Style33"/>
        <w:keepNext w:val="0"/>
        <w:keepLines w:val="0"/>
        <w:widowControl w:val="0"/>
        <w:numPr>
          <w:ilvl w:val="0"/>
          <w:numId w:val="49"/>
        </w:numPr>
        <w:shd w:val="clear" w:color="auto" w:fill="auto"/>
        <w:tabs>
          <w:tab w:pos="421" w:val="left"/>
        </w:tabs>
        <w:bidi w:val="0"/>
        <w:spacing w:before="0" w:after="200" w:line="312" w:lineRule="exact"/>
        <w:ind w:left="0" w:right="0" w:firstLine="0"/>
        <w:jc w:val="both"/>
      </w:pPr>
      <w:bookmarkStart w:id="906" w:name="bookmark906"/>
      <w:bookmarkEnd w:id="906"/>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借款费用资本化期间</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本公司购建或者生产符合资本化条件的资产达到预定可使用或者可销售状态时，借款费用停 止资本化。在符合资本化条件的资产达到预定可使用或者可销售状态之后所发生的借款费用， 在发生时根据其发生额确认为费用，计入当期损益。</w:t>
      </w:r>
    </w:p>
    <w:p>
      <w:pPr>
        <w:pStyle w:val="Style33"/>
        <w:keepNext w:val="0"/>
        <w:keepLines w:val="0"/>
        <w:widowControl w:val="0"/>
        <w:shd w:val="clear" w:color="auto" w:fill="auto"/>
        <w:bidi w:val="0"/>
        <w:spacing w:before="0" w:after="200" w:line="326"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 的，暂停借款费用的资本化；正常中断期间的借款费用继续资本化。</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借款费用资本化率以及资本化金额的计算方法</w:t>
      </w:r>
    </w:p>
    <w:p>
      <w:pPr>
        <w:pStyle w:val="Style33"/>
        <w:keepNext w:val="0"/>
        <w:keepLines w:val="0"/>
        <w:widowControl w:val="0"/>
        <w:shd w:val="clear" w:color="auto" w:fill="auto"/>
        <w:bidi w:val="0"/>
        <w:spacing w:before="0" w:after="200" w:line="309" w:lineRule="exact"/>
        <w:ind w:left="0" w:right="0" w:firstLine="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资本化期间内，外币专门借款的汇兑差额全部予以资本化；外币一般借款的汇兑差额计入当 期损益。</w:t>
      </w:r>
    </w:p>
    <w:p>
      <w:pPr>
        <w:pStyle w:val="Style29"/>
        <w:keepNext/>
        <w:keepLines/>
        <w:widowControl w:val="0"/>
        <w:shd w:val="clear" w:color="auto" w:fill="auto"/>
        <w:tabs>
          <w:tab w:pos="483" w:val="left"/>
        </w:tabs>
        <w:bidi w:val="0"/>
        <w:spacing w:before="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09"/>
      <w:bookmarkEnd w:id="910"/>
      <w:bookmarkEnd w:id="912"/>
    </w:p>
    <w:p>
      <w:pPr>
        <w:pStyle w:val="Style29"/>
        <w:keepNext/>
        <w:keepLines/>
        <w:widowControl w:val="0"/>
        <w:shd w:val="clear" w:color="auto" w:fill="auto"/>
        <w:tabs>
          <w:tab w:pos="483" w:val="left"/>
        </w:tabs>
        <w:bidi w:val="0"/>
        <w:spacing w:before="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3"/>
      <w:bookmarkEnd w:id="914"/>
      <w:bookmarkEnd w:id="916"/>
    </w:p>
    <w:p>
      <w:pPr>
        <w:pStyle w:val="Style29"/>
        <w:keepNext/>
        <w:keepLines/>
        <w:widowControl w:val="0"/>
        <w:shd w:val="clear" w:color="auto" w:fill="auto"/>
        <w:tabs>
          <w:tab w:pos="483" w:val="left"/>
        </w:tabs>
        <w:bidi w:val="0"/>
        <w:spacing w:before="0" w:after="2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7"/>
      <w:bookmarkEnd w:id="918"/>
      <w:bookmarkEnd w:id="920"/>
    </w:p>
    <w:p>
      <w:pPr>
        <w:pStyle w:val="Style33"/>
        <w:keepNext w:val="0"/>
        <w:keepLines w:val="0"/>
        <w:widowControl w:val="0"/>
        <w:shd w:val="clear" w:color="auto" w:fill="auto"/>
        <w:tabs>
          <w:tab w:pos="526" w:val="left"/>
        </w:tabs>
        <w:bidi w:val="0"/>
        <w:spacing w:before="0" w:after="220" w:line="312" w:lineRule="exact"/>
        <w:ind w:left="0" w:right="0" w:firstLine="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使用权资产确认条件</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本公司使用权资产是指本公司作为承租人可在租赁期内使用租赁资产的权利。</w:t>
      </w:r>
    </w:p>
    <w:p>
      <w:pPr>
        <w:pStyle w:val="Style33"/>
        <w:keepNext w:val="0"/>
        <w:keepLines w:val="0"/>
        <w:widowControl w:val="0"/>
        <w:shd w:val="clear" w:color="auto" w:fill="auto"/>
        <w:bidi w:val="0"/>
        <w:spacing w:before="0" w:after="220" w:line="311" w:lineRule="exact"/>
        <w:ind w:left="0" w:right="0" w:firstLine="0"/>
        <w:jc w:val="both"/>
      </w:pPr>
      <w:r>
        <w:rPr>
          <w:color w:val="000000"/>
          <w:spacing w:val="0"/>
          <w:w w:val="100"/>
          <w:position w:val="0"/>
        </w:rPr>
        <w:t>在租赁期开始日，使用权资产按照成本进行初始计量。该成本包括：租赁负债的初始计量金 额；在租赁期开始日或之前支付的租赁付款额，存在租赁激励的，扣除已享受的租赁激励相 关金额；本公司作为承租人发生的初始直接费用；本公司作为承租人为拆卸及移除租赁资产、 复原租赁资产所在场地或将租赁资产恢复至租赁条款约定状态预计将发生的成本。本公司作 为承租人按照《企业会计准则第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号——或有事项》对拆除复原等成本进行确认和计量。后 续就租赁负债的任何重新计量作出调整。</w:t>
      </w:r>
    </w:p>
    <w:p>
      <w:pPr>
        <w:pStyle w:val="Style33"/>
        <w:keepNext w:val="0"/>
        <w:keepLines w:val="0"/>
        <w:widowControl w:val="0"/>
        <w:shd w:val="clear" w:color="auto" w:fill="auto"/>
        <w:tabs>
          <w:tab w:pos="526" w:val="left"/>
        </w:tabs>
        <w:bidi w:val="0"/>
        <w:spacing w:before="0" w:after="220" w:line="312" w:lineRule="exact"/>
        <w:ind w:left="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使用权资产的折旧方法</w:t>
      </w:r>
    </w:p>
    <w:p>
      <w:pPr>
        <w:pStyle w:val="Style33"/>
        <w:keepNext w:val="0"/>
        <w:keepLines w:val="0"/>
        <w:widowControl w:val="0"/>
        <w:shd w:val="clear" w:color="auto" w:fill="auto"/>
        <w:bidi w:val="0"/>
        <w:spacing w:before="0" w:after="220" w:line="317" w:lineRule="exact"/>
        <w:ind w:left="0" w:right="0" w:firstLine="0"/>
        <w:jc w:val="both"/>
      </w:pPr>
      <w:r>
        <w:rPr>
          <w:color w:val="000000"/>
          <w:spacing w:val="0"/>
          <w:w w:val="100"/>
          <w:position w:val="0"/>
        </w:rPr>
        <w:t>本公司采用直线法计提折旧。本公司作为承租人能够合理确定租赁期届满时取得租赁资产所 有权的，在租赁资产剩余使用寿命内计提折旧。无法合理确定租赁期届满时能够取得租赁资 产所有权的，在租赁期与租赁资产剩余使用寿命两者孰短的期间内计提折旧。</w:t>
      </w:r>
    </w:p>
    <w:p>
      <w:pPr>
        <w:pStyle w:val="Style33"/>
        <w:keepNext w:val="0"/>
        <w:keepLines w:val="0"/>
        <w:widowControl w:val="0"/>
        <w:shd w:val="clear" w:color="auto" w:fill="auto"/>
        <w:tabs>
          <w:tab w:pos="526" w:val="left"/>
        </w:tabs>
        <w:bidi w:val="0"/>
        <w:spacing w:before="0" w:after="360" w:line="312" w:lineRule="exact"/>
        <w:ind w:left="0" w:right="0" w:firstLine="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使用权资产的减值测试方法、减值准备计提方法见五、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w:t>
      </w:r>
    </w:p>
    <w:p>
      <w:pPr>
        <w:pStyle w:val="Style29"/>
        <w:keepNext/>
        <w:keepLines/>
        <w:widowControl w:val="0"/>
        <w:shd w:val="clear" w:color="auto" w:fill="auto"/>
        <w:tabs>
          <w:tab w:pos="483" w:val="left"/>
        </w:tabs>
        <w:bidi w:val="0"/>
        <w:spacing w:before="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4"/>
      <w:bookmarkEnd w:id="925"/>
      <w:bookmarkEnd w:id="927"/>
    </w:p>
    <w:p>
      <w:pPr>
        <w:pStyle w:val="Style41"/>
        <w:keepNext/>
        <w:keepLines/>
        <w:widowControl w:val="0"/>
        <w:shd w:val="clear" w:color="auto" w:fill="auto"/>
        <w:bidi w:val="0"/>
        <w:spacing w:before="0" w:after="280" w:line="240" w:lineRule="auto"/>
        <w:ind w:left="0" w:right="0" w:firstLine="0"/>
        <w:jc w:val="both"/>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8"/>
      <w:bookmarkEnd w:id="929"/>
      <w:bookmarkEnd w:id="931"/>
    </w:p>
    <w:p>
      <w:pPr>
        <w:pStyle w:val="Style33"/>
        <w:keepNext w:val="0"/>
        <w:keepLines w:val="0"/>
        <w:widowControl w:val="0"/>
        <w:shd w:val="clear" w:color="auto" w:fill="auto"/>
        <w:bidi w:val="0"/>
        <w:spacing w:before="0" w:after="220" w:line="312" w:lineRule="exact"/>
        <w:ind w:left="0" w:right="0" w:firstLine="0"/>
        <w:jc w:val="left"/>
      </w:pPr>
      <w:r>
        <w:rPr>
          <w:color w:val="000000"/>
          <w:spacing w:val="0"/>
          <w:w w:val="100"/>
          <w:position w:val="0"/>
        </w:rPr>
        <w:t>本公司无形资产包括土地使用权、开发支出资本化形成的软件及外购软件等。</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无形资产按照成本进行初始计量，并于取得无形资产时分析判断其使用寿命。使用寿命为有 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Style26"/>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3528"/>
        <w:gridCol w:w="2150"/>
        <w:gridCol w:w="2477"/>
        <w:gridCol w:w="1205"/>
      </w:tblGrid>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摊销方法</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备注</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直线法摊销</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开发支出资本化形成的软件</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直线法摊销</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直线法摊销</w:t>
            </w:r>
          </w:p>
        </w:tc>
        <w:tc>
          <w:tcPr>
            <w:tcBorders>
              <w:top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本公司于每年年度终了，对使用寿命有限的无形资产的使用寿命及摊销方法进行复核，与以 前估计不同的，调整原先估计数，并按会计估计变更处理。</w:t>
      </w:r>
    </w:p>
    <w:p>
      <w:pPr>
        <w:pStyle w:val="Style33"/>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资产负债表日预计某项无形资产已经不能给企业带来未来经济利益的，将该项无形资产的账 </w:t>
      </w:r>
      <w:r>
        <w:rPr>
          <w:color w:val="000000"/>
          <w:spacing w:val="0"/>
          <w:w w:val="100"/>
          <w:position w:val="0"/>
        </w:rPr>
        <w:t>面价值全部转入当期损益。</w:t>
      </w:r>
    </w:p>
    <w:p>
      <w:pPr>
        <w:pStyle w:val="Style3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无形资产计提资产减值方法见五、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w:t>
      </w:r>
    </w:p>
    <w:p>
      <w:pPr>
        <w:pStyle w:val="Style41"/>
        <w:keepNext/>
        <w:keepLines/>
        <w:widowControl w:val="0"/>
        <w:shd w:val="clear" w:color="auto" w:fill="auto"/>
        <w:bidi w:val="0"/>
        <w:spacing w:before="0" w:after="30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2"/>
      <w:bookmarkEnd w:id="933"/>
      <w:bookmarkEnd w:id="935"/>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本公司将内部研究开发项目的支出，区分为研究阶段支出和开发阶段支出。</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研究阶段为项目前期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市场调研一可行性论证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的阶段，按照公司研发业务流程，具体归集范 围包括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市场调研一产品储备及可研立项（可行性论证）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二个阶段，核算实务上，以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产品储 备立项审批通过的时间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作为项目进入研发阶段的标准，以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产品规划评审通过时间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作为项目 完成阶段的标准。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开发阶段为项目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需求分析一程序设计一代码编写、功能测试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的阶段，按照公司研发立务流 程，项目经审批确认开发立项后即进入开发阶段，核算实务上，以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产品规划评审通过时间</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即规划立项经公司评审会议通过作为项目进入开发阶段的标准，以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产品规划验收时间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 项目完成开发阶段的标准。</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本公司研究开发项目在满足上述条件，通过技术可行性及经济可行性研究，形成项目立项后， 进入开发阶段。</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已资本化的开发阶段的支出在资产负债表上列示为开发支出，自该项目达到预定用途之日转 为无形资产。</w:t>
      </w:r>
    </w:p>
    <w:p>
      <w:pPr>
        <w:pStyle w:val="Style29"/>
        <w:keepNext/>
        <w:keepLines/>
        <w:widowControl w:val="0"/>
        <w:shd w:val="clear" w:color="auto" w:fill="auto"/>
        <w:bidi w:val="0"/>
        <w:spacing w:before="0" w:after="30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36"/>
      <w:bookmarkEnd w:id="937"/>
      <w:bookmarkEnd w:id="939"/>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对子公司、联营企业和合营企业的长期股权投资、采用成本模式进行后续计量的投资性房地 产、固定资产、在建工程、无形资产、使用权资产、商誉等（存货、按公允价值模式计量的 投资性房地产、递延所得税资产、金融资产除外）的资产减值，按以下方法确定：</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于资产负债表日判断资产是否存在可能发生减值的迹象，存在减值迹象的，本公司将估计其 可收回金额，进行减值测试。对因企业合并所形成的商誉、使用寿命不确定的无形资产和尚 未达到可使用状态的无形资产无论是否存在减值迹象，每年都进行减值测试。</w:t>
      </w:r>
    </w:p>
    <w:p>
      <w:pPr>
        <w:pStyle w:val="Style33"/>
        <w:keepNext w:val="0"/>
        <w:keepLines w:val="0"/>
        <w:widowControl w:val="0"/>
        <w:shd w:val="clear" w:color="auto" w:fill="auto"/>
        <w:bidi w:val="0"/>
        <w:spacing w:before="0" w:after="200" w:line="309" w:lineRule="exact"/>
        <w:ind w:left="0" w:right="0" w:firstLine="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33"/>
        <w:keepNext w:val="0"/>
        <w:keepLines w:val="0"/>
        <w:widowControl w:val="0"/>
        <w:shd w:val="clear" w:color="auto" w:fill="auto"/>
        <w:bidi w:val="0"/>
        <w:spacing w:before="0" w:after="220" w:line="313" w:lineRule="exact"/>
        <w:ind w:left="0" w:right="0" w:firstLine="0"/>
        <w:jc w:val="both"/>
      </w:pPr>
      <w:r>
        <w:rPr>
          <w:color w:val="000000"/>
          <w:spacing w:val="0"/>
          <w:w w:val="100"/>
          <w:position w:val="0"/>
        </w:rPr>
        <w:t xml:space="preserve">当资产或资产组的可收回金额低于其账面价值时，本公司将其账面价值减记至可收回金额， </w:t>
      </w:r>
      <w:r>
        <w:rPr>
          <w:color w:val="000000"/>
          <w:spacing w:val="0"/>
          <w:w w:val="100"/>
          <w:position w:val="0"/>
        </w:rPr>
        <w:t>减记的金额计入当期损益，同时计提相应的资产减值准备。</w:t>
      </w:r>
    </w:p>
    <w:p>
      <w:pPr>
        <w:pStyle w:val="Style33"/>
        <w:keepNext w:val="0"/>
        <w:keepLines w:val="0"/>
        <w:widowControl w:val="0"/>
        <w:shd w:val="clear" w:color="auto" w:fill="auto"/>
        <w:bidi w:val="0"/>
        <w:spacing w:before="0" w:after="220" w:line="309" w:lineRule="exact"/>
        <w:ind w:left="0" w:right="0" w:firstLine="0"/>
        <w:jc w:val="both"/>
      </w:pPr>
      <w:r>
        <w:rPr>
          <w:color w:val="000000"/>
          <w:spacing w:val="0"/>
          <w:w w:val="100"/>
          <w:position w:val="0"/>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不大于本公司确定的报告分部。</w:t>
      </w:r>
    </w:p>
    <w:p>
      <w:pPr>
        <w:pStyle w:val="Style33"/>
        <w:keepNext w:val="0"/>
        <w:keepLines w:val="0"/>
        <w:widowControl w:val="0"/>
        <w:shd w:val="clear" w:color="auto" w:fill="auto"/>
        <w:bidi w:val="0"/>
        <w:spacing w:before="0" w:after="220" w:line="309" w:lineRule="exact"/>
        <w:ind w:left="0" w:right="0" w:firstLine="0"/>
        <w:jc w:val="both"/>
      </w:pPr>
      <w:r>
        <w:rPr>
          <w:color w:val="000000"/>
          <w:spacing w:val="0"/>
          <w:w w:val="100"/>
          <w:position w:val="0"/>
        </w:rPr>
        <w:t>减值测试时，如与商誉相关的资产组或者资产组组合存在减值迹象的，首先对不包含商誉的 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Style3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资产减值损失一经确认，在以后会计期间不再转回。</w:t>
      </w:r>
    </w:p>
    <w:p>
      <w:pPr>
        <w:pStyle w:val="Style29"/>
        <w:keepNext/>
        <w:keepLines/>
        <w:widowControl w:val="0"/>
        <w:shd w:val="clear" w:color="auto" w:fill="auto"/>
        <w:tabs>
          <w:tab w:pos="483" w:val="left"/>
        </w:tabs>
        <w:bidi w:val="0"/>
        <w:spacing w:before="0" w:after="300" w:line="24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0"/>
      <w:bookmarkEnd w:id="941"/>
      <w:bookmarkEnd w:id="943"/>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29"/>
        <w:keepNext/>
        <w:keepLines/>
        <w:widowControl w:val="0"/>
        <w:shd w:val="clear" w:color="auto" w:fill="auto"/>
        <w:tabs>
          <w:tab w:pos="483" w:val="left"/>
        </w:tabs>
        <w:bidi w:val="0"/>
        <w:spacing w:before="0" w:after="30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4"/>
      <w:bookmarkEnd w:id="945"/>
      <w:bookmarkEnd w:id="947"/>
    </w:p>
    <w:p>
      <w:pPr>
        <w:pStyle w:val="Style3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本公司已收或应收客户对价而应向客户转让商品或服务的义务作为合同负债。</w:t>
      </w:r>
    </w:p>
    <w:p>
      <w:pPr>
        <w:pStyle w:val="Style29"/>
        <w:keepNext/>
        <w:keepLines/>
        <w:widowControl w:val="0"/>
        <w:shd w:val="clear" w:color="auto" w:fill="auto"/>
        <w:tabs>
          <w:tab w:pos="483" w:val="left"/>
        </w:tabs>
        <w:bidi w:val="0"/>
        <w:spacing w:before="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8"/>
      <w:bookmarkEnd w:id="949"/>
      <w:bookmarkEnd w:id="951"/>
    </w:p>
    <w:p>
      <w:pPr>
        <w:pStyle w:val="Style41"/>
        <w:keepNext/>
        <w:keepLines/>
        <w:widowControl w:val="0"/>
        <w:shd w:val="clear" w:color="auto" w:fill="auto"/>
        <w:tabs>
          <w:tab w:pos="493" w:val="left"/>
        </w:tabs>
        <w:bidi w:val="0"/>
        <w:spacing w:before="0" w:after="30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2"/>
      <w:bookmarkEnd w:id="953"/>
      <w:bookmarkEnd w:id="955"/>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十二个月内不能完全支付，且财务影响重大的，则该负债将以折现后的金额计量。</w:t>
      </w:r>
    </w:p>
    <w:p>
      <w:pPr>
        <w:pStyle w:val="Style41"/>
        <w:keepNext/>
        <w:keepLines/>
        <w:widowControl w:val="0"/>
        <w:shd w:val="clear" w:color="auto" w:fill="auto"/>
        <w:tabs>
          <w:tab w:pos="493" w:val="left"/>
        </w:tabs>
        <w:bidi w:val="0"/>
        <w:spacing w:before="0" w:after="300" w:line="240" w:lineRule="auto"/>
        <w:ind w:left="0" w:right="0" w:firstLine="0"/>
        <w:jc w:val="both"/>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6"/>
      <w:bookmarkEnd w:id="957"/>
      <w:bookmarkEnd w:id="959"/>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设定提存计划</w:t>
      </w:r>
    </w:p>
    <w:p>
      <w:pPr>
        <w:pStyle w:val="Style33"/>
        <w:keepNext w:val="0"/>
        <w:keepLines w:val="0"/>
        <w:widowControl w:val="0"/>
        <w:shd w:val="clear" w:color="auto" w:fill="auto"/>
        <w:bidi w:val="0"/>
        <w:spacing w:before="0" w:after="220" w:line="310" w:lineRule="exact"/>
        <w:ind w:left="0" w:right="0" w:firstLine="0"/>
        <w:jc w:val="both"/>
      </w:pPr>
      <w:r>
        <w:rPr>
          <w:color w:val="000000"/>
          <w:spacing w:val="0"/>
          <w:w w:val="100"/>
          <w:position w:val="0"/>
        </w:rPr>
        <w:t>设定提存计划包括基本养老保险、失业保险等。</w:t>
      </w:r>
    </w:p>
    <w:p>
      <w:pPr>
        <w:pStyle w:val="Style33"/>
        <w:keepNext w:val="0"/>
        <w:keepLines w:val="0"/>
        <w:widowControl w:val="0"/>
        <w:shd w:val="clear" w:color="auto" w:fill="auto"/>
        <w:bidi w:val="0"/>
        <w:spacing w:before="0" w:after="220" w:line="307" w:lineRule="exact"/>
        <w:ind w:left="0" w:right="0" w:firstLine="0"/>
        <w:jc w:val="both"/>
      </w:pPr>
      <w:r>
        <w:rPr>
          <w:color w:val="000000"/>
          <w:spacing w:val="0"/>
          <w:w w:val="100"/>
          <w:position w:val="0"/>
        </w:rPr>
        <w:t>在职工提供服务的会计期间，根据设定提存计划计算的应缴存金额确认为负债，并计入当期 损益或相关资产成本。</w:t>
      </w:r>
    </w:p>
    <w:p>
      <w:pPr>
        <w:pStyle w:val="Style33"/>
        <w:keepNext w:val="0"/>
        <w:keepLines w:val="0"/>
        <w:widowControl w:val="0"/>
        <w:shd w:val="clear" w:color="auto" w:fill="auto"/>
        <w:bidi w:val="0"/>
        <w:spacing w:before="0" w:after="300" w:line="310" w:lineRule="exact"/>
        <w:ind w:left="0" w:right="0" w:firstLine="0"/>
        <w:jc w:val="both"/>
      </w:pPr>
      <w:r>
        <w:rPr>
          <w:color w:val="000000"/>
          <w:spacing w:val="0"/>
          <w:w w:val="100"/>
          <w:position w:val="0"/>
        </w:rPr>
        <w:t>设定受益计划</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对于设定受益计划，在年度资产负债表日由独立精算师进行精算估值，以预期累积福利单位 法确定提供福利的成本。本公司设定受益计划导致的职工薪酬成本包括下列组成部分：</w:t>
      </w:r>
    </w:p>
    <w:p>
      <w:pPr>
        <w:pStyle w:val="Style33"/>
        <w:keepNext w:val="0"/>
        <w:keepLines w:val="0"/>
        <w:widowControl w:val="0"/>
        <w:numPr>
          <w:ilvl w:val="0"/>
          <w:numId w:val="51"/>
        </w:numPr>
        <w:shd w:val="clear" w:color="auto" w:fill="auto"/>
        <w:tabs>
          <w:tab w:pos="380" w:val="left"/>
        </w:tabs>
        <w:bidi w:val="0"/>
        <w:spacing w:before="0" w:after="220" w:line="310" w:lineRule="exact"/>
        <w:ind w:left="0" w:right="0" w:firstLine="0"/>
        <w:jc w:val="both"/>
      </w:pPr>
      <w:bookmarkStart w:id="960" w:name="bookmark960"/>
      <w:bookmarkEnd w:id="960"/>
      <w:r>
        <w:rPr>
          <w:color w:val="000000"/>
          <w:spacing w:val="0"/>
          <w:w w:val="100"/>
          <w:position w:val="0"/>
        </w:rPr>
        <w:t>服务成本，包括当期服务成本、过去服务成本和结算利得或损失。其中，当期服务成本， 是指职工当期提供服务所导致的设定受益计划义务现值的增加额；过去服务成本，是指设定 受益计划修改所导致的与以前期间职工服务相关的设定受益计划义务现值的增加或减少。</w:t>
      </w:r>
    </w:p>
    <w:p>
      <w:pPr>
        <w:pStyle w:val="Style33"/>
        <w:keepNext w:val="0"/>
        <w:keepLines w:val="0"/>
        <w:widowControl w:val="0"/>
        <w:numPr>
          <w:ilvl w:val="0"/>
          <w:numId w:val="51"/>
        </w:numPr>
        <w:shd w:val="clear" w:color="auto" w:fill="auto"/>
        <w:tabs>
          <w:tab w:pos="380" w:val="left"/>
        </w:tabs>
        <w:bidi w:val="0"/>
        <w:spacing w:before="0" w:after="220" w:line="317" w:lineRule="exact"/>
        <w:ind w:left="0" w:right="0" w:firstLine="0"/>
        <w:jc w:val="both"/>
      </w:pPr>
      <w:bookmarkStart w:id="961" w:name="bookmark961"/>
      <w:bookmarkEnd w:id="961"/>
      <w:r>
        <w:rPr>
          <w:color w:val="000000"/>
          <w:spacing w:val="0"/>
          <w:w w:val="100"/>
          <w:position w:val="0"/>
        </w:rPr>
        <w:t>设定受益计划净负债或净资产的利息净额，包括计划资产的利息收益、设定受益计划义务 的利息费用以及资产上限影响的利息。</w:t>
      </w:r>
    </w:p>
    <w:p>
      <w:pPr>
        <w:pStyle w:val="Style33"/>
        <w:keepNext w:val="0"/>
        <w:keepLines w:val="0"/>
        <w:widowControl w:val="0"/>
        <w:numPr>
          <w:ilvl w:val="0"/>
          <w:numId w:val="51"/>
        </w:numPr>
        <w:shd w:val="clear" w:color="auto" w:fill="auto"/>
        <w:tabs>
          <w:tab w:pos="380" w:val="left"/>
        </w:tabs>
        <w:bidi w:val="0"/>
        <w:spacing w:before="0" w:after="220" w:line="311" w:lineRule="exact"/>
        <w:ind w:left="0" w:right="0" w:firstLine="0"/>
        <w:jc w:val="both"/>
      </w:pPr>
      <w:bookmarkStart w:id="962" w:name="bookmark962"/>
      <w:bookmarkEnd w:id="962"/>
      <w:r>
        <w:rPr>
          <w:color w:val="000000"/>
          <w:spacing w:val="0"/>
          <w:w w:val="100"/>
          <w:position w:val="0"/>
        </w:rPr>
        <w:t>重新计量设定受益计划净负债或净资产所产生的变动。</w:t>
      </w:r>
    </w:p>
    <w:p>
      <w:pPr>
        <w:pStyle w:val="Style33"/>
        <w:keepNext w:val="0"/>
        <w:keepLines w:val="0"/>
        <w:widowControl w:val="0"/>
        <w:shd w:val="clear" w:color="auto" w:fill="auto"/>
        <w:bidi w:val="0"/>
        <w:spacing w:before="0" w:after="340" w:line="310" w:lineRule="exact"/>
        <w:ind w:left="0" w:right="0" w:firstLine="0"/>
        <w:jc w:val="both"/>
      </w:pPr>
      <w:r>
        <w:rPr>
          <w:color w:val="000000"/>
          <w:spacing w:val="0"/>
          <w:w w:val="100"/>
          <w:position w:val="0"/>
        </w:rPr>
        <w:t>除非其他会计准则要求或允许职工福利成本计入资产成本，本公司将上述第①和②项计入当 期损益；第③项计入其他综合收益且不会在后续会计期间转回至损益，在原设定受益计划终 止时在权益范围内将原计入其他综合收益的部分全部结转至未分配利润。</w:t>
      </w:r>
    </w:p>
    <w:p>
      <w:pPr>
        <w:pStyle w:val="Style41"/>
        <w:keepNext/>
        <w:keepLines/>
        <w:widowControl w:val="0"/>
        <w:shd w:val="clear" w:color="auto" w:fill="auto"/>
        <w:tabs>
          <w:tab w:pos="452" w:val="left"/>
        </w:tabs>
        <w:bidi w:val="0"/>
        <w:spacing w:before="0" w:after="34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3"/>
      <w:bookmarkEnd w:id="964"/>
      <w:bookmarkEnd w:id="966"/>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本公司向职工提供辞退福利的，在下列两者孰早日确认辞退福利产生的职工薪酬负债，并计 入当期损益：本公司不能单方面撤回因解除劳动关系计划或裁减建议所提供的辞退福利时； 本公司确认与涉及支付辞退福利的重组相关的成本或费用时。</w:t>
      </w:r>
    </w:p>
    <w:p>
      <w:pPr>
        <w:pStyle w:val="Style33"/>
        <w:keepNext w:val="0"/>
        <w:keepLines w:val="0"/>
        <w:widowControl w:val="0"/>
        <w:shd w:val="clear" w:color="auto" w:fill="auto"/>
        <w:bidi w:val="0"/>
        <w:spacing w:before="0" w:after="340" w:line="307" w:lineRule="exact"/>
        <w:ind w:left="0" w:right="0" w:firstLine="0"/>
        <w:jc w:val="both"/>
      </w:pPr>
      <w:r>
        <w:rPr>
          <w:color w:val="000000"/>
          <w:spacing w:val="0"/>
          <w:w w:val="100"/>
          <w:position w:val="0"/>
        </w:rPr>
        <w:t>实行职工内部退休计划的，在正式退休日之前的经济补偿，属于辞退福利，自职工停止提供 服务日至正常退休日期间，拟支付的内退职工工资和缴纳的社会保险费等一次性计入当期损 益。正式退休日期之后的经济补偿（如正常养老退休金），按照离职后福利处理。</w:t>
      </w:r>
    </w:p>
    <w:p>
      <w:pPr>
        <w:pStyle w:val="Style41"/>
        <w:keepNext/>
        <w:keepLines/>
        <w:widowControl w:val="0"/>
        <w:shd w:val="clear" w:color="auto" w:fill="auto"/>
        <w:tabs>
          <w:tab w:pos="452" w:val="left"/>
        </w:tabs>
        <w:bidi w:val="0"/>
        <w:spacing w:before="0" w:after="340" w:line="240" w:lineRule="auto"/>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7"/>
      <w:bookmarkEnd w:id="968"/>
      <w:bookmarkEnd w:id="970"/>
    </w:p>
    <w:p>
      <w:pPr>
        <w:pStyle w:val="Style33"/>
        <w:keepNext w:val="0"/>
        <w:keepLines w:val="0"/>
        <w:widowControl w:val="0"/>
        <w:shd w:val="clear" w:color="auto" w:fill="auto"/>
        <w:bidi w:val="0"/>
        <w:spacing w:before="0" w:after="340" w:line="315" w:lineRule="exact"/>
        <w:ind w:left="0" w:right="0" w:firstLine="0"/>
        <w:jc w:val="both"/>
      </w:pPr>
      <w:r>
        <w:rPr>
          <w:color w:val="000000"/>
          <w:spacing w:val="0"/>
          <w:w w:val="100"/>
          <w:position w:val="0"/>
        </w:rPr>
        <w:t>本公司向职工提供的其他长期职工福利，符合设定提存计划条件的，按照上述关于设定提存 计划的有关规定进行处理。符合设定受益计划的，按照上述关于设定受益计划的有关规定进 行处理，但相关职工薪酬成本中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 计入当期损益或相关资产成本。</w:t>
      </w:r>
    </w:p>
    <w:p>
      <w:pPr>
        <w:pStyle w:val="Style29"/>
        <w:keepNext/>
        <w:keepLines/>
        <w:widowControl w:val="0"/>
        <w:shd w:val="clear" w:color="auto" w:fill="auto"/>
        <w:bidi w:val="0"/>
        <w:spacing w:before="0" w:after="34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71"/>
      <w:bookmarkEnd w:id="972"/>
      <w:bookmarkEnd w:id="974"/>
    </w:p>
    <w:p>
      <w:pPr>
        <w:pStyle w:val="Style33"/>
        <w:keepNext w:val="0"/>
        <w:keepLines w:val="0"/>
        <w:widowControl w:val="0"/>
        <w:shd w:val="clear" w:color="auto" w:fill="auto"/>
        <w:bidi w:val="0"/>
        <w:spacing w:before="0" w:after="340" w:line="311" w:lineRule="exact"/>
        <w:ind w:left="0" w:right="0" w:firstLine="0"/>
        <w:jc w:val="both"/>
      </w:pPr>
      <w:r>
        <w:rPr>
          <w:color w:val="000000"/>
          <w:spacing w:val="0"/>
          <w:w w:val="100"/>
          <w:position w:val="0"/>
        </w:rPr>
        <w:t>租赁负债按照租赁期开始日尚未支付的租赁付款额采用租赁内含利率计算的现值进行初始计 量，无法确定租赁内含利率的，采用增量借款利率作为折现率。租赁付款额包括：固定付款 额及实质固定付款额，存在租赁激励的，扣除租赁激励相关金额；取决于指数或比率的可变 租赁付款额；购买选择权的行权价格，前提是承租人合理确定将行使该选择权；行使终止租 赁选择权需支付的款项，前提是租赁期反映出承租人将行使终止租赁选择权；以及根据承租 人提供的担保余值预计应支付的款项。后续按照固定的周期性利率计算租赁负债在租赁期内 各期间的利息费用，并计入当期损益。未纳入租赁负债计量的可变租赁付款额在实际发生时 计入当期损益。</w:t>
      </w:r>
    </w:p>
    <w:p>
      <w:pPr>
        <w:pStyle w:val="Style29"/>
        <w:keepNext/>
        <w:keepLines/>
        <w:widowControl w:val="0"/>
        <w:shd w:val="clear" w:color="auto" w:fill="auto"/>
        <w:tabs>
          <w:tab w:pos="483" w:val="left"/>
        </w:tabs>
        <w:bidi w:val="0"/>
        <w:spacing w:before="0" w:after="30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5"/>
      <w:bookmarkEnd w:id="976"/>
      <w:bookmarkEnd w:id="978"/>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如果与或有事项相关的义务同时符合以下条件，本公司将其确认为预计负债：</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该义务是本公司承担的现时义务；</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该义务的履行很可能导致经济利益流出本公司；</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该义务的金额能够可靠地计量。</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来现金流出进行折现后确定最佳估计数。本公司于资产负债表日对预计负债的账面价值进行 复核，并对账面价值进行调整以反映当前最佳估计数。</w:t>
      </w:r>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如果清偿已确认预计负债所需支出全部或部分预期由第三方或其他方补偿，则补偿金额只能 在基本确定能收到时，作为资产单独确认。确认的补偿金额不超过所确认负债的账面价值。</w:t>
      </w:r>
    </w:p>
    <w:p>
      <w:pPr>
        <w:pStyle w:val="Style29"/>
        <w:keepNext/>
        <w:keepLines/>
        <w:widowControl w:val="0"/>
        <w:shd w:val="clear" w:color="auto" w:fill="auto"/>
        <w:tabs>
          <w:tab w:pos="483" w:val="left"/>
        </w:tabs>
        <w:bidi w:val="0"/>
        <w:spacing w:before="0" w:after="300" w:line="240" w:lineRule="auto"/>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2"/>
      <w:bookmarkEnd w:id="983"/>
      <w:bookmarkEnd w:id="985"/>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股份支付的种类</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本公司股份支付分为以权益结算的股份支付和以现金结算的股份支付。</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权益工具公允价值的确定方法</w:t>
      </w:r>
    </w:p>
    <w:p>
      <w:pPr>
        <w:pStyle w:val="Style33"/>
        <w:keepNext w:val="0"/>
        <w:keepLines w:val="0"/>
        <w:widowControl w:val="0"/>
        <w:shd w:val="clear" w:color="auto" w:fill="auto"/>
        <w:bidi w:val="0"/>
        <w:spacing w:before="0" w:after="200" w:line="309" w:lineRule="exact"/>
        <w:ind w:left="0" w:right="0" w:firstLine="0"/>
        <w:jc w:val="both"/>
      </w:pPr>
      <w:r>
        <w:rPr>
          <w:color w:val="000000"/>
          <w:spacing w:val="0"/>
          <w:w w:val="100"/>
          <w:position w:val="0"/>
        </w:rPr>
        <w:t>本公司对于授予的存在活跃市场的期权等权益工具，按照活跃市场中的报价确定其公允价值。 对于授予的不存在活跃市场的期权等权益工具，采用期权定价模型等确定其公允价值。选用 的期权定价模型考虑以下因素：</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r>
      <w:r>
        <w:rPr>
          <w:color w:val="000000"/>
          <w:spacing w:val="0"/>
          <w:w w:val="100"/>
          <w:position w:val="0"/>
        </w:rPr>
        <w:t>标的股份的现 行价格；</w:t>
      </w:r>
      <w:r>
        <w:rPr>
          <w:rFonts w:ascii="Times New Roman" w:eastAsia="Times New Roman" w:hAnsi="Times New Roman" w:cs="Times New Roman"/>
          <w:color w:val="000000"/>
          <w:spacing w:val="0"/>
          <w:w w:val="100"/>
          <w:position w:val="0"/>
          <w:sz w:val="24"/>
          <w:szCs w:val="24"/>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24"/>
          <w:szCs w:val="24"/>
        </w:rPr>
        <w:t>F</w:t>
      </w:r>
      <w:r>
        <w:rPr>
          <w:color w:val="000000"/>
          <w:spacing w:val="0"/>
          <w:w w:val="100"/>
          <w:position w:val="0"/>
        </w:rPr>
        <w:t>、</w:t>
      </w:r>
      <w:r>
        <w:rPr>
          <w:color w:val="000000"/>
          <w:spacing w:val="0"/>
          <w:w w:val="100"/>
          <w:position w:val="0"/>
        </w:rPr>
        <w:t>期权有效期内的无风险利率。</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确认可行权权益工具最佳估计的依据</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等待期内每个资产负债表日，本公司根据最新取得的可行权职工人数变动等后续信息作出最 佳估计，修正预计可行权的权益工具数量。在可行权日，最终预计可行权权益工具的数量应 当与实际可行权数量一致。</w:t>
      </w:r>
    </w:p>
    <w:p>
      <w:pPr>
        <w:pStyle w:val="Style33"/>
        <w:keepNext w:val="0"/>
        <w:keepLines w:val="0"/>
        <w:widowControl w:val="0"/>
        <w:shd w:val="clear" w:color="auto" w:fill="auto"/>
        <w:tabs>
          <w:tab w:pos="526" w:val="left"/>
        </w:tabs>
        <w:bidi w:val="0"/>
        <w:spacing w:before="0" w:after="200" w:line="312" w:lineRule="exact"/>
        <w:ind w:left="0" w:right="0" w:firstLine="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实施、修改、终止股份支付计划的相关会计处理</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以现金结算的股份支付，按照本公司承担的以股份或其他权益工具为基础计算确定的负债的 公允价值计量。授予后立即可行权的，在授予日以本公司承担负债的公允价值计入相关成本 </w:t>
      </w:r>
      <w:r>
        <w:rPr>
          <w:color w:val="000000"/>
          <w:spacing w:val="0"/>
          <w:w w:val="100"/>
          <w:position w:val="0"/>
        </w:rPr>
        <w:t>或费用，相应增加负债。在完成等待期内的服务或达到规定业绩条件以后才可行权的以现金 结算的股份支付，在等待期内的每个资产负债表日，以对可行权情况的最佳估计为基础，按 照本公司承担负债的公允价值金额，将当期取得的服务计入成本或费用和相应的负债。在相 关负债结算前的每个资产负债表日以及结算日，对负债的公允价值重新计量，其变动计入当 期损益。</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 会计处理，视同该变更从未发生，除非本公司取消了部分或全部已授予的权益工具。</w:t>
      </w:r>
    </w:p>
    <w:p>
      <w:pPr>
        <w:pStyle w:val="Style3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在等待期内，如果取消了授予的权益工具（因未满足可行权条件的非市场条件而被取消的除 外），本公司对取消所授予的权益性工具作为加速行权处理，将剩余等待期内应确认的金额 立即计入当期损益，同时确认资本公积。职工或其他方能够选择满足非可行权条件但在等待 期内未满足的，本公司将其作为授予权益工具的取消处理。</w:t>
      </w:r>
    </w:p>
    <w:p>
      <w:pPr>
        <w:pStyle w:val="Style29"/>
        <w:keepNext/>
        <w:keepLines/>
        <w:widowControl w:val="0"/>
        <w:shd w:val="clear" w:color="auto" w:fill="auto"/>
        <w:tabs>
          <w:tab w:pos="482" w:val="left"/>
        </w:tabs>
        <w:bidi w:val="0"/>
        <w:spacing w:before="0" w:after="38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0"/>
      <w:bookmarkEnd w:id="991"/>
      <w:bookmarkEnd w:id="993"/>
    </w:p>
    <w:p>
      <w:pPr>
        <w:pStyle w:val="Style29"/>
        <w:keepNext/>
        <w:keepLines/>
        <w:widowControl w:val="0"/>
        <w:shd w:val="clear" w:color="auto" w:fill="auto"/>
        <w:tabs>
          <w:tab w:pos="482" w:val="left"/>
        </w:tabs>
        <w:bidi w:val="0"/>
        <w:spacing w:before="0" w:after="38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94"/>
      <w:bookmarkEnd w:id="995"/>
      <w:bookmarkEnd w:id="997"/>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）一般原则</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本公司在履行了合同中的履约义务，即在客户取得相关商品或服务的控制权时确认收入。</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 义务的交易价格计量收入。</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满足下列条件之一时，本公司属于在某一时段内履行履约义务；否则，属于在某一时点履行 履约义务：</w:t>
      </w:r>
    </w:p>
    <w:p>
      <w:pPr>
        <w:pStyle w:val="Style33"/>
        <w:keepNext w:val="0"/>
        <w:keepLines w:val="0"/>
        <w:widowControl w:val="0"/>
        <w:numPr>
          <w:ilvl w:val="0"/>
          <w:numId w:val="53"/>
        </w:numPr>
        <w:shd w:val="clear" w:color="auto" w:fill="auto"/>
        <w:tabs>
          <w:tab w:pos="419" w:val="left"/>
        </w:tabs>
        <w:bidi w:val="0"/>
        <w:spacing w:before="0" w:after="200" w:line="312" w:lineRule="exact"/>
        <w:ind w:left="0" w:right="0" w:firstLine="0"/>
        <w:jc w:val="both"/>
      </w:pPr>
      <w:bookmarkStart w:id="998" w:name="bookmark998"/>
      <w:bookmarkEnd w:id="998"/>
      <w:r>
        <w:rPr>
          <w:color w:val="000000"/>
          <w:spacing w:val="0"/>
          <w:w w:val="100"/>
          <w:position w:val="0"/>
        </w:rPr>
        <w:t>客户在本公司履约的同时即取得并消耗本公司履约所带来的经济利益。</w:t>
      </w:r>
    </w:p>
    <w:p>
      <w:pPr>
        <w:pStyle w:val="Style33"/>
        <w:keepNext w:val="0"/>
        <w:keepLines w:val="0"/>
        <w:widowControl w:val="0"/>
        <w:numPr>
          <w:ilvl w:val="0"/>
          <w:numId w:val="53"/>
        </w:numPr>
        <w:shd w:val="clear" w:color="auto" w:fill="auto"/>
        <w:tabs>
          <w:tab w:pos="419" w:val="left"/>
        </w:tabs>
        <w:bidi w:val="0"/>
        <w:spacing w:before="0" w:after="200" w:line="312" w:lineRule="exact"/>
        <w:ind w:left="0" w:right="0" w:firstLine="0"/>
        <w:jc w:val="both"/>
      </w:pPr>
      <w:bookmarkStart w:id="999" w:name="bookmark999"/>
      <w:bookmarkEnd w:id="999"/>
      <w:r>
        <w:rPr>
          <w:color w:val="000000"/>
          <w:spacing w:val="0"/>
          <w:w w:val="100"/>
          <w:position w:val="0"/>
        </w:rPr>
        <w:t>客户能够控制本公司履约过程中在建的商品。</w:t>
      </w:r>
    </w:p>
    <w:p>
      <w:pPr>
        <w:pStyle w:val="Style33"/>
        <w:keepNext w:val="0"/>
        <w:keepLines w:val="0"/>
        <w:widowControl w:val="0"/>
        <w:numPr>
          <w:ilvl w:val="0"/>
          <w:numId w:val="53"/>
        </w:numPr>
        <w:shd w:val="clear" w:color="auto" w:fill="auto"/>
        <w:tabs>
          <w:tab w:pos="419" w:val="left"/>
        </w:tabs>
        <w:bidi w:val="0"/>
        <w:spacing w:before="0" w:after="200" w:line="302" w:lineRule="exact"/>
        <w:ind w:left="0" w:right="0" w:firstLine="0"/>
        <w:jc w:val="both"/>
      </w:pPr>
      <w:bookmarkStart w:id="1000" w:name="bookmark1000"/>
      <w:bookmarkEnd w:id="1000"/>
      <w:r>
        <w:rPr>
          <w:color w:val="000000"/>
          <w:spacing w:val="0"/>
          <w:w w:val="100"/>
          <w:position w:val="0"/>
        </w:rPr>
        <w:t>本公司履约过程中所产出的商品具有不可替代用途，且本公司在整个合同期间内有权就累 计至今已完成的履约部分收取款项。</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对于在某一时段内履行的履约义务，本公司在该段时间内按照履约进度确认收入。履约进度 不能合理确定时，本公司已经发生的成本预计能够得到补偿的，按照已经发生的成本金额确 认收入，直到履约进度能够合理确定为止。</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对于在某一时点履行的履约义务，本公司在客户取得相关商品或服务控制权时点确认收入。</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在判断客户是否已取得商品或服务控制权时，本公司会考虑下列迹象：</w:t>
      </w:r>
    </w:p>
    <w:p>
      <w:pPr>
        <w:pStyle w:val="Style33"/>
        <w:keepNext w:val="0"/>
        <w:keepLines w:val="0"/>
        <w:widowControl w:val="0"/>
        <w:numPr>
          <w:ilvl w:val="0"/>
          <w:numId w:val="55"/>
        </w:numPr>
        <w:shd w:val="clear" w:color="auto" w:fill="auto"/>
        <w:tabs>
          <w:tab w:pos="421" w:val="left"/>
        </w:tabs>
        <w:bidi w:val="0"/>
        <w:spacing w:before="0" w:after="200" w:line="315" w:lineRule="exact"/>
        <w:ind w:left="0" w:right="0" w:firstLine="0"/>
        <w:jc w:val="both"/>
      </w:pPr>
      <w:bookmarkStart w:id="1001" w:name="bookmark1001"/>
      <w:bookmarkEnd w:id="1001"/>
      <w:r>
        <w:rPr>
          <w:color w:val="000000"/>
          <w:spacing w:val="0"/>
          <w:w w:val="100"/>
          <w:position w:val="0"/>
        </w:rPr>
        <w:t>本公司就该商品或服务享有现时收款权利，即客户就该商品负有现时付款义务。</w:t>
      </w:r>
    </w:p>
    <w:p>
      <w:pPr>
        <w:pStyle w:val="Style33"/>
        <w:keepNext w:val="0"/>
        <w:keepLines w:val="0"/>
        <w:widowControl w:val="0"/>
        <w:numPr>
          <w:ilvl w:val="0"/>
          <w:numId w:val="55"/>
        </w:numPr>
        <w:shd w:val="clear" w:color="auto" w:fill="auto"/>
        <w:tabs>
          <w:tab w:pos="421" w:val="left"/>
        </w:tabs>
        <w:bidi w:val="0"/>
        <w:spacing w:before="0" w:after="200" w:line="315" w:lineRule="exact"/>
        <w:ind w:left="0" w:right="0" w:firstLine="0"/>
        <w:jc w:val="both"/>
      </w:pPr>
      <w:bookmarkStart w:id="1002" w:name="bookmark1002"/>
      <w:bookmarkEnd w:id="1002"/>
      <w:r>
        <w:rPr>
          <w:color w:val="000000"/>
          <w:spacing w:val="0"/>
          <w:w w:val="100"/>
          <w:position w:val="0"/>
        </w:rPr>
        <w:t>本公司已将该商品的法定所有权转移给客户，即客户已拥有该商品的法定所有权。</w:t>
      </w:r>
    </w:p>
    <w:p>
      <w:pPr>
        <w:pStyle w:val="Style33"/>
        <w:keepNext w:val="0"/>
        <w:keepLines w:val="0"/>
        <w:widowControl w:val="0"/>
        <w:numPr>
          <w:ilvl w:val="0"/>
          <w:numId w:val="55"/>
        </w:numPr>
        <w:shd w:val="clear" w:color="auto" w:fill="auto"/>
        <w:tabs>
          <w:tab w:pos="421" w:val="left"/>
        </w:tabs>
        <w:bidi w:val="0"/>
        <w:spacing w:before="0" w:after="200" w:line="315" w:lineRule="exact"/>
        <w:ind w:left="0" w:right="0" w:firstLine="0"/>
        <w:jc w:val="both"/>
      </w:pPr>
      <w:bookmarkStart w:id="1003" w:name="bookmark1003"/>
      <w:bookmarkEnd w:id="1003"/>
      <w:r>
        <w:rPr>
          <w:color w:val="000000"/>
          <w:spacing w:val="0"/>
          <w:w w:val="100"/>
          <w:position w:val="0"/>
        </w:rPr>
        <w:t>本公司已将该商品的实物转移给客户，即客户已实物占有该商品。</w:t>
      </w:r>
    </w:p>
    <w:p>
      <w:pPr>
        <w:pStyle w:val="Style33"/>
        <w:keepNext w:val="0"/>
        <w:keepLines w:val="0"/>
        <w:widowControl w:val="0"/>
        <w:numPr>
          <w:ilvl w:val="0"/>
          <w:numId w:val="55"/>
        </w:numPr>
        <w:shd w:val="clear" w:color="auto" w:fill="auto"/>
        <w:tabs>
          <w:tab w:pos="421" w:val="left"/>
        </w:tabs>
        <w:bidi w:val="0"/>
        <w:spacing w:before="0" w:after="200" w:line="317" w:lineRule="exact"/>
        <w:ind w:left="0" w:right="0" w:firstLine="0"/>
        <w:jc w:val="both"/>
      </w:pPr>
      <w:bookmarkStart w:id="1004" w:name="bookmark1004"/>
      <w:bookmarkEnd w:id="1004"/>
      <w:r>
        <w:rPr>
          <w:color w:val="000000"/>
          <w:spacing w:val="0"/>
          <w:w w:val="100"/>
          <w:position w:val="0"/>
        </w:rPr>
        <w:t>本公司已将该商品所有权上的主要风险和报酬转移给客户，即客户已取得该商品所有权上 的主要风险和报酬。</w:t>
      </w:r>
    </w:p>
    <w:p>
      <w:pPr>
        <w:pStyle w:val="Style33"/>
        <w:keepNext w:val="0"/>
        <w:keepLines w:val="0"/>
        <w:widowControl w:val="0"/>
        <w:numPr>
          <w:ilvl w:val="0"/>
          <w:numId w:val="55"/>
        </w:numPr>
        <w:shd w:val="clear" w:color="auto" w:fill="auto"/>
        <w:tabs>
          <w:tab w:pos="421" w:val="left"/>
        </w:tabs>
        <w:bidi w:val="0"/>
        <w:spacing w:before="0" w:after="200" w:line="315" w:lineRule="exact"/>
        <w:ind w:left="0" w:right="0" w:firstLine="0"/>
        <w:jc w:val="both"/>
      </w:pPr>
      <w:bookmarkStart w:id="1005" w:name="bookmark1005"/>
      <w:bookmarkEnd w:id="1005"/>
      <w:r>
        <w:rPr>
          <w:color w:val="000000"/>
          <w:spacing w:val="0"/>
          <w:w w:val="100"/>
          <w:position w:val="0"/>
        </w:rPr>
        <w:t>客户已接受该商品或服务。</w:t>
      </w:r>
    </w:p>
    <w:p>
      <w:pPr>
        <w:pStyle w:val="Style33"/>
        <w:keepNext w:val="0"/>
        <w:keepLines w:val="0"/>
        <w:widowControl w:val="0"/>
        <w:numPr>
          <w:ilvl w:val="0"/>
          <w:numId w:val="55"/>
        </w:numPr>
        <w:shd w:val="clear" w:color="auto" w:fill="auto"/>
        <w:tabs>
          <w:tab w:pos="421" w:val="left"/>
        </w:tabs>
        <w:bidi w:val="0"/>
        <w:spacing w:before="0" w:after="200" w:line="315" w:lineRule="exact"/>
        <w:ind w:left="0" w:right="0" w:firstLine="0"/>
        <w:jc w:val="both"/>
      </w:pPr>
      <w:bookmarkStart w:id="1006" w:name="bookmark1006"/>
      <w:bookmarkEnd w:id="1006"/>
      <w:r>
        <w:rPr>
          <w:color w:val="000000"/>
          <w:spacing w:val="0"/>
          <w:w w:val="100"/>
          <w:position w:val="0"/>
        </w:rPr>
        <w:t>其他表明客户已取得商品控制权的迹象。</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本公司已向客户转让商品或服务而有权收取对价的权利（且该权利取决于时间流逝之外的其 他因素）作为合同资产，合同资产以预期信用损失为基础计提减值（参见附注三、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本公司拥有的、无条件（仅取决于时间流逝）向客户收取对价的权利作为应收款项列示。本 公司已收或应收客户对价而应向客户转让商品或服务的义务作为合同负债。</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 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w:t>
      </w:r>
    </w:p>
    <w:p>
      <w:pPr>
        <w:pStyle w:val="Style33"/>
        <w:keepNext w:val="0"/>
        <w:keepLines w:val="0"/>
        <w:widowControl w:val="0"/>
        <w:shd w:val="clear" w:color="auto" w:fill="auto"/>
        <w:bidi w:val="0"/>
        <w:spacing w:before="0" w:after="20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）具体方法</w:t>
      </w:r>
    </w:p>
    <w:p>
      <w:pPr>
        <w:pStyle w:val="Style33"/>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本公司收入确认的具体方法如下：</w:t>
      </w:r>
    </w:p>
    <w:p>
      <w:pPr>
        <w:pStyle w:val="Style33"/>
        <w:keepNext w:val="0"/>
        <w:keepLines w:val="0"/>
        <w:widowControl w:val="0"/>
        <w:shd w:val="clear" w:color="auto" w:fill="auto"/>
        <w:tabs>
          <w:tab w:pos="651" w:val="left"/>
        </w:tabs>
        <w:bidi w:val="0"/>
        <w:spacing w:before="0" w:after="200" w:line="317" w:lineRule="exact"/>
        <w:ind w:left="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自行开发研制的软件产品销售收入的确认原则及方法：软件产品在经客户验收后，确认 销售收入。</w:t>
      </w:r>
    </w:p>
    <w:p>
      <w:pPr>
        <w:pStyle w:val="Style33"/>
        <w:keepNext w:val="0"/>
        <w:keepLines w:val="0"/>
        <w:widowControl w:val="0"/>
        <w:shd w:val="clear" w:color="auto" w:fill="auto"/>
        <w:tabs>
          <w:tab w:pos="656" w:val="left"/>
        </w:tabs>
        <w:bidi w:val="0"/>
        <w:spacing w:before="0" w:after="200" w:line="316" w:lineRule="exact"/>
        <w:ind w:left="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技术开发服务收入确认原则及方法：技术开发是指根据与客户签订的技术开发、技术转 让合同，对用户的业务进行充分实地调查，并根据用户的实际需求进行专门的软件设计与开 发及硬件安装，由此开发出来的项目不具有通用性。属于在某一时段内履行履约义务的技术 开发服务，本公司按照经客户认可的履约进度确认收入；属于在某一时点履行履约义务的技 术开发服务，本公司在客户取得相关商品或服务控制权时点确认收入。</w:t>
      </w:r>
    </w:p>
    <w:p>
      <w:pPr>
        <w:pStyle w:val="Style33"/>
        <w:keepNext w:val="0"/>
        <w:keepLines w:val="0"/>
        <w:widowControl w:val="0"/>
        <w:shd w:val="clear" w:color="auto" w:fill="auto"/>
        <w:tabs>
          <w:tab w:pos="547" w:val="left"/>
        </w:tabs>
        <w:bidi w:val="0"/>
        <w:spacing w:before="0" w:after="200" w:line="315" w:lineRule="exact"/>
        <w:ind w:left="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软件服务收入确认原则及方法：</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软件服务是指公司为客户提供软件应用等技术服务实现的收入。包括但不限于：免费服务期 后的系统维护、数据修复、技术业务咨询服务、技术支持、应用培训等技术服务；二次开发 服务业务；其他为客户（包括使用非公司产品）进行的技术支持、技术应用及技术咨询等服 务。公司履约的同时客户即取得并消耗公司履约所带来的经济利益，公司将其作为在某一时 段内履行的履约义务，按照履约进度确认收入。</w:t>
      </w:r>
    </w:p>
    <w:p>
      <w:pPr>
        <w:pStyle w:val="Style33"/>
        <w:keepNext w:val="0"/>
        <w:keepLines w:val="0"/>
        <w:widowControl w:val="0"/>
        <w:shd w:val="clear" w:color="auto" w:fill="auto"/>
        <w:tabs>
          <w:tab w:pos="656" w:val="left"/>
        </w:tabs>
        <w:bidi w:val="0"/>
        <w:spacing w:before="0" w:after="360" w:line="322" w:lineRule="exact"/>
        <w:ind w:left="0" w:right="0" w:firstLine="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系统集成及燃料智能化项目收入的确认原则及方法：系统集成及燃料智能化项目在经客 户验收后，确认销售收入。</w:t>
      </w:r>
    </w:p>
    <w:p>
      <w:pPr>
        <w:pStyle w:val="Style29"/>
        <w:keepNext/>
        <w:keepLines/>
        <w:widowControl w:val="0"/>
        <w:shd w:val="clear" w:color="auto" w:fill="auto"/>
        <w:bidi w:val="0"/>
        <w:spacing w:before="0" w:after="30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11"/>
      <w:bookmarkEnd w:id="1012"/>
      <w:bookmarkEnd w:id="1014"/>
    </w:p>
    <w:p>
      <w:pPr>
        <w:pStyle w:val="Style33"/>
        <w:keepNext w:val="0"/>
        <w:keepLines w:val="0"/>
        <w:widowControl w:val="0"/>
        <w:shd w:val="clear" w:color="auto" w:fill="auto"/>
        <w:bidi w:val="0"/>
        <w:spacing w:before="0" w:after="200" w:line="315" w:lineRule="exact"/>
        <w:ind w:left="0" w:right="0" w:firstLine="0"/>
        <w:jc w:val="both"/>
      </w:pPr>
      <w:r>
        <w:rPr>
          <w:color w:val="000000"/>
          <w:spacing w:val="0"/>
          <w:w w:val="100"/>
          <w:position w:val="0"/>
        </w:rPr>
        <w:t>政府补助在满足政府补助所附条件并能够收到时确认。</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对于货币性资产的政府补助，按照收到或应收的金额计量。对于非货币性资产的政府补助， 按照公允价值计量；公允价值不能够可靠取得的，按照名义金额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元计量。</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与资产相关的政府补助，是指本公司取得的、用于购建或以其他方式形成长期资产的政府补 助；除此之外，作为与收益相关的政府补助。</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与资产相关的政府补助，确认为递延收益在相关资产使用期限内按照合理、系统的方法分期 计入损益。与收益相关的政府补助，用于补偿已发生的相关成本费用或损失的，计入当期损 益；用于补偿以后期间的相关成本费用或损失的，则计入递延收益，于相关成本费用或损失 确认期间计入当期损益。按照名义金额计量的政府补助，直接计入当期损益。本公司对相同 或类似的政府补助业务，采用一致的方法处理。</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与日常活动相关的政府补助，按照经济业务实质，计入其他收益。与日常活动无关的政府补 助，计入营业外收支。</w:t>
      </w:r>
    </w:p>
    <w:p>
      <w:pPr>
        <w:pStyle w:val="Style3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pStyle w:val="Style29"/>
        <w:keepNext/>
        <w:keepLines/>
        <w:widowControl w:val="0"/>
        <w:shd w:val="clear" w:color="auto" w:fill="auto"/>
        <w:bidi w:val="0"/>
        <w:spacing w:before="0" w:after="300" w:line="240" w:lineRule="auto"/>
        <w:ind w:left="0" w:right="0" w:firstLine="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5"/>
      <w:bookmarkEnd w:id="1016"/>
      <w:bookmarkEnd w:id="1018"/>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所得税包括当期所得税和递延所得税。除由于企业合并产生的调整商誉，或与直接计入所有 者权益的交易或者事项相关的递延所得税计入所有者权益外，均作为所得税费用计入当期损 益。</w:t>
      </w:r>
    </w:p>
    <w:p>
      <w:pPr>
        <w:pStyle w:val="Style33"/>
        <w:keepNext w:val="0"/>
        <w:keepLines w:val="0"/>
        <w:widowControl w:val="0"/>
        <w:shd w:val="clear" w:color="auto" w:fill="auto"/>
        <w:bidi w:val="0"/>
        <w:spacing w:before="0" w:after="200" w:line="326" w:lineRule="exact"/>
        <w:ind w:left="0" w:right="0" w:firstLine="0"/>
        <w:jc w:val="both"/>
      </w:pPr>
      <w:r>
        <w:rPr>
          <w:color w:val="000000"/>
          <w:spacing w:val="0"/>
          <w:w w:val="100"/>
          <w:position w:val="0"/>
        </w:rPr>
        <w:t>本公司根据资产、负债于资产负债表日的账面价值与计税基础之间的暂时性差异，采用资产 负债表债务法确认递延所得税。</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各项应纳税暂时性差异均确认相关的递延所得税负债，除非该应纳税暂时性差异是在以下交 易中产生的：</w:t>
      </w:r>
    </w:p>
    <w:p>
      <w:pPr>
        <w:pStyle w:val="Style33"/>
        <w:keepNext w:val="0"/>
        <w:keepLines w:val="0"/>
        <w:widowControl w:val="0"/>
        <w:shd w:val="clear" w:color="auto" w:fill="auto"/>
        <w:tabs>
          <w:tab w:pos="644" w:val="left"/>
        </w:tabs>
        <w:bidi w:val="0"/>
        <w:spacing w:before="0" w:after="200" w:line="307" w:lineRule="exact"/>
        <w:ind w:left="0" w:right="0" w:firstLine="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商誉的初始确认，或者具有以下特征的交易中产生的资产或负债的初始确认：该交易不 是企业合并，并且交易发生时既不影响会计利润也不影响应纳税所得额；</w:t>
      </w:r>
    </w:p>
    <w:p>
      <w:pPr>
        <w:pStyle w:val="Style33"/>
        <w:keepNext w:val="0"/>
        <w:keepLines w:val="0"/>
        <w:widowControl w:val="0"/>
        <w:shd w:val="clear" w:color="auto" w:fill="auto"/>
        <w:tabs>
          <w:tab w:pos="630" w:val="left"/>
        </w:tabs>
        <w:bidi w:val="0"/>
        <w:spacing w:before="0" w:after="200" w:line="331" w:lineRule="exact"/>
        <w:ind w:left="0" w:right="0" w:firstLine="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对于与子公司、合营企业及联营企业投资相关的应纳税暂时性差异，该暂时性差异转回 的时间能够控制并且该暂时性差异在可预见的未来很可能不会转回。</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对于可抵扣暂时性差异、能够结转以后年度的可抵扣亏损和税款抵减，本公司以很可能取得 用来抵扣可抵扣暂时性差异、可抵扣亏损和税款抵减的未来应纳税所得额为限，确认由此产 生的递延所得税资产，除非该可抵扣暂时性差异是在以下交易中产生的：</w:t>
      </w:r>
    </w:p>
    <w:p>
      <w:pPr>
        <w:pStyle w:val="Style33"/>
        <w:keepNext w:val="0"/>
        <w:keepLines w:val="0"/>
        <w:widowControl w:val="0"/>
        <w:shd w:val="clear" w:color="auto" w:fill="auto"/>
        <w:tabs>
          <w:tab w:pos="534" w:val="left"/>
        </w:tabs>
        <w:bidi w:val="0"/>
        <w:spacing w:before="0" w:after="200" w:line="312" w:lineRule="exact"/>
        <w:ind w:left="0" w:right="0" w:firstLine="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该交易不是企业合并，并且交易发生时既不影响会计利润也不影响应纳税所得额；</w:t>
      </w:r>
    </w:p>
    <w:p>
      <w:pPr>
        <w:pStyle w:val="Style33"/>
        <w:keepNext w:val="0"/>
        <w:keepLines w:val="0"/>
        <w:widowControl w:val="0"/>
        <w:shd w:val="clear" w:color="auto" w:fill="auto"/>
        <w:bidi w:val="0"/>
        <w:spacing w:before="0" w:after="220" w:line="312" w:lineRule="exact"/>
        <w:ind w:left="0" w:right="0" w:firstLine="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对于与子公司、合营企业及联营企业投资相关的可抵扣暂时性差异，同时满足下列条件 </w:t>
      </w:r>
      <w:r>
        <w:rPr>
          <w:color w:val="000000"/>
          <w:spacing w:val="0"/>
          <w:w w:val="100"/>
          <w:position w:val="0"/>
        </w:rPr>
        <w:t>的，确认相应的递延所得税资产：暂时性差异在可预见的未来很可能转回，且未来很可能获 得用来抵扣可抵扣暂时性差异的应纳税所得额。</w:t>
      </w:r>
    </w:p>
    <w:p>
      <w:pPr>
        <w:pStyle w:val="Style33"/>
        <w:keepNext w:val="0"/>
        <w:keepLines w:val="0"/>
        <w:widowControl w:val="0"/>
        <w:shd w:val="clear" w:color="auto" w:fill="auto"/>
        <w:bidi w:val="0"/>
        <w:spacing w:before="0" w:after="220" w:line="300" w:lineRule="exact"/>
        <w:ind w:left="0" w:right="0" w:firstLine="0"/>
        <w:jc w:val="both"/>
      </w:pPr>
      <w:r>
        <w:rPr>
          <w:color w:val="000000"/>
          <w:spacing w:val="0"/>
          <w:w w:val="100"/>
          <w:position w:val="0"/>
        </w:rPr>
        <w:t>于资产负债表日，本公司对递延所得税资产和递延所得税负债，按照预期收回该资产或清偿 该负债期间的适用税率计量，并反映资产负债表日预期收回资产或清偿负债方式的所得税影 响。</w:t>
      </w:r>
    </w:p>
    <w:p>
      <w:pPr>
        <w:pStyle w:val="Style3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于资产负债表日，本公司对递延所得税资产的账面价值进行复核。如果未来期间很可能无法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29"/>
        <w:keepNext/>
        <w:keepLines/>
        <w:widowControl w:val="0"/>
        <w:shd w:val="clear" w:color="auto" w:fill="auto"/>
        <w:tabs>
          <w:tab w:pos="482" w:val="left"/>
        </w:tabs>
        <w:bidi w:val="0"/>
        <w:spacing w:before="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23"/>
      <w:bookmarkEnd w:id="1024"/>
      <w:bookmarkEnd w:id="1026"/>
    </w:p>
    <w:p>
      <w:pPr>
        <w:pStyle w:val="Style41"/>
        <w:keepNext/>
        <w:keepLines/>
        <w:widowControl w:val="0"/>
        <w:shd w:val="clear" w:color="auto" w:fill="auto"/>
        <w:tabs>
          <w:tab w:pos="492" w:val="left"/>
        </w:tabs>
        <w:bidi w:val="0"/>
        <w:spacing w:before="0" w:after="280" w:line="240" w:lineRule="auto"/>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27"/>
      <w:bookmarkEnd w:id="1028"/>
      <w:bookmarkEnd w:id="1030"/>
    </w:p>
    <w:p>
      <w:pPr>
        <w:pStyle w:val="Style33"/>
        <w:keepNext w:val="0"/>
        <w:keepLines w:val="0"/>
        <w:widowControl w:val="0"/>
        <w:shd w:val="clear" w:color="auto" w:fill="auto"/>
        <w:bidi w:val="0"/>
        <w:spacing w:before="0" w:after="220" w:line="317" w:lineRule="exact"/>
        <w:ind w:left="0" w:right="0" w:firstLine="0"/>
        <w:jc w:val="both"/>
      </w:pPr>
      <w:r>
        <w:rPr>
          <w:color w:val="000000"/>
          <w:spacing w:val="0"/>
          <w:w w:val="100"/>
          <w:position w:val="0"/>
        </w:rPr>
        <w:t>本公司作为出租人时，将实质上转移了与资产所有权有关的全部风险和报酬的租赁确认为融 资租赁，除融资租赁之外的其他租赁确认为经营租赁。</w:t>
      </w:r>
    </w:p>
    <w:p>
      <w:pPr>
        <w:pStyle w:val="Style3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经营租赁中的租金，本公司在租赁期内各个期间按照直线法确认当期损益。发生的与经营租 赁有关的初始直接费用应当资本化，在租赁期内按照与租金收入确认相同的基础进行分摊， 分期计入当期损益。取得的与经营租赁有关的未计入租赁收款额的可变租赁付款额，在实际 发生时计入当期损益。</w:t>
      </w:r>
    </w:p>
    <w:p>
      <w:pPr>
        <w:pStyle w:val="Style41"/>
        <w:keepNext/>
        <w:keepLines/>
        <w:widowControl w:val="0"/>
        <w:shd w:val="clear" w:color="auto" w:fill="auto"/>
        <w:tabs>
          <w:tab w:pos="492" w:val="left"/>
        </w:tabs>
        <w:bidi w:val="0"/>
        <w:spacing w:before="0" w:after="280" w:line="240" w:lineRule="auto"/>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31"/>
      <w:bookmarkEnd w:id="1032"/>
      <w:bookmarkEnd w:id="1034"/>
    </w:p>
    <w:p>
      <w:pPr>
        <w:pStyle w:val="Style33"/>
        <w:keepNext w:val="0"/>
        <w:keepLines w:val="0"/>
        <w:widowControl w:val="0"/>
        <w:shd w:val="clear" w:color="auto" w:fill="auto"/>
        <w:bidi w:val="0"/>
        <w:spacing w:before="0" w:after="220" w:line="341" w:lineRule="exact"/>
        <w:ind w:left="0" w:right="0" w:firstLine="0"/>
        <w:jc w:val="both"/>
      </w:pPr>
      <w:r>
        <w:rPr>
          <w:color w:val="000000"/>
          <w:spacing w:val="0"/>
          <w:w w:val="100"/>
          <w:position w:val="0"/>
        </w:rPr>
        <w:t>本公司作为出租人时，将实质上转移了与资产所有权有关的全部风险和报酬的租赁确认为融 资租赁。</w:t>
      </w:r>
    </w:p>
    <w:p>
      <w:pPr>
        <w:pStyle w:val="Style3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融资租赁中，在租赁期开始日本公司按租赁投资净额作为应收融资租赁款的入账价值，租赁 投资净额为未担保余值和租赁期开始日尚未收到的租赁收款额按照租赁内含利率折现的现值 之和。本公司作为出租人按照固定的周期性利率计算并确认租赁期内各个期间的利息收入。 本公司作为出租人取得的未纳入租赁投资净额计量的可变租赁付款额在实际发生时计入当期 损益。</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应收融资租赁款的终止确认和减值按照《企业会计准则第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w:t>
      </w:r>
      <w:r>
        <w:rPr>
          <w:color w:val="000000"/>
          <w:spacing w:val="0"/>
          <w:w w:val="100"/>
          <w:position w:val="0"/>
          <w:sz w:val="24"/>
          <w:szCs w:val="24"/>
        </w:rPr>
        <w:t>一一</w:t>
      </w:r>
      <w:r>
        <w:rPr>
          <w:color w:val="000000"/>
          <w:spacing w:val="0"/>
          <w:w w:val="100"/>
          <w:position w:val="0"/>
        </w:rPr>
        <w:t>金融工具确认和计量》和 《企业会计准则第</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号——金融资产转移》的规定进行会计处理。</w:t>
      </w:r>
    </w:p>
    <w:p>
      <w:pPr>
        <w:pStyle w:val="Style29"/>
        <w:keepNext/>
        <w:keepLines/>
        <w:widowControl w:val="0"/>
        <w:shd w:val="clear" w:color="auto" w:fill="auto"/>
        <w:tabs>
          <w:tab w:pos="482" w:val="left"/>
        </w:tabs>
        <w:bidi w:val="0"/>
        <w:spacing w:before="0" w:after="28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35"/>
      <w:bookmarkEnd w:id="1036"/>
      <w:bookmarkEnd w:id="1038"/>
    </w:p>
    <w:p>
      <w:pPr>
        <w:pStyle w:val="Style3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 xml:space="preserve">本公司根据历史经验和其它因素，包括对未来事项的合理预期，对所采用的重要会计估计和 关键假设进行持续的评价。很可能导致下一会计年度资产和负债的账面价值出现重大调整风 险的重要会计估计和关键假设列示如下： </w:t>
      </w:r>
      <w:r>
        <w:rPr>
          <w:color w:val="000000"/>
          <w:spacing w:val="0"/>
          <w:w w:val="100"/>
          <w:position w:val="0"/>
        </w:rPr>
        <w:t>金融资产的分类</w:t>
      </w:r>
    </w:p>
    <w:p>
      <w:pPr>
        <w:pStyle w:val="Style33"/>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本公司在确定金融资产的分类时涉及的重大判断包括业务模式及合同现金流量特征的分析 </w:t>
      </w:r>
      <w:r>
        <w:rPr>
          <w:color w:val="000000"/>
          <w:spacing w:val="0"/>
          <w:w w:val="100"/>
          <w:position w:val="0"/>
        </w:rPr>
        <w:t>本公司在金融资产组合的层次上确定管理金融资产的业务模式，考虑的因素包括评价和向关 键管理人员报告金融资产业绩的方式、影响金融资产业绩的风险及其管理方式、以及相关业 务管理人员获得报酬的方式等。</w:t>
      </w:r>
    </w:p>
    <w:p>
      <w:pPr>
        <w:pStyle w:val="Style33"/>
        <w:keepNext w:val="0"/>
        <w:keepLines w:val="0"/>
        <w:widowControl w:val="0"/>
        <w:shd w:val="clear" w:color="auto" w:fill="auto"/>
        <w:bidi w:val="0"/>
        <w:spacing w:before="0" w:after="200" w:line="316" w:lineRule="exact"/>
        <w:ind w:left="0" w:right="0" w:firstLine="0"/>
        <w:jc w:val="both"/>
      </w:pPr>
      <w:r>
        <w:rPr>
          <w:color w:val="000000"/>
          <w:spacing w:val="0"/>
          <w:w w:val="100"/>
          <w:position w:val="0"/>
        </w:rPr>
        <w:t>本公司在评估金融资产的合同现金流量是否与基本借贷安排相一致时，存在以下主要判断： 本金是否可能因提前还款等原因导致在存续期内的时间分布或者金额发生变动；利息是否仅 包括货币时间价值、信用风险、其他基本借贷风险以及与成本和利润的对价。例如，提前偿 付的金额是否仅反映了尚未支付的本金及以未偿付本金为基础的利息，以及因提前终止合同 而支付的合理补偿。</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应收账款预期信用损失的计量</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本公司通过应收账款违约风险敞口和预期信用损失率计算应收账款预期信用损失，并基于违 约概率和违约损失率确定预期信用损失率。在确定预期信用损失率时，本公司使用内部历史 信用损失经验等数据，并结合当前状况和前瞻性信息对历史数据进行调整。在考虑前瞻性信 息时，本公司使用的指标包括经济下滑的风险、外部市场环境、技术环境和客户情况的变化 等。本公司定期监控并复核与预期信用损失计算相关的假设。</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商誉减值</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本公司至少每年评估商誉是否发生减值。这要求对分配了商誉的资产组的使用价值进行估计。 估计使用价值时，本公司需要估计未来来自资产组的现金流量，同时选择恰当的折现率计算 未来现金流量的现值。</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开发支出</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确定资本化的金额时，管理层必须做出有关资产的预期未来现金的产生、应采用的折现率以 及预计受益期间的假设。</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递延所得税资产</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在很有可能有足够的应纳税利润来抵扣亏损的限度内，应就所有未利用的税务亏损确认递延 所得税资产。这需要管理层运用大量的判断来估计未来应纳税利润发生的时间和金额，结合 纳税筹划策略，以决定应确认的递延所得税资产的金额。</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未上市权益投资的公允价值确定</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未上市的权益投资的公允价值是根据具有类似条款和风险特征的项目当前折现率折现的预计 未来现金流量。这种估价要求本公司估计预期未来现金流量和折现率，因此具有不确定性。 在有限情况下，如果用以确定公允价值的信息不足，或者公允价值的可能估计金额分布范围 很广，而成本代表了该范围内对公允价值的最佳估计的，该成本可代表其在该分布范围内对 公允价值的恰当估计。</w:t>
      </w:r>
    </w:p>
    <w:p>
      <w:pPr>
        <w:pStyle w:val="Style3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收入确认及计量的履约进度确定</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属于在某一时段内履行履约义务的技术开发服务收入，公司按照经客户认可的履约进度确认 收入。</w:t>
      </w:r>
    </w:p>
    <w:p>
      <w:pPr>
        <w:pStyle w:val="Style29"/>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4</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39"/>
      <w:bookmarkEnd w:id="1040"/>
      <w:bookmarkEnd w:id="1042"/>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043" w:name="bookmark104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104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2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年颁布了《企业会计准则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租赁（修订）》，要求在境内外 同时上市的企业以及在境外上市并采用 国际财务报告准则或企业会计准则编制 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日起 施行。其他执行企业会计准则的企业自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①新租赁准则</w:t>
      </w:r>
    </w:p>
    <w:p>
      <w:pPr>
        <w:widowControl w:val="0"/>
        <w:spacing w:after="199" w:line="1" w:lineRule="exact"/>
      </w:pPr>
    </w:p>
    <w:p>
      <w:pPr>
        <w:pStyle w:val="Style3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号——租赁（修订））》（以下简称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本公司自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日起执行该准则，对会计政策相关内容进行了调整。变更后的会计政策 参见五、</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w:t>
      </w:r>
    </w:p>
    <w:p>
      <w:pPr>
        <w:pStyle w:val="Style33"/>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对于首次执行日前已存在的合同，本公司在首次执行日选择不重新评估其是否为租赁或者包 含租赁。对首次执行日之后签订或变更的合同，本公司按照新租赁准则中租赁的定义评估合 同是否为租赁或者包含租赁。</w:t>
      </w:r>
    </w:p>
    <w:p>
      <w:pPr>
        <w:pStyle w:val="Style33"/>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新租赁准则中租赁的定义并未对本公司满足租赁定义的合同的范围产生重大影响。</w:t>
      </w:r>
    </w:p>
    <w:p>
      <w:pPr>
        <w:pStyle w:val="Style33"/>
        <w:keepNext w:val="0"/>
        <w:keepLines w:val="0"/>
        <w:widowControl w:val="0"/>
        <w:shd w:val="clear" w:color="auto" w:fill="auto"/>
        <w:bidi w:val="0"/>
        <w:spacing w:before="0" w:after="200" w:line="314" w:lineRule="exact"/>
        <w:ind w:left="0" w:right="0" w:firstLine="0"/>
        <w:jc w:val="left"/>
      </w:pPr>
      <w:r>
        <w:rPr>
          <w:b/>
          <w:bCs/>
          <w:color w:val="000000"/>
          <w:spacing w:val="0"/>
          <w:w w:val="100"/>
          <w:position w:val="0"/>
        </w:rPr>
        <w:t>作为承租人</w:t>
      </w:r>
    </w:p>
    <w:p>
      <w:pPr>
        <w:pStyle w:val="Style33"/>
        <w:keepNext w:val="0"/>
        <w:keepLines w:val="0"/>
        <w:widowControl w:val="0"/>
        <w:shd w:val="clear" w:color="auto" w:fill="auto"/>
        <w:bidi w:val="0"/>
        <w:spacing w:before="0" w:after="200" w:line="322" w:lineRule="exact"/>
        <w:ind w:left="0" w:right="0" w:firstLine="0"/>
        <w:jc w:val="left"/>
      </w:pPr>
      <w:r>
        <w:rPr>
          <w:color w:val="000000"/>
          <w:spacing w:val="0"/>
          <w:w w:val="100"/>
          <w:position w:val="0"/>
        </w:rPr>
        <w:t>新租赁准则要求承租人对所有租赁确认使用权资产和租赁负债，简化处理的短期租赁和低价 值资产租赁除外，并分别确认折旧和利息费用。</w:t>
      </w:r>
    </w:p>
    <w:p>
      <w:pPr>
        <w:pStyle w:val="Style33"/>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新租赁准则允许承租人选择下列方法之一对租赁进行衔接会计处理：</w:t>
      </w:r>
    </w:p>
    <w:p>
      <w:pPr>
        <w:pStyle w:val="Style33"/>
        <w:keepNext w:val="0"/>
        <w:keepLines w:val="0"/>
        <w:widowControl w:val="0"/>
        <w:shd w:val="clear" w:color="auto" w:fill="auto"/>
        <w:bidi w:val="0"/>
        <w:spacing w:before="0" w:after="200" w:line="322" w:lineRule="exact"/>
        <w:ind w:left="440" w:right="0" w:hanging="440"/>
        <w:jc w:val="both"/>
      </w:pPr>
      <w:r>
        <w:rPr>
          <w:color w:val="000000"/>
          <w:spacing w:val="0"/>
          <w:w w:val="100"/>
          <w:position w:val="0"/>
        </w:rPr>
        <w:t>•</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号——会计政策、会计估计变更和差错更正》的规定采用追溯 调整法处理。</w:t>
      </w:r>
    </w:p>
    <w:p>
      <w:pPr>
        <w:pStyle w:val="Style33"/>
        <w:keepNext w:val="0"/>
        <w:keepLines w:val="0"/>
        <w:widowControl w:val="0"/>
        <w:shd w:val="clear" w:color="auto" w:fill="auto"/>
        <w:bidi w:val="0"/>
        <w:spacing w:before="0" w:after="200" w:line="317" w:lineRule="exact"/>
        <w:ind w:left="440" w:right="0" w:hanging="440"/>
        <w:jc w:val="both"/>
      </w:pPr>
      <w:r>
        <w:rPr>
          <w:color w:val="000000"/>
          <w:spacing w:val="0"/>
          <w:w w:val="100"/>
          <w:position w:val="0"/>
        </w:rPr>
        <w:t>•</w:t>
      </w:r>
      <w:r>
        <w:rPr>
          <w:color w:val="000000"/>
          <w:spacing w:val="0"/>
          <w:w w:val="100"/>
          <w:position w:val="0"/>
        </w:rPr>
        <w:t>根据首次执行本准则的累积影响数，调整首次执行本准则当年年初留存收益及财务报表 其他相关项目金额，不调整可比期间信息。</w:t>
      </w:r>
    </w:p>
    <w:p>
      <w:pPr>
        <w:pStyle w:val="Style33"/>
        <w:keepNext w:val="0"/>
        <w:keepLines w:val="0"/>
        <w:widowControl w:val="0"/>
        <w:shd w:val="clear" w:color="auto" w:fill="auto"/>
        <w:bidi w:val="0"/>
        <w:spacing w:before="0" w:after="200" w:line="293" w:lineRule="exact"/>
        <w:ind w:left="0" w:right="0" w:firstLine="0"/>
        <w:jc w:val="left"/>
      </w:pPr>
      <w:r>
        <w:rPr>
          <w:color w:val="000000"/>
          <w:spacing w:val="0"/>
          <w:w w:val="100"/>
          <w:position w:val="0"/>
        </w:rPr>
        <w:t>本公司按照新租赁准则的规定，对于首次执行日新租赁准则与现行租赁准则的差异追溯调整 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年年初留存收益。同时，本公司未对比较财务报表数据进行调整。</w:t>
      </w:r>
    </w:p>
    <w:p>
      <w:pPr>
        <w:pStyle w:val="Style33"/>
        <w:keepNext w:val="0"/>
        <w:keepLines w:val="0"/>
        <w:widowControl w:val="0"/>
        <w:shd w:val="clear" w:color="auto" w:fill="auto"/>
        <w:bidi w:val="0"/>
        <w:spacing w:before="0" w:after="200" w:line="317" w:lineRule="exact"/>
        <w:ind w:left="440" w:right="0" w:hanging="440"/>
        <w:jc w:val="both"/>
      </w:pPr>
      <w:r>
        <w:rPr>
          <w:color w:val="000000"/>
          <w:spacing w:val="0"/>
          <w:w w:val="100"/>
          <w:position w:val="0"/>
        </w:rPr>
        <w:t>•</w:t>
      </w:r>
      <w:r>
        <w:rPr>
          <w:color w:val="000000"/>
          <w:spacing w:val="0"/>
          <w:w w:val="100"/>
          <w:position w:val="0"/>
        </w:rPr>
        <w:t>对于首次执行日之前的融资租赁，本公司按照融资租入资产和应付融资租赁款的原账面 价值，分别计量使用权资产和租赁负债；</w:t>
      </w:r>
    </w:p>
    <w:p>
      <w:pPr>
        <w:pStyle w:val="Style33"/>
        <w:keepNext w:val="0"/>
        <w:keepLines w:val="0"/>
        <w:widowControl w:val="0"/>
        <w:shd w:val="clear" w:color="auto" w:fill="auto"/>
        <w:bidi w:val="0"/>
        <w:spacing w:before="0" w:after="200" w:line="312" w:lineRule="exact"/>
        <w:ind w:left="440" w:right="0" w:hanging="440"/>
        <w:jc w:val="both"/>
      </w:pPr>
      <w:r>
        <w:rPr>
          <w:color w:val="000000"/>
          <w:spacing w:val="0"/>
          <w:w w:val="100"/>
          <w:position w:val="0"/>
        </w:rPr>
        <w:t>•</w:t>
      </w:r>
      <w:r>
        <w:rPr>
          <w:color w:val="000000"/>
          <w:spacing w:val="0"/>
          <w:w w:val="100"/>
          <w:position w:val="0"/>
        </w:rPr>
        <w:t>对于首次执行日之前的经营租赁，本公司根据剩余租赁付款额按首次执行日的增量借款 利率折现的现值计量租赁负债，并对于所有租赁按照与租赁负债相等的金额，并根据预 付租金进行必要调整计量使用权资产。</w:t>
      </w:r>
      <w:r>
        <w:br w:type="page"/>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在首次执行日，本公司按照附注三、</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对使用权资产进行减值测试并进行相应的会计处</w:t>
      </w:r>
    </w:p>
    <w:p>
      <w:pPr>
        <w:pStyle w:val="Style33"/>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理。</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个月内完成的经营租 赁，采用简化处理，未确认使用权资产和租赁负债。</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本公司对于首次执行日之前的经营租赁，采用了下列简化处理：</w:t>
      </w:r>
    </w:p>
    <w:p>
      <w:pPr>
        <w:pStyle w:val="Style33"/>
        <w:keepNext w:val="0"/>
        <w:keepLines w:val="0"/>
        <w:widowControl w:val="0"/>
        <w:shd w:val="clear" w:color="auto" w:fill="auto"/>
        <w:bidi w:val="0"/>
        <w:spacing w:before="0" w:after="40" w:line="322" w:lineRule="exact"/>
        <w:ind w:left="0" w:right="0" w:firstLine="0"/>
        <w:jc w:val="both"/>
      </w:pPr>
      <w:r>
        <w:rPr>
          <w:color w:val="000000"/>
          <w:spacing w:val="0"/>
          <w:w w:val="100"/>
          <w:position w:val="0"/>
        </w:rPr>
        <w:t>•</w:t>
      </w:r>
      <w:r>
        <w:rPr>
          <w:color w:val="000000"/>
          <w:spacing w:val="0"/>
          <w:w w:val="100"/>
          <w:position w:val="0"/>
        </w:rPr>
        <w:t>计量租赁负债时，具有相似特征的租赁采用同一折现率；使用权资产的计量不包含初始</w:t>
      </w:r>
    </w:p>
    <w:p>
      <w:pPr>
        <w:pStyle w:val="Style3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直接费用；</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w:t>
      </w:r>
    </w:p>
    <w:p>
      <w:pPr>
        <w:pStyle w:val="Style3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他最新情况确定租赁期；</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作为使用权资产减值测试的替代，本公司评估包含租赁的合同在首次执行日前是否为亏</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损合同，并根据首次执行日前计入资产负债表的亏损准备金额调整使用权资产;</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首次执行日前的租赁变更，本公司根据租赁变更的最终安排进行会计处理。</w:t>
      </w:r>
    </w:p>
    <w:p>
      <w:pPr>
        <w:pStyle w:val="Style41"/>
        <w:keepNext/>
        <w:keepLines/>
        <w:widowControl w:val="0"/>
        <w:numPr>
          <w:ilvl w:val="0"/>
          <w:numId w:val="57"/>
        </w:numPr>
        <w:shd w:val="clear" w:color="auto" w:fill="auto"/>
        <w:bidi w:val="0"/>
        <w:spacing w:before="0" w:after="360" w:line="240" w:lineRule="auto"/>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重要会计估计变更</w:t>
      </w:r>
      <w:bookmarkEnd w:id="1044"/>
      <w:bookmarkEnd w:id="1045"/>
      <w:bookmarkEnd w:id="104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57"/>
        </w:numPr>
        <w:shd w:val="clear" w:color="auto" w:fill="auto"/>
        <w:tabs>
          <w:tab w:pos="493" w:val="left"/>
        </w:tabs>
        <w:bidi w:val="0"/>
        <w:spacing w:before="0" w:after="360" w:line="240" w:lineRule="auto"/>
        <w:ind w:left="0" w:right="0" w:firstLine="0"/>
        <w:jc w:val="both"/>
      </w:pPr>
      <w:bookmarkStart w:id="1048" w:name="bookmark1048"/>
      <w:bookmarkStart w:id="1049" w:name="bookmark1049"/>
      <w:bookmarkStart w:id="1050" w:name="bookmark1050"/>
      <w:bookmarkStart w:id="1051" w:name="bookmark1051"/>
      <w:bookmarkEnd w:id="105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8"/>
      <w:bookmarkEnd w:id="1049"/>
      <w:bookmarkEnd w:id="1051"/>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712470</wp:posOffset>
                </wp:positionH>
                <wp:positionV relativeFrom="paragraph">
                  <wp:posOffset>0</wp:posOffset>
                </wp:positionV>
                <wp:extent cx="2968625" cy="3072130"/>
                <wp:wrapTopAndBottom/>
                <wp:docPr id="12" name="Shape 12"/>
                <a:graphic xmlns:a="http://schemas.openxmlformats.org/drawingml/2006/main">
                  <a:graphicData uri="http://schemas.microsoft.com/office/word/2010/wordprocessingShape">
                    <wps:wsp>
                      <wps:cNvSpPr txBox="1"/>
                      <wps:spPr>
                        <a:xfrm>
                          <a:ext cx="2968625" cy="3072130"/>
                        </a:xfrm>
                        <a:prstGeom prst="rect"/>
                        <a:noFill/>
                      </wps:spPr>
                      <wps:txbx>
                        <w:txbxContent>
                          <w:tbl>
                            <w:tblPr>
                              <w:tblOverlap w:val="never"/>
                              <w:jc w:val="left"/>
                              <w:tblLayout w:type="fixed"/>
                            </w:tblPr>
                            <w:tblGrid>
                              <w:gridCol w:w="2213"/>
                              <w:gridCol w:w="2462"/>
                            </w:tblGrid>
                            <w:tr>
                              <w:trPr>
                                <w:tblHeade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237,155,865.85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913,793,228.30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6.100000000000001pt;margin-top:0;width:233.75pt;height:241.90000000000001pt;z-index:-125829365;mso-wrap-distance-left:0;mso-wrap-distance-right:0;mso-position-horizontal-relative:page" filled="f" stroked="f">
                <v:textbox inset="0,0,0,0">
                  <w:txbxContent>
                    <w:tbl>
                      <w:tblPr>
                        <w:tblOverlap w:val="never"/>
                        <w:jc w:val="left"/>
                        <w:tblLayout w:type="fixed"/>
                      </w:tblPr>
                      <w:tblGrid>
                        <w:gridCol w:w="2213"/>
                        <w:gridCol w:w="2462"/>
                      </w:tblGrid>
                      <w:tr>
                        <w:trPr>
                          <w:tblHeade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237,155,865.85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913,793,228.30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3669030</wp:posOffset>
                </wp:positionH>
                <wp:positionV relativeFrom="paragraph">
                  <wp:posOffset>0</wp:posOffset>
                </wp:positionV>
                <wp:extent cx="3127375" cy="3072130"/>
                <wp:wrapTopAndBottom/>
                <wp:docPr id="14" name="Shape 14"/>
                <a:graphic xmlns:a="http://schemas.openxmlformats.org/drawingml/2006/main">
                  <a:graphicData uri="http://schemas.microsoft.com/office/word/2010/wordprocessingShape">
                    <wps:wsp>
                      <wps:cNvSpPr txBox="1"/>
                      <wps:spPr>
                        <a:xfrm>
                          <a:ext cx="3127375" cy="3072130"/>
                        </a:xfrm>
                        <a:prstGeom prst="rect"/>
                        <a:noFill/>
                      </wps:spPr>
                      <wps:txbx>
                        <w:txbxContent>
                          <w:tbl>
                            <w:tblPr>
                              <w:tblOverlap w:val="never"/>
                              <w:jc w:val="left"/>
                              <w:tblLayout w:type="fixed"/>
                            </w:tblPr>
                            <w:tblGrid>
                              <w:gridCol w:w="2462"/>
                              <w:gridCol w:w="2462"/>
                            </w:tblGrid>
                            <w:tr>
                              <w:trPr>
                                <w:tblHeade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237,155,865.85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552,650,000.00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913,793,228.30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88.90000000000003pt;margin-top:0;width:246.25pt;height:241.90000000000001pt;z-index:-125829363;mso-wrap-distance-left:0;mso-wrap-distance-right:0;mso-position-horizontal-relative:page" filled="f" stroked="f">
                <v:textbox inset="0,0,0,0">
                  <w:txbxContent>
                    <w:tbl>
                      <w:tblPr>
                        <w:tblOverlap w:val="never"/>
                        <w:jc w:val="left"/>
                        <w:tblLayout w:type="fixed"/>
                      </w:tblPr>
                      <w:tblGrid>
                        <w:gridCol w:w="2462"/>
                        <w:gridCol w:w="2462"/>
                      </w:tblGrid>
                      <w:tr>
                        <w:trPr>
                          <w:tblHeade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237,155,865.85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552,650,000.00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913,793,228.30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15,716,727.13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15,716,727.13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31,603,533.89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31,603,533.89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49,681,193.66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49,681,193.66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461,149,296.35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461,149,296.35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2,345,520,921.46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2,345,520,921.46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72,208,284.32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72,208,284.32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132,948,288.25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132,948,288.25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170,434,359.28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170,434,359.28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138,987,445.05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138,987,445.05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36,252,729.72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36,252,729.72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35,310,460.25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35,310,460.25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317,429.34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317,429.34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43,995,859.30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43,995,859.30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792,613,485.56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799,539,762.18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3,138,134,407.02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3,145,060,683.64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195,496,965.54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195,496,965.54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12,709,283.05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12,709,283.05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98,363,778.32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98,363,778.32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44,794,427.86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44,794,427.86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4,050,115.39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4,050,115.39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2,323,296.51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2,323,296.51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357,737,866.67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357,737,866.67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10,310,392.28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10,310,392.28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12,910,392.28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19,836,668.90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370,648,258.95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377,574,535.57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1,102,486,112.00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1,102,486,112.00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61,720,512.30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61,720,512.30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-38,752,195.99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-38,752,195.99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270,820,605.43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270,820,605.43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1,248,258,642.88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1,248,258,642.88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2,644,533,676.62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2,644,533,676.62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122,952,471.45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122,952,471.45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2,767,486,148.07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2,767,486,148.07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3,138,134,407.02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3,145,060,683.64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6,926,276.62</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92,257,690.29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92,257,690.29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67,123,750.00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67,123,750.00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749,442,461.41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749,442,461.41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4,748,116.94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4,748,116.94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112,009,839.37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112,009,839.37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11,360,543.09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11,360,543.09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44,298,952.05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44,298,952.05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2,041,241,353.15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2,041,241,353.15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303,331,513.50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303,331,513.50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132,948,288.25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132,948,288.25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70,488,939.66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70,488,939.66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131,181,436.38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131,181,436.38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36,252,729.72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36,252,729.72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27,357,299.74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27,357,299.74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864,003,984.45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869,282,946.69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2,905,245,337.60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2,910,524,299.84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191,861,682.35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191,861,682.35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7,490,515.57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7,490,515.57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67,595,756.52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67,595,756.52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26,041,825.22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26,041,825.22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17,095,081.83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17,095,081.83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1,777,664.22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1,777,664.22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311,862,525.71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311,862,525.71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5,278,962.24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8,931,585.06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8,931,585.06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11,531,585.06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16,810,547.30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323,394,110.77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328,673,073.01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1,102,486,112.00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1,102,486,112.00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64,774,276.18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64,774,276.18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-38,731,319.26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-38,731,319.26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270,758,428.41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270,758,428.41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1,182,563,729.50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1,182,563,729.50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2,581,851,226.83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2,581,851,226.83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2,905,245,337.60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2,910,524,299.84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5,278,962.24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1"/>
        <w:keepNext/>
        <w:keepLines/>
        <w:widowControl w:val="0"/>
        <w:shd w:val="clear" w:color="auto" w:fill="auto"/>
        <w:tabs>
          <w:tab w:pos="493" w:val="left"/>
        </w:tabs>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shd w:val="clear" w:color="auto" w:fill="FFFFFF"/>
        </w:rPr>
        <w:t>（</w:t>
      </w:r>
      <w:bookmarkEnd w:id="105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2"/>
      <w:bookmarkEnd w:id="1053"/>
      <w:bookmarkEnd w:id="105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56"/>
      <w:bookmarkEnd w:id="1057"/>
      <w:bookmarkEnd w:id="1058"/>
    </w:p>
    <w:p>
      <w:pPr>
        <w:pStyle w:val="Style24"/>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六</w:t>
      </w:r>
      <w:bookmarkEnd w:id="1061"/>
      <w:r>
        <w:rPr>
          <w:color w:val="000000"/>
          <w:spacing w:val="0"/>
          <w:w w:val="100"/>
          <w:position w:val="0"/>
        </w:rPr>
        <w:t>、税项</w:t>
      </w:r>
      <w:bookmarkEnd w:id="1059"/>
      <w:bookmarkEnd w:id="1060"/>
      <w:bookmarkEnd w:id="1062"/>
    </w:p>
    <w:p>
      <w:pPr>
        <w:pStyle w:val="Style29"/>
        <w:keepNext/>
        <w:keepLines/>
        <w:widowControl w:val="0"/>
        <w:shd w:val="clear" w:color="auto" w:fill="auto"/>
        <w:bidi w:val="0"/>
        <w:spacing w:before="0" w:after="32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color w:val="000000"/>
          <w:spacing w:val="0"/>
          <w:w w:val="100"/>
          <w:position w:val="0"/>
        </w:rPr>
        <w:t>、主要税种及税率</w:t>
      </w:r>
      <w:bookmarkEnd w:id="1063"/>
      <w:bookmarkEnd w:id="1064"/>
      <w:bookmarkEnd w:id="1066"/>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详见下表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远光软件股份有限公司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南京远光广安信息科技有限公司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远光软件（北京）有限公司</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远光软件（武汉）有限公司</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长沙远光瑞翔科技有限公司</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珠海远光移动互联科技有限公司</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杭州昊美科技有限公司</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远光信息技术（澳门）有限公司</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杭州微能智能科技有限公司</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杭州昊美电力工程有限公司</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珠海远光晴天能源科技有限公司</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佛山市晴方太阳能科技有限公司</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珠海智行慧达商务旅行社有限公司</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1067" w:name="bookmark10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067"/>
    </w:p>
    <w:p>
      <w:pPr>
        <w:widowControl w:val="0"/>
        <w:spacing w:after="299" w:line="1" w:lineRule="exact"/>
      </w:pPr>
    </w:p>
    <w:p>
      <w:pPr>
        <w:pStyle w:val="Style33"/>
        <w:keepNext w:val="0"/>
        <w:keepLines w:val="0"/>
        <w:widowControl w:val="0"/>
        <w:shd w:val="clear" w:color="auto" w:fill="auto"/>
        <w:tabs>
          <w:tab w:pos="492" w:val="left"/>
        </w:tabs>
        <w:bidi w:val="0"/>
        <w:spacing w:before="0" w:after="200" w:line="312" w:lineRule="exact"/>
        <w:ind w:left="0" w:right="0" w:firstLine="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增值税</w:t>
      </w:r>
    </w:p>
    <w:p>
      <w:pPr>
        <w:pStyle w:val="Style3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根据《财政部国家税务总局海关总署关于深化增值税改革有关政策的公告》（财政部国家 税务总局海关总署公告</w:t>
      </w:r>
      <w:r>
        <w:rPr>
          <w:rFonts w:ascii="Times New Roman" w:eastAsia="Times New Roman" w:hAnsi="Times New Roman" w:cs="Times New Roman"/>
          <w:color w:val="000000"/>
          <w:spacing w:val="0"/>
          <w:w w:val="100"/>
          <w:position w:val="0"/>
          <w:sz w:val="24"/>
          <w:szCs w:val="24"/>
        </w:rPr>
        <w:t>[2019]39</w:t>
      </w:r>
      <w:r>
        <w:rPr>
          <w:color w:val="000000"/>
          <w:spacing w:val="0"/>
          <w:w w:val="100"/>
          <w:position w:val="0"/>
        </w:rPr>
        <w:t>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的法定税率计缴增值税， 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部分经主管国家税务局审核后实行即征即退政策。</w:t>
      </w:r>
    </w:p>
    <w:p>
      <w:pPr>
        <w:pStyle w:val="Style33"/>
        <w:keepNext w:val="0"/>
        <w:keepLines w:val="0"/>
        <w:widowControl w:val="0"/>
        <w:shd w:val="clear" w:color="auto" w:fill="auto"/>
        <w:tabs>
          <w:tab w:pos="492" w:val="left"/>
        </w:tabs>
        <w:bidi w:val="0"/>
        <w:spacing w:before="0" w:after="200" w:line="312" w:lineRule="exact"/>
        <w:ind w:left="0" w:right="0" w:firstLine="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企业所得税</w:t>
      </w:r>
    </w:p>
    <w:p>
      <w:pPr>
        <w:pStyle w:val="Style33"/>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日，公司经广东省科学技术厅、广东省财政局、国家税务总局广东省税务局 批准，公司被认定为高新技术企业，高新技术企业认定证书编号为：</w:t>
      </w:r>
      <w:r>
        <w:rPr>
          <w:rFonts w:ascii="Times New Roman" w:eastAsia="Times New Roman" w:hAnsi="Times New Roman" w:cs="Times New Roman"/>
          <w:color w:val="000000"/>
          <w:spacing w:val="0"/>
          <w:w w:val="100"/>
          <w:position w:val="0"/>
          <w:sz w:val="24"/>
          <w:szCs w:val="24"/>
        </w:rPr>
        <w:t>GR202044005064</w:t>
      </w:r>
      <w:r>
        <w:rPr>
          <w:color w:val="000000"/>
          <w:spacing w:val="0"/>
          <w:w w:val="100"/>
          <w:position w:val="0"/>
        </w:rPr>
        <w:t>号，证 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根据《关于软件和集成电路产业企业所得税优惠政策有关问题的通知》（财税</w:t>
      </w:r>
      <w:r>
        <w:rPr>
          <w:rFonts w:ascii="Times New Roman" w:eastAsia="Times New Roman" w:hAnsi="Times New Roman" w:cs="Times New Roman"/>
          <w:color w:val="000000"/>
          <w:spacing w:val="0"/>
          <w:w w:val="100"/>
          <w:position w:val="0"/>
          <w:sz w:val="24"/>
          <w:szCs w:val="24"/>
        </w:rPr>
        <w:t>[2016]49</w:t>
      </w:r>
      <w:r>
        <w:rPr>
          <w:color w:val="000000"/>
          <w:spacing w:val="0"/>
          <w:w w:val="100"/>
          <w:position w:val="0"/>
        </w:rPr>
        <w:t>号） 的规定，从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年开始，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实行备案制。公司</w:t>
      </w:r>
      <w:r>
        <w:rPr>
          <w:rFonts w:ascii="Times New Roman" w:eastAsia="Times New Roman" w:hAnsi="Times New Roman" w:cs="Times New Roman"/>
          <w:color w:val="000000"/>
          <w:spacing w:val="0"/>
          <w:w w:val="100"/>
          <w:position w:val="0"/>
          <w:sz w:val="24"/>
          <w:szCs w:val="24"/>
        </w:rPr>
        <w:t>2015-2017</w:t>
      </w:r>
      <w:r>
        <w:rPr>
          <w:color w:val="000000"/>
          <w:spacing w:val="0"/>
          <w:w w:val="100"/>
          <w:position w:val="0"/>
        </w:rPr>
        <w:t>年已完 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备案，按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的税率计缴企业所得税。</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根据国家税务总局关于发布修订后的《企业所得税优惠政策事项办理办法》（国家税务总局 公告</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号）的规定，企业享受优惠事项采取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自行判别、申报享受、相关资料留存备 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的办理方式，无需再履行备案手续，公司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年各项指标均符合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国家规划布局内 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的要求，按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的税率计缴企业所得税。</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根据《关于做好享受税收优惠政策的集成电路企业或项目、软件企业清单制定工作有关要求 的通知》（发改高技〔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413</w:t>
      </w:r>
      <w:r>
        <w:rPr>
          <w:color w:val="000000"/>
          <w:spacing w:val="0"/>
          <w:w w:val="100"/>
          <w:position w:val="0"/>
        </w:rPr>
        <w:t>号），公司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年度各项指标均符合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国家规划布局内重点 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的要求，按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的税率计缴企业所得税。</w:t>
      </w:r>
    </w:p>
    <w:p>
      <w:pPr>
        <w:pStyle w:val="Style33"/>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日，子公司南京远光广安信息科技有限公司经江苏省科学技术厅、江苏省财 政厅、国家税务总局江苏省税务局批准，公司被认定为高新技术企业，高新技术企业认定证 书编号为：</w:t>
      </w:r>
      <w:r>
        <w:rPr>
          <w:rFonts w:ascii="Times New Roman" w:eastAsia="Times New Roman" w:hAnsi="Times New Roman" w:cs="Times New Roman"/>
          <w:color w:val="000000"/>
          <w:spacing w:val="0"/>
          <w:w w:val="100"/>
          <w:position w:val="0"/>
          <w:sz w:val="24"/>
          <w:szCs w:val="24"/>
        </w:rPr>
        <w:t>GR201932008392</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的税率计缴企业所得税。</w:t>
      </w:r>
    </w:p>
    <w:p>
      <w:pPr>
        <w:pStyle w:val="Style33"/>
        <w:keepNext w:val="0"/>
        <w:keepLines w:val="0"/>
        <w:widowControl w:val="0"/>
        <w:shd w:val="clear" w:color="auto" w:fill="auto"/>
        <w:bidi w:val="0"/>
        <w:spacing w:before="0" w:after="200" w:line="317" w:lineRule="exact"/>
        <w:ind w:left="0" w:right="0" w:firstLine="0"/>
        <w:jc w:val="both"/>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日，子公司远光软件（北京）有限公司经北京市科学技术委员会、北京市财 政局、北京市国家税务局、北京市地方税务局批准，公司被认定为高新技术企业，高新技术 企业认定证书编号为：</w:t>
      </w:r>
      <w:r>
        <w:rPr>
          <w:rFonts w:ascii="Times New Roman" w:eastAsia="Times New Roman" w:hAnsi="Times New Roman" w:cs="Times New Roman"/>
          <w:color w:val="000000"/>
          <w:spacing w:val="0"/>
          <w:w w:val="100"/>
          <w:position w:val="0"/>
          <w:sz w:val="24"/>
          <w:szCs w:val="24"/>
        </w:rPr>
        <w:t>GR202011000763</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的税率计缴企业 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、根据《关于软件和集成电路产业企业所得税优惠政策有关问题的通知》</w:t>
      </w:r>
      <w:r>
        <w:rPr>
          <w:color w:val="000000"/>
          <w:spacing w:val="0"/>
          <w:w w:val="100"/>
          <w:position w:val="0"/>
          <w:sz w:val="24"/>
          <w:szCs w:val="24"/>
        </w:rPr>
        <w:t>，</w:t>
      </w:r>
      <w:r>
        <w:rPr>
          <w:color w:val="000000"/>
          <w:spacing w:val="0"/>
          <w:w w:val="100"/>
          <w:position w:val="0"/>
        </w:rPr>
        <w:t xml:space="preserve">软件企业自获利 </w:t>
      </w:r>
      <w:r>
        <w:rPr>
          <w:color w:val="000000"/>
          <w:spacing w:val="0"/>
          <w:w w:val="100"/>
          <w:position w:val="0"/>
        </w:rPr>
        <w:t>年度起计算优惠期</w:t>
      </w:r>
      <w:r>
        <w:rPr>
          <w:color w:val="000000"/>
          <w:spacing w:val="0"/>
          <w:w w:val="100"/>
          <w:position w:val="0"/>
          <w:sz w:val="24"/>
          <w:szCs w:val="24"/>
        </w:rPr>
        <w:t>，</w:t>
      </w:r>
      <w:r>
        <w:rPr>
          <w:color w:val="000000"/>
          <w:spacing w:val="0"/>
          <w:w w:val="100"/>
          <w:position w:val="0"/>
        </w:rPr>
        <w:t>第一年至第二年免征企业所得税，第三年至第五年按照</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的法定税率减 半征收企业所得税。子公司远光软件（武汉）有限公司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年获评软件企业，且本期为自获 利年度起的第一个年度，按</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的税率计缴企业所得税；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日，子公司长沙远光瑞翔科技有限公司经湖南省科学技术厅、湖南省财政厅、 国家税务总局湖南省税务局批准，公司被认定为高新技术企业，高新技术企业认定证书编号 为：</w:t>
      </w:r>
      <w:r>
        <w:rPr>
          <w:rFonts w:ascii="Times New Roman" w:eastAsia="Times New Roman" w:hAnsi="Times New Roman" w:cs="Times New Roman"/>
          <w:color w:val="000000"/>
          <w:spacing w:val="0"/>
          <w:w w:val="100"/>
          <w:position w:val="0"/>
          <w:sz w:val="24"/>
          <w:szCs w:val="24"/>
        </w:rPr>
        <w:t>GR20214300188</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的税率计缴企业所得税。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日，子公司珠海远光移动互联科技有限公司经广东省科学技术厅、广东省 财政厅、国家税务总局广东税务局批准，公司被认定为高新技术企业，高新技术企业认定证 书编号为：</w:t>
      </w:r>
      <w:r>
        <w:rPr>
          <w:rFonts w:ascii="Times New Roman" w:eastAsia="Times New Roman" w:hAnsi="Times New Roman" w:cs="Times New Roman"/>
          <w:color w:val="000000"/>
          <w:spacing w:val="0"/>
          <w:w w:val="100"/>
          <w:position w:val="0"/>
          <w:sz w:val="24"/>
          <w:szCs w:val="24"/>
        </w:rPr>
        <w:t>GR202144012564</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的税率计缴企业所得税。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日，子公司杭州昊美科技有限公司经浙江省科学技术厅、浙江省财政厅、浙 江省国家税务局、浙江省地方税务局批准，公司被认定为高新技术企业，高新技术企业认定 证书编号为：</w:t>
      </w:r>
      <w:r>
        <w:rPr>
          <w:rFonts w:ascii="Times New Roman" w:eastAsia="Times New Roman" w:hAnsi="Times New Roman" w:cs="Times New Roman"/>
          <w:color w:val="000000"/>
          <w:spacing w:val="0"/>
          <w:w w:val="100"/>
          <w:position w:val="0"/>
          <w:sz w:val="24"/>
          <w:szCs w:val="24"/>
        </w:rPr>
        <w:t>GR202033000046</w:t>
      </w:r>
      <w:r>
        <w:rPr>
          <w:color w:val="000000"/>
          <w:spacing w:val="0"/>
          <w:w w:val="100"/>
          <w:position w:val="0"/>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的税率计缴企业所得税。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*8</w:t>
      </w:r>
      <w:r>
        <w:rPr>
          <w:color w:val="000000"/>
          <w:spacing w:val="0"/>
          <w:w w:val="100"/>
          <w:position w:val="0"/>
        </w:rPr>
        <w:t>、远光信息技术（澳门）有限公司执行澳门地区的企业所得税政策，课税收益在澳门币</w:t>
      </w:r>
      <w:r>
        <w:rPr>
          <w:rFonts w:ascii="Times New Roman" w:eastAsia="Times New Roman" w:hAnsi="Times New Roman" w:cs="Times New Roman"/>
          <w:color w:val="000000"/>
          <w:spacing w:val="0"/>
          <w:w w:val="100"/>
          <w:position w:val="0"/>
          <w:sz w:val="24"/>
          <w:szCs w:val="24"/>
        </w:rPr>
        <w:t xml:space="preserve">60 </w:t>
      </w:r>
      <w:r>
        <w:rPr>
          <w:color w:val="000000"/>
          <w:spacing w:val="0"/>
          <w:w w:val="100"/>
          <w:position w:val="0"/>
        </w:rPr>
        <w:t>万元以上者，税率为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，澳门币</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万元以下者，免税。</w:t>
      </w:r>
    </w:p>
    <w:p>
      <w:pPr>
        <w:pStyle w:val="Style33"/>
        <w:keepNext w:val="0"/>
        <w:keepLines w:val="0"/>
        <w:widowControl w:val="0"/>
        <w:shd w:val="clear" w:color="auto" w:fill="auto"/>
        <w:bidi w:val="0"/>
        <w:spacing w:before="0" w:after="220" w:line="322" w:lineRule="exact"/>
        <w:ind w:left="0" w:right="0" w:firstLine="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、根据小型微利企业的税收优惠政策，杭州微能智能科技有限公司本期年应纳税所得额不 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万元的部分按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计缴企业所得税，年应纳税所得额超过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万元的 部分按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计缴企业所得税。</w:t>
      </w:r>
    </w:p>
    <w:p>
      <w:pPr>
        <w:pStyle w:val="Style33"/>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、根据小型微利企业的税收优惠政策，杭州昊美电力工程有限公司本期年应纳税所得额不 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万元的部分按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计缴企业所得税，年应纳税所得额超过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万元的 部分按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计缴企业所得税。</w:t>
      </w:r>
    </w:p>
    <w:p>
      <w:pPr>
        <w:pStyle w:val="Style33"/>
        <w:keepNext w:val="0"/>
        <w:keepLines w:val="0"/>
        <w:widowControl w:val="0"/>
        <w:shd w:val="clear" w:color="auto" w:fill="auto"/>
        <w:bidi w:val="0"/>
        <w:spacing w:before="0" w:after="220" w:line="298" w:lineRule="exact"/>
        <w:ind w:left="0" w:right="0" w:firstLine="0"/>
        <w:jc w:val="both"/>
      </w:pP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、根据小型微利企业的税收优惠政策，珠海远光晴天能源科技有限公司本期年应纳税所得 额未超过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万元，本期按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的税率计缴企业所得税。</w:t>
      </w:r>
    </w:p>
    <w:p>
      <w:pPr>
        <w:pStyle w:val="Style33"/>
        <w:keepNext w:val="0"/>
        <w:keepLines w:val="0"/>
        <w:widowControl w:val="0"/>
        <w:shd w:val="clear" w:color="auto" w:fill="auto"/>
        <w:bidi w:val="0"/>
        <w:spacing w:before="0" w:after="220" w:line="307" w:lineRule="exact"/>
        <w:ind w:left="0" w:right="0" w:firstLine="0"/>
        <w:jc w:val="both"/>
      </w:pP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、根据小型微利企业的税收优惠政策，佛山市晴方太阳能科技有限公司本期年应纳税所得 额未超过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万元，本期按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的税率计缴企业所得税。</w:t>
      </w:r>
    </w:p>
    <w:p>
      <w:pPr>
        <w:pStyle w:val="Style33"/>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、根据小型微利企业的税收优惠政策，珠海智行慧达商务旅行社有限公司本期年应纳税所 得额不超过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万元的部分按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计缴企业所得税，年应纳税所得额超过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24"/>
          <w:szCs w:val="24"/>
        </w:rPr>
        <w:t xml:space="preserve">300 </w:t>
      </w:r>
      <w:r>
        <w:rPr>
          <w:color w:val="000000"/>
          <w:spacing w:val="0"/>
          <w:w w:val="100"/>
          <w:position w:val="0"/>
        </w:rPr>
        <w:t>万元的部分按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计缴企业所得税。</w:t>
      </w:r>
    </w:p>
    <w:p>
      <w:pPr>
        <w:pStyle w:val="Style18"/>
        <w:keepNext w:val="0"/>
        <w:keepLines w:val="0"/>
        <w:widowControl w:val="0"/>
        <w:shd w:val="clear" w:color="auto" w:fill="auto"/>
        <w:bidi w:val="0"/>
        <w:spacing w:before="0" w:after="380" w:line="32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报告期公司及其子公司享受软件产品增值税优惠政策，收到软件增值税即征即退款项</w:t>
      </w:r>
      <w:r>
        <w:rPr>
          <w:rFonts w:ascii="Times New Roman" w:eastAsia="Times New Roman" w:hAnsi="Times New Roman" w:cs="Times New Roman"/>
          <w:color w:val="000000"/>
          <w:spacing w:val="0"/>
          <w:w w:val="100"/>
          <w:position w:val="0"/>
          <w:sz w:val="18"/>
          <w:szCs w:val="18"/>
        </w:rPr>
        <w:t>5,210,613.95</w:t>
      </w:r>
      <w:r>
        <w:rPr>
          <w:color w:val="000000"/>
          <w:spacing w:val="0"/>
          <w:w w:val="100"/>
          <w:position w:val="0"/>
        </w:rPr>
        <w:t xml:space="preserve">元，增加利润总额 </w:t>
      </w:r>
      <w:r>
        <w:rPr>
          <w:rFonts w:ascii="Times New Roman" w:eastAsia="Times New Roman" w:hAnsi="Times New Roman" w:cs="Times New Roman"/>
          <w:color w:val="000000"/>
          <w:spacing w:val="0"/>
          <w:w w:val="100"/>
          <w:position w:val="0"/>
          <w:sz w:val="18"/>
          <w:szCs w:val="18"/>
        </w:rPr>
        <w:t xml:space="preserve">5,210,613.95 </w:t>
      </w:r>
      <w:r>
        <w:rPr>
          <w:color w:val="000000"/>
          <w:spacing w:val="0"/>
          <w:w w:val="100"/>
          <w:position w:val="0"/>
        </w:rPr>
        <w:t>元；</w:t>
      </w:r>
    </w:p>
    <w:p>
      <w:pPr>
        <w:pStyle w:val="Style18"/>
        <w:keepNext w:val="0"/>
        <w:keepLines w:val="0"/>
        <w:widowControl w:val="0"/>
        <w:shd w:val="clear" w:color="auto" w:fill="auto"/>
        <w:bidi w:val="0"/>
        <w:spacing w:before="0" w:after="220" w:line="324" w:lineRule="exact"/>
        <w:ind w:left="0" w:right="0" w:firstLine="0"/>
        <w:jc w:val="both"/>
      </w:pPr>
      <w:r>
        <w:rPr>
          <w:color w:val="000000"/>
          <w:spacing w:val="0"/>
          <w:w w:val="100"/>
          <w:position w:val="0"/>
        </w:rPr>
        <w:t>报告期公司及子公司享受研发费加计扣除与企业所得税优惠政策，减少所得税费用</w:t>
      </w:r>
      <w:r>
        <w:rPr>
          <w:rFonts w:ascii="Times New Roman" w:eastAsia="Times New Roman" w:hAnsi="Times New Roman" w:cs="Times New Roman"/>
          <w:color w:val="000000"/>
          <w:spacing w:val="0"/>
          <w:w w:val="100"/>
          <w:position w:val="0"/>
          <w:sz w:val="18"/>
          <w:szCs w:val="18"/>
        </w:rPr>
        <w:t>49,359,668.12</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color w:val="000000"/>
          <w:spacing w:val="0"/>
          <w:w w:val="100"/>
          <w:position w:val="0"/>
        </w:rPr>
        <w:t>、其他</w:t>
      </w:r>
      <w:bookmarkEnd w:id="1070"/>
      <w:bookmarkEnd w:id="1071"/>
      <w:bookmarkEnd w:id="1073"/>
    </w:p>
    <w:p>
      <w:pPr>
        <w:pStyle w:val="Style24"/>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七</w:t>
      </w:r>
      <w:bookmarkEnd w:id="1076"/>
      <w:r>
        <w:rPr>
          <w:color w:val="000000"/>
          <w:spacing w:val="0"/>
          <w:w w:val="100"/>
          <w:position w:val="0"/>
        </w:rPr>
        <w:t>、合并财务报表项目注释</w:t>
      </w:r>
      <w:bookmarkEnd w:id="1074"/>
      <w:bookmarkEnd w:id="1075"/>
      <w:bookmarkEnd w:id="1077"/>
    </w:p>
    <w:p>
      <w:pPr>
        <w:pStyle w:val="Style29"/>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color w:val="000000"/>
          <w:spacing w:val="0"/>
          <w:w w:val="100"/>
          <w:position w:val="0"/>
        </w:rPr>
        <w:t>、货币资金</w:t>
      </w:r>
      <w:bookmarkEnd w:id="1078"/>
      <w:bookmarkEnd w:id="1079"/>
      <w:bookmarkEnd w:id="10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246,038,256.62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224,042,592.87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11,775,155.52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13,056,471.03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257,843,994.79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237,155,865.85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1,673,717.15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1,147,796.70</w:t>
            </w:r>
          </w:p>
        </w:tc>
      </w:tr>
    </w:tbl>
    <w:p>
      <w:pPr>
        <w:pStyle w:val="Style18"/>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期末其他货币资金为存出投资款、外埠存款、履约保函存款等，其中保函保证金存款</w:t>
      </w:r>
      <w:r>
        <w:rPr>
          <w:rFonts w:ascii="Times New Roman" w:eastAsia="Times New Roman" w:hAnsi="Times New Roman" w:cs="Times New Roman"/>
          <w:color w:val="000000"/>
          <w:spacing w:val="0"/>
          <w:w w:val="100"/>
          <w:position w:val="0"/>
          <w:sz w:val="18"/>
          <w:szCs w:val="18"/>
        </w:rPr>
        <w:t>11,733,926.69</w:t>
      </w:r>
      <w:r>
        <w:rPr>
          <w:color w:val="000000"/>
          <w:spacing w:val="0"/>
          <w:w w:val="100"/>
          <w:position w:val="0"/>
        </w:rPr>
        <w:t>元，因使用受限从现金流 量表的现金及现金等价物中扣除。</w:t>
      </w:r>
    </w:p>
    <w:p>
      <w:pPr>
        <w:pStyle w:val="Style29"/>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color w:val="000000"/>
          <w:spacing w:val="0"/>
          <w:w w:val="100"/>
          <w:position w:val="0"/>
        </w:rPr>
        <w:t>、交易性金融资产</w:t>
      </w:r>
      <w:bookmarkEnd w:id="1082"/>
      <w:bookmarkEnd w:id="1083"/>
      <w:bookmarkEnd w:id="10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552,650,000.00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302,650,000.00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552,650,000.00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、衍生金融资产</w:t>
      </w:r>
      <w:bookmarkEnd w:id="1086"/>
      <w:bookmarkEnd w:id="1087"/>
      <w:bookmarkEnd w:id="10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4</w:t>
      </w:r>
      <w:bookmarkEnd w:id="1092"/>
      <w:r>
        <w:rPr>
          <w:color w:val="000000"/>
          <w:spacing w:val="0"/>
          <w:w w:val="100"/>
          <w:position w:val="0"/>
        </w:rPr>
        <w:t>、应收票据</w:t>
      </w:r>
      <w:bookmarkEnd w:id="1090"/>
      <w:bookmarkEnd w:id="1091"/>
      <w:bookmarkEnd w:id="1093"/>
    </w:p>
    <w:p>
      <w:pPr>
        <w:pStyle w:val="Style41"/>
        <w:keepNext/>
        <w:keepLines/>
        <w:widowControl w:val="0"/>
        <w:numPr>
          <w:ilvl w:val="0"/>
          <w:numId w:val="59"/>
        </w:numPr>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应收票据分类列示</w:t>
      </w:r>
      <w:bookmarkEnd w:id="1094"/>
      <w:bookmarkEnd w:id="1095"/>
      <w:bookmarkEnd w:id="10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45,752,312.48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29,603,812.47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33,893,632.55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46,416,582.62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79,645,945.03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76,020,395.09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81,187,3</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1,541,42</w:t>
            </w:r>
          </w:p>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79,645,94</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77,953,29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1,932,900.8</w:t>
            </w:r>
          </w:p>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35,435,0</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1,541,42</w:t>
            </w:r>
          </w:p>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33,893,63</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48,349,48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1,932,900.8</w:t>
            </w:r>
          </w:p>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46,416,58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45,752,3</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45,752,31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29,603,81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29,603,81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81,187,3</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1,541,42</w:t>
            </w:r>
          </w:p>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79,645,94</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77,953,29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1,932,900.8</w:t>
            </w:r>
          </w:p>
          <w:p>
            <w:pPr>
              <w:pStyle w:val="Style20"/>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76,020,39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按组合计提坏账准备：商业承兑汇票</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35,435,057.55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35,435,057.55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1,541,425.00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8"/>
      <w:bookmarkEnd w:id="1099"/>
      <w:bookmarkEnd w:id="110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应收票据坏账准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1,932,900.83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-391,475.83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1,541,425.00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1,932,900.83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-391,475.83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1,541,425.00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02"/>
      <w:bookmarkEnd w:id="1103"/>
      <w:bookmarkEnd w:id="11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06"/>
      <w:bookmarkEnd w:id="1107"/>
      <w:bookmarkEnd w:id="11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3,305,381.60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1,331,775.00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3,305,381.60</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10"/>
      <w:bookmarkEnd w:id="1111"/>
      <w:bookmarkEnd w:id="11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61"/>
        </w:numPr>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本期实际核销的应收票据情况</w:t>
      </w:r>
      <w:bookmarkEnd w:id="1114"/>
      <w:bookmarkEnd w:id="1115"/>
      <w:bookmarkEnd w:id="11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tabs>
                <w:tab w:pos="1382" w:val="left"/>
                <w:tab w:pos="3178"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款项是否由关联交</w:t>
            </w:r>
          </w:p>
          <w:p>
            <w:pPr>
              <w:pStyle w:val="Style20"/>
              <w:keepNext w:val="0"/>
              <w:keepLines w:val="0"/>
              <w:widowControl w:val="0"/>
              <w:shd w:val="clear" w:color="auto" w:fill="auto"/>
              <w:tabs>
                <w:tab w:pos="1765" w:val="left"/>
                <w:tab w:pos="3757"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tab/>
            </w:r>
            <w:r>
              <w:rPr>
                <w:color w:val="000000"/>
                <w:spacing w:val="0"/>
                <w:w w:val="100"/>
                <w:position w:val="0"/>
                <w:sz w:val="17"/>
                <w:szCs w:val="17"/>
              </w:rPr>
              <w:t>L —</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580" w:firstLine="0"/>
              <w:jc w:val="right"/>
              <w:rPr>
                <w:sz w:val="17"/>
                <w:szCs w:val="17"/>
              </w:rPr>
            </w:pPr>
            <w:r>
              <w:rPr>
                <w:color w:val="000000"/>
                <w:spacing w:val="0"/>
                <w:w w:val="100"/>
                <w:position w:val="0"/>
                <w:sz w:val="17"/>
                <w:szCs w:val="17"/>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5</w:t>
      </w:r>
      <w:bookmarkEnd w:id="1120"/>
      <w:r>
        <w:rPr>
          <w:color w:val="000000"/>
          <w:spacing w:val="0"/>
          <w:w w:val="100"/>
          <w:position w:val="0"/>
        </w:rPr>
        <w:t>、应收账款</w:t>
      </w:r>
      <w:bookmarkEnd w:id="1118"/>
      <w:bookmarkEnd w:id="1119"/>
      <w:bookmarkEnd w:id="1121"/>
    </w:p>
    <w:p>
      <w:pPr>
        <w:pStyle w:val="Style41"/>
        <w:keepNext/>
        <w:keepLines/>
        <w:widowControl w:val="0"/>
        <w:numPr>
          <w:ilvl w:val="0"/>
          <w:numId w:val="63"/>
        </w:numPr>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应收账款分类披露</w:t>
      </w:r>
      <w:bookmarkEnd w:id="1122"/>
      <w:bookmarkEnd w:id="1123"/>
      <w:bookmarkEnd w:id="11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8,125,24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8,125,24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8,125,244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8,125,244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1,315,13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190,644,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1,124,488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1,088,859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175,066,0</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913,793,22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应收其他客户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1,315,13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190,644,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1,124,488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1,088,859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175,066,0</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913,793,22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1,323,25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7,773.78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1,124,488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1,096,984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183,191,2</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913,793,22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8,125,244.60</w:t>
      </w:r>
      <w:r>
        <w:rPr>
          <w:color w:val="000000"/>
          <w:spacing w:val="0"/>
          <w:w w:val="100"/>
          <w:position w:val="0"/>
        </w:rPr>
        <w:t>元</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远光共创智能科技股份</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5,666,944.60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2,458,300.00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8,125,244.60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8,125,244.60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945,531,568.18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41,130,623.20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194,346,975.95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30,279,258.86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47,203,412.53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13,877,803.29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49,537,242.65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31,550,269.84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63.69%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i/>
                <w:iCs/>
                <w:color w:val="000000"/>
                <w:spacing w:val="0"/>
                <w:w w:val="100"/>
                <w:position w:val="0"/>
                <w:sz w:val="17"/>
                <w:szCs w:val="17"/>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35,929,462.40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31,222,702.83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42,583,867.47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42,583,867.47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1,315,132,529.18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190,644,525.49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本公司根据以往的历史经验对应收款项计提比例作出最佳估计，参考应收款项的账龄进行信用风险组合分类。</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945,531,568.18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194,346,975.95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47,203,412.53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136,175,817.12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49,584,242.65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41,759,845.22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44,831,729.25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1,323,257,773.78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r>
        <w:br w:type="page"/>
      </w:r>
    </w:p>
    <w:p>
      <w:pPr>
        <w:pStyle w:val="Style41"/>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6"/>
      <w:bookmarkEnd w:id="1127"/>
      <w:bookmarkEnd w:id="1129"/>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应收账款坏账准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183,191,284.45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15,578,485.64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198,769,770.09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183,191,284.45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15,578,485.64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198,769,770.09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30"/>
      <w:bookmarkEnd w:id="1131"/>
      <w:bookmarkEnd w:id="11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tabs>
                <w:tab w:pos="1406" w:val="left"/>
                <w:tab w:pos="3182"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应收账款性质</w:t>
              <w:tab/>
              <w:t>核销金额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款项是否由关联交</w:t>
            </w:r>
          </w:p>
          <w:p>
            <w:pPr>
              <w:pStyle w:val="Style20"/>
              <w:keepNext w:val="0"/>
              <w:keepLines w:val="0"/>
              <w:widowControl w:val="0"/>
              <w:shd w:val="clear" w:color="auto" w:fill="auto"/>
              <w:tabs>
                <w:tab w:pos="1765"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3720" w:right="0" w:firstLine="0"/>
              <w:jc w:val="left"/>
              <w:rPr>
                <w:sz w:val="17"/>
                <w:szCs w:val="17"/>
              </w:rPr>
            </w:pPr>
            <w:r>
              <w:rPr>
                <w:color w:val="000000"/>
                <w:spacing w:val="0"/>
                <w:w w:val="100"/>
                <w:position w:val="0"/>
                <w:sz w:val="17"/>
                <w:szCs w:val="17"/>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4"/>
      <w:bookmarkEnd w:id="1135"/>
      <w:bookmarkEnd w:id="11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85,355,352.00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24,784,859.01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70,677,542.10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6,503,990.41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53,453,769.95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2,325,238.99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51,803,075.50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2,936,927.33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50,295,461.20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2,187,852.56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311,585,200.75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138"/>
      <w:bookmarkEnd w:id="1139"/>
      <w:bookmarkEnd w:id="1141"/>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142"/>
      <w:bookmarkEnd w:id="1143"/>
      <w:bookmarkEnd w:id="1145"/>
    </w:p>
    <w:p>
      <w:pPr>
        <w:pStyle w:val="Style29"/>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6</w:t>
      </w:r>
      <w:bookmarkEnd w:id="1148"/>
      <w:r>
        <w:rPr>
          <w:color w:val="000000"/>
          <w:spacing w:val="0"/>
          <w:w w:val="100"/>
          <w:position w:val="0"/>
        </w:rPr>
        <w:t>、应收款项融资</w:t>
      </w:r>
      <w:bookmarkEnd w:id="1146"/>
      <w:bookmarkEnd w:id="1147"/>
      <w:bookmarkEnd w:id="11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7</w:t>
      </w:r>
      <w:bookmarkEnd w:id="1152"/>
      <w:r>
        <w:rPr>
          <w:color w:val="000000"/>
          <w:spacing w:val="0"/>
          <w:w w:val="100"/>
          <w:position w:val="0"/>
        </w:rPr>
        <w:t>、预付款项</w:t>
      </w:r>
      <w:bookmarkEnd w:id="1150"/>
      <w:bookmarkEnd w:id="1151"/>
      <w:bookmarkEnd w:id="1153"/>
    </w:p>
    <w:p>
      <w:pPr>
        <w:pStyle w:val="Style41"/>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4"/>
      <w:bookmarkEnd w:id="1155"/>
      <w:bookmarkEnd w:id="115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9,771,730.43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7,088,518.75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33,662.41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464,448.02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44,447.79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197,714.42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10,007,105.59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7,750,681.19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1039" w:line="1" w:lineRule="exact"/>
      </w:pPr>
    </w:p>
    <w:p>
      <w:pPr>
        <w:pStyle w:val="Style4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8"/>
      <w:bookmarkEnd w:id="1159"/>
      <w:bookmarkEnd w:id="1161"/>
    </w:p>
    <w:tbl>
      <w:tblPr>
        <w:tblOverlap w:val="never"/>
        <w:jc w:val="left"/>
        <w:tblLayout w:type="fixed"/>
      </w:tblPr>
      <w:tblGrid>
        <w:gridCol w:w="1310"/>
        <w:gridCol w:w="1334"/>
        <w:gridCol w:w="2107"/>
        <w:gridCol w:w="2227"/>
      </w:tblGrid>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占预付总额比例</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32.38%</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1,334,575.00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623,681.51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511,325.66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498,455.00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6,208,037.17</w:t>
            </w:r>
          </w:p>
        </w:tc>
        <w:tc>
          <w:tcPr>
            <w:tcBorders>
              <w:top w:val="single" w:sz="4"/>
              <w:left w:val="single" w:sz="4"/>
              <w:bottom w:val="single" w:sz="4"/>
              <w:right w:val="single" w:sz="4"/>
            </w:tcBorders>
            <w:shd w:val="clear" w:color="auto" w:fill="BFBFB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62.04%</w:t>
            </w:r>
          </w:p>
        </w:tc>
      </w:tr>
    </w:tbl>
    <w:p>
      <w:pPr>
        <w:widowControl w:val="0"/>
        <w:spacing w:after="79" w:line="1" w:lineRule="exact"/>
      </w:pP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18"/>
          <w:szCs w:val="18"/>
        </w:rPr>
        <w:t>6,208,037.17</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62.04%</w:t>
      </w:r>
      <w:r>
        <w:rPr>
          <w:color w:val="000000"/>
          <w:spacing w:val="0"/>
          <w:w w:val="100"/>
          <w:position w:val="0"/>
        </w:rPr>
        <w:t>。</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8</w:t>
      </w:r>
      <w:bookmarkEnd w:id="1164"/>
      <w:r>
        <w:rPr>
          <w:color w:val="000000"/>
          <w:spacing w:val="0"/>
          <w:w w:val="100"/>
          <w:position w:val="0"/>
        </w:rPr>
        <w:t>、其他应收款</w:t>
      </w:r>
      <w:bookmarkEnd w:id="1162"/>
      <w:bookmarkEnd w:id="1163"/>
      <w:bookmarkEnd w:id="11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18,184,470.07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15,716,727.13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18,184,470.07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15,716,727.13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66"/>
      <w:bookmarkEnd w:id="1167"/>
      <w:bookmarkEnd w:id="1169"/>
    </w:p>
    <w:p>
      <w:pPr>
        <w:pStyle w:val="Style67"/>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）应收利息分类</w:t>
      </w:r>
      <w:bookmarkEnd w:id="1170"/>
      <w:bookmarkEnd w:id="1171"/>
      <w:bookmarkEnd w:id="11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color w:val="000000"/>
          <w:spacing w:val="0"/>
          <w:w w:val="100"/>
          <w:position w:val="0"/>
        </w:rPr>
        <w:t>）重要逾期利息</w:t>
      </w:r>
      <w:bookmarkEnd w:id="1174"/>
      <w:bookmarkEnd w:id="1175"/>
      <w:bookmarkEnd w:id="11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20"/>
        <w:gridCol w:w="191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7"/>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color w:val="000000"/>
          <w:spacing w:val="0"/>
          <w:w w:val="100"/>
          <w:position w:val="0"/>
        </w:rPr>
        <w:t>）坏账准备计提情况</w:t>
      </w:r>
      <w:bookmarkEnd w:id="1178"/>
      <w:bookmarkEnd w:id="1179"/>
      <w:bookmarkEnd w:id="118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82"/>
      <w:bookmarkEnd w:id="1183"/>
      <w:bookmarkEnd w:id="1185"/>
    </w:p>
    <w:p>
      <w:pPr>
        <w:pStyle w:val="Style67"/>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）应收股利分类</w:t>
      </w:r>
      <w:bookmarkEnd w:id="1186"/>
      <w:bookmarkEnd w:id="1187"/>
      <w:bookmarkEnd w:id="11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90"/>
      <w:bookmarkEnd w:id="1191"/>
      <w:bookmarkEnd w:id="11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spacing w:lineRule="exact" w:line="1"/>
        <w:rPr>
          <w:sz w:val="2"/>
          <w:szCs w:val="2"/>
        </w:rPr>
      </w:pPr>
      <w:r>
        <w:br w:type="page"/>
      </w:r>
    </w:p>
    <w:p>
      <w:pPr>
        <w:pStyle w:val="Style67"/>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color w:val="000000"/>
          <w:spacing w:val="0"/>
          <w:w w:val="100"/>
          <w:position w:val="0"/>
        </w:rPr>
        <w:t>）坏账准备计提情况</w:t>
      </w:r>
      <w:bookmarkEnd w:id="1194"/>
      <w:bookmarkEnd w:id="1195"/>
      <w:bookmarkEnd w:id="1197"/>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8"/>
      <w:bookmarkEnd w:id="1199"/>
      <w:bookmarkEnd w:id="1201"/>
    </w:p>
    <w:p>
      <w:pPr>
        <w:pStyle w:val="Style67"/>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color w:val="000000"/>
          <w:spacing w:val="0"/>
          <w:w w:val="100"/>
          <w:position w:val="0"/>
        </w:rPr>
        <w:t>）其他应收款按款项性质分类情况</w:t>
      </w:r>
      <w:bookmarkEnd w:id="1202"/>
      <w:bookmarkEnd w:id="1203"/>
      <w:bookmarkEnd w:id="12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67,821,476.61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63,529,401.29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11,755,177.86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12,218,786.19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616,623.11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1,179,439.45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2,520,815.44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3,254,497.18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82,714,093.02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80,182,124.11</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color w:val="000000"/>
          <w:spacing w:val="0"/>
          <w:w w:val="100"/>
          <w:position w:val="0"/>
        </w:rPr>
        <w:t>）坏账准备计提情况</w:t>
      </w:r>
      <w:bookmarkEnd w:id="1206"/>
      <w:bookmarkEnd w:id="1207"/>
      <w:bookmarkEnd w:id="12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2,167,674.73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62,297,722.25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64,465,396.98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2,257,989.45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62,271,633.50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64,529,622.95</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15,881,646.42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1,676,577.63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27,182,718.30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37,973,150.67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20,809,937.60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i/>
                <w:iCs/>
                <w:color w:val="000000"/>
                <w:spacing w:val="0"/>
                <w:w w:val="100"/>
                <w:position w:val="0"/>
                <w:sz w:val="17"/>
                <w:szCs w:val="17"/>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16,400,817.40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762,395.67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82,714,093.02</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color w:val="000000"/>
          <w:spacing w:val="0"/>
          <w:w w:val="100"/>
          <w:position w:val="0"/>
        </w:rPr>
        <w:t>）本期计提、收回或转回的坏账准备情况</w:t>
      </w:r>
      <w:bookmarkEnd w:id="1210"/>
      <w:bookmarkEnd w:id="1211"/>
      <w:bookmarkEnd w:id="121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64,465,396.98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64,225.97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64,529,622.95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64,465,396.98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64,225.97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64,529,622.95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color w:val="000000"/>
          <w:spacing w:val="0"/>
          <w:w w:val="100"/>
          <w:position w:val="0"/>
        </w:rPr>
        <w:t>）本期实际核销的其他应收款情况</w:t>
      </w:r>
      <w:bookmarkEnd w:id="1214"/>
      <w:bookmarkEnd w:id="1215"/>
      <w:bookmarkEnd w:id="12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0"/>
              <w:keepNext w:val="0"/>
              <w:keepLines w:val="0"/>
              <w:widowControl w:val="0"/>
              <w:shd w:val="clear" w:color="auto" w:fill="auto"/>
              <w:tabs>
                <w:tab w:pos="1296" w:val="left"/>
                <w:tab w:pos="3154"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款项是否由关联交</w:t>
            </w:r>
          </w:p>
          <w:p>
            <w:pPr>
              <w:pStyle w:val="Style20"/>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3720" w:right="0" w:firstLine="0"/>
              <w:jc w:val="left"/>
              <w:rPr>
                <w:sz w:val="17"/>
                <w:szCs w:val="17"/>
              </w:rPr>
            </w:pPr>
            <w:r>
              <w:rPr>
                <w:color w:val="000000"/>
                <w:spacing w:val="0"/>
                <w:w w:val="100"/>
                <w:position w:val="0"/>
                <w:sz w:val="17"/>
                <w:szCs w:val="17"/>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7"/>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5</w:t>
      </w:r>
      <w:bookmarkEnd w:id="1220"/>
      <w:r>
        <w:rPr>
          <w:color w:val="000000"/>
          <w:spacing w:val="0"/>
          <w:w w:val="100"/>
          <w:position w:val="0"/>
        </w:rPr>
        <w:t>）按欠款方归集的期末余额前五名的其他应收款情况</w:t>
      </w:r>
      <w:bookmarkEnd w:id="1218"/>
      <w:bookmarkEnd w:id="1219"/>
      <w:bookmarkEnd w:id="1221"/>
    </w:p>
    <w:p>
      <w:pPr>
        <w:pStyle w:val="Style1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远光共创智能科技 股份有限公司及其 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62,013,489.50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25,660,910.07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20,352,579.43 </w:t>
            </w:r>
            <w:r>
              <w:rPr>
                <w:color w:val="000000"/>
                <w:spacing w:val="0"/>
                <w:w w:val="100"/>
                <w:position w:val="0"/>
                <w:sz w:val="17"/>
                <w:szCs w:val="17"/>
              </w:rPr>
              <w:t>元；</w:t>
            </w:r>
          </w:p>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16,000,000.00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62,013,489.50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2,946,089.53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84,258.16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1,354,538.00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38,739.79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1,089,491.37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31,159.45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68,276,657.40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62,192,616.10</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6</w:t>
      </w:r>
      <w:bookmarkEnd w:id="1224"/>
      <w:r>
        <w:rPr>
          <w:color w:val="000000"/>
          <w:spacing w:val="0"/>
          <w:w w:val="100"/>
          <w:position w:val="0"/>
        </w:rPr>
        <w:t>）涉及政府补助的应收款项</w:t>
      </w:r>
      <w:bookmarkEnd w:id="1222"/>
      <w:bookmarkEnd w:id="1223"/>
      <w:bookmarkEnd w:id="12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59" w:line="1" w:lineRule="exact"/>
      </w:pPr>
    </w:p>
    <w:p>
      <w:pPr>
        <w:pStyle w:val="Style67"/>
        <w:keepNext/>
        <w:keepLines/>
        <w:widowControl w:val="0"/>
        <w:shd w:val="clear" w:color="auto" w:fill="auto"/>
        <w:tabs>
          <w:tab w:pos="392" w:val="left"/>
        </w:tabs>
        <w:bidi w:val="0"/>
        <w:spacing w:before="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7</w:t>
      </w:r>
      <w:bookmarkEnd w:id="1228"/>
      <w:r>
        <w:rPr>
          <w:color w:val="000000"/>
          <w:spacing w:val="0"/>
          <w:w w:val="100"/>
          <w:position w:val="0"/>
        </w:rPr>
        <w:t>）</w:t>
        <w:tab/>
        <w:t>因金融资产转移而终止确认的其他应收款</w:t>
      </w:r>
      <w:bookmarkEnd w:id="1226"/>
      <w:bookmarkEnd w:id="1227"/>
      <w:bookmarkEnd w:id="1229"/>
    </w:p>
    <w:p>
      <w:pPr>
        <w:pStyle w:val="Style67"/>
        <w:keepNext/>
        <w:keepLines/>
        <w:widowControl w:val="0"/>
        <w:shd w:val="clear" w:color="auto" w:fill="auto"/>
        <w:tabs>
          <w:tab w:pos="397" w:val="left"/>
        </w:tabs>
        <w:bidi w:val="0"/>
        <w:spacing w:before="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8</w:t>
      </w:r>
      <w:bookmarkEnd w:id="1232"/>
      <w:r>
        <w:rPr>
          <w:color w:val="000000"/>
          <w:spacing w:val="0"/>
          <w:w w:val="100"/>
          <w:position w:val="0"/>
        </w:rPr>
        <w:t>）</w:t>
        <w:tab/>
        <w:t>转移其他应收款且继续涉入形成的资产、负债金额</w:t>
      </w:r>
      <w:bookmarkEnd w:id="1230"/>
      <w:bookmarkEnd w:id="1231"/>
      <w:bookmarkEnd w:id="123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9</w:t>
      </w:r>
      <w:bookmarkEnd w:id="1236"/>
      <w:r>
        <w:rPr>
          <w:color w:val="000000"/>
          <w:spacing w:val="0"/>
          <w:w w:val="100"/>
          <w:position w:val="0"/>
        </w:rPr>
        <w:t>、存货</w:t>
      </w:r>
      <w:bookmarkEnd w:id="1234"/>
      <w:bookmarkEnd w:id="1235"/>
      <w:bookmarkEnd w:id="1237"/>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6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8"/>
      <w:bookmarkEnd w:id="1239"/>
      <w:bookmarkEnd w:id="12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0"/>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0"/>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10,484,279.02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10,484,279.02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9,212,397.26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9,212,397.26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1,253,841.80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1,253,841.80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1,117,696.58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1,117,696.58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1,488,467.95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1,488,467.95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2,661,886.06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2,661,886.06</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17,935,053.21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17,935,053.21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16,523,645.31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16,523,645.31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2,512,826.42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2,512,826.42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2,087,908.68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33,674,468.40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33,674,468.40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31,603,533.89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31,603,533.89</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2"/>
      <w:bookmarkEnd w:id="1243"/>
      <w:bookmarkEnd w:id="12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46"/>
      <w:bookmarkEnd w:id="1247"/>
      <w:bookmarkEnd w:id="1249"/>
    </w:p>
    <w:p>
      <w:pPr>
        <w:pStyle w:val="Style41"/>
        <w:keepNext/>
        <w:keepLines/>
        <w:widowControl w:val="0"/>
        <w:shd w:val="clear" w:color="auto" w:fill="auto"/>
        <w:tabs>
          <w:tab w:pos="493" w:val="left"/>
        </w:tabs>
        <w:bidi w:val="0"/>
        <w:spacing w:before="0" w:after="34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50"/>
      <w:bookmarkEnd w:id="1251"/>
      <w:bookmarkEnd w:id="1253"/>
    </w:p>
    <w:p>
      <w:pPr>
        <w:pStyle w:val="Style29"/>
        <w:keepNext/>
        <w:keepLines/>
        <w:widowControl w:val="0"/>
        <w:shd w:val="clear" w:color="auto" w:fill="auto"/>
        <w:bidi w:val="0"/>
        <w:spacing w:before="0" w:after="40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54"/>
      <w:bookmarkEnd w:id="1255"/>
      <w:bookmarkEnd w:id="12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210,975,061.98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13,509,179.30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197,465,882.68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51,762,739.12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2,081,545.46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49,681,193.66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210,975,061.98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13,509,179.30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197,465,882.68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51,762,739.12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2,081,545.46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49,681,193.66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8"/>
      <w:bookmarkEnd w:id="1259"/>
      <w:bookmarkEnd w:id="126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2"/>
      <w:bookmarkEnd w:id="1263"/>
      <w:bookmarkEnd w:id="126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6"/>
      <w:bookmarkEnd w:id="1267"/>
      <w:bookmarkEnd w:id="126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912,381.95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693,874.67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409,429.64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455,421.68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国债逆回购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794,821,811.59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461,149,296.35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0"/>
      <w:bookmarkEnd w:id="1271"/>
      <w:bookmarkEnd w:id="127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74"/>
      <w:bookmarkEnd w:id="1275"/>
      <w:bookmarkEnd w:id="12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8"/>
      <w:bookmarkEnd w:id="1279"/>
      <w:bookmarkEnd w:id="1281"/>
    </w:p>
    <w:p>
      <w:pPr>
        <w:pStyle w:val="Style41"/>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82"/>
      <w:bookmarkEnd w:id="1283"/>
      <w:bookmarkEnd w:id="12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坏账准备减值情况</w:t>
      </w: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6"/>
      <w:bookmarkEnd w:id="1287"/>
      <w:bookmarkEnd w:id="1289"/>
    </w:p>
    <w:p>
      <w:pPr>
        <w:pStyle w:val="Style41"/>
        <w:keepNext/>
        <w:keepLines/>
        <w:widowControl w:val="0"/>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90"/>
      <w:bookmarkEnd w:id="1291"/>
      <w:bookmarkEnd w:id="12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94"/>
      <w:bookmarkEnd w:id="1295"/>
      <w:bookmarkEnd w:id="12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0"/>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权益法下</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确认的投</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其他综合</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绍兴柯桥 天堂硅谷 远光股权 投资合伙 企业（有</w:t>
            </w:r>
          </w:p>
          <w:p>
            <w:pPr>
              <w:pStyle w:val="Style20"/>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24,711,30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4,923,971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19,763,96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深圳市多 禧股权投 资基金管 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2,495,704</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-372,958.</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2,122,745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深圳市深 远数据技 术有限公</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7,840,377</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563,600.4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8,403,977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合肥启迪</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远光区块</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链技术合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32,720,03</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-115,592.</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32,604,43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伙企业</w:t>
            </w:r>
          </w:p>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深圳市链</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联科技有</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4,440,865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-1,444,12</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3,155,753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远光共创 智能科技 股份有限 公司及其 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72,208,28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66,050,87</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72,208,28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66,050,87</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8"/>
      <w:bookmarkEnd w:id="1299"/>
      <w:bookmarkEnd w:id="130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华凯投资集团有限公司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57,047,822.39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80,536,540.35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北京天润坤泽财务管理咨询有限责任公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1,202,080.16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1,202,080.16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珠海富海铧创信息技术创业投资基金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36,580,645.16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37,870,967.74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深粮智能物联股权投资基金（深圳）合 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13,338,700.00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13,338,700.00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108,169,247.71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132,948,288.25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华凯投资集团有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67,564,297.30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北京天润坤泽财 务管理咨询有限 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202,080.16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珠海富海铧创信 息技术创业投资 基金（有限合伙）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深粮智能物联股 权投资基金（深 圳）合伙企业（有 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02"/>
      <w:bookmarkEnd w:id="1303"/>
      <w:bookmarkEnd w:id="130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06"/>
      <w:bookmarkEnd w:id="1307"/>
      <w:bookmarkEnd w:id="1309"/>
    </w:p>
    <w:p>
      <w:pPr>
        <w:pStyle w:val="Style41"/>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10"/>
      <w:bookmarkEnd w:id="1311"/>
      <w:bookmarkEnd w:id="1313"/>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42,423,802.29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42,423,802.29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42,423,802.29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42,423,802.29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10,087,729.86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10,087,729.86</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11,457,083.10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11,457,083.10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30,966,719.19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30,966,719.19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32,336,072.43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32,336,072.43</w:t>
            </w:r>
          </w:p>
        </w:tc>
      </w:tr>
    </w:tbl>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14"/>
      <w:bookmarkEnd w:id="1315"/>
      <w:bookmarkEnd w:id="131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18"/>
      <w:bookmarkEnd w:id="1319"/>
      <w:bookmarkEnd w:id="132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22"/>
      <w:bookmarkEnd w:id="1323"/>
      <w:bookmarkEnd w:id="132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170,119,152.16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170,434,359.28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170,119,152.16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170,434,359.28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6"/>
      <w:bookmarkEnd w:id="1327"/>
      <w:bookmarkEnd w:id="13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电脑相关设备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光伏电站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199,290,047.46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6,206,570.43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59,686,566.51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8,812,144.43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12,266,316.92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286,261,645.75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493,930.71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12,316,089.57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3,415,082.41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16,225,102.69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493,930.71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12,316,089.57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3,415,082.41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16,225,102.69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129,589.53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4,159,357.00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918,329.77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5,207,276.30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129,589.53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4,159,357.00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918,329.77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5,207,276.30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199,290,047.46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6,570,911.61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67,843,299.08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8,812,144.43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14,763,069.56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297,279,472.14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54,673,261.39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4,541,444.31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46,523,897.09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592,781.88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9,495,901.80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115,827,286.47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6,606,658.36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469,989.20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7,395,316.49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426,753.45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989,636.39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15,888,353.89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6,606,658.36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469,989.20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7,395,316.49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426,753.45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989,636.39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15,888,353.89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74,355.81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3,683,574.58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797,389.99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4,555,320.38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74,355.81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3,683,574.58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797,389.99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4,555,320.38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61,279,919.75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4,937,077.70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50,235,639.00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1,019,535.33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9,688,148.20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127,160,319.98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138,010,127.71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1,633,833.91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17,607,660.08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7,792,609.10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5,074,921.36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170,119,152.16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144,616,786.07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1,665,126.12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13,162,669.42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8,219,362.55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2,770,415.12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170,434,359.28</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30"/>
      <w:bookmarkEnd w:id="1331"/>
      <w:bookmarkEnd w:id="13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34"/>
      <w:bookmarkEnd w:id="1335"/>
      <w:bookmarkEnd w:id="13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38"/>
      <w:bookmarkEnd w:id="1339"/>
      <w:bookmarkEnd w:id="13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1,764,803.52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已确权</w:t>
            </w:r>
            <w:r>
              <w:rPr>
                <w:color w:val="000000"/>
                <w:spacing w:val="0"/>
                <w:w w:val="100"/>
                <w:position w:val="0"/>
                <w:sz w:val="18"/>
                <w:szCs w:val="18"/>
              </w:rPr>
              <w:t>，</w:t>
            </w:r>
            <w:r>
              <w:rPr>
                <w:color w:val="000000"/>
                <w:spacing w:val="0"/>
                <w:w w:val="100"/>
                <w:position w:val="0"/>
                <w:sz w:val="17"/>
                <w:szCs w:val="17"/>
              </w:rPr>
              <w:t>正在办理</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42"/>
      <w:bookmarkEnd w:id="1343"/>
      <w:bookmarkEnd w:id="13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40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6"/>
      <w:bookmarkEnd w:id="1347"/>
      <w:bookmarkEnd w:id="13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129,822,557.62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50"/>
      <w:bookmarkEnd w:id="1351"/>
      <w:bookmarkEnd w:id="13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远光智能产业园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129,822,557.62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164,655,353.59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129,822,557.62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129,822,557.62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54"/>
      <w:bookmarkEnd w:id="1355"/>
      <w:bookmarkEnd w:id="13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本期增</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本期其</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他减少</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远光智 能产业 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212,400,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129,822,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34,832,7</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212,400,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129,822,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34,832,7</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58"/>
      <w:bookmarkEnd w:id="1359"/>
      <w:bookmarkEnd w:id="13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both"/>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62"/>
      <w:bookmarkEnd w:id="1363"/>
      <w:bookmarkEnd w:id="13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6"/>
      <w:bookmarkEnd w:id="1367"/>
      <w:bookmarkEnd w:id="1369"/>
    </w:p>
    <w:p>
      <w:pPr>
        <w:pStyle w:val="Style41"/>
        <w:keepNext/>
        <w:keepLines/>
        <w:widowControl w:val="0"/>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70"/>
      <w:bookmarkEnd w:id="1371"/>
      <w:bookmarkEnd w:id="137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74"/>
      <w:bookmarkEnd w:id="1375"/>
      <w:bookmarkEnd w:id="137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8"/>
      <w:bookmarkEnd w:id="1379"/>
      <w:bookmarkEnd w:id="138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82"/>
      <w:bookmarkEnd w:id="1383"/>
      <w:bookmarkEnd w:id="13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10,165,961.92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10,165,961.92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）租入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10,165,961.92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10,165,961.92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17,092,238.54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17,092,238.54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4,351,131.61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12,741,106.93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12,741,106.93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6"/>
      <w:bookmarkEnd w:id="1387"/>
      <w:bookmarkEnd w:id="1389"/>
    </w:p>
    <w:p>
      <w:pPr>
        <w:pStyle w:val="Style41"/>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0"/>
      <w:bookmarkEnd w:id="1391"/>
      <w:bookmarkEnd w:id="13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内部研发形成的软 件及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11,708,692.17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220,889,672.13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232,598,364.30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27,780,304.36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27,780,304.36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2,811,992.94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2,811,992.94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24,968,311.42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24,968,311.42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11,708,692.17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248,669,976.49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260,378,668.66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1,722,037.18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91,888,882.07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93,610,919.25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42,571,500.86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42,808,312.82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42,571,500.86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42,808,312.82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4"/>
        <w:gridCol w:w="1598"/>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1,958,849.14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134,460,382.93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136,419,232.07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9,749,843.03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114,209,593.56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123,959,436.59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9,986,654.99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129,000,790.06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138,987,445.05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86.73%</w:t>
      </w:r>
      <w:r>
        <w:rPr>
          <w:color w:val="000000"/>
          <w:spacing w:val="0"/>
          <w:w w:val="100"/>
          <w:position w:val="0"/>
        </w:rPr>
        <w:t>。</w:t>
      </w:r>
    </w:p>
    <w:p>
      <w:pPr>
        <w:pStyle w:val="Style41"/>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4"/>
      <w:bookmarkEnd w:id="1395"/>
      <w:bookmarkEnd w:id="13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8"/>
      <w:bookmarkEnd w:id="1399"/>
      <w:bookmarkEnd w:id="14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确认为无形</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知识共享交</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5,559,115.38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1,974,307.83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7,533,423.21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2,897,022.76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2,033,710.68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4,930,733.44</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基于云计算 的用户体验 研发平台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4,695,057.15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5,108,070.89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9,803,128.04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 的智能业务 中台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7,650,165.73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10,897,309.2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18,547,474.9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基于微服务</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架构的财务</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资金智能分 析预测辅助 决策平台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4,569,974.74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4,818,198.65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9,388,173.39</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基于自然语 言处理技术 的电价政策 智能解析平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4,762,434.01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193,471.87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4,955,905.88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基于多链模</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式的区块链</w:t>
            </w:r>
          </w:p>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云服务平台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5,608,077.94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5,608,077.94</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基于区块链</w:t>
            </w:r>
          </w:p>
          <w:p>
            <w:pPr>
              <w:pStyle w:val="Style20"/>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技术的能源</w:t>
            </w:r>
          </w:p>
          <w:p>
            <w:pPr>
              <w:pStyle w:val="Style20"/>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金融服务平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6,118,959.95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6,360,022.38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12,478,982.3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基于中台架</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构的智慧共</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享财务管理</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21,270,787.3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21,270,787.3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 的智慧电子 档案管理系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7,951,427.86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7,951,427.86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基于云计算 的企业数智 化云平台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15,301,498.9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15,301,498.9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36,252,729.7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81,516,883.5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24,968,311.4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92,801,301.8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4406"/>
        <w:gridCol w:w="1555"/>
        <w:gridCol w:w="1843"/>
        <w:gridCol w:w="1742"/>
      </w:tblGrid>
      <w:tr>
        <w:trPr>
          <w:trHeight w:val="672" w:hRule="exact"/>
        </w:trPr>
        <w:tc>
          <w:tcPr>
            <w:tcBorders>
              <w:top w:val="single" w:sz="4"/>
              <w:left w:val="single" w:sz="4"/>
            </w:tcBorders>
            <w:shd w:val="clear" w:color="auto" w:fill="D3D3D3"/>
            <w:vAlign w:val="top"/>
          </w:tcPr>
          <w:p>
            <w:pPr>
              <w:pStyle w:val="Style20"/>
              <w:keepNext w:val="0"/>
              <w:keepLines w:val="0"/>
              <w:widowControl w:val="0"/>
              <w:shd w:val="clear" w:color="auto" w:fill="auto"/>
              <w:tabs>
                <w:tab w:pos="571" w:val="left"/>
              </w:tabs>
              <w:bidi w:val="0"/>
              <w:spacing w:before="8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资本化开始时点</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资本化的具体依据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截至期末的 研发进度</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知识共享交流管理平台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产品规划评审通过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81.63%</w:t>
            </w:r>
          </w:p>
        </w:tc>
      </w:tr>
    </w:tbl>
    <w:p>
      <w:pPr>
        <w:widowControl w:val="0"/>
        <w:spacing w:line="1" w:lineRule="exact"/>
      </w:pPr>
      <w:r>
        <w:br w:type="page"/>
      </w:r>
    </w:p>
    <w:tbl>
      <w:tblPr>
        <w:tblOverlap w:val="never"/>
        <w:jc w:val="center"/>
        <w:tblLayout w:type="fixed"/>
      </w:tblPr>
      <w:tblGrid>
        <w:gridCol w:w="4406"/>
        <w:gridCol w:w="1555"/>
        <w:gridCol w:w="1843"/>
        <w:gridCol w:w="174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基于云计算的用户体验研发平台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技术的智能业务中台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基于微服务架构的财务资金智能分析预测辅助决策平台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基于自然语言处理技术的电价政策智能解析平台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基于多链模式的区块链云服务平台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基于区块链技术的能源金融服务平台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基于中台架构的智慧共享财务管理平台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技术的智慧电子档案管理系统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基于云计算的企业数智化云平台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产品规划评审通过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02"/>
      <w:bookmarkEnd w:id="1403"/>
      <w:bookmarkEnd w:id="1404"/>
    </w:p>
    <w:p>
      <w:pPr>
        <w:pStyle w:val="Style41"/>
        <w:keepNext/>
        <w:keepLines/>
        <w:widowControl w:val="0"/>
        <w:numPr>
          <w:ilvl w:val="0"/>
          <w:numId w:val="65"/>
        </w:numPr>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商誉账面原值</w:t>
      </w:r>
      <w:bookmarkEnd w:id="1405"/>
      <w:bookmarkEnd w:id="1406"/>
      <w:bookmarkEnd w:id="1408"/>
    </w:p>
    <w:p>
      <w:pPr>
        <w:pStyle w:val="Style18"/>
        <w:keepNext w:val="0"/>
        <w:keepLines w:val="0"/>
        <w:widowControl w:val="0"/>
        <w:shd w:val="clear" w:color="auto" w:fill="auto"/>
        <w:bidi w:val="0"/>
        <w:spacing w:before="0" w:after="80" w:line="240" w:lineRule="auto"/>
        <w:ind w:left="8920" w:right="0" w:firstLine="0"/>
        <w:jc w:val="left"/>
      </w:pPr>
      <w:bookmarkStart w:id="1409" w:name="bookmark1409"/>
      <w:r>
        <w:rPr>
          <w:color w:val="000000"/>
          <w:spacing w:val="0"/>
          <w:w w:val="100"/>
          <w:position w:val="0"/>
        </w:rPr>
        <w:t>单</w:t>
      </w:r>
      <w:bookmarkEnd w:id="1409"/>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被投资单位名称</w:t>
            </w:r>
          </w:p>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30,377,899.03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30,377,899.03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杭州昊美科技有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10,545,707.83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10,545,707.83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567,530.64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567,530.64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41,491,137.50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41,491,137.50</w:t>
            </w:r>
          </w:p>
        </w:tc>
      </w:tr>
    </w:tbl>
    <w:p>
      <w:pPr>
        <w:widowControl w:val="0"/>
        <w:spacing w:after="319" w:line="1" w:lineRule="exact"/>
      </w:pPr>
    </w:p>
    <w:p>
      <w:pPr>
        <w:pStyle w:val="Style41"/>
        <w:keepNext/>
        <w:keepLines/>
        <w:widowControl w:val="0"/>
        <w:numPr>
          <w:ilvl w:val="0"/>
          <w:numId w:val="65"/>
        </w:numPr>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商誉减值准备</w:t>
      </w:r>
      <w:bookmarkEnd w:id="1410"/>
      <w:bookmarkEnd w:id="1411"/>
      <w:bookmarkEnd w:id="141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被投资单位名称</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6,180,677.25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6,180,677.25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杭州昊美科技有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6,180,677.25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6,180,677.25</w:t>
            </w:r>
          </w:p>
        </w:tc>
      </w:tr>
    </w:tbl>
    <w:p>
      <w:pPr>
        <w:sectPr>
          <w:footnotePr>
            <w:pos w:val="pageBottom"/>
            <w:numFmt w:val="decimal"/>
            <w:numRestart w:val="continuous"/>
          </w:footnotePr>
          <w:pgSz w:w="11900" w:h="16840"/>
          <w:pgMar w:top="1398" w:right="1041" w:bottom="1436" w:left="1043" w:header="0" w:footer="3" w:gutter="0"/>
          <w:cols w:space="720"/>
          <w:noEndnote/>
          <w:rtlGutter w:val="0"/>
          <w:docGrid w:linePitch="360"/>
        </w:sectPr>
      </w:pPr>
    </w:p>
    <w:p>
      <w:pPr>
        <w:widowControl w:val="0"/>
        <w:spacing w:after="41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2813"/>
        <w:gridCol w:w="2410"/>
        <w:gridCol w:w="1978"/>
        <w:gridCol w:w="2141"/>
      </w:tblGrid>
      <w:tr>
        <w:trPr>
          <w:trHeight w:val="66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资产组或资产组组合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分摊至本资产组或资产组合的 商誉账面价值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资产组或资产组组合账 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包含商誉的资产组或资产 组组合账面价值</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长沙远光瑞翔科技有限公司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34,567,459.69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9,024,686.59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43,592,146.28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杭州昊美科技有限公司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14,913,962.79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147,291,308.15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162,205,270.94</w:t>
            </w:r>
          </w:p>
        </w:tc>
      </w:tr>
    </w:tbl>
    <w:p>
      <w:pPr>
        <w:widowControl w:val="0"/>
        <w:spacing w:after="39" w:line="1" w:lineRule="exact"/>
      </w:pPr>
    </w:p>
    <w:p>
      <w:pPr>
        <w:pStyle w:val="Style18"/>
        <w:keepNext w:val="0"/>
        <w:keepLines w:val="0"/>
        <w:widowControl w:val="0"/>
        <w:shd w:val="clear" w:color="auto" w:fill="auto"/>
        <w:bidi w:val="0"/>
        <w:spacing w:before="0" w:after="22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日，本公司通过非同一控制下企业合并取得长沙瑞翔公司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的股权，形成商誉</w:t>
      </w:r>
      <w:r>
        <w:rPr>
          <w:rFonts w:ascii="Times New Roman" w:eastAsia="Times New Roman" w:hAnsi="Times New Roman" w:cs="Times New Roman"/>
          <w:color w:val="000000"/>
          <w:spacing w:val="0"/>
          <w:w w:val="100"/>
          <w:position w:val="0"/>
          <w:sz w:val="18"/>
          <w:szCs w:val="18"/>
        </w:rPr>
        <w:t>30,377,899.03</w:t>
      </w:r>
      <w:r>
        <w:rPr>
          <w:color w:val="000000"/>
          <w:spacing w:val="0"/>
          <w:w w:val="100"/>
          <w:position w:val="0"/>
        </w:rPr>
        <w:t>元，在计算分摊至 本资产组的商誉账面价值时按照商誉形成时点将归属于少数股东的商誉包括在内。</w:t>
      </w:r>
    </w:p>
    <w:p>
      <w:pPr>
        <w:pStyle w:val="Style18"/>
        <w:keepNext w:val="0"/>
        <w:keepLines w:val="0"/>
        <w:widowControl w:val="0"/>
        <w:shd w:val="clear" w:color="auto" w:fill="auto"/>
        <w:bidi w:val="0"/>
        <w:spacing w:before="0" w:after="220" w:line="326"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日，本公司通过非同一控制下企业合并取得杭州昊美公司</w:t>
      </w:r>
      <w:r>
        <w:rPr>
          <w:rFonts w:ascii="Times New Roman" w:eastAsia="Times New Roman" w:hAnsi="Times New Roman" w:cs="Times New Roman"/>
          <w:color w:val="000000"/>
          <w:spacing w:val="0"/>
          <w:w w:val="100"/>
          <w:position w:val="0"/>
          <w:sz w:val="18"/>
          <w:szCs w:val="18"/>
        </w:rPr>
        <w:t>70.7103%</w:t>
      </w:r>
      <w:r>
        <w:rPr>
          <w:color w:val="000000"/>
          <w:spacing w:val="0"/>
          <w:w w:val="100"/>
          <w:position w:val="0"/>
        </w:rPr>
        <w:t>的股权，形成商誉</w:t>
      </w:r>
      <w:r>
        <w:rPr>
          <w:rFonts w:ascii="Times New Roman" w:eastAsia="Times New Roman" w:hAnsi="Times New Roman" w:cs="Times New Roman"/>
          <w:color w:val="000000"/>
          <w:spacing w:val="0"/>
          <w:w w:val="100"/>
          <w:position w:val="0"/>
          <w:sz w:val="18"/>
          <w:szCs w:val="18"/>
        </w:rPr>
        <w:t>10,545,707.83</w:t>
      </w:r>
      <w:r>
        <w:rPr>
          <w:color w:val="000000"/>
          <w:spacing w:val="0"/>
          <w:w w:val="100"/>
          <w:position w:val="0"/>
        </w:rPr>
        <w:t>元，在计算 分摊至本资产组的商誉账面价值时按照商誉形成时点将归属于少数股东的商誉包括在内。</w:t>
      </w:r>
    </w:p>
    <w:p>
      <w:pPr>
        <w:pStyle w:val="Style18"/>
        <w:keepNext w:val="0"/>
        <w:keepLines w:val="0"/>
        <w:widowControl w:val="0"/>
        <w:shd w:val="clear" w:color="auto" w:fill="auto"/>
        <w:bidi w:val="0"/>
        <w:spacing w:before="0" w:after="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260" w:line="326" w:lineRule="exact"/>
        <w:ind w:left="0" w:right="0" w:firstLine="0"/>
        <w:jc w:val="both"/>
      </w:pPr>
      <w:r>
        <w:rPr>
          <w:color w:val="000000"/>
          <w:spacing w:val="0"/>
          <w:w w:val="100"/>
          <w:position w:val="0"/>
        </w:rPr>
        <w:t>①收回金额的确定方法</w:t>
      </w:r>
    </w:p>
    <w:tbl>
      <w:tblPr>
        <w:tblOverlap w:val="never"/>
        <w:jc w:val="center"/>
        <w:tblLayout w:type="fixed"/>
      </w:tblPr>
      <w:tblGrid>
        <w:gridCol w:w="4632"/>
        <w:gridCol w:w="4670"/>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资产组或资产组组合</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可收回金额的确定方法</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长沙远光瑞翔科技有限公司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资产组资产预计未来现金流量的现值</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杭州昊美科技有限公司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资产组资产预计未来现金流量的现值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②用未来现金流量折现方法的关键参数信息</w:t>
      </w:r>
    </w:p>
    <w:p>
      <w:pPr>
        <w:widowControl w:val="0"/>
        <w:spacing w:after="259" w:line="1" w:lineRule="exact"/>
      </w:pPr>
    </w:p>
    <w:tbl>
      <w:tblPr>
        <w:tblOverlap w:val="never"/>
        <w:jc w:val="center"/>
        <w:tblLayout w:type="fixed"/>
      </w:tblPr>
      <w:tblGrid>
        <w:gridCol w:w="3787"/>
        <w:gridCol w:w="1752"/>
        <w:gridCol w:w="1992"/>
        <w:gridCol w:w="1771"/>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资产组或资产组组合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预期增长率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毛利率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折现率</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长沙远光瑞翔科技有限公司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52.56%- 52.80%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14.12%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杭州昊美科技有限公司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36.19%-36.68%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③商誉减值测试的结论</w:t>
      </w:r>
    </w:p>
    <w:p>
      <w:pPr>
        <w:widowControl w:val="0"/>
        <w:spacing w:after="219" w:line="1" w:lineRule="exact"/>
      </w:pPr>
    </w:p>
    <w:tbl>
      <w:tblPr>
        <w:tblOverlap w:val="never"/>
        <w:jc w:val="center"/>
        <w:tblLayout w:type="fixed"/>
      </w:tblPr>
      <w:tblGrid>
        <w:gridCol w:w="3072"/>
        <w:gridCol w:w="2246"/>
        <w:gridCol w:w="2246"/>
        <w:gridCol w:w="2093"/>
      </w:tblGrid>
      <w:tr>
        <w:trPr>
          <w:trHeight w:val="66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资产组或资产组组合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包含商誉的资产组或资产组 组合的可收回金额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包含商誉的资产组或资产组 组合的账面价值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归属于本公司应确认的商 誉减值损失</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长沙远光瑞翔科技有限公司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43,592,146.28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杭州昊美科技有限公司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165,310,759.11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162,205,270.94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22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、长沙瑞翔资产组预计未来现金流量现值（可收回金额）参考利用本公司聘请的北京华亚正信资产评估有限公司出具的《远 光资本管理（横琴）有限公司以财务报告为目的商誉减值测试所涉及的远光资本管理（横琴）有限公司并购长沙远光瑞翔科 技有限公司形成的商誉相关资产组可收回金额资产评估报告》（华亚正信评报字【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A02-0005</w:t>
      </w:r>
      <w:r>
        <w:rPr>
          <w:color w:val="000000"/>
          <w:spacing w:val="0"/>
          <w:w w:val="100"/>
          <w:position w:val="0"/>
        </w:rPr>
        <w:t>号）。</w:t>
      </w:r>
    </w:p>
    <w:p>
      <w:pPr>
        <w:pStyle w:val="Style18"/>
        <w:keepNext w:val="0"/>
        <w:keepLines w:val="0"/>
        <w:widowControl w:val="0"/>
        <w:shd w:val="clear" w:color="auto" w:fill="auto"/>
        <w:bidi w:val="0"/>
        <w:spacing w:before="0" w:after="22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、杭州昊美资产组预计未来现金流量现值（可收回金额）参考利用本公司聘请的北京中和谊资产评估有限公司出具的《远 光软件股份有限公司拟对企业合并形成的商誉减值测试涉及的杭州昊美科技有限公司资产组合可收回价值项目资产评估报 告》（中和谊评报字</w:t>
      </w:r>
      <w:r>
        <w:rPr>
          <w:rFonts w:ascii="Times New Roman" w:eastAsia="Times New Roman" w:hAnsi="Times New Roman" w:cs="Times New Roman"/>
          <w:color w:val="000000"/>
          <w:spacing w:val="0"/>
          <w:w w:val="100"/>
          <w:position w:val="0"/>
          <w:sz w:val="18"/>
          <w:szCs w:val="18"/>
        </w:rPr>
        <w:t xml:space="preserve">［2022］ </w:t>
      </w:r>
      <w:r>
        <w:rPr>
          <w:rFonts w:ascii="Times New Roman" w:eastAsia="Times New Roman" w:hAnsi="Times New Roman" w:cs="Times New Roman"/>
          <w:color w:val="000000"/>
          <w:spacing w:val="0"/>
          <w:w w:val="100"/>
          <w:position w:val="0"/>
          <w:sz w:val="18"/>
          <w:szCs w:val="18"/>
        </w:rPr>
        <w:t>10014</w:t>
      </w:r>
      <w:r>
        <w:rPr>
          <w:color w:val="000000"/>
          <w:spacing w:val="0"/>
          <w:w w:val="100"/>
          <w:position w:val="0"/>
        </w:rPr>
        <w:t>号）。</w:t>
      </w:r>
    </w:p>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2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14"/>
      <w:bookmarkEnd w:id="1415"/>
      <w:bookmarkEnd w:id="1417"/>
      <w:r>
        <w:br w:type="page"/>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317,429.34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2,831,820.34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431,148.13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2,718,101.55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317,429.34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2,831,820.34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431,148.13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2,718,101.55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8"/>
      <w:bookmarkEnd w:id="1419"/>
      <w:bookmarkEnd w:id="1421"/>
    </w:p>
    <w:p>
      <w:pPr>
        <w:pStyle w:val="Style41"/>
        <w:keepNext/>
        <w:keepLines/>
        <w:widowControl w:val="0"/>
        <w:numPr>
          <w:ilvl w:val="0"/>
          <w:numId w:val="67"/>
        </w:numPr>
        <w:shd w:val="clear" w:color="auto" w:fill="auto"/>
        <w:bidi w:val="0"/>
        <w:spacing w:before="0" w:after="40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未经抵销的递延所得税资产</w:t>
      </w:r>
      <w:bookmarkEnd w:id="1422"/>
      <w:bookmarkEnd w:id="1423"/>
      <w:bookmarkEnd w:id="1425"/>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270,142,586.55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29,609,449.02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241,788,663.23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26,384,141.56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26,589,647.15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4,015,190.04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60,108,231.58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9,041,883.48</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长期股权投资权益法核 算产生的可抵扣暂时性 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35,908,763.41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4,487,995.00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34,539,685.23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4,162,276.33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计入其他综合收益的其 他债权投资公允价值变 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67,564,297.30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6,756,429.73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44,075,579.34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4,407,557.93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400,205,294.41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44,869,063.79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380,512,159.38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43,995,859.30</w:t>
            </w:r>
          </w:p>
        </w:tc>
      </w:tr>
    </w:tbl>
    <w:p>
      <w:pPr>
        <w:widowControl w:val="0"/>
        <w:spacing w:after="339" w:line="1" w:lineRule="exact"/>
      </w:pPr>
    </w:p>
    <w:p>
      <w:pPr>
        <w:pStyle w:val="Style41"/>
        <w:keepNext/>
        <w:keepLines/>
        <w:widowControl w:val="0"/>
        <w:numPr>
          <w:ilvl w:val="0"/>
          <w:numId w:val="67"/>
        </w:numPr>
        <w:shd w:val="clear" w:color="auto" w:fill="auto"/>
        <w:bidi w:val="0"/>
        <w:spacing w:before="0" w:after="40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未经抵销的递延所得税负债</w:t>
      </w:r>
      <w:bookmarkEnd w:id="1426"/>
      <w:bookmarkEnd w:id="1427"/>
      <w:bookmarkEnd w:id="1429"/>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非同一控制企业合并资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5,038,920.13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755,837.94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9,192,048.61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1,378,807.22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其他权益工具投资公允</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63,787,119.69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6,378,711.97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63,787,119.69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6,378,711.97</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计入其他综合收益的其 他权益工具投资公允价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1,040,780.16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1,040,780.16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104,078.02</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长期股权投资权益法核 算产生的应纳税暂时性 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19,763,960.52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1,993,167.23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24,487,950.69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2,448,795.07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89,630,780.50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9,231,795.16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98,507,899.15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10,310,392.28</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30"/>
      <w:bookmarkEnd w:id="1431"/>
      <w:bookmarkEnd w:id="143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44,869,063.79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43,995,859.30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9,231,795.16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10,310,392.28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34"/>
      <w:bookmarkEnd w:id="1435"/>
      <w:bookmarkEnd w:id="143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36,388,088.04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38,063,141.74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24,693,411.39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3,282,414.26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61,081,499.43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41,345,556.00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38"/>
      <w:bookmarkEnd w:id="1439"/>
      <w:bookmarkEnd w:id="144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43,806.68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71,334.39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88,424.93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3,078,848.26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6,039,104.65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8,109,123.69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3,753,649.78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2,746,105.47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407,715.37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3,267,337.74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24,693,411.39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3,282,414.26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2"/>
      <w:bookmarkEnd w:id="1443"/>
      <w:bookmarkEnd w:id="144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tbl>
      <w:tblPr>
        <w:tblOverlap w:val="never"/>
        <w:jc w:val="center"/>
        <w:tblLayout w:type="fixed"/>
      </w:tblPr>
      <w:tblGrid>
        <w:gridCol w:w="3192"/>
        <w:gridCol w:w="1066"/>
        <w:gridCol w:w="1066"/>
        <w:gridCol w:w="1061"/>
        <w:gridCol w:w="1066"/>
        <w:gridCol w:w="1061"/>
        <w:gridCol w:w="107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6"/>
      <w:bookmarkEnd w:id="1447"/>
      <w:bookmarkEnd w:id="1449"/>
    </w:p>
    <w:p>
      <w:pPr>
        <w:pStyle w:val="Style41"/>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0"/>
      <w:bookmarkEnd w:id="1451"/>
      <w:bookmarkEnd w:id="14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4"/>
      <w:bookmarkEnd w:id="1455"/>
      <w:bookmarkEnd w:id="145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58"/>
      <w:bookmarkEnd w:id="1459"/>
      <w:bookmarkEnd w:id="14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62"/>
      <w:bookmarkEnd w:id="1463"/>
      <w:bookmarkEnd w:id="14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6"/>
      <w:bookmarkEnd w:id="1467"/>
      <w:bookmarkEnd w:id="14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9"/>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0"/>
      <w:bookmarkEnd w:id="1471"/>
      <w:bookmarkEnd w:id="1473"/>
    </w:p>
    <w:p>
      <w:pPr>
        <w:pStyle w:val="Style41"/>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4"/>
      <w:bookmarkEnd w:id="1475"/>
      <w:bookmarkEnd w:id="14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应付服务费等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275,170,804.76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195,496,965.54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275,170,804.76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195,496,965.54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8"/>
      <w:bookmarkEnd w:id="1479"/>
      <w:bookmarkEnd w:id="14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4,426,000.00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3,088,010.23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2,011,081.60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10,712,091.83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2"/>
      <w:bookmarkEnd w:id="1483"/>
      <w:bookmarkEnd w:id="1485"/>
    </w:p>
    <w:p>
      <w:pPr>
        <w:pStyle w:val="Style41"/>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6"/>
      <w:bookmarkEnd w:id="1487"/>
      <w:bookmarkEnd w:id="14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0"/>
      <w:bookmarkEnd w:id="1491"/>
      <w:bookmarkEnd w:id="14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4"/>
      <w:bookmarkEnd w:id="1495"/>
      <w:bookmarkEnd w:id="14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9,335,560.41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12,709,283.05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9,335,560.41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12,709,283.05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r>
        <w:br w:type="page"/>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8"/>
      <w:bookmarkEnd w:id="1499"/>
      <w:bookmarkEnd w:id="1501"/>
    </w:p>
    <w:p>
      <w:pPr>
        <w:pStyle w:val="Style41"/>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2"/>
      <w:bookmarkEnd w:id="1503"/>
      <w:bookmarkEnd w:id="15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98,363,680.63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877,140,871.73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880,059,064.89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95,445,487.47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49,631,697.57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49,631,697.57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631,583.60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631,583.60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98,363,778.32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927,404,152.90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930,322,346.06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95,445,585.16</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6"/>
      <w:bookmarkEnd w:id="1507"/>
      <w:bookmarkEnd w:id="15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95,867,864.22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788,927,562.96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789,349,999.60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95,445,427.58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13,227,049.59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13,227,049.59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26,540,752.54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26,540,752.54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24,999,523.54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24,999,523.54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1,011,921.65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29,270,723.09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29,270,723.09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2,495,756.52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19,174,783.55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21,670,540.07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98,363,680.63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877,140,871.73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880,059,064.89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95,445,487.47</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10"/>
      <w:bookmarkEnd w:id="1511"/>
      <w:bookmarkEnd w:id="15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48,020,166.54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48,020,166.54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1,611,531.03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1,611,531.03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49,631,697.57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49,631,697.57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本公司按规定参加由政府机构设立的养老保险、失业保险计划，根据该等计划，本公司按员工基本工资每月向该等计划缴存 费用。除上述每月缴存费用外，本公司不再承担进一步支付义务。相应的支出于发生时计入当期损益或相关资产的成本。</w:t>
      </w:r>
    </w:p>
    <w:p>
      <w:pPr>
        <w:pStyle w:val="Style29"/>
        <w:keepNext/>
        <w:keepLines/>
        <w:widowControl w:val="0"/>
        <w:shd w:val="clear" w:color="auto" w:fill="auto"/>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4"/>
      <w:bookmarkEnd w:id="1515"/>
      <w:bookmarkEnd w:id="15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36,082,228.50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23,880,733.11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15,702,367.43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12,357,925.27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8,743,024.04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5,651,702.21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2,526,123.49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1,671,133.75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1,804,373.95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1,193,714.02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39,219.50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64,894,012.71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44,794,427.86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8"/>
      <w:bookmarkEnd w:id="1519"/>
      <w:bookmarkEnd w:id="15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9,703,088.12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4,050,115.39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9,703,088.12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4,050,115.39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2"/>
      <w:bookmarkEnd w:id="1523"/>
      <w:bookmarkEnd w:id="15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6"/>
      <w:bookmarkEnd w:id="1527"/>
      <w:bookmarkEnd w:id="15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41"/>
        <w:keepNext/>
        <w:keepLines/>
        <w:widowControl w:val="0"/>
        <w:numPr>
          <w:ilvl w:val="0"/>
          <w:numId w:val="69"/>
        </w:numPr>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其他应付款</w:t>
      </w:r>
      <w:bookmarkEnd w:id="1530"/>
      <w:bookmarkEnd w:id="1531"/>
      <w:bookmarkEnd w:id="1533"/>
    </w:p>
    <w:p>
      <w:pPr>
        <w:pStyle w:val="Style67"/>
        <w:keepNext/>
        <w:keepLines/>
        <w:widowControl w:val="0"/>
        <w:numPr>
          <w:ilvl w:val="0"/>
          <w:numId w:val="71"/>
        </w:numPr>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按款项性质列示其他应付款</w:t>
      </w:r>
      <w:bookmarkEnd w:id="1534"/>
      <w:bookmarkEnd w:id="1535"/>
      <w:bookmarkEnd w:id="15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936,762.50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656,864.83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8,766,325.62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3,393,250.56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9,703,088.12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4,050,115.39</w:t>
            </w:r>
          </w:p>
        </w:tc>
      </w:tr>
    </w:tbl>
    <w:p>
      <w:pPr>
        <w:widowControl w:val="0"/>
        <w:spacing w:after="319" w:line="1" w:lineRule="exact"/>
      </w:pPr>
    </w:p>
    <w:p>
      <w:pPr>
        <w:pStyle w:val="Style67"/>
        <w:keepNext/>
        <w:keepLines/>
        <w:widowControl w:val="0"/>
        <w:numPr>
          <w:ilvl w:val="0"/>
          <w:numId w:val="71"/>
        </w:numPr>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8"/>
      <w:bookmarkEnd w:id="1539"/>
      <w:bookmarkEnd w:id="15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2"/>
      <w:bookmarkEnd w:id="1543"/>
      <w:bookmarkEnd w:id="15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6"/>
      <w:bookmarkEnd w:id="1547"/>
      <w:bookmarkEnd w:id="15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4,752,897.04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4,752,897.04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0"/>
      <w:bookmarkEnd w:id="1551"/>
      <w:bookmarkEnd w:id="15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766,527.75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1,013,789.51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已背书因附有追索权未终止确认的商业 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3,305,381.60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1,309,507.00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4,071,909.35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2,323,296.51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4"/>
      <w:bookmarkEnd w:id="1555"/>
      <w:bookmarkEnd w:id="1557"/>
    </w:p>
    <w:p>
      <w:pPr>
        <w:pStyle w:val="Style41"/>
        <w:keepNext/>
        <w:keepLines/>
        <w:widowControl w:val="0"/>
        <w:shd w:val="clear" w:color="auto" w:fill="auto"/>
        <w:bidi w:val="0"/>
        <w:spacing w:before="0" w:after="360" w:line="240" w:lineRule="auto"/>
        <w:ind w:left="0" w:right="0" w:firstLine="0"/>
        <w:jc w:val="both"/>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8"/>
      <w:bookmarkEnd w:id="1559"/>
      <w:bookmarkEnd w:id="15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62"/>
      <w:bookmarkEnd w:id="1563"/>
      <w:bookmarkEnd w:id="1565"/>
    </w:p>
    <w:p>
      <w:pPr>
        <w:pStyle w:val="Style41"/>
        <w:keepNext/>
        <w:keepLines/>
        <w:widowControl w:val="0"/>
        <w:shd w:val="clear" w:color="auto" w:fill="auto"/>
        <w:bidi w:val="0"/>
        <w:spacing w:before="0" w:after="360" w:line="240" w:lineRule="auto"/>
        <w:ind w:left="0" w:right="0" w:firstLine="0"/>
        <w:jc w:val="both"/>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6"/>
      <w:bookmarkEnd w:id="1567"/>
      <w:bookmarkEnd w:id="15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0"/>
      <w:bookmarkEnd w:id="1571"/>
      <w:bookmarkEnd w:id="15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74"/>
      <w:bookmarkEnd w:id="1575"/>
      <w:bookmarkEnd w:id="1577"/>
    </w:p>
    <w:p>
      <w:pPr>
        <w:pStyle w:val="Style41"/>
        <w:keepNext/>
        <w:keepLines/>
        <w:widowControl w:val="0"/>
        <w:shd w:val="clear" w:color="auto" w:fill="auto"/>
        <w:tabs>
          <w:tab w:pos="493" w:val="left"/>
        </w:tabs>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78"/>
      <w:bookmarkEnd w:id="1579"/>
      <w:bookmarkEnd w:id="158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82"/>
      <w:bookmarkEnd w:id="1583"/>
      <w:bookmarkEnd w:id="15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7,309,908.40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7,309,908.40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6,926,276.62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86"/>
      <w:bookmarkEnd w:id="1587"/>
      <w:bookmarkEnd w:id="15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90"/>
      <w:bookmarkEnd w:id="1591"/>
      <w:bookmarkEnd w:id="159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3"/>
      <w:bookmarkEnd w:id="1594"/>
      <w:bookmarkEnd w:id="159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97"/>
      <w:bookmarkEnd w:id="1598"/>
      <w:bookmarkEnd w:id="1600"/>
    </w:p>
    <w:p>
      <w:pPr>
        <w:pStyle w:val="Style41"/>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01"/>
      <w:bookmarkEnd w:id="1602"/>
      <w:bookmarkEnd w:id="16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04"/>
      <w:bookmarkEnd w:id="1605"/>
      <w:bookmarkEnd w:id="160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设定受益计划净负债（净资产）</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7"/>
      <w:bookmarkEnd w:id="1608"/>
      <w:bookmarkEnd w:id="161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11"/>
      <w:bookmarkEnd w:id="1612"/>
      <w:bookmarkEnd w:id="161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本期计入其</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基于区块链 技术的可信 云服务基础 架构研究与</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基于移动互 联、物联网 技术的资产 全寿命周期 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基于区块链 赋能的供应 链管理体系 研究与产业 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ectPr>
          <w:footnotePr>
            <w:pos w:val="pageBottom"/>
            <w:numFmt w:val="decimal"/>
            <w:numRestart w:val="continuous"/>
          </w:footnotePr>
          <w:pgSz w:w="11900" w:h="16840"/>
          <w:pgMar w:top="1290" w:right="1110" w:bottom="1592" w:left="1094"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澳门电力负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荷预测系统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开发与应用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476,931.07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1,976,931.07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5"/>
      <w:bookmarkEnd w:id="1616"/>
      <w:bookmarkEnd w:id="161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9"/>
      <w:bookmarkEnd w:id="1620"/>
      <w:bookmarkEnd w:id="162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1,102,486,112.</w:t>
            </w:r>
          </w:p>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220,497,222.00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220,497,222.00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1,322,983,334.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年度股东大会会议决议通过的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年度权益分配方案，公司以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 配方案时股权登记日的总股本</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股。由未分配利润转增股本人民币</w:t>
      </w:r>
      <w:r>
        <w:rPr>
          <w:rFonts w:ascii="Times New Roman" w:eastAsia="Times New Roman" w:hAnsi="Times New Roman" w:cs="Times New Roman"/>
          <w:color w:val="000000"/>
          <w:spacing w:val="0"/>
          <w:w w:val="100"/>
          <w:position w:val="0"/>
          <w:sz w:val="18"/>
          <w:szCs w:val="18"/>
        </w:rPr>
        <w:t xml:space="preserve">220,497,222 </w:t>
      </w:r>
      <w:r>
        <w:rPr>
          <w:color w:val="000000"/>
          <w:spacing w:val="0"/>
          <w:w w:val="100"/>
          <w:position w:val="0"/>
        </w:rPr>
        <w:t>元，转增基准日期为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1,322,983,334</w:t>
      </w:r>
      <w:r>
        <w:rPr>
          <w:color w:val="000000"/>
          <w:spacing w:val="0"/>
          <w:w w:val="100"/>
          <w:position w:val="0"/>
        </w:rPr>
        <w:t>元。此次增资业经致同会计师事务所（特殊普 通合伙）验证，并出具致同验字（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442C000478</w:t>
      </w:r>
      <w:r>
        <w:rPr>
          <w:color w:val="000000"/>
          <w:spacing w:val="0"/>
          <w:w w:val="100"/>
          <w:position w:val="0"/>
        </w:rPr>
        <w:t>号验资报告验证。</w:t>
      </w:r>
    </w:p>
    <w:p>
      <w:pPr>
        <w:pStyle w:val="Style29"/>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22"/>
      <w:bookmarkEnd w:id="1623"/>
      <w:bookmarkEnd w:id="1625"/>
    </w:p>
    <w:p>
      <w:pPr>
        <w:pStyle w:val="Style41"/>
        <w:keepNext/>
        <w:keepLines/>
        <w:widowControl w:val="0"/>
        <w:shd w:val="clear" w:color="auto" w:fill="auto"/>
        <w:tabs>
          <w:tab w:pos="493" w:val="left"/>
        </w:tabs>
        <w:bidi w:val="0"/>
        <w:spacing w:before="0" w:line="240" w:lineRule="auto"/>
        <w:ind w:left="0" w:right="0" w:firstLine="0"/>
        <w:jc w:val="both"/>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6"/>
      <w:bookmarkEnd w:id="1627"/>
      <w:bookmarkEnd w:id="1629"/>
    </w:p>
    <w:p>
      <w:pPr>
        <w:pStyle w:val="Style41"/>
        <w:keepNext/>
        <w:keepLines/>
        <w:widowControl w:val="0"/>
        <w:shd w:val="clear" w:color="auto" w:fill="auto"/>
        <w:tabs>
          <w:tab w:pos="493" w:val="left"/>
        </w:tabs>
        <w:bidi w:val="0"/>
        <w:spacing w:before="0" w:line="240" w:lineRule="auto"/>
        <w:ind w:left="0" w:right="0" w:firstLine="0"/>
        <w:jc w:val="both"/>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30"/>
      <w:bookmarkEnd w:id="1631"/>
      <w:bookmarkEnd w:id="163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1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4"/>
      <w:bookmarkEnd w:id="1635"/>
      <w:bookmarkEnd w:id="1637"/>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59,833,848.36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59,833,848.36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1,886,663.94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2,045,678.65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61,720,512.30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61,879,527.01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其他资本公积增加原因：由于被投资方深圳市链联科技有限公司净资产增加计提的其他权益变动。</w:t>
      </w:r>
    </w:p>
    <w:p>
      <w:pPr>
        <w:pStyle w:val="Style29"/>
        <w:keepNext/>
        <w:keepLines/>
        <w:widowControl w:val="0"/>
        <w:shd w:val="clear" w:color="auto" w:fill="auto"/>
        <w:bidi w:val="0"/>
        <w:spacing w:before="0" w:after="40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8"/>
      <w:bookmarkEnd w:id="1639"/>
      <w:bookmarkEnd w:id="16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2"/>
      <w:bookmarkEnd w:id="1643"/>
      <w:bookmarkEnd w:id="16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本期所得</w:t>
            </w:r>
          </w:p>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税后归属</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于少数股</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-38,731,319.</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-21,139,84</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-21,139,84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56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-38,731,319.</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-21,139,84</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-21,139,84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-38,752,195.</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-21,173,96</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-21,173,96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-59,926,</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158.31</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40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6"/>
      <w:bookmarkEnd w:id="1647"/>
      <w:bookmarkEnd w:id="16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0"/>
      <w:bookmarkEnd w:id="1651"/>
      <w:bookmarkEnd w:id="16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270,820,605.43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27,799,434.45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298,620,039.88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270,820,605.43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27,799,434.45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298,620,039.88</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提取法定盈余公积。法定盈余公积累计额达到本公司注册资本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以上的，不再提取。</w:t>
      </w:r>
    </w:p>
    <w:p>
      <w:pPr>
        <w:pStyle w:val="Style29"/>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4"/>
      <w:bookmarkEnd w:id="1655"/>
      <w:bookmarkEnd w:id="16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1,248,258,642.88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1,224,283,502.11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1,248,258,642.88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1,224,283,502.11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305,387,468.25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262,885,099.41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27,799,434.45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22,653,084.73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55,124,305.60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46,643,625.91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220,497,222.00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169,613,248.00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1,250,225,149.08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1,248,258,642.88</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line="240" w:lineRule="auto"/>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1</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59" w:name="bookmark1659"/>
      <w:r>
        <w:rPr>
          <w:rFonts w:ascii="Times New Roman" w:eastAsia="Times New Roman" w:hAnsi="Times New Roman" w:cs="Times New Roman"/>
          <w:color w:val="000000"/>
          <w:spacing w:val="0"/>
          <w:w w:val="100"/>
          <w:position w:val="0"/>
          <w:sz w:val="18"/>
          <w:szCs w:val="18"/>
        </w:rPr>
        <w:t>2</w:t>
      </w:r>
      <w:bookmarkEnd w:id="16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sz w:val="18"/>
          <w:szCs w:val="18"/>
        </w:rPr>
        <w:t>3</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line="240" w:lineRule="auto"/>
        <w:ind w:left="0" w:right="0" w:firstLine="0"/>
        <w:jc w:val="left"/>
      </w:pPr>
      <w:bookmarkStart w:id="1661" w:name="bookmark1661"/>
      <w:r>
        <w:rPr>
          <w:rFonts w:ascii="Times New Roman" w:eastAsia="Times New Roman" w:hAnsi="Times New Roman" w:cs="Times New Roman"/>
          <w:color w:val="000000"/>
          <w:spacing w:val="0"/>
          <w:w w:val="100"/>
          <w:position w:val="0"/>
          <w:sz w:val="18"/>
          <w:szCs w:val="18"/>
        </w:rPr>
        <w:t>4</w:t>
      </w:r>
      <w:bookmarkEnd w:id="16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662" w:name="bookmark1662"/>
      <w:r>
        <w:rPr>
          <w:rFonts w:ascii="Times New Roman" w:eastAsia="Times New Roman" w:hAnsi="Times New Roman" w:cs="Times New Roman"/>
          <w:color w:val="000000"/>
          <w:spacing w:val="0"/>
          <w:w w:val="100"/>
          <w:position w:val="0"/>
          <w:sz w:val="18"/>
          <w:szCs w:val="18"/>
        </w:rPr>
        <w:t>5</w:t>
      </w:r>
      <w:bookmarkEnd w:id="16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3"/>
      <w:bookmarkEnd w:id="1664"/>
      <w:bookmarkEnd w:id="16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1,913,826,780.31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785,530,819.99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1,689,464,889.14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650,950,433.70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1,435,993.98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1,472,927.01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786,900,173.23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1,691,519,226.39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652,423,360.71</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1,915,262,774.29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1,198,705,873.82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1,198,705,873.82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245,746,526.68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245,746,526.68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292,609,207.26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292,609,207.26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118,412,957.22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118,412,957.22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区块链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26,306,493.37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26,306,493.37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33,481,715.94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33,481,715.94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1,915,262,774.29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97,512,118.89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97,512,118.89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484,940,248.93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484,940,248.93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582,642,670.87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582,642,670.87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271,129,554.45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271,129,554.45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314,981,980.10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314,981,980.10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164,056,201.05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164,056,201.05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1,915,262,774.29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1,915,262,774.29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1,730,130,193.24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1,730,130,193.24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185,132,581.05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185,132,581.05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38"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303,593,204.23</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252,446,478.19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45,999,408.39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5,147,317.65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 其他说明</w:t>
      </w:r>
    </w:p>
    <w:p>
      <w:pPr>
        <w:pStyle w:val="Style29"/>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7"/>
      <w:bookmarkEnd w:id="1668"/>
      <w:bookmarkEnd w:id="16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6,013,754.06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5,510,241.23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4,295,019.59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3,935,287.67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1,712,234.51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1,714,426.06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161,104.91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857,609.40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688,456.97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1,962,740.09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13,056,364.20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13,972,256.93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1"/>
      <w:bookmarkEnd w:id="1672"/>
      <w:bookmarkEnd w:id="16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108,040,238.97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107,079,298.12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9,862,496.70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11,242,672.60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1,646,930.54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2,829,192.09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17,092,709.62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17,456,136.60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945,803.00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895,458.40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49,063,342.94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54,458,981.18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186,651,521.77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193,961,738.99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5"/>
      <w:bookmarkEnd w:id="1676"/>
      <w:bookmarkEnd w:id="16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109,512,031.09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111,219,040.64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15,687,145.98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10,622,835.37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4,691,446.84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6,206,643.68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53,800,723.92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69,171,030.99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183,691,347.83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197,219,550.68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9"/>
      <w:bookmarkEnd w:id="1680"/>
      <w:bookmarkEnd w:id="16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279,638,974.61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273,666,264.56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19,886,935.71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19,968,259.97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43,364,988.26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34,945,696.71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75,698,724.06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25,557,387.12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418,589,622.64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354,137,608.36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3"/>
      <w:bookmarkEnd w:id="1684"/>
      <w:bookmarkEnd w:id="16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330,644.03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6,294,253.59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5,809,615.14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544,676.16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631,438.76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-5,392,540.84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-4,847,532.35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87"/>
      <w:bookmarkEnd w:id="1688"/>
      <w:bookmarkEnd w:id="169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与企业日常活动相关的政府补助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12,008,053.37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13,975,612.43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其中：增值税返还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5,210,613.95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7,367,767.88</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光伏补贴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590,622.92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727,244.74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5,130,010.37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3,170,186.83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17,865,308.48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17,145,799.26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1"/>
      <w:bookmarkEnd w:id="1692"/>
      <w:bookmarkEnd w:id="16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-1,392,452.16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32,700,115.33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20,272,691.23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21,354,287.19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18,880,239.07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54,183,803.36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95"/>
      <w:bookmarkEnd w:id="1696"/>
      <w:bookmarkEnd w:id="16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9"/>
      <w:bookmarkEnd w:id="1700"/>
      <w:bookmarkEnd w:id="170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3"/>
      <w:bookmarkEnd w:id="1704"/>
      <w:bookmarkEnd w:id="170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-1,449,873.08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-15,578,485.64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-50,442,813.33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-15,251,235.78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-51,889,161.09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07"/>
      <w:bookmarkEnd w:id="1708"/>
      <w:bookmarkEnd w:id="171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-175,492.62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-11,427,633.84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-175,492.62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1"/>
      <w:bookmarkEnd w:id="1712"/>
      <w:bookmarkEnd w:id="171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固定资产处置利得（损失以</w:t>
            </w:r>
            <w:r>
              <w:rPr>
                <w:color w:val="000000"/>
                <w:spacing w:val="0"/>
                <w:w w:val="100"/>
                <w:position w:val="0"/>
                <w:sz w:val="17"/>
                <w:szCs w:val="17"/>
              </w:rPr>
              <w:t>"-''</w:t>
            </w:r>
            <w:r>
              <w:rPr>
                <w:color w:val="000000"/>
                <w:spacing w:val="0"/>
                <w:w w:val="100"/>
                <w:position w:val="0"/>
                <w:sz w:val="17"/>
                <w:szCs w:val="17"/>
              </w:rPr>
              <w:t>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-78,372.62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15"/>
      <w:bookmarkEnd w:id="1716"/>
      <w:bookmarkEnd w:id="17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400"/>
        <w:gridCol w:w="239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811,867.81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248,346.56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811,867.81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816,204.27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248,366.56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816,204.27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补贴是否影</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9"/>
      <w:bookmarkEnd w:id="1720"/>
      <w:bookmarkEnd w:id="17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1,811,825.33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1,811,825.33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2,082,329.34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520,473.27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2,082,329.34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3"/>
      <w:bookmarkEnd w:id="1724"/>
      <w:bookmarkEnd w:id="1726"/>
    </w:p>
    <w:p>
      <w:pPr>
        <w:pStyle w:val="Style41"/>
        <w:keepNext/>
        <w:keepLines/>
        <w:widowControl w:val="0"/>
        <w:shd w:val="clear" w:color="auto" w:fill="auto"/>
        <w:bidi w:val="0"/>
        <w:spacing w:before="0" w:line="240" w:lineRule="auto"/>
        <w:ind w:left="0" w:right="0" w:firstLine="0"/>
        <w:jc w:val="both"/>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7"/>
      <w:bookmarkEnd w:id="1728"/>
      <w:bookmarkEnd w:id="17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20,008,281.24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24,612,714.76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397,070.19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-1,940,296.57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20,405,351.43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22,672,418.19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0"/>
      <w:bookmarkEnd w:id="1731"/>
      <w:bookmarkEnd w:id="17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340,488,465.70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34,048,846.57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3,939,520.72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5,361,001.70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3,557,145.97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研发费用加计扣除对所得税的影响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-28,162,931.47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1,670,099.47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20,405,351.43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3"/>
      <w:bookmarkEnd w:id="1734"/>
      <w:bookmarkEnd w:id="173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37"/>
      <w:bookmarkEnd w:id="1738"/>
      <w:bookmarkEnd w:id="1740"/>
    </w:p>
    <w:p>
      <w:pPr>
        <w:pStyle w:val="Style41"/>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1"/>
      <w:bookmarkEnd w:id="1742"/>
      <w:bookmarkEnd w:id="174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6,294,253.59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5,809,615.14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6,901,615.23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6,407,844.56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39,653,160.21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7,659,944.55</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52,849,029.03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19,877,404.25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4"/>
      <w:bookmarkEnd w:id="1745"/>
      <w:bookmarkEnd w:id="174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552,590.47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610,878.29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销售及管理费用支付的现金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181,634,724.36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206,890,304.23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2,066,790.51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516,662.98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21,800,077.64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9,810,222.72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206,054,182.98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217,828,068.22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7"/>
      <w:bookmarkEnd w:id="1748"/>
      <w:bookmarkEnd w:id="175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1"/>
      <w:bookmarkEnd w:id="1752"/>
      <w:bookmarkEnd w:id="175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5"/>
      <w:bookmarkEnd w:id="1756"/>
      <w:bookmarkEnd w:id="175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9"/>
      <w:bookmarkEnd w:id="1760"/>
      <w:bookmarkEnd w:id="176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租赁付款额结算款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5,570,499.41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5,570,499.41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7</w:t>
      </w:r>
      <w:bookmarkEnd w:id="176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3"/>
      <w:bookmarkEnd w:id="1764"/>
      <w:bookmarkEnd w:id="1766"/>
    </w:p>
    <w:p>
      <w:pPr>
        <w:pStyle w:val="Style41"/>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7"/>
      <w:bookmarkEnd w:id="1768"/>
      <w:bookmarkEnd w:id="17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320,083,114.27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281,019,045.88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26,678,869.62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52,064,653.71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7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17,257,707.13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16,775,091.96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4,351,131.61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42,808,312.82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34,583,784.67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431,148.13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240,001.84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-46,378.80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357,025.27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-18,880,239.07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-54,183,803.36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1,475,667.31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-8,108,229.50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-1,078,597.12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647,414.08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-2,070,934.51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-470,524,388.61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-190,959,557.30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100,883,093.84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-53,545,146.45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21,846,462.18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78,849,111.26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246,110,068.10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224,155,734.85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224,155,734.85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280,820,492.05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21,954,333.25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-56,664,757.20</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70"/>
      <w:bookmarkEnd w:id="1771"/>
      <w:bookmarkEnd w:id="1772"/>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73"/>
      <w:bookmarkEnd w:id="1774"/>
      <w:bookmarkEnd w:id="1776"/>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7"/>
      <w:bookmarkEnd w:id="1778"/>
      <w:bookmarkEnd w:id="1780"/>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246,110,068.10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224,155,734.85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246,038,256.62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224,042,592.87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56,340.03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246,110,068.10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224,155,734.85</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8</w:t>
      </w:r>
      <w:bookmarkEnd w:id="17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81"/>
      <w:bookmarkEnd w:id="1782"/>
      <w:bookmarkEnd w:id="178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85"/>
      <w:bookmarkEnd w:id="1786"/>
      <w:bookmarkEnd w:id="17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11,733,926.69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保函或履约保证金</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11,733,926.69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8</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9"/>
      <w:bookmarkEnd w:id="1790"/>
      <w:bookmarkEnd w:id="1792"/>
    </w:p>
    <w:p>
      <w:pPr>
        <w:pStyle w:val="Style41"/>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3"/>
      <w:bookmarkEnd w:id="1794"/>
      <w:bookmarkEnd w:id="17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1,673,717.15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1,464,486.23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1,196,778.15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322" w:lineRule="exact"/>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6"/>
      <w:bookmarkEnd w:id="1797"/>
      <w:bookmarkEnd w:id="1798"/>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322" w:lineRule="exact"/>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8</w:t>
      </w:r>
      <w:bookmarkEnd w:id="180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9"/>
      <w:bookmarkEnd w:id="1800"/>
      <w:bookmarkEnd w:id="1802"/>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300" w:line="322" w:lineRule="exact"/>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8</w:t>
      </w:r>
      <w:bookmarkEnd w:id="180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3"/>
      <w:bookmarkEnd w:id="1804"/>
      <w:bookmarkEnd w:id="1806"/>
    </w:p>
    <w:p>
      <w:pPr>
        <w:pStyle w:val="Style41"/>
        <w:keepNext/>
        <w:keepLines/>
        <w:widowControl w:val="0"/>
        <w:shd w:val="clear" w:color="auto" w:fill="auto"/>
        <w:bidi w:val="0"/>
        <w:spacing w:before="0" w:line="322" w:lineRule="exact"/>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7"/>
      <w:bookmarkEnd w:id="1808"/>
      <w:bookmarkEnd w:id="18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基于区块链技术的可信云服 务基础架构研究与应用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基于移动互联、物联网技术的 资产全寿命周期管理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基于区块链赋能的供应链管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理体系研究与产业化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澳门电力负荷预测系统开发 与应用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476,931.07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0"/>
      <w:bookmarkEnd w:id="1811"/>
      <w:bookmarkEnd w:id="1812"/>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13"/>
      <w:bookmarkEnd w:id="1814"/>
      <w:bookmarkEnd w:id="1815"/>
    </w:p>
    <w:p>
      <w:pPr>
        <w:pStyle w:val="Style24"/>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八</w:t>
      </w:r>
      <w:bookmarkEnd w:id="1818"/>
      <w:r>
        <w:rPr>
          <w:color w:val="000000"/>
          <w:spacing w:val="0"/>
          <w:w w:val="100"/>
          <w:position w:val="0"/>
        </w:rPr>
        <w:t>、合并范围的变更</w:t>
      </w:r>
      <w:bookmarkEnd w:id="1816"/>
      <w:bookmarkEnd w:id="1817"/>
      <w:bookmarkEnd w:id="1819"/>
    </w:p>
    <w:p>
      <w:pPr>
        <w:pStyle w:val="Style29"/>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bookmarkEnd w:id="1822"/>
      <w:r>
        <w:rPr>
          <w:color w:val="000000"/>
          <w:spacing w:val="0"/>
          <w:w w:val="100"/>
          <w:position w:val="0"/>
        </w:rPr>
        <w:t>、非同一控制下企业合并</w:t>
      </w:r>
      <w:bookmarkEnd w:id="1820"/>
      <w:bookmarkEnd w:id="1821"/>
      <w:bookmarkEnd w:id="1823"/>
    </w:p>
    <w:p>
      <w:pPr>
        <w:pStyle w:val="Style41"/>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24"/>
      <w:bookmarkEnd w:id="1825"/>
      <w:bookmarkEnd w:id="182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购买日至期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末被购买方</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after="40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7"/>
      <w:bookmarkEnd w:id="1828"/>
      <w:bookmarkEnd w:id="18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numPr>
          <w:ilvl w:val="0"/>
          <w:numId w:val="73"/>
        </w:numPr>
        <w:shd w:val="clear" w:color="auto" w:fill="auto"/>
        <w:bidi w:val="0"/>
        <w:spacing w:before="0" w:after="40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被购买方于购买日可辨认资产、负债</w:t>
      </w:r>
      <w:bookmarkEnd w:id="1830"/>
      <w:bookmarkEnd w:id="1831"/>
      <w:bookmarkEnd w:id="18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34"/>
      <w:bookmarkEnd w:id="1835"/>
      <w:bookmarkEnd w:id="183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38"/>
      <w:bookmarkEnd w:id="1839"/>
      <w:bookmarkEnd w:id="1841"/>
    </w:p>
    <w:p>
      <w:pPr>
        <w:pStyle w:val="Style41"/>
        <w:keepNext/>
        <w:keepLines/>
        <w:widowControl w:val="0"/>
        <w:shd w:val="clear" w:color="auto" w:fill="auto"/>
        <w:tabs>
          <w:tab w:pos="493" w:val="left"/>
        </w:tabs>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42"/>
      <w:bookmarkEnd w:id="1843"/>
      <w:bookmarkEnd w:id="1845"/>
    </w:p>
    <w:p>
      <w:pPr>
        <w:pStyle w:val="Style29"/>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、同一控制下企业合并</w:t>
      </w:r>
      <w:bookmarkEnd w:id="1846"/>
      <w:bookmarkEnd w:id="1847"/>
      <w:bookmarkEnd w:id="1849"/>
    </w:p>
    <w:p>
      <w:pPr>
        <w:pStyle w:val="Style41"/>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50"/>
      <w:bookmarkEnd w:id="1851"/>
      <w:bookmarkEnd w:id="18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企业合并中</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取得的权益</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构成同一控</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制下企业合</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比较期间被</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合并方的净</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53"/>
      <w:bookmarkEnd w:id="1854"/>
      <w:bookmarkEnd w:id="18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56"/>
      <w:bookmarkEnd w:id="1857"/>
      <w:bookmarkEnd w:id="185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反向购买</w:t>
      </w:r>
      <w:bookmarkEnd w:id="1860"/>
      <w:bookmarkEnd w:id="1861"/>
      <w:bookmarkEnd w:id="1863"/>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处置子公司</w:t>
      </w:r>
      <w:bookmarkEnd w:id="1864"/>
      <w:bookmarkEnd w:id="1865"/>
      <w:bookmarkEnd w:id="1867"/>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w:t>
        <w:tab/>
        <w:t>其他原因的合并范围变动</w:t>
      </w:r>
      <w:bookmarkEnd w:id="1868"/>
      <w:bookmarkEnd w:id="1869"/>
      <w:bookmarkEnd w:id="1871"/>
    </w:p>
    <w:p>
      <w:pPr>
        <w:pStyle w:val="Style18"/>
        <w:keepNext w:val="0"/>
        <w:keepLines w:val="0"/>
        <w:widowControl w:val="0"/>
        <w:shd w:val="clear" w:color="auto" w:fill="auto"/>
        <w:bidi w:val="0"/>
        <w:spacing w:before="0" w:after="260" w:line="322" w:lineRule="exact"/>
        <w:ind w:left="0" w:right="0" w:firstLine="0"/>
        <w:jc w:val="left"/>
      </w:pPr>
      <w:r>
        <w:rPr>
          <w:color w:val="000000"/>
          <w:spacing w:val="0"/>
          <w:w w:val="100"/>
          <w:position w:val="0"/>
        </w:rPr>
        <w:t>说明其他原因导致的合并范围变动（如，新设子公司、清算子公司等）及其相关情况：</w:t>
      </w:r>
      <w:r>
        <w:br w:type="page"/>
      </w:r>
    </w:p>
    <w:p>
      <w:pPr>
        <w:pStyle w:val="Style29"/>
        <w:keepNext/>
        <w:keepLines/>
        <w:widowControl w:val="0"/>
        <w:shd w:val="clear" w:color="auto" w:fill="auto"/>
        <w:bidi w:val="0"/>
        <w:spacing w:before="0" w:after="34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、其他</w:t>
      </w:r>
      <w:bookmarkEnd w:id="1872"/>
      <w:bookmarkEnd w:id="1873"/>
      <w:bookmarkEnd w:id="1875"/>
    </w:p>
    <w:p>
      <w:pPr>
        <w:pStyle w:val="Style24"/>
        <w:keepNext/>
        <w:keepLines/>
        <w:widowControl w:val="0"/>
        <w:shd w:val="clear" w:color="auto" w:fill="auto"/>
        <w:bidi w:val="0"/>
        <w:spacing w:before="0" w:after="34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九</w:t>
      </w:r>
      <w:bookmarkEnd w:id="1878"/>
      <w:r>
        <w:rPr>
          <w:color w:val="000000"/>
          <w:spacing w:val="0"/>
          <w:w w:val="100"/>
          <w:position w:val="0"/>
        </w:rPr>
        <w:t>、在其他主体中的权益</w:t>
      </w:r>
      <w:bookmarkEnd w:id="1876"/>
      <w:bookmarkEnd w:id="1877"/>
      <w:bookmarkEnd w:id="1879"/>
    </w:p>
    <w:p>
      <w:pPr>
        <w:pStyle w:val="Style29"/>
        <w:keepNext/>
        <w:keepLines/>
        <w:widowControl w:val="0"/>
        <w:shd w:val="clear" w:color="auto" w:fill="auto"/>
        <w:bidi w:val="0"/>
        <w:spacing w:before="0" w:after="34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bookmarkEnd w:id="1882"/>
      <w:r>
        <w:rPr>
          <w:color w:val="000000"/>
          <w:spacing w:val="0"/>
          <w:w w:val="100"/>
          <w:position w:val="0"/>
        </w:rPr>
        <w:t>、在子公司中的权益</w:t>
      </w:r>
      <w:bookmarkEnd w:id="1880"/>
      <w:bookmarkEnd w:id="1881"/>
      <w:bookmarkEnd w:id="1883"/>
    </w:p>
    <w:p>
      <w:pPr>
        <w:pStyle w:val="Style41"/>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84"/>
      <w:bookmarkEnd w:id="1885"/>
      <w:bookmarkEnd w:id="188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远光资本管理</w:t>
            </w:r>
          </w:p>
          <w:p>
            <w:pPr>
              <w:pStyle w:val="Style20"/>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（横琴）有限公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投资管理、实业 投资等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远光软件（北京）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南京远光广安信 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远光软件（武汉）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珠海远光移动互 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互联网接入及相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珠海远光软件产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珠海高远电能科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购、售电，软件 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远光能源互联网 产业发展（横琴）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远光信息技术</w:t>
            </w:r>
          </w:p>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（澳门）有限公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软件开发及相关 咨询、服务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企业管理咨询、 经济贸易咨询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杭州昊美科技有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杭州昊美电力工 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杭州微能智能科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珠海智行慧达商 务旅行社有限公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旅游管理服务、 代购飞机票等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珠海远光晴天能 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太阳能光伏电站 的开发、建设和 运维等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佛山市晴方太阳</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佛山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佛山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工程和技术研究 和试验发展；太 阳能发电工程施 工等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7"/>
      <w:bookmarkEnd w:id="1888"/>
      <w:bookmarkEnd w:id="18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90"/>
      <w:bookmarkEnd w:id="1891"/>
      <w:bookmarkEnd w:id="18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94"/>
      <w:bookmarkEnd w:id="1895"/>
      <w:bookmarkEnd w:id="1897"/>
    </w:p>
    <w:p>
      <w:pPr>
        <w:pStyle w:val="Style41"/>
        <w:keepNext/>
        <w:keepLines/>
        <w:widowControl w:val="0"/>
        <w:shd w:val="clear" w:color="auto" w:fill="auto"/>
        <w:tabs>
          <w:tab w:pos="493" w:val="left"/>
        </w:tabs>
        <w:bidi w:val="0"/>
        <w:spacing w:before="0" w:after="40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98"/>
      <w:bookmarkEnd w:id="1899"/>
      <w:bookmarkEnd w:id="19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bookmarkEnd w:id="1904"/>
      <w:r>
        <w:rPr>
          <w:color w:val="000000"/>
          <w:spacing w:val="0"/>
          <w:w w:val="100"/>
          <w:position w:val="0"/>
        </w:rPr>
        <w:t>、在子公司的所有者权益份额发生变化且仍控制子公司的交易</w:t>
      </w:r>
      <w:bookmarkEnd w:id="1902"/>
      <w:bookmarkEnd w:id="1903"/>
      <w:bookmarkEnd w:id="1905"/>
    </w:p>
    <w:p>
      <w:pPr>
        <w:pStyle w:val="Style41"/>
        <w:keepNext/>
        <w:keepLines/>
        <w:widowControl w:val="0"/>
        <w:shd w:val="clear" w:color="auto" w:fill="auto"/>
        <w:tabs>
          <w:tab w:pos="493"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6"/>
      <w:bookmarkEnd w:id="1907"/>
      <w:bookmarkEnd w:id="1909"/>
    </w:p>
    <w:p>
      <w:pPr>
        <w:pStyle w:val="Style41"/>
        <w:keepNext/>
        <w:keepLines/>
        <w:widowControl w:val="0"/>
        <w:shd w:val="clear" w:color="auto" w:fill="auto"/>
        <w:tabs>
          <w:tab w:pos="493" w:val="left"/>
        </w:tabs>
        <w:bidi w:val="0"/>
        <w:spacing w:before="0" w:after="4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10"/>
      <w:bookmarkEnd w:id="1911"/>
      <w:bookmarkEnd w:id="19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、在合营安排或联营企业中的权益</w:t>
      </w:r>
      <w:bookmarkEnd w:id="1914"/>
      <w:bookmarkEnd w:id="1915"/>
      <w:bookmarkEnd w:id="1917"/>
    </w:p>
    <w:p>
      <w:pPr>
        <w:pStyle w:val="Style41"/>
        <w:keepNext/>
        <w:keepLines/>
        <w:widowControl w:val="0"/>
        <w:shd w:val="clear" w:color="auto" w:fill="auto"/>
        <w:bidi w:val="0"/>
        <w:spacing w:before="0" w:after="36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8"/>
      <w:bookmarkEnd w:id="1919"/>
      <w:bookmarkEnd w:id="19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合营企业或联营</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400" w:line="240" w:lineRule="auto"/>
        <w:ind w:left="0" w:right="0" w:firstLine="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21"/>
      <w:bookmarkEnd w:id="1922"/>
      <w:bookmarkEnd w:id="192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2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24"/>
      <w:bookmarkEnd w:id="1925"/>
      <w:bookmarkEnd w:id="192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75"/>
        </w:numPr>
        <w:shd w:val="clear" w:color="auto" w:fill="auto"/>
        <w:bidi w:val="0"/>
        <w:spacing w:before="0" w:after="42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不重要的合营企业和联营企业的汇总财务信息</w:t>
      </w:r>
      <w:bookmarkEnd w:id="1928"/>
      <w:bookmarkEnd w:id="1929"/>
      <w:bookmarkEnd w:id="19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66,050,875.87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72,208,284.32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-1,392,452.16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32,700,115.33</w:t>
            </w: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-1,392,452.16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32,700,115.33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32"/>
      <w:bookmarkEnd w:id="1933"/>
      <w:bookmarkEnd w:id="1935"/>
    </w:p>
    <w:p>
      <w:pPr>
        <w:pStyle w:val="Style41"/>
        <w:keepNext/>
        <w:keepLines/>
        <w:widowControl w:val="0"/>
        <w:shd w:val="clear" w:color="auto" w:fill="auto"/>
        <w:tabs>
          <w:tab w:pos="493" w:val="left"/>
        </w:tabs>
        <w:bidi w:val="0"/>
        <w:spacing w:before="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36"/>
      <w:bookmarkEnd w:id="1937"/>
      <w:bookmarkEnd w:id="19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both"/>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40"/>
      <w:bookmarkEnd w:id="1941"/>
      <w:bookmarkEnd w:id="1943"/>
    </w:p>
    <w:p>
      <w:pPr>
        <w:pStyle w:val="Style41"/>
        <w:keepNext/>
        <w:keepLines/>
        <w:widowControl w:val="0"/>
        <w:shd w:val="clear" w:color="auto" w:fill="auto"/>
        <w:tabs>
          <w:tab w:pos="493" w:val="left"/>
        </w:tabs>
        <w:bidi w:val="0"/>
        <w:spacing w:before="0" w:line="240" w:lineRule="auto"/>
        <w:ind w:left="0" w:right="0" w:firstLine="0"/>
        <w:jc w:val="both"/>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44"/>
      <w:bookmarkEnd w:id="1945"/>
      <w:bookmarkEnd w:id="1947"/>
    </w:p>
    <w:p>
      <w:pPr>
        <w:pStyle w:val="Style29"/>
        <w:keepNext/>
        <w:keepLines/>
        <w:widowControl w:val="0"/>
        <w:shd w:val="clear" w:color="auto" w:fill="auto"/>
        <w:bidi w:val="0"/>
        <w:spacing w:before="0" w:after="300" w:line="240" w:lineRule="auto"/>
        <w:ind w:left="0" w:right="0" w:firstLine="0"/>
        <w:jc w:val="both"/>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4</w:t>
      </w:r>
      <w:bookmarkEnd w:id="1950"/>
      <w:r>
        <w:rPr>
          <w:color w:val="000000"/>
          <w:spacing w:val="0"/>
          <w:w w:val="100"/>
          <w:position w:val="0"/>
        </w:rPr>
        <w:t>、重要的共同经营</w:t>
      </w:r>
      <w:bookmarkEnd w:id="1948"/>
      <w:bookmarkEnd w:id="1949"/>
      <w:bookmarkEnd w:id="1951"/>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382" w:val="left"/>
        </w:tabs>
        <w:bidi w:val="0"/>
        <w:spacing w:before="0" w:after="38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5</w:t>
      </w:r>
      <w:bookmarkEnd w:id="1954"/>
      <w:r>
        <w:rPr>
          <w:color w:val="000000"/>
          <w:spacing w:val="0"/>
          <w:w w:val="100"/>
          <w:position w:val="0"/>
        </w:rPr>
        <w:t>、</w:t>
        <w:tab/>
        <w:t>在未纳入合并财务报表范围的结构化主体中的权益</w:t>
      </w:r>
      <w:bookmarkEnd w:id="1952"/>
      <w:bookmarkEnd w:id="1953"/>
      <w:bookmarkEnd w:id="1955"/>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未纳入合并财务报表范围的结构化主体的相关说明：</w:t>
      </w:r>
    </w:p>
    <w:p>
      <w:pPr>
        <w:pStyle w:val="Style29"/>
        <w:keepNext/>
        <w:keepLines/>
        <w:widowControl w:val="0"/>
        <w:shd w:val="clear" w:color="auto" w:fill="auto"/>
        <w:tabs>
          <w:tab w:pos="382" w:val="left"/>
        </w:tabs>
        <w:bidi w:val="0"/>
        <w:spacing w:before="0" w:after="300" w:line="240" w:lineRule="auto"/>
        <w:ind w:left="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6</w:t>
      </w:r>
      <w:bookmarkEnd w:id="1958"/>
      <w:r>
        <w:rPr>
          <w:color w:val="000000"/>
          <w:spacing w:val="0"/>
          <w:w w:val="100"/>
          <w:position w:val="0"/>
        </w:rPr>
        <w:t>、</w:t>
        <w:tab/>
        <w:t>其他</w:t>
      </w:r>
      <w:bookmarkEnd w:id="1956"/>
      <w:bookmarkEnd w:id="1957"/>
      <w:bookmarkEnd w:id="1959"/>
    </w:p>
    <w:p>
      <w:pPr>
        <w:pStyle w:val="Style24"/>
        <w:keepNext/>
        <w:keepLines/>
        <w:widowControl w:val="0"/>
        <w:shd w:val="clear" w:color="auto" w:fill="auto"/>
        <w:bidi w:val="0"/>
        <w:spacing w:before="0" w:after="300" w:line="313" w:lineRule="exact"/>
        <w:ind w:left="0" w:right="0" w:firstLine="0"/>
        <w:jc w:val="both"/>
      </w:pPr>
      <w:bookmarkStart w:id="1960" w:name="bookmark1960"/>
      <w:bookmarkStart w:id="1961" w:name="bookmark1961"/>
      <w:bookmarkStart w:id="1962" w:name="bookmark1962"/>
      <w:r>
        <w:rPr>
          <w:color w:val="000000"/>
          <w:spacing w:val="0"/>
          <w:w w:val="100"/>
          <w:position w:val="0"/>
        </w:rPr>
        <w:t>十、与金融工具相关的风险</w:t>
      </w:r>
      <w:bookmarkEnd w:id="1960"/>
      <w:bookmarkEnd w:id="1961"/>
      <w:bookmarkEnd w:id="1962"/>
    </w:p>
    <w:p>
      <w:pPr>
        <w:pStyle w:val="Style33"/>
        <w:keepNext w:val="0"/>
        <w:keepLines w:val="0"/>
        <w:widowControl w:val="0"/>
        <w:shd w:val="clear" w:color="auto" w:fill="auto"/>
        <w:bidi w:val="0"/>
        <w:spacing w:before="0" w:after="240" w:line="313" w:lineRule="exact"/>
        <w:ind w:left="0" w:right="0" w:firstLine="0"/>
        <w:jc w:val="both"/>
      </w:pPr>
      <w:r>
        <w:rPr>
          <w:color w:val="000000"/>
          <w:spacing w:val="0"/>
          <w:w w:val="100"/>
          <w:position w:val="0"/>
        </w:rPr>
        <w:t>本公司的主要金融工具包括货币资金、应收票据、应收账款、其他应收款、其他流动资产、 交易性金融资产、其他权益工具投资、应付票据、应付账款、其他应付款、短期借款、租赁 负债。各项金融工具的详细情况已于相关附注内披露。与这些金融工具有关的风险，以及本 公司为降低这些风险所采取的风险管理政策如下所述。本公司管理层对这些风险敞口进行管 理和监控以确保将上述风险控制在限定的范围之内。</w:t>
      </w:r>
    </w:p>
    <w:p>
      <w:pPr>
        <w:pStyle w:val="Style33"/>
        <w:keepNext w:val="0"/>
        <w:keepLines w:val="0"/>
        <w:widowControl w:val="0"/>
        <w:shd w:val="clear" w:color="auto" w:fill="auto"/>
        <w:bidi w:val="0"/>
        <w:spacing w:before="0" w:after="160" w:line="276" w:lineRule="auto"/>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、风险管理目标和政策</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 xml:space="preserve">本公司从事风险管理的目标是在风险和收益之间取得适当的平衡，力求降低金融风险对本公 司财务业绩的不利影响。基于该风险管理目标，本公司已制定风险管理政策以辨别和分析本 </w:t>
      </w:r>
      <w:r>
        <w:rPr>
          <w:color w:val="000000"/>
          <w:spacing w:val="0"/>
          <w:w w:val="100"/>
          <w:position w:val="0"/>
        </w:rPr>
        <w:t>公司所面临的风险，设定适当的风险可接受水平并设计相应的内部控制程序，以监控本公司 的风险水平。本公司会定期审阅这些风险管理政策及有关内部控制系统，以适应市场情况或 本公司经营活动的改变。本公司的内部审计部门也定期或随机检查内部控制系统的执行是否 符合风险管理政策。</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本公司的金融工具导致的主要风险是信用风险、流动性风险。</w:t>
      </w:r>
    </w:p>
    <w:p>
      <w:pPr>
        <w:pStyle w:val="Style33"/>
        <w:keepNext w:val="0"/>
        <w:keepLines w:val="0"/>
        <w:widowControl w:val="0"/>
        <w:shd w:val="clear" w:color="auto" w:fill="auto"/>
        <w:bidi w:val="0"/>
        <w:spacing w:before="0" w:after="200" w:line="310" w:lineRule="exact"/>
        <w:ind w:left="0" w:right="0" w:firstLine="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 这些风险管理政策对特定风险进行了明确规定，涵盖了市场风险、信用风险和流动性风险管 理等诸多方面。本公司定期评估市场环境及本公司经营活动的变化以决定是否对风险管理政 策及系统进行更新。本公司内部审计部门就风险管理控制及程序进行定期的审核，并将审核 结果上报本公司的审计委员会。</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本公司通过适当的多样化投资及业务组合来分散金融工具风险，并通过制定相应的风险管理 政策减少集中于单一行业、特定地区或特定交易对手的风险。</w:t>
      </w:r>
    </w:p>
    <w:p>
      <w:pPr>
        <w:pStyle w:val="Style33"/>
        <w:keepNext w:val="0"/>
        <w:keepLines w:val="0"/>
        <w:widowControl w:val="0"/>
        <w:shd w:val="clear" w:color="auto" w:fill="auto"/>
        <w:tabs>
          <w:tab w:pos="512" w:val="left"/>
        </w:tabs>
        <w:bidi w:val="0"/>
        <w:spacing w:before="0" w:after="200" w:line="314" w:lineRule="exact"/>
        <w:ind w:left="0" w:right="0" w:firstLine="0"/>
        <w:jc w:val="both"/>
      </w:pPr>
      <w:bookmarkStart w:id="1963" w:name="bookmark1963"/>
      <w:r>
        <w:rPr>
          <w:color w:val="000000"/>
          <w:spacing w:val="0"/>
          <w:w w:val="100"/>
          <w:position w:val="0"/>
        </w:rPr>
        <w:t>（</w:t>
      </w:r>
      <w:bookmarkEnd w:id="196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信用风险</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信用风险，是指交易对手未能履行合同义务而导致本公司产生财务损失的风险。</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本公司对信用风险按组合分类进行管理。信用风险主要产生于银行存款、应收票据、应收账 款、其他应收款等。</w:t>
      </w:r>
    </w:p>
    <w:p>
      <w:pPr>
        <w:pStyle w:val="Style3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本公司银行存款主要存放于国有银行和其它大中型上市银行，本公司预期银行存款不存在重 大的信用风险。</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对于应收票据、应收账款、其他应收款，本公司设定相关政策以控制信用风险敞口。本公司 基于对客户的财务状况、信用记录及其他因素诸如目前市场状况等评估客户的信用资质并设 置相应信用期。本公司会定期对客户信用记录进行监控，对于信用记录不良的客户，本公司 会采用书面催款、缩短信用期或取消信用期等方式，以确保本公司的整体信用风险在可控的 范围内。</w:t>
      </w:r>
    </w:p>
    <w:p>
      <w:pPr>
        <w:pStyle w:val="Style33"/>
        <w:keepNext w:val="0"/>
        <w:keepLines w:val="0"/>
        <w:widowControl w:val="0"/>
        <w:shd w:val="clear" w:color="auto" w:fill="auto"/>
        <w:bidi w:val="0"/>
        <w:spacing w:before="0" w:after="200" w:line="322" w:lineRule="exact"/>
        <w:ind w:left="0" w:right="0" w:firstLine="0"/>
        <w:jc w:val="both"/>
      </w:pPr>
      <w:r>
        <w:rPr>
          <w:color w:val="000000"/>
          <w:spacing w:val="0"/>
          <w:w w:val="100"/>
          <w:position w:val="0"/>
        </w:rPr>
        <w:t>本公司应收账款的债务人为分布于不同行业和地区的客户。本公司持续对应收账款的财务状 况实施信用评估，并在适当时购买信用担保保险。</w:t>
      </w:r>
    </w:p>
    <w:p>
      <w:pPr>
        <w:pStyle w:val="Style33"/>
        <w:keepNext w:val="0"/>
        <w:keepLines w:val="0"/>
        <w:widowControl w:val="0"/>
        <w:shd w:val="clear" w:color="auto" w:fill="auto"/>
        <w:tabs>
          <w:tab w:pos="512" w:val="left"/>
        </w:tabs>
        <w:bidi w:val="0"/>
        <w:spacing w:before="0" w:after="200" w:line="314" w:lineRule="exact"/>
        <w:ind w:left="0" w:right="0" w:firstLine="0"/>
        <w:jc w:val="both"/>
      </w:pPr>
      <w:bookmarkStart w:id="1964" w:name="bookmark1964"/>
      <w:r>
        <w:rPr>
          <w:color w:val="000000"/>
          <w:spacing w:val="0"/>
          <w:w w:val="100"/>
          <w:position w:val="0"/>
        </w:rPr>
        <w:t>（</w:t>
      </w:r>
      <w:bookmarkEnd w:id="196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流动性风险</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流动性风险，是指本公司在履行以交付现金或其他金融资产结算的义务时遇到资金短缺的风 险。</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管理流动风险时，本公司保持管理层认为充分的现金及现金等价物并对其进行监控，以满足 本公司经营需要，并降低现金流量波动的影响。本公司管理层对银行借款的使用情况进行监 控并确保遵守借款协议。同时从主要金融机构获得提供足够备用资金的承诺，以满足短期和 长期的资金需求。</w:t>
      </w:r>
    </w:p>
    <w:p>
      <w:pPr>
        <w:pStyle w:val="Style33"/>
        <w:keepNext w:val="0"/>
        <w:keepLines w:val="0"/>
        <w:widowControl w:val="0"/>
        <w:shd w:val="clear" w:color="auto" w:fill="auto"/>
        <w:bidi w:val="0"/>
        <w:spacing w:before="0" w:after="120" w:line="276" w:lineRule="auto"/>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、资本管理</w:t>
      </w:r>
    </w:p>
    <w:p>
      <w:pPr>
        <w:pStyle w:val="Style33"/>
        <w:keepNext w:val="0"/>
        <w:keepLines w:val="0"/>
        <w:widowControl w:val="0"/>
        <w:shd w:val="clear" w:color="auto" w:fill="auto"/>
        <w:bidi w:val="0"/>
        <w:spacing w:before="0" w:after="220" w:line="314" w:lineRule="exact"/>
        <w:ind w:left="0" w:right="0" w:firstLine="0"/>
        <w:jc w:val="both"/>
      </w:pPr>
      <w:r>
        <w:rPr>
          <w:color w:val="000000"/>
          <w:spacing w:val="0"/>
          <w:w w:val="100"/>
          <w:position w:val="0"/>
        </w:rPr>
        <w:t xml:space="preserve">本公司资本管理政策的目标是为了保障本公司能够持续经营，从而为股东提供回报，并使其 </w:t>
      </w:r>
      <w:r>
        <w:rPr>
          <w:color w:val="000000"/>
          <w:spacing w:val="0"/>
          <w:w w:val="100"/>
          <w:position w:val="0"/>
        </w:rPr>
        <w:t>他利益相关者获益，同时维持最佳的资本结构以降低资本成本。</w:t>
      </w:r>
    </w:p>
    <w:p>
      <w:pPr>
        <w:pStyle w:val="Style33"/>
        <w:keepNext w:val="0"/>
        <w:keepLines w:val="0"/>
        <w:widowControl w:val="0"/>
        <w:shd w:val="clear" w:color="auto" w:fill="auto"/>
        <w:bidi w:val="0"/>
        <w:spacing w:before="0" w:after="220" w:line="302" w:lineRule="exact"/>
        <w:ind w:left="0" w:right="0" w:firstLine="0"/>
        <w:jc w:val="both"/>
      </w:pPr>
      <w:r>
        <w:rPr>
          <w:color w:val="000000"/>
          <w:spacing w:val="0"/>
          <w:w w:val="100"/>
          <w:position w:val="0"/>
        </w:rPr>
        <w:t>为了维持或调整资本结构，本公司可能会调整融资方式、调整支付给股东的股利金额、向股 东返还资本、发行新股与其他权益工具或出售资产以减低债务。</w:t>
      </w:r>
    </w:p>
    <w:p>
      <w:pPr>
        <w:pStyle w:val="Style33"/>
        <w:keepNext w:val="0"/>
        <w:keepLines w:val="0"/>
        <w:widowControl w:val="0"/>
        <w:shd w:val="clear" w:color="auto" w:fill="auto"/>
        <w:bidi w:val="0"/>
        <w:spacing w:before="0" w:after="320" w:line="302" w:lineRule="exact"/>
        <w:ind w:left="0" w:right="0" w:firstLine="0"/>
        <w:jc w:val="both"/>
      </w:pPr>
      <w:r>
        <w:rPr>
          <w:color w:val="000000"/>
          <w:spacing w:val="0"/>
          <w:w w:val="100"/>
          <w:position w:val="0"/>
        </w:rPr>
        <w:t>本公司以资产负债率（即总负债除以总资产）为基础对资本结构进行监控。于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日，本公司的资产负债率为</w:t>
      </w:r>
      <w:r>
        <w:rPr>
          <w:rFonts w:ascii="Times New Roman" w:eastAsia="Times New Roman" w:hAnsi="Times New Roman" w:cs="Times New Roman"/>
          <w:color w:val="000000"/>
          <w:spacing w:val="0"/>
          <w:w w:val="100"/>
          <w:position w:val="0"/>
          <w:sz w:val="24"/>
          <w:szCs w:val="24"/>
        </w:rPr>
        <w:t>13.81%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11.66%</w:t>
      </w:r>
      <w:r>
        <w:rPr>
          <w:color w:val="000000"/>
          <w:spacing w:val="0"/>
          <w:w w:val="100"/>
          <w:position w:val="0"/>
        </w:rPr>
        <w:t>）。</w:t>
      </w:r>
    </w:p>
    <w:p>
      <w:pPr>
        <w:pStyle w:val="Style24"/>
        <w:keepNext/>
        <w:keepLines/>
        <w:widowControl w:val="0"/>
        <w:shd w:val="clear" w:color="auto" w:fill="auto"/>
        <w:bidi w:val="0"/>
        <w:spacing w:before="0" w:after="360" w:line="302" w:lineRule="exact"/>
        <w:ind w:left="0" w:right="0" w:firstLine="0"/>
        <w:jc w:val="both"/>
      </w:pPr>
      <w:bookmarkStart w:id="1965" w:name="bookmark1965"/>
      <w:bookmarkStart w:id="1966" w:name="bookmark1966"/>
      <w:bookmarkStart w:id="1967" w:name="bookmark1967"/>
      <w:r>
        <w:rPr>
          <w:color w:val="000000"/>
          <w:spacing w:val="0"/>
          <w:w w:val="100"/>
          <w:position w:val="0"/>
        </w:rPr>
        <w:t>十一、公允价值的披露</w:t>
      </w:r>
      <w:bookmarkEnd w:id="1965"/>
      <w:bookmarkEnd w:id="1966"/>
      <w:bookmarkEnd w:id="1967"/>
    </w:p>
    <w:p>
      <w:pPr>
        <w:pStyle w:val="Style29"/>
        <w:keepNext/>
        <w:keepLines/>
        <w:widowControl w:val="0"/>
        <w:shd w:val="clear" w:color="auto" w:fill="auto"/>
        <w:bidi w:val="0"/>
        <w:spacing w:before="0" w:line="240" w:lineRule="auto"/>
        <w:ind w:left="0" w:right="0" w:firstLine="0"/>
        <w:jc w:val="both"/>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8"/>
      <w:bookmarkEnd w:id="1969"/>
      <w:bookmarkEnd w:id="19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108,169,247.71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108,169,247.71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793,500,000.00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持续以公允价值计量的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1,021,669,247.71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1,021,669,247.71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tabs>
          <w:tab w:pos="378" w:val="left"/>
        </w:tabs>
        <w:bidi w:val="0"/>
        <w:spacing w:before="0" w:after="320" w:line="240" w:lineRule="auto"/>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bookmarkEnd w:id="1973"/>
      <w:r>
        <w:rPr>
          <w:color w:val="000000"/>
          <w:spacing w:val="0"/>
          <w:w w:val="100"/>
          <w:position w:val="0"/>
        </w:rPr>
        <w:t>、</w:t>
        <w:tab/>
        <w:t>持续和非持续第一层次公允价值计量项目市价的确定依据</w:t>
      </w:r>
      <w:bookmarkEnd w:id="1971"/>
      <w:bookmarkEnd w:id="1972"/>
      <w:bookmarkEnd w:id="1974"/>
    </w:p>
    <w:p>
      <w:pPr>
        <w:pStyle w:val="Style3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第一层次：相同资产或负债在活跃市场中的报价（未经调整的）。</w:t>
      </w:r>
    </w:p>
    <w:p>
      <w:pPr>
        <w:pStyle w:val="Style29"/>
        <w:keepNext/>
        <w:keepLines/>
        <w:widowControl w:val="0"/>
        <w:shd w:val="clear" w:color="auto" w:fill="auto"/>
        <w:tabs>
          <w:tab w:pos="378" w:val="left"/>
        </w:tabs>
        <w:bidi w:val="0"/>
        <w:spacing w:before="0" w:after="32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w:t>
        <w:tab/>
        <w:t>持续和非持续第二层次公允价值计量项目，采用的估值技术和重要参数的定性及定量信息</w:t>
      </w:r>
      <w:bookmarkEnd w:id="1975"/>
      <w:bookmarkEnd w:id="1976"/>
      <w:bookmarkEnd w:id="1978"/>
    </w:p>
    <w:p>
      <w:pPr>
        <w:pStyle w:val="Style3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第二层次：直接（即价格）或间接（即从价格推导出）地使用除第一层次中的资产或负债的 市场报价之外的可观察输入值。</w:t>
      </w:r>
    </w:p>
    <w:p>
      <w:pPr>
        <w:pStyle w:val="Style29"/>
        <w:keepNext/>
        <w:keepLines/>
        <w:widowControl w:val="0"/>
        <w:shd w:val="clear" w:color="auto" w:fill="auto"/>
        <w:tabs>
          <w:tab w:pos="378" w:val="left"/>
        </w:tabs>
        <w:bidi w:val="0"/>
        <w:spacing w:before="0" w:line="240" w:lineRule="auto"/>
        <w:ind w:left="0" w:right="0" w:firstLine="0"/>
        <w:jc w:val="both"/>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4</w:t>
      </w:r>
      <w:bookmarkEnd w:id="1981"/>
      <w:r>
        <w:rPr>
          <w:color w:val="000000"/>
          <w:spacing w:val="0"/>
          <w:w w:val="100"/>
          <w:position w:val="0"/>
        </w:rPr>
        <w:t>、</w:t>
        <w:tab/>
        <w:t>持续和非持续第三层次公允价值计量项目，采用的估值技术和重要参数的定性及定量信息</w:t>
      </w:r>
      <w:bookmarkEnd w:id="1979"/>
      <w:bookmarkEnd w:id="1980"/>
      <w:bookmarkEnd w:id="1982"/>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第三层次：资产或负债使用了任何非基于可观察市场数据的输入值（不可观察输入值）。</w:t>
      </w:r>
    </w:p>
    <w:p>
      <w:pPr>
        <w:pStyle w:val="Style33"/>
        <w:keepNext w:val="0"/>
        <w:keepLines w:val="0"/>
        <w:widowControl w:val="0"/>
        <w:shd w:val="clear" w:color="auto" w:fill="auto"/>
        <w:bidi w:val="0"/>
        <w:spacing w:before="0" w:after="320" w:line="240" w:lineRule="auto"/>
        <w:ind w:left="0" w:right="0" w:firstLine="0"/>
        <w:jc w:val="both"/>
      </w:pPr>
      <w:r>
        <w:rPr>
          <w:rFonts w:ascii="Arial" w:eastAsia="Arial" w:hAnsi="Arial" w:cs="Arial"/>
          <w:color w:val="000000"/>
          <w:spacing w:val="0"/>
          <w:w w:val="100"/>
          <w:position w:val="0"/>
          <w:sz w:val="24"/>
          <w:szCs w:val="24"/>
        </w:rPr>
        <w:t>1.</w:t>
      </w:r>
      <w:r>
        <w:rPr>
          <w:color w:val="000000"/>
          <w:spacing w:val="0"/>
          <w:w w:val="100"/>
          <w:position w:val="0"/>
        </w:rPr>
        <w:t>以公允价值计量的项目和金额</w:t>
      </w:r>
      <w:r>
        <w:br w:type="page"/>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日，以公允价值计量的资产及负债按上述三个层次列示如下:</w:t>
      </w:r>
    </w:p>
    <w:tbl>
      <w:tblPr>
        <w:tblOverlap w:val="never"/>
        <w:jc w:val="center"/>
        <w:tblLayout w:type="fixed"/>
      </w:tblPr>
      <w:tblGrid>
        <w:gridCol w:w="2592"/>
        <w:gridCol w:w="1598"/>
        <w:gridCol w:w="1694"/>
        <w:gridCol w:w="1704"/>
        <w:gridCol w:w="1771"/>
      </w:tblGrid>
      <w:tr>
        <w:trPr>
          <w:trHeight w:val="298"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第一层次公允第二层次公允第三层次公允</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r>
      <w:tr>
        <w:trPr>
          <w:trHeight w:val="336" w:hRule="exact"/>
        </w:trPr>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价值计量</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价值计量</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价值计量</w:t>
            </w:r>
          </w:p>
        </w:tc>
        <w:tc>
          <w:tcPr>
            <w:vMerge/>
            <w:tcBorders/>
            <w:shd w:val="clear" w:color="auto" w:fill="FFFFFF"/>
            <w:vAlign w:val="top"/>
          </w:tcPr>
          <w:p>
            <w:pPr/>
          </w:p>
        </w:tc>
      </w:tr>
      <w:tr>
        <w:trPr>
          <w:trHeight w:val="653" w:hRule="exact"/>
        </w:trPr>
        <w:tc>
          <w:tcPr>
            <w:gridSpan w:val="5"/>
            <w:tcBorders>
              <w:top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一、持续的公允价值计 量</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120,000,000.00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b/>
                <w:bCs/>
                <w:color w:val="000000"/>
                <w:spacing w:val="0"/>
                <w:w w:val="100"/>
                <w:position w:val="0"/>
                <w:sz w:val="24"/>
                <w:szCs w:val="24"/>
              </w:rPr>
              <w:t>120,000,000.00</w:t>
            </w:r>
          </w:p>
        </w:tc>
      </w:tr>
      <w:tr>
        <w:trPr>
          <w:trHeight w:val="34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120,000,000.00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120,000,000.00</w:t>
            </w:r>
          </w:p>
        </w:tc>
      </w:tr>
      <w:tr>
        <w:trPr>
          <w:trHeight w:val="65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（二）其他权益工具投 资</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108,169,247.71</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b/>
                <w:bCs/>
                <w:color w:val="000000"/>
                <w:spacing w:val="0"/>
                <w:w w:val="100"/>
                <w:position w:val="0"/>
                <w:sz w:val="24"/>
                <w:szCs w:val="24"/>
              </w:rPr>
              <w:t>108,169,247.71</w:t>
            </w:r>
          </w:p>
        </w:tc>
      </w:tr>
      <w:tr>
        <w:trPr>
          <w:trHeight w:val="34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（三）其他流动资产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b/>
                <w:bCs/>
                <w:color w:val="000000"/>
                <w:spacing w:val="0"/>
                <w:w w:val="100"/>
                <w:position w:val="0"/>
                <w:sz w:val="24"/>
                <w:szCs w:val="24"/>
              </w:rPr>
              <w:t>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793,500,000.00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b/>
                <w:bCs/>
                <w:color w:val="000000"/>
                <w:spacing w:val="0"/>
                <w:w w:val="100"/>
                <w:position w:val="0"/>
                <w:sz w:val="24"/>
                <w:szCs w:val="24"/>
              </w:rPr>
              <w:t>793,500,000.00</w:t>
            </w:r>
          </w:p>
        </w:tc>
      </w:tr>
      <w:tr>
        <w:trPr>
          <w:trHeight w:val="67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持续以公允价值计量的 资产总额</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both"/>
              <w:rPr>
                <w:sz w:val="24"/>
                <w:szCs w:val="24"/>
              </w:rPr>
            </w:pPr>
            <w:r>
              <w:rPr>
                <w:rFonts w:ascii="Times New Roman" w:eastAsia="Times New Roman" w:hAnsi="Times New Roman" w:cs="Times New Roman"/>
                <w:b/>
                <w:bCs/>
                <w:color w:val="000000"/>
                <w:spacing w:val="0"/>
                <w:w w:val="100"/>
                <w:position w:val="0"/>
                <w:sz w:val="24"/>
                <w:szCs w:val="24"/>
              </w:rPr>
              <w:t>0.00</w:t>
            </w:r>
          </w:p>
        </w:tc>
        <w:tc>
          <w:tcPr>
            <w:gridSpan w:val="2"/>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0.001,021,669,247.71</w:t>
            </w:r>
          </w:p>
        </w:tc>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1,021,669,247.71</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43" w:right="0" w:firstLine="0"/>
        <w:jc w:val="left"/>
        <w:rPr>
          <w:sz w:val="22"/>
          <w:szCs w:val="22"/>
        </w:rPr>
      </w:pPr>
      <w:r>
        <w:rPr>
          <w:rFonts w:ascii="Arial" w:eastAsia="Arial" w:hAnsi="Arial" w:cs="Arial"/>
          <w:color w:val="000000"/>
          <w:spacing w:val="0"/>
          <w:w w:val="100"/>
          <w:position w:val="0"/>
          <w:sz w:val="24"/>
          <w:szCs w:val="24"/>
        </w:rPr>
        <w:t>1.</w:t>
      </w:r>
      <w:r>
        <w:rPr>
          <w:color w:val="000000"/>
          <w:spacing w:val="0"/>
          <w:w w:val="100"/>
          <w:position w:val="0"/>
          <w:sz w:val="22"/>
          <w:szCs w:val="22"/>
        </w:rPr>
        <w:t>第三层次公允价值计量中使用的重要的不可观察输入值的量化信息</w:t>
      </w:r>
    </w:p>
    <w:tbl>
      <w:tblPr>
        <w:tblOverlap w:val="never"/>
        <w:jc w:val="center"/>
        <w:tblLayout w:type="fixed"/>
      </w:tblPr>
      <w:tblGrid>
        <w:gridCol w:w="3211"/>
        <w:gridCol w:w="3494"/>
        <w:gridCol w:w="2693"/>
      </w:tblGrid>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内容</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期末公允价值</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估值技术</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108,169,247.71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净资产价值、成本</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120,000,000.00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预期收益法</w:t>
            </w:r>
          </w:p>
        </w:tc>
      </w:tr>
      <w:tr>
        <w:trPr>
          <w:trHeight w:val="36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793,500,000.00</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预期收益法</w:t>
            </w:r>
          </w:p>
        </w:tc>
      </w:tr>
    </w:tbl>
    <w:p>
      <w:pPr>
        <w:widowControl w:val="0"/>
        <w:spacing w:after="63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5</w:t>
      </w:r>
      <w:bookmarkEnd w:id="1985"/>
      <w:r>
        <w:rPr>
          <w:color w:val="000000"/>
          <w:spacing w:val="0"/>
          <w:w w:val="100"/>
          <w:position w:val="0"/>
        </w:rPr>
        <w:t>、</w:t>
        <w:tab/>
        <w:t>持续的第三层次公允价值计量项目，期初与期末账面价值间的调节信息及不可观察参数敏感性分析</w:t>
      </w:r>
      <w:bookmarkEnd w:id="1983"/>
      <w:bookmarkEnd w:id="1984"/>
      <w:bookmarkEnd w:id="1986"/>
    </w:p>
    <w:p>
      <w:pPr>
        <w:pStyle w:val="Style29"/>
        <w:keepNext/>
        <w:keepLines/>
        <w:widowControl w:val="0"/>
        <w:shd w:val="clear" w:color="auto" w:fill="auto"/>
        <w:tabs>
          <w:tab w:pos="378"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6</w:t>
      </w:r>
      <w:bookmarkEnd w:id="1989"/>
      <w:r>
        <w:rPr>
          <w:color w:val="000000"/>
          <w:spacing w:val="0"/>
          <w:w w:val="100"/>
          <w:position w:val="0"/>
        </w:rPr>
        <w:t>、</w:t>
        <w:tab/>
        <w:t>持续的公允价值计量项目，本期内发生各层级之间转换的，转换的原因及确定转换时点的政策</w:t>
      </w:r>
      <w:bookmarkEnd w:id="1987"/>
      <w:bookmarkEnd w:id="1988"/>
      <w:bookmarkEnd w:id="1990"/>
    </w:p>
    <w:p>
      <w:pPr>
        <w:pStyle w:val="Style29"/>
        <w:keepNext/>
        <w:keepLines/>
        <w:widowControl w:val="0"/>
        <w:shd w:val="clear" w:color="auto" w:fill="auto"/>
        <w:tabs>
          <w:tab w:pos="378"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7</w:t>
      </w:r>
      <w:bookmarkEnd w:id="1993"/>
      <w:r>
        <w:rPr>
          <w:color w:val="000000"/>
          <w:spacing w:val="0"/>
          <w:w w:val="100"/>
          <w:position w:val="0"/>
        </w:rPr>
        <w:t>、</w:t>
        <w:tab/>
        <w:t>本期内发生的估值技术变更及变更原因</w:t>
      </w:r>
      <w:bookmarkEnd w:id="1991"/>
      <w:bookmarkEnd w:id="1992"/>
      <w:bookmarkEnd w:id="1994"/>
    </w:p>
    <w:p>
      <w:pPr>
        <w:pStyle w:val="Style29"/>
        <w:keepNext/>
        <w:keepLines/>
        <w:widowControl w:val="0"/>
        <w:shd w:val="clear" w:color="auto" w:fill="auto"/>
        <w:tabs>
          <w:tab w:pos="378"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8</w:t>
      </w:r>
      <w:bookmarkEnd w:id="1997"/>
      <w:r>
        <w:rPr>
          <w:color w:val="000000"/>
          <w:spacing w:val="0"/>
          <w:w w:val="100"/>
          <w:position w:val="0"/>
        </w:rPr>
        <w:t>、</w:t>
        <w:tab/>
        <w:t>不以公允价值计量的金融资产和金融负债的公允价值情况</w:t>
      </w:r>
      <w:bookmarkEnd w:id="1995"/>
      <w:bookmarkEnd w:id="1996"/>
      <w:bookmarkEnd w:id="1998"/>
    </w:p>
    <w:p>
      <w:pPr>
        <w:pStyle w:val="Style29"/>
        <w:keepNext/>
        <w:keepLines/>
        <w:widowControl w:val="0"/>
        <w:shd w:val="clear" w:color="auto" w:fill="auto"/>
        <w:tabs>
          <w:tab w:pos="378" w:val="left"/>
        </w:tabs>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9</w:t>
      </w:r>
      <w:bookmarkEnd w:id="2001"/>
      <w:r>
        <w:rPr>
          <w:color w:val="000000"/>
          <w:spacing w:val="0"/>
          <w:w w:val="100"/>
          <w:position w:val="0"/>
        </w:rPr>
        <w:t>、</w:t>
        <w:tab/>
        <w:t>其他</w:t>
      </w:r>
      <w:bookmarkEnd w:id="1999"/>
      <w:bookmarkEnd w:id="2000"/>
      <w:bookmarkEnd w:id="2002"/>
    </w:p>
    <w:p>
      <w:pPr>
        <w:pStyle w:val="Style24"/>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r>
        <w:rPr>
          <w:color w:val="000000"/>
          <w:spacing w:val="0"/>
          <w:w w:val="100"/>
          <w:position w:val="0"/>
        </w:rPr>
        <w:t>十二、关联方及关联交易</w:t>
      </w:r>
      <w:bookmarkEnd w:id="2003"/>
      <w:bookmarkEnd w:id="2004"/>
      <w:bookmarkEnd w:id="2005"/>
    </w:p>
    <w:p>
      <w:pPr>
        <w:pStyle w:val="Style29"/>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06"/>
      <w:bookmarkEnd w:id="2007"/>
      <w:bookmarkEnd w:id="2008"/>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19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国网电子商务有限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销售汽车、日用品、 五金交电、化工产 品、电子产品、机械 设备、计算机、软件 及辅助设备；电子支 付；互联网信息服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100,000.00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59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务;保险代理;制作、 代理、发布广告；技 术开发、技术转让、 技术咨询、技术服 务、技术推广；合同 能源管理;计算机系 统服务；数据处理 （数据处理中的银 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sz w:val="17"/>
                <w:szCs w:val="17"/>
              </w:rPr>
              <w:t xml:space="preserve">值在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以上的云计算数 据中心除外）；接受 金融机构委托从事 金融信息技术外包 服务;接受金融机构 委托从事金融业务 流程外包服务;接受 金融机构委托从事 金融知识流程外包 服务；票务代理。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本企业的母公司情况的说明</w:t>
      </w:r>
    </w:p>
    <w:p>
      <w:pPr>
        <w:pStyle w:val="Style3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国网电子商务有限公司与陈利浩、黄笑华签署了《一致行动人协议》，陈利浩、黄笑华成为 国网电子商务有限公司的一致行动人，在公司股东大会及董事会会议中行使表决权时采取相 同的意思表示。截至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日，国网电子商务有限公司合计控制本公司</w:t>
      </w:r>
      <w:r>
        <w:rPr>
          <w:rFonts w:ascii="Times New Roman" w:eastAsia="Times New Roman" w:hAnsi="Times New Roman" w:cs="Times New Roman"/>
          <w:color w:val="000000"/>
          <w:spacing w:val="0"/>
          <w:w w:val="100"/>
          <w:position w:val="0"/>
          <w:sz w:val="24"/>
          <w:szCs w:val="24"/>
        </w:rPr>
        <w:t>23.37%</w:t>
      </w:r>
      <w:r>
        <w:rPr>
          <w:color w:val="000000"/>
          <w:spacing w:val="0"/>
          <w:w w:val="100"/>
          <w:position w:val="0"/>
        </w:rPr>
        <w:t>股份的 表决权。</w:t>
      </w:r>
    </w:p>
    <w:p>
      <w:pPr>
        <w:pStyle w:val="Style3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国网电子商务有限公司是国家电网有限公司的全资子公司，本公司实际控制人是国务院国有 资产监督管理委员会。</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本企业最终控制方是国务院国有资产监督管理委员会。</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2</w:t>
      </w:r>
      <w:bookmarkEnd w:id="2011"/>
      <w:r>
        <w:rPr>
          <w:color w:val="000000"/>
          <w:spacing w:val="0"/>
          <w:w w:val="100"/>
          <w:position w:val="0"/>
        </w:rPr>
        <w:t>、</w:t>
        <w:tab/>
        <w:t>本企业的子公司情况</w:t>
      </w:r>
      <w:bookmarkEnd w:id="2009"/>
      <w:bookmarkEnd w:id="2010"/>
      <w:bookmarkEnd w:id="2012"/>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）在子公司的权益。</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w:t>
        <w:tab/>
        <w:t>本企业合营和联营企业情况</w:t>
      </w:r>
      <w:bookmarkEnd w:id="2013"/>
      <w:bookmarkEnd w:id="2014"/>
      <w:bookmarkEnd w:id="2016"/>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）在联营、合营企业的权益。</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深圳市深远数据技术有限公司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合肥启迪远光区块链技术合伙企业（有限合伙）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远光共创智能科技股份有限公司及其子公司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4</w:t>
      </w:r>
      <w:bookmarkEnd w:id="2019"/>
      <w:r>
        <w:rPr>
          <w:color w:val="000000"/>
          <w:spacing w:val="0"/>
          <w:w w:val="100"/>
          <w:position w:val="0"/>
        </w:rPr>
        <w:t>、其他关联方情况</w:t>
      </w:r>
      <w:bookmarkEnd w:id="2017"/>
      <w:bookmarkEnd w:id="2018"/>
      <w:bookmarkEnd w:id="2020"/>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国电电力发展股份有限公司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持公司</w:t>
            </w:r>
            <w:r>
              <w:rPr>
                <w:rFonts w:ascii="Times New Roman" w:eastAsia="Times New Roman" w:hAnsi="Times New Roman" w:cs="Times New Roman"/>
                <w:color w:val="000000"/>
                <w:spacing w:val="0"/>
                <w:w w:val="100"/>
                <w:position w:val="0"/>
                <w:sz w:val="18"/>
                <w:szCs w:val="18"/>
              </w:rPr>
              <w:t>6.21%</w:t>
            </w:r>
            <w:r>
              <w:rPr>
                <w:color w:val="000000"/>
                <w:spacing w:val="0"/>
                <w:w w:val="100"/>
                <w:position w:val="0"/>
                <w:sz w:val="17"/>
                <w:szCs w:val="17"/>
              </w:rPr>
              <w:t>股份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国家电网有限公司及其其他下属单位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相同的最终控股股东</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、关联交易情况</w:t>
      </w:r>
      <w:bookmarkEnd w:id="2021"/>
      <w:bookmarkEnd w:id="2022"/>
      <w:bookmarkEnd w:id="2024"/>
    </w:p>
    <w:p>
      <w:pPr>
        <w:pStyle w:val="Style41"/>
        <w:keepNext/>
        <w:keepLines/>
        <w:widowControl w:val="0"/>
        <w:shd w:val="clear" w:color="auto" w:fill="auto"/>
        <w:bidi w:val="0"/>
        <w:spacing w:before="0" w:after="420" w:line="240" w:lineRule="auto"/>
        <w:ind w:left="0" w:right="0" w:firstLine="0"/>
        <w:jc w:val="left"/>
      </w:pPr>
      <w:bookmarkStart w:id="2025" w:name="bookmark2025"/>
      <w:bookmarkStart w:id="2026" w:name="bookmark2026"/>
      <w:bookmarkStart w:id="2027" w:name="bookmark20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5"/>
      <w:bookmarkEnd w:id="2026"/>
      <w:bookmarkEnd w:id="202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国家电网有限公司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及其其他下属单位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31,332,850.57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18,945,359.00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国网电子商务有限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公司及其下属单位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采购材料及服务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2,232,809.43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78,481.13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国电电力发展股份有限公司及 其下属单位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9,487,968.25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21,870,797.04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国家电网有限公司及其其他下 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1,033,915,084.63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1,028,115,534.66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国网电子商务有限公司及其下 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74,107,838.07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22,492,254.75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深圳市深远数据技术有限公司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308,490.57</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合肥启迪远光区块链技术合伙 企业（有限合伙）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339,622.63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339,622.63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420" w:line="240" w:lineRule="auto"/>
        <w:ind w:left="0" w:right="0" w:firstLine="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8"/>
      <w:bookmarkEnd w:id="2029"/>
      <w:bookmarkEnd w:id="203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本期确认的托管</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43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r>
        <w:trPr>
          <w:trHeight w:val="1109"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2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20"/>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11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1"/>
        <w:keepNext/>
        <w:keepLines/>
        <w:widowControl w:val="0"/>
        <w:shd w:val="clear" w:color="auto" w:fill="auto"/>
        <w:bidi w:val="0"/>
        <w:spacing w:before="0" w:after="40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31"/>
      <w:bookmarkEnd w:id="2032"/>
      <w:bookmarkEnd w:id="203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远光共创智能科技股份有限 公司及其子公司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106,268.46</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35"/>
      <w:bookmarkEnd w:id="2036"/>
      <w:bookmarkEnd w:id="203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9"/>
      <w:bookmarkEnd w:id="2040"/>
      <w:bookmarkEnd w:id="2042"/>
    </w:p>
    <w:p>
      <w:pPr>
        <w:widowControl w:val="0"/>
        <w:jc w:val="center"/>
        <w:rPr>
          <w:sz w:val="2"/>
          <w:szCs w:val="2"/>
        </w:rPr>
      </w:pPr>
      <w:r>
        <w:drawing>
          <wp:inline>
            <wp:extent cx="6126480" cy="95123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pic:blipFill>
                  <pic:spPr>
                    <a:xfrm>
                      <a:ext cx="6126480" cy="951230"/>
                    </a:xfrm>
                    <a:prstGeom prst="rect"/>
                  </pic:spPr>
                </pic:pic>
              </a:graphicData>
            </a:graphic>
          </wp:inline>
        </w:drawing>
      </w:r>
      <w:r>
        <w:br w:type="page"/>
      </w:r>
    </w:p>
    <w:p>
      <w:pPr>
        <w:pStyle w:val="Style41"/>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3"/>
      <w:bookmarkEnd w:id="2044"/>
      <w:bookmarkEnd w:id="204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7"/>
      <w:bookmarkEnd w:id="2048"/>
      <w:bookmarkEnd w:id="205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15,961,626.77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11,783,480.59</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51"/>
      <w:bookmarkEnd w:id="2052"/>
      <w:bookmarkEnd w:id="2054"/>
    </w:p>
    <w:p>
      <w:pPr>
        <w:pStyle w:val="Style29"/>
        <w:keepNext/>
        <w:keepLines/>
        <w:widowControl w:val="0"/>
        <w:shd w:val="clear" w:color="auto" w:fill="auto"/>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、关联方应收应付款项</w:t>
      </w:r>
      <w:bookmarkEnd w:id="2055"/>
      <w:bookmarkEnd w:id="2056"/>
      <w:bookmarkEnd w:id="2058"/>
    </w:p>
    <w:p>
      <w:pPr>
        <w:pStyle w:val="Style41"/>
        <w:keepNext/>
        <w:keepLines/>
        <w:widowControl w:val="0"/>
        <w:shd w:val="clear" w:color="auto" w:fill="auto"/>
        <w:bidi w:val="0"/>
        <w:spacing w:before="0" w:line="240" w:lineRule="auto"/>
        <w:ind w:left="0" w:right="0" w:firstLine="0"/>
        <w:jc w:val="both"/>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9"/>
      <w:bookmarkEnd w:id="2060"/>
      <w:bookmarkEnd w:id="206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远光共创智能科技 股份有限公司及其 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5,666,944.60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5,666,944.60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国家电网有限公司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及其其他下属单位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751,980,566.48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76,869,518.15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691,138,165.23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72,417,896.85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国网电子商务有限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公司及其下属单位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47,687,500.00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2,300,129.25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10,748,840.00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430,959.87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国家电网有限公司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及其其他下属单位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94,379,807.80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7,114,806.89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37,262,499.65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1,515,199.23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国网电子商务有限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公司及其下属单位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242,006.40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10,138.86</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国电电力发展股份 有限公司及其下属 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25,689,108.41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10,344,156.81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27,377,625.21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8,980,797.63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国电电力发展股份 有限公司及其下属 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400,362.00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645,862.00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25,894.94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深圳市深远数据技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77,822.41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399,438.43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755,333.94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及其其他下属单位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国网电子商务有限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公司及其下属单位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远光共创智能科技 股份有限公司及其 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62,013,489.50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62,013,489.50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62,013,489.50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62,013,489.50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国家电网有限公司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及其其他下属单位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2,975,625.50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424,885.11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3,072,027.00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120,828.01</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国网电子商务有限</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公司及其下属单位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1,273.29</w:t>
            </w:r>
          </w:p>
        </w:tc>
      </w:tr>
    </w:tbl>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both"/>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62"/>
      <w:bookmarkEnd w:id="2063"/>
      <w:bookmarkEnd w:id="206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国电电力发展股份有限公司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及其下属单位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262,624.19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804,484.95</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国家电网有限公司及其其他 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94,341.51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国家电网有限公司及其其他 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26,262,390.07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15,297,375.23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国网电子商务有限公司及其 下属单位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国网电子商务有限公司及其 下属单位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7</w:t>
      </w:r>
      <w:bookmarkEnd w:id="2067"/>
      <w:r>
        <w:rPr>
          <w:color w:val="000000"/>
          <w:spacing w:val="0"/>
          <w:w w:val="100"/>
          <w:position w:val="0"/>
        </w:rPr>
        <w:t>、</w:t>
        <w:tab/>
        <w:t>关联方承诺</w:t>
      </w:r>
      <w:bookmarkEnd w:id="2065"/>
      <w:bookmarkEnd w:id="2066"/>
      <w:bookmarkEnd w:id="2068"/>
    </w:p>
    <w:p>
      <w:pPr>
        <w:pStyle w:val="Style29"/>
        <w:keepNext/>
        <w:keepLines/>
        <w:widowControl w:val="0"/>
        <w:shd w:val="clear" w:color="auto" w:fill="auto"/>
        <w:tabs>
          <w:tab w:pos="378" w:val="left"/>
        </w:tabs>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8</w:t>
      </w:r>
      <w:bookmarkEnd w:id="2071"/>
      <w:r>
        <w:rPr>
          <w:color w:val="000000"/>
          <w:spacing w:val="0"/>
          <w:w w:val="100"/>
          <w:position w:val="0"/>
        </w:rPr>
        <w:t>、</w:t>
        <w:tab/>
        <w:t>其他</w:t>
      </w:r>
      <w:bookmarkEnd w:id="2069"/>
      <w:bookmarkEnd w:id="2070"/>
      <w:bookmarkEnd w:id="2072"/>
    </w:p>
    <w:p>
      <w:pPr>
        <w:pStyle w:val="Style24"/>
        <w:keepNext/>
        <w:keepLines/>
        <w:widowControl w:val="0"/>
        <w:shd w:val="clear" w:color="auto" w:fill="auto"/>
        <w:bidi w:val="0"/>
        <w:spacing w:before="0" w:after="360" w:line="240" w:lineRule="auto"/>
        <w:ind w:left="0" w:right="0" w:firstLine="0"/>
        <w:jc w:val="left"/>
      </w:pPr>
      <w:bookmarkStart w:id="2073" w:name="bookmark2073"/>
      <w:bookmarkStart w:id="2074" w:name="bookmark2074"/>
      <w:bookmarkStart w:id="2075" w:name="bookmark2075"/>
      <w:r>
        <w:rPr>
          <w:color w:val="000000"/>
          <w:spacing w:val="0"/>
          <w:w w:val="100"/>
          <w:position w:val="0"/>
        </w:rPr>
        <w:t>十三、股份支付</w:t>
      </w:r>
      <w:bookmarkEnd w:id="2073"/>
      <w:bookmarkEnd w:id="2074"/>
      <w:bookmarkEnd w:id="2075"/>
    </w:p>
    <w:p>
      <w:pPr>
        <w:pStyle w:val="Style29"/>
        <w:keepNext/>
        <w:keepLines/>
        <w:widowControl w:val="0"/>
        <w:shd w:val="clear" w:color="auto" w:fill="auto"/>
        <w:tabs>
          <w:tab w:pos="368" w:val="left"/>
        </w:tabs>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1</w:t>
      </w:r>
      <w:bookmarkEnd w:id="2078"/>
      <w:r>
        <w:rPr>
          <w:color w:val="000000"/>
          <w:spacing w:val="0"/>
          <w:w w:val="100"/>
          <w:position w:val="0"/>
        </w:rPr>
        <w:t>、</w:t>
        <w:tab/>
        <w:t>股份支付总体情况</w:t>
      </w:r>
      <w:bookmarkEnd w:id="2076"/>
      <w:bookmarkEnd w:id="2077"/>
      <w:bookmarkEnd w:id="2079"/>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400" w:line="240" w:lineRule="auto"/>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以权益结算的股份支付情况</w:t>
      </w:r>
      <w:bookmarkEnd w:id="2080"/>
      <w:bookmarkEnd w:id="2081"/>
      <w:bookmarkEnd w:id="2083"/>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w:t>
        <w:tab/>
        <w:t>以现金结算的股份支付情况</w:t>
      </w:r>
      <w:bookmarkEnd w:id="2084"/>
      <w:bookmarkEnd w:id="2085"/>
      <w:bookmarkEnd w:id="208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4</w:t>
      </w:r>
      <w:bookmarkEnd w:id="2090"/>
      <w:r>
        <w:rPr>
          <w:color w:val="000000"/>
          <w:spacing w:val="0"/>
          <w:w w:val="100"/>
          <w:position w:val="0"/>
        </w:rPr>
        <w:t>、</w:t>
        <w:tab/>
        <w:t>股份支付的修改、终止情况</w:t>
      </w:r>
      <w:bookmarkEnd w:id="2088"/>
      <w:bookmarkEnd w:id="2089"/>
      <w:bookmarkEnd w:id="2091"/>
    </w:p>
    <w:p>
      <w:pPr>
        <w:pStyle w:val="Style29"/>
        <w:keepNext/>
        <w:keepLines/>
        <w:widowControl w:val="0"/>
        <w:shd w:val="clear" w:color="auto" w:fill="auto"/>
        <w:tabs>
          <w:tab w:pos="378" w:val="left"/>
        </w:tabs>
        <w:bidi w:val="0"/>
        <w:spacing w:before="0" w:line="240" w:lineRule="auto"/>
        <w:ind w:left="0" w:right="0" w:firstLine="0"/>
        <w:jc w:val="both"/>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5</w:t>
      </w:r>
      <w:bookmarkEnd w:id="2094"/>
      <w:r>
        <w:rPr>
          <w:color w:val="000000"/>
          <w:spacing w:val="0"/>
          <w:w w:val="100"/>
          <w:position w:val="0"/>
        </w:rPr>
        <w:t>、</w:t>
        <w:tab/>
        <w:t>其他</w:t>
      </w:r>
      <w:bookmarkEnd w:id="2092"/>
      <w:bookmarkEnd w:id="2093"/>
      <w:bookmarkEnd w:id="2095"/>
    </w:p>
    <w:p>
      <w:pPr>
        <w:pStyle w:val="Style24"/>
        <w:keepNext/>
        <w:keepLines/>
        <w:widowControl w:val="0"/>
        <w:shd w:val="clear" w:color="auto" w:fill="auto"/>
        <w:bidi w:val="0"/>
        <w:spacing w:before="0" w:after="360" w:line="240" w:lineRule="auto"/>
        <w:ind w:left="0" w:right="0" w:firstLine="0"/>
        <w:jc w:val="both"/>
      </w:pPr>
      <w:bookmarkStart w:id="2096" w:name="bookmark2096"/>
      <w:bookmarkStart w:id="2097" w:name="bookmark2097"/>
      <w:bookmarkStart w:id="2098" w:name="bookmark2098"/>
      <w:r>
        <w:rPr>
          <w:color w:val="000000"/>
          <w:spacing w:val="0"/>
          <w:w w:val="100"/>
          <w:position w:val="0"/>
        </w:rPr>
        <w:t>十四、承诺及或有事项</w:t>
      </w:r>
      <w:bookmarkEnd w:id="2096"/>
      <w:bookmarkEnd w:id="2097"/>
      <w:bookmarkEnd w:id="2098"/>
    </w:p>
    <w:p>
      <w:pPr>
        <w:pStyle w:val="Style29"/>
        <w:keepNext/>
        <w:keepLines/>
        <w:widowControl w:val="0"/>
        <w:shd w:val="clear" w:color="auto" w:fill="auto"/>
        <w:tabs>
          <w:tab w:pos="368" w:val="left"/>
        </w:tabs>
        <w:bidi w:val="0"/>
        <w:spacing w:before="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bookmarkEnd w:id="2101"/>
      <w:r>
        <w:rPr>
          <w:color w:val="000000"/>
          <w:spacing w:val="0"/>
          <w:w w:val="100"/>
          <w:position w:val="0"/>
        </w:rPr>
        <w:t>、</w:t>
        <w:tab/>
        <w:t>重要承诺事项</w:t>
      </w:r>
      <w:bookmarkEnd w:id="2099"/>
      <w:bookmarkEnd w:id="2100"/>
      <w:bookmarkEnd w:id="2102"/>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日，本公司不存在应披露的承诺事项。</w:t>
      </w:r>
    </w:p>
    <w:p>
      <w:pPr>
        <w:pStyle w:val="Style29"/>
        <w:keepNext/>
        <w:keepLines/>
        <w:widowControl w:val="0"/>
        <w:shd w:val="clear" w:color="auto" w:fill="auto"/>
        <w:tabs>
          <w:tab w:pos="378" w:val="left"/>
        </w:tabs>
        <w:bidi w:val="0"/>
        <w:spacing w:before="0" w:line="240" w:lineRule="auto"/>
        <w:ind w:left="0" w:right="0" w:firstLine="0"/>
        <w:jc w:val="both"/>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2</w:t>
      </w:r>
      <w:bookmarkEnd w:id="2105"/>
      <w:r>
        <w:rPr>
          <w:color w:val="000000"/>
          <w:spacing w:val="0"/>
          <w:w w:val="100"/>
          <w:position w:val="0"/>
        </w:rPr>
        <w:t>、</w:t>
        <w:tab/>
        <w:t>或有事项</w:t>
      </w:r>
      <w:bookmarkEnd w:id="2103"/>
      <w:bookmarkEnd w:id="2104"/>
      <w:bookmarkEnd w:id="2106"/>
    </w:p>
    <w:p>
      <w:pPr>
        <w:pStyle w:val="Style41"/>
        <w:keepNext/>
        <w:keepLines/>
        <w:widowControl w:val="0"/>
        <w:shd w:val="clear" w:color="auto" w:fill="auto"/>
        <w:tabs>
          <w:tab w:pos="493" w:val="left"/>
        </w:tabs>
        <w:bidi w:val="0"/>
        <w:spacing w:before="0" w:after="360" w:line="240" w:lineRule="auto"/>
        <w:ind w:left="0" w:right="0" w:firstLine="0"/>
        <w:jc w:val="both"/>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7"/>
      <w:bookmarkEnd w:id="2108"/>
      <w:bookmarkEnd w:id="2110"/>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日，本公司不存在应披露的未决诉讼、对外担保等或有事项。</w:t>
      </w:r>
    </w:p>
    <w:p>
      <w:pPr>
        <w:pStyle w:val="Style41"/>
        <w:keepNext/>
        <w:keepLines/>
        <w:widowControl w:val="0"/>
        <w:shd w:val="clear" w:color="auto" w:fill="auto"/>
        <w:tabs>
          <w:tab w:pos="493" w:val="left"/>
        </w:tabs>
        <w:bidi w:val="0"/>
        <w:spacing w:before="0" w:after="360" w:line="240" w:lineRule="auto"/>
        <w:ind w:left="0" w:right="0" w:firstLine="0"/>
        <w:jc w:val="both"/>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11"/>
      <w:bookmarkEnd w:id="2112"/>
      <w:bookmarkEnd w:id="211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both"/>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w:t>
        <w:tab/>
        <w:t>其他</w:t>
      </w:r>
      <w:bookmarkEnd w:id="2115"/>
      <w:bookmarkEnd w:id="2116"/>
      <w:bookmarkEnd w:id="2118"/>
    </w:p>
    <w:p>
      <w:pPr>
        <w:pStyle w:val="Style24"/>
        <w:keepNext/>
        <w:keepLines/>
        <w:widowControl w:val="0"/>
        <w:shd w:val="clear" w:color="auto" w:fill="auto"/>
        <w:bidi w:val="0"/>
        <w:spacing w:before="0" w:after="360" w:line="240" w:lineRule="auto"/>
        <w:ind w:left="0" w:right="0" w:firstLine="0"/>
        <w:jc w:val="both"/>
      </w:pPr>
      <w:bookmarkStart w:id="2119" w:name="bookmark2119"/>
      <w:bookmarkStart w:id="2120" w:name="bookmark2120"/>
      <w:bookmarkStart w:id="2121" w:name="bookmark2121"/>
      <w:r>
        <w:rPr>
          <w:color w:val="000000"/>
          <w:spacing w:val="0"/>
          <w:w w:val="100"/>
          <w:position w:val="0"/>
        </w:rPr>
        <w:t>十五、资产负债表日后事项</w:t>
      </w:r>
      <w:bookmarkEnd w:id="2119"/>
      <w:bookmarkEnd w:id="2120"/>
      <w:bookmarkEnd w:id="2121"/>
    </w:p>
    <w:p>
      <w:pPr>
        <w:pStyle w:val="Style29"/>
        <w:keepNext/>
        <w:keepLines/>
        <w:widowControl w:val="0"/>
        <w:shd w:val="clear" w:color="auto" w:fill="auto"/>
        <w:bidi w:val="0"/>
        <w:spacing w:before="0" w:line="240" w:lineRule="auto"/>
        <w:ind w:left="0" w:right="0" w:firstLine="0"/>
        <w:jc w:val="both"/>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2"/>
      <w:bookmarkEnd w:id="2123"/>
      <w:bookmarkEnd w:id="21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25"/>
      <w:bookmarkEnd w:id="2126"/>
      <w:bookmarkEnd w:id="21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66,149,166.70</w:t>
            </w:r>
          </w:p>
        </w:tc>
      </w:tr>
    </w:tbl>
    <w:p>
      <w:pPr>
        <w:pStyle w:val="Style29"/>
        <w:keepNext/>
        <w:keepLines/>
        <w:widowControl w:val="0"/>
        <w:shd w:val="clear" w:color="auto" w:fill="auto"/>
        <w:tabs>
          <w:tab w:pos="378" w:val="left"/>
        </w:tabs>
        <w:bidi w:val="0"/>
        <w:spacing w:before="0" w:line="240" w:lineRule="auto"/>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3</w:t>
      </w:r>
      <w:bookmarkEnd w:id="2130"/>
      <w:r>
        <w:rPr>
          <w:color w:val="000000"/>
          <w:spacing w:val="0"/>
          <w:w w:val="100"/>
          <w:position w:val="0"/>
        </w:rPr>
        <w:t>、</w:t>
        <w:tab/>
        <w:t>销售退回</w:t>
      </w:r>
      <w:bookmarkEnd w:id="2128"/>
      <w:bookmarkEnd w:id="2129"/>
      <w:bookmarkEnd w:id="2131"/>
    </w:p>
    <w:p>
      <w:pPr>
        <w:pStyle w:val="Style29"/>
        <w:keepNext/>
        <w:keepLines/>
        <w:widowControl w:val="0"/>
        <w:shd w:val="clear" w:color="auto" w:fill="auto"/>
        <w:tabs>
          <w:tab w:pos="378" w:val="left"/>
        </w:tabs>
        <w:bidi w:val="0"/>
        <w:spacing w:before="0" w:after="320" w:line="240" w:lineRule="auto"/>
        <w:ind w:left="0" w:right="0" w:firstLine="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4</w:t>
      </w:r>
      <w:bookmarkEnd w:id="2134"/>
      <w:r>
        <w:rPr>
          <w:color w:val="000000"/>
          <w:spacing w:val="0"/>
          <w:w w:val="100"/>
          <w:position w:val="0"/>
        </w:rPr>
        <w:t>、</w:t>
        <w:tab/>
        <w:t>其他资产负债表日后事项说明</w:t>
      </w:r>
      <w:bookmarkEnd w:id="2132"/>
      <w:bookmarkEnd w:id="2133"/>
      <w:bookmarkEnd w:id="2135"/>
    </w:p>
    <w:p>
      <w:pPr>
        <w:pStyle w:val="Style33"/>
        <w:keepNext w:val="0"/>
        <w:keepLines w:val="0"/>
        <w:widowControl w:val="0"/>
        <w:shd w:val="clear" w:color="auto" w:fill="auto"/>
        <w:tabs>
          <w:tab w:pos="387" w:val="left"/>
        </w:tabs>
        <w:bidi w:val="0"/>
        <w:spacing w:before="0" w:after="200" w:line="310" w:lineRule="exact"/>
        <w:ind w:left="0" w:right="0" w:firstLine="0"/>
        <w:jc w:val="both"/>
      </w:pPr>
      <w:bookmarkStart w:id="2136" w:name="bookmark2136"/>
      <w:r>
        <w:rPr>
          <w:rFonts w:ascii="Times New Roman" w:eastAsia="Times New Roman" w:hAnsi="Times New Roman" w:cs="Times New Roman"/>
          <w:color w:val="000000"/>
          <w:spacing w:val="0"/>
          <w:w w:val="100"/>
          <w:position w:val="0"/>
          <w:sz w:val="24"/>
          <w:szCs w:val="24"/>
        </w:rPr>
        <w:t>1</w:t>
      </w:r>
      <w:bookmarkEnd w:id="213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日，公司第七届董事会第十一次会议审议通过了《关于控股子公司减少注册 资本暨关联交易的议案》，</w:t>
      </w:r>
      <w:r>
        <w:rPr>
          <w:rFonts w:ascii="Times New Roman" w:eastAsia="Times New Roman" w:hAnsi="Times New Roman" w:cs="Times New Roman"/>
          <w:color w:val="000000"/>
          <w:spacing w:val="0"/>
          <w:w w:val="100"/>
          <w:position w:val="0"/>
          <w:sz w:val="24"/>
          <w:szCs w:val="24"/>
        </w:rPr>
        <w:t>g</w:t>
      </w:r>
      <w:r>
        <w:rPr>
          <w:color w:val="000000"/>
          <w:spacing w:val="0"/>
          <w:w w:val="100"/>
          <w:position w:val="0"/>
        </w:rPr>
        <w:t>司控股子公司珠海高远电能科技有限公司拟将注册资本由人民 币</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万元减少至</w:t>
      </w:r>
      <w:r>
        <w:rPr>
          <w:rFonts w:ascii="Times New Roman" w:eastAsia="Times New Roman" w:hAnsi="Times New Roman" w:cs="Times New Roman"/>
          <w:color w:val="000000"/>
          <w:spacing w:val="0"/>
          <w:w w:val="100"/>
          <w:position w:val="0"/>
          <w:sz w:val="24"/>
          <w:szCs w:val="24"/>
        </w:rPr>
        <w:t>1,600</w:t>
      </w:r>
      <w:r>
        <w:rPr>
          <w:color w:val="000000"/>
          <w:spacing w:val="0"/>
          <w:w w:val="100"/>
          <w:position w:val="0"/>
        </w:rPr>
        <w:t>万元。</w:t>
      </w:r>
    </w:p>
    <w:p>
      <w:pPr>
        <w:pStyle w:val="Style33"/>
        <w:keepNext w:val="0"/>
        <w:keepLines w:val="0"/>
        <w:widowControl w:val="0"/>
        <w:shd w:val="clear" w:color="auto" w:fill="auto"/>
        <w:tabs>
          <w:tab w:pos="402" w:val="left"/>
        </w:tabs>
        <w:bidi w:val="0"/>
        <w:spacing w:before="0" w:after="200" w:line="314" w:lineRule="exact"/>
        <w:ind w:left="0" w:right="0" w:firstLine="0"/>
        <w:jc w:val="both"/>
      </w:pPr>
      <w:bookmarkStart w:id="2137" w:name="bookmark2137"/>
      <w:r>
        <w:rPr>
          <w:rFonts w:ascii="Times New Roman" w:eastAsia="Times New Roman" w:hAnsi="Times New Roman" w:cs="Times New Roman"/>
          <w:color w:val="000000"/>
          <w:spacing w:val="0"/>
          <w:w w:val="100"/>
          <w:position w:val="0"/>
          <w:sz w:val="24"/>
          <w:szCs w:val="24"/>
        </w:rPr>
        <w:t>2</w:t>
      </w:r>
      <w:bookmarkEnd w:id="213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04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日，公司第七届董事会第十二次会议审议通过了《关于挂牌转让控股子公司 股权的议案》，同意公司及全资子公司远光资本管理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横琴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有限公司挂牌转让所持的珠海高 远电能科技有限公司</w:t>
      </w:r>
      <w:r>
        <w:rPr>
          <w:rFonts w:ascii="Times New Roman" w:eastAsia="Times New Roman" w:hAnsi="Times New Roman" w:cs="Times New Roman"/>
          <w:color w:val="000000"/>
          <w:spacing w:val="0"/>
          <w:w w:val="100"/>
          <w:position w:val="0"/>
          <w:sz w:val="24"/>
          <w:szCs w:val="24"/>
        </w:rPr>
        <w:t>63%</w:t>
      </w:r>
      <w:r>
        <w:rPr>
          <w:color w:val="000000"/>
          <w:spacing w:val="0"/>
          <w:w w:val="100"/>
          <w:position w:val="0"/>
        </w:rPr>
        <w:t>的股权。</w:t>
      </w:r>
    </w:p>
    <w:p>
      <w:pPr>
        <w:pStyle w:val="Style3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日，本公司不存在其他应披露的资产负债表日后事项。</w:t>
      </w:r>
    </w:p>
    <w:p>
      <w:pPr>
        <w:pStyle w:val="Style24"/>
        <w:keepNext/>
        <w:keepLines/>
        <w:widowControl w:val="0"/>
        <w:shd w:val="clear" w:color="auto" w:fill="auto"/>
        <w:bidi w:val="0"/>
        <w:spacing w:before="0" w:after="360" w:line="312" w:lineRule="exact"/>
        <w:ind w:left="0" w:right="0" w:firstLine="0"/>
        <w:jc w:val="both"/>
      </w:pPr>
      <w:bookmarkStart w:id="2138" w:name="bookmark2138"/>
      <w:bookmarkStart w:id="2139" w:name="bookmark2139"/>
      <w:bookmarkStart w:id="2140" w:name="bookmark2140"/>
      <w:r>
        <w:rPr>
          <w:color w:val="000000"/>
          <w:spacing w:val="0"/>
          <w:w w:val="100"/>
          <w:position w:val="0"/>
        </w:rPr>
        <w:t>十六、其他重要事项</w:t>
      </w:r>
      <w:bookmarkEnd w:id="2138"/>
      <w:bookmarkEnd w:id="2139"/>
      <w:bookmarkEnd w:id="2140"/>
    </w:p>
    <w:p>
      <w:pPr>
        <w:pStyle w:val="Style29"/>
        <w:keepNext/>
        <w:keepLines/>
        <w:widowControl w:val="0"/>
        <w:shd w:val="clear" w:color="auto" w:fill="auto"/>
        <w:bidi w:val="0"/>
        <w:spacing w:before="0" w:line="240" w:lineRule="auto"/>
        <w:ind w:left="0" w:right="0" w:firstLine="0"/>
        <w:jc w:val="both"/>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1"/>
      <w:bookmarkEnd w:id="2142"/>
      <w:bookmarkEnd w:id="2143"/>
    </w:p>
    <w:p>
      <w:pPr>
        <w:pStyle w:val="Style41"/>
        <w:keepNext/>
        <w:keepLines/>
        <w:widowControl w:val="0"/>
        <w:shd w:val="clear" w:color="auto" w:fill="auto"/>
        <w:bidi w:val="0"/>
        <w:spacing w:before="0" w:after="400" w:line="240" w:lineRule="auto"/>
        <w:ind w:left="0" w:right="0" w:firstLine="0"/>
        <w:jc w:val="both"/>
      </w:pPr>
      <w:bookmarkStart w:id="2144" w:name="bookmark2144"/>
      <w:bookmarkStart w:id="2145" w:name="bookmark2145"/>
      <w:bookmarkStart w:id="2146" w:name="bookmark2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4"/>
      <w:bookmarkEnd w:id="2145"/>
      <w:bookmarkEnd w:id="21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14"/>
        <w:gridCol w:w="2362"/>
        <w:gridCol w:w="241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5" w:right="0" w:firstLine="0"/>
        <w:jc w:val="left"/>
        <w:rPr>
          <w:sz w:val="20"/>
          <w:szCs w:val="20"/>
        </w:rPr>
      </w:pPr>
      <w:bookmarkStart w:id="2147" w:name="bookmark214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47"/>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19" w:line="1" w:lineRule="exact"/>
      </w:pPr>
    </w:p>
    <w:p>
      <w:pPr>
        <w:pStyle w:val="Style29"/>
        <w:keepNext/>
        <w:keepLines/>
        <w:widowControl w:val="0"/>
        <w:shd w:val="clear" w:color="auto" w:fill="auto"/>
        <w:tabs>
          <w:tab w:pos="378" w:val="left"/>
        </w:tabs>
        <w:bidi w:val="0"/>
        <w:spacing w:before="0" w:line="240" w:lineRule="auto"/>
        <w:ind w:left="0" w:right="0" w:firstLine="0"/>
        <w:jc w:val="both"/>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bookmarkEnd w:id="2150"/>
      <w:r>
        <w:rPr>
          <w:color w:val="000000"/>
          <w:spacing w:val="0"/>
          <w:w w:val="100"/>
          <w:position w:val="0"/>
        </w:rPr>
        <w:t>、</w:t>
        <w:tab/>
        <w:t>债务重组</w:t>
      </w:r>
      <w:bookmarkEnd w:id="2148"/>
      <w:bookmarkEnd w:id="2149"/>
      <w:bookmarkEnd w:id="2151"/>
    </w:p>
    <w:p>
      <w:pPr>
        <w:pStyle w:val="Style29"/>
        <w:keepNext/>
        <w:keepLines/>
        <w:widowControl w:val="0"/>
        <w:shd w:val="clear" w:color="auto" w:fill="auto"/>
        <w:tabs>
          <w:tab w:pos="378" w:val="left"/>
        </w:tabs>
        <w:bidi w:val="0"/>
        <w:spacing w:before="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3</w:t>
      </w:r>
      <w:bookmarkEnd w:id="2154"/>
      <w:r>
        <w:rPr>
          <w:color w:val="000000"/>
          <w:spacing w:val="0"/>
          <w:w w:val="100"/>
          <w:position w:val="0"/>
        </w:rPr>
        <w:t>、</w:t>
        <w:tab/>
        <w:t>资产置换</w:t>
      </w:r>
      <w:bookmarkEnd w:id="2152"/>
      <w:bookmarkEnd w:id="2153"/>
      <w:bookmarkEnd w:id="2155"/>
    </w:p>
    <w:p>
      <w:pPr>
        <w:pStyle w:val="Style41"/>
        <w:keepNext/>
        <w:keepLines/>
        <w:widowControl w:val="0"/>
        <w:shd w:val="clear" w:color="auto" w:fill="auto"/>
        <w:tabs>
          <w:tab w:pos="493" w:val="left"/>
        </w:tabs>
        <w:bidi w:val="0"/>
        <w:spacing w:before="0" w:after="360" w:line="240" w:lineRule="auto"/>
        <w:ind w:left="0" w:right="0" w:firstLine="0"/>
        <w:jc w:val="both"/>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56"/>
      <w:bookmarkEnd w:id="2157"/>
      <w:bookmarkEnd w:id="2159"/>
    </w:p>
    <w:p>
      <w:pPr>
        <w:pStyle w:val="Style41"/>
        <w:keepNext/>
        <w:keepLines/>
        <w:widowControl w:val="0"/>
        <w:shd w:val="clear" w:color="auto" w:fill="auto"/>
        <w:tabs>
          <w:tab w:pos="493" w:val="left"/>
        </w:tabs>
        <w:bidi w:val="0"/>
        <w:spacing w:before="0" w:after="360" w:line="240" w:lineRule="auto"/>
        <w:ind w:left="0" w:right="0" w:firstLine="0"/>
        <w:jc w:val="both"/>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60"/>
      <w:bookmarkEnd w:id="2161"/>
      <w:bookmarkEnd w:id="2163"/>
    </w:p>
    <w:p>
      <w:pPr>
        <w:pStyle w:val="Style29"/>
        <w:keepNext/>
        <w:keepLines/>
        <w:widowControl w:val="0"/>
        <w:shd w:val="clear" w:color="auto" w:fill="auto"/>
        <w:tabs>
          <w:tab w:pos="378" w:val="left"/>
        </w:tabs>
        <w:bidi w:val="0"/>
        <w:spacing w:before="0" w:line="240" w:lineRule="auto"/>
        <w:ind w:left="0" w:right="0" w:firstLine="0"/>
        <w:jc w:val="both"/>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4</w:t>
      </w:r>
      <w:bookmarkEnd w:id="2166"/>
      <w:r>
        <w:rPr>
          <w:color w:val="000000"/>
          <w:spacing w:val="0"/>
          <w:w w:val="100"/>
          <w:position w:val="0"/>
        </w:rPr>
        <w:t>、</w:t>
        <w:tab/>
        <w:t>年金计划</w:t>
      </w:r>
      <w:bookmarkEnd w:id="2164"/>
      <w:bookmarkEnd w:id="2165"/>
      <w:bookmarkEnd w:id="2167"/>
    </w:p>
    <w:p>
      <w:pPr>
        <w:pStyle w:val="Style29"/>
        <w:keepNext/>
        <w:keepLines/>
        <w:widowControl w:val="0"/>
        <w:shd w:val="clear" w:color="auto" w:fill="auto"/>
        <w:tabs>
          <w:tab w:pos="378" w:val="left"/>
        </w:tabs>
        <w:bidi w:val="0"/>
        <w:spacing w:before="0" w:after="400" w:line="240" w:lineRule="auto"/>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5</w:t>
      </w:r>
      <w:bookmarkEnd w:id="2170"/>
      <w:r>
        <w:rPr>
          <w:color w:val="000000"/>
          <w:spacing w:val="0"/>
          <w:w w:val="100"/>
          <w:position w:val="0"/>
        </w:rPr>
        <w:t>、</w:t>
        <w:tab/>
        <w:t>终止经营</w:t>
      </w:r>
      <w:bookmarkEnd w:id="2168"/>
      <w:bookmarkEnd w:id="2169"/>
      <w:bookmarkEnd w:id="2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6</w:t>
      </w:r>
      <w:bookmarkEnd w:id="2174"/>
      <w:r>
        <w:rPr>
          <w:color w:val="000000"/>
          <w:spacing w:val="0"/>
          <w:w w:val="100"/>
          <w:position w:val="0"/>
        </w:rPr>
        <w:t>、分部信息</w:t>
      </w:r>
      <w:bookmarkEnd w:id="2172"/>
      <w:bookmarkEnd w:id="2173"/>
      <w:bookmarkEnd w:id="2175"/>
    </w:p>
    <w:p>
      <w:pPr>
        <w:pStyle w:val="Style41"/>
        <w:keepNext/>
        <w:keepLines/>
        <w:widowControl w:val="0"/>
        <w:shd w:val="clear" w:color="auto" w:fill="auto"/>
        <w:tabs>
          <w:tab w:pos="493" w:val="left"/>
        </w:tabs>
        <w:bidi w:val="0"/>
        <w:spacing w:before="0" w:after="36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76"/>
      <w:bookmarkEnd w:id="2177"/>
      <w:bookmarkEnd w:id="2179"/>
    </w:p>
    <w:p>
      <w:pPr>
        <w:pStyle w:val="Style41"/>
        <w:keepNext/>
        <w:keepLines/>
        <w:widowControl w:val="0"/>
        <w:shd w:val="clear" w:color="auto" w:fill="auto"/>
        <w:tabs>
          <w:tab w:pos="493" w:val="left"/>
        </w:tabs>
        <w:bidi w:val="0"/>
        <w:spacing w:before="0" w:after="420" w:line="240" w:lineRule="auto"/>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80"/>
      <w:bookmarkEnd w:id="2181"/>
      <w:bookmarkEnd w:id="218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tabs>
          <w:tab w:pos="493" w:val="left"/>
        </w:tabs>
        <w:bidi w:val="0"/>
        <w:spacing w:before="0" w:after="30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84"/>
      <w:bookmarkEnd w:id="2185"/>
      <w:bookmarkEnd w:id="2187"/>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由于本公司资源统一管理，并无具体营运分部财务资料，故就资源分配及业绩评估向本公司 管理层呈报的资料以本集团整体营运业绩为主。因此，并无呈列营运分部及地区资料。</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88"/>
      <w:bookmarkEnd w:id="2189"/>
      <w:bookmarkEnd w:id="2191"/>
    </w:p>
    <w:p>
      <w:pPr>
        <w:pStyle w:val="Style29"/>
        <w:keepNext/>
        <w:keepLines/>
        <w:widowControl w:val="0"/>
        <w:shd w:val="clear" w:color="auto" w:fill="auto"/>
        <w:tabs>
          <w:tab w:pos="382" w:val="left"/>
        </w:tabs>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7</w:t>
      </w:r>
      <w:bookmarkEnd w:id="2194"/>
      <w:r>
        <w:rPr>
          <w:color w:val="000000"/>
          <w:spacing w:val="0"/>
          <w:w w:val="100"/>
          <w:position w:val="0"/>
        </w:rPr>
        <w:t>、</w:t>
        <w:tab/>
        <w:t>其他对投资者决策有影响的重要交易和事项</w:t>
      </w:r>
      <w:bookmarkEnd w:id="2192"/>
      <w:bookmarkEnd w:id="2193"/>
      <w:bookmarkEnd w:id="2195"/>
    </w:p>
    <w:p>
      <w:pPr>
        <w:pStyle w:val="Style29"/>
        <w:keepNext/>
        <w:keepLines/>
        <w:widowControl w:val="0"/>
        <w:shd w:val="clear" w:color="auto" w:fill="auto"/>
        <w:tabs>
          <w:tab w:pos="382" w:val="left"/>
        </w:tabs>
        <w:bidi w:val="0"/>
        <w:spacing w:before="0" w:after="30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8</w:t>
      </w:r>
      <w:bookmarkEnd w:id="2198"/>
      <w:r>
        <w:rPr>
          <w:color w:val="000000"/>
          <w:spacing w:val="0"/>
          <w:w w:val="100"/>
          <w:position w:val="0"/>
        </w:rPr>
        <w:t>、</w:t>
        <w:tab/>
        <w:t>其他</w:t>
      </w:r>
      <w:bookmarkEnd w:id="2196"/>
      <w:bookmarkEnd w:id="2197"/>
      <w:bookmarkEnd w:id="2199"/>
    </w:p>
    <w:p>
      <w:pPr>
        <w:pStyle w:val="Style24"/>
        <w:keepNext/>
        <w:keepLines/>
        <w:widowControl w:val="0"/>
        <w:shd w:val="clear" w:color="auto" w:fill="auto"/>
        <w:bidi w:val="0"/>
        <w:spacing w:before="0" w:after="360" w:line="317" w:lineRule="exact"/>
        <w:ind w:left="0" w:right="0" w:firstLine="0"/>
        <w:jc w:val="left"/>
      </w:pPr>
      <w:bookmarkStart w:id="2200" w:name="bookmark2200"/>
      <w:bookmarkStart w:id="2201" w:name="bookmark2201"/>
      <w:bookmarkStart w:id="2202" w:name="bookmark2202"/>
      <w:r>
        <w:rPr>
          <w:color w:val="000000"/>
          <w:spacing w:val="0"/>
          <w:w w:val="100"/>
          <w:position w:val="0"/>
        </w:rPr>
        <w:t>十七、母公司财务报表主要项目注释</w:t>
      </w:r>
      <w:bookmarkEnd w:id="2200"/>
      <w:bookmarkEnd w:id="2201"/>
      <w:bookmarkEnd w:id="2202"/>
    </w:p>
    <w:p>
      <w:pPr>
        <w:pStyle w:val="Style29"/>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3"/>
      <w:bookmarkEnd w:id="2204"/>
      <w:bookmarkEnd w:id="2205"/>
    </w:p>
    <w:p>
      <w:pPr>
        <w:pStyle w:val="Style41"/>
        <w:keepNext/>
        <w:keepLines/>
        <w:widowControl w:val="0"/>
        <w:shd w:val="clear" w:color="auto" w:fill="auto"/>
        <w:bidi w:val="0"/>
        <w:spacing w:before="0" w:after="360" w:line="240" w:lineRule="auto"/>
        <w:ind w:left="0" w:right="0" w:firstLine="0"/>
        <w:jc w:val="left"/>
      </w:pPr>
      <w:bookmarkStart w:id="2206" w:name="bookmark2206"/>
      <w:bookmarkStart w:id="2207" w:name="bookmark2207"/>
      <w:bookmarkStart w:id="2208" w:name="bookmark2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6"/>
      <w:bookmarkEnd w:id="2207"/>
      <w:bookmarkEnd w:id="22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250,561.7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1,104,04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944,308,8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897,400,4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749,442,46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9,772,940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7,457,462.6</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应收其他客户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1,094,27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159,741,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934,535,8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889,943,0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741,984,99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944,308,8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897,651,0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749,442,46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250,561.78</w:t>
      </w:r>
      <w:r>
        <w:rPr>
          <w:color w:val="000000"/>
          <w:spacing w:val="0"/>
          <w:w w:val="100"/>
          <w:position w:val="0"/>
        </w:rPr>
        <w:t>元</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8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远光共创智能科技股份</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250,561.78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5"/>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按单项计提坏账准备：</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widowControl w:val="0"/>
        <w:spacing w:after="99" w:line="1" w:lineRule="exact"/>
      </w:pPr>
    </w:p>
    <w:p>
      <w:pPr>
        <w:pStyle w:val="Style5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159,741,086.14</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788,928,524.40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34,318,390.81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161,788,989.73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25,206,724.60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35,672,211.38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10,487,630.15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39,615,349.13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25,231,015.86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63.69%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28,813,524.58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25,038,952.86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39,458,371.86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39,458,371.86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1,094,276,971.08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159,741,086.14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r>
        <w:br w:type="page"/>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796,410,833.67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163,990,521.42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35,761,311.38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108,137,807.35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39,615,349.13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28,813,524.58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39,708,933.64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1,104,300,473.82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9"/>
      <w:bookmarkEnd w:id="2210"/>
      <w:bookmarkEnd w:id="221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应收账款坏账准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148,208,573.22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11,783,074.70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159,991,647.92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148,208,573.22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11,783,074.70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159,991,647.92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12"/>
      <w:bookmarkEnd w:id="2213"/>
      <w:bookmarkEnd w:id="221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16"/>
      <w:bookmarkEnd w:id="2217"/>
      <w:bookmarkEnd w:id="221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占应收账款期末余额合计数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bl>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85,355,352.00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24,784,859.01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70,677,542.10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6,503,990.41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53,453,769.95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2,325,238.99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50,295,461.20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2,187,852.56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43,248,220.00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4,258,398.84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303,030,345.25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220" w:name="bookmark2220"/>
      <w:bookmarkStart w:id="2221" w:name="bookmark2221"/>
      <w:bookmarkStart w:id="2222" w:name="bookmark2222"/>
      <w:bookmarkStart w:id="2223" w:name="bookmark2223"/>
      <w:r>
        <w:rPr>
          <w:color w:val="000000"/>
          <w:spacing w:val="0"/>
          <w:w w:val="100"/>
          <w:position w:val="0"/>
        </w:rPr>
        <w:t>（</w:t>
      </w:r>
      <w:bookmarkEnd w:id="222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20"/>
      <w:bookmarkEnd w:id="2221"/>
      <w:bookmarkEnd w:id="222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w:t>
      </w:r>
      <w:bookmarkEnd w:id="222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24"/>
      <w:bookmarkEnd w:id="2225"/>
      <w:bookmarkEnd w:id="2227"/>
    </w:p>
    <w:p>
      <w:pPr>
        <w:pStyle w:val="Style29"/>
        <w:keepNext/>
        <w:keepLines/>
        <w:widowControl w:val="0"/>
        <w:shd w:val="clear" w:color="auto" w:fill="auto"/>
        <w:bidi w:val="0"/>
        <w:spacing w:before="0" w:line="240" w:lineRule="auto"/>
        <w:ind w:left="0" w:right="0" w:firstLine="0"/>
        <w:jc w:val="left"/>
      </w:pPr>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8"/>
      <w:bookmarkEnd w:id="2229"/>
      <w:bookmarkEnd w:id="22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128,604,869.77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112,009,839.37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128,604,869.77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112,009,839.37</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231" w:name="bookmark2231"/>
      <w:bookmarkStart w:id="2232" w:name="bookmark2232"/>
      <w:bookmarkStart w:id="2233" w:name="bookmark2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1"/>
      <w:bookmarkEnd w:id="2232"/>
      <w:bookmarkEnd w:id="2233"/>
    </w:p>
    <w:p>
      <w:pPr>
        <w:pStyle w:val="Style67"/>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1</w:t>
      </w:r>
      <w:bookmarkEnd w:id="2236"/>
      <w:r>
        <w:rPr>
          <w:color w:val="000000"/>
          <w:spacing w:val="0"/>
          <w:w w:val="100"/>
          <w:position w:val="0"/>
        </w:rPr>
        <w:t>）应收利息分类</w:t>
      </w:r>
      <w:bookmarkEnd w:id="2234"/>
      <w:bookmarkEnd w:id="2235"/>
      <w:bookmarkEnd w:id="22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2</w:t>
      </w:r>
      <w:bookmarkEnd w:id="2240"/>
      <w:r>
        <w:rPr>
          <w:color w:val="000000"/>
          <w:spacing w:val="0"/>
          <w:w w:val="100"/>
          <w:position w:val="0"/>
        </w:rPr>
        <w:t>）重要逾期利息</w:t>
      </w:r>
      <w:bookmarkEnd w:id="2238"/>
      <w:bookmarkEnd w:id="2239"/>
      <w:bookmarkEnd w:id="22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7"/>
        <w:keepNext/>
        <w:keepLines/>
        <w:widowControl w:val="0"/>
        <w:shd w:val="clear" w:color="auto" w:fill="auto"/>
        <w:bidi w:val="0"/>
        <w:spacing w:before="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3</w:t>
      </w:r>
      <w:bookmarkEnd w:id="2244"/>
      <w:r>
        <w:rPr>
          <w:color w:val="000000"/>
          <w:spacing w:val="0"/>
          <w:w w:val="100"/>
          <w:position w:val="0"/>
        </w:rPr>
        <w:t>）坏账准备计提情况</w:t>
      </w:r>
      <w:bookmarkEnd w:id="2242"/>
      <w:bookmarkEnd w:id="2243"/>
      <w:bookmarkEnd w:id="224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2246" w:name="bookmark2246"/>
      <w:bookmarkStart w:id="2247" w:name="bookmark2247"/>
      <w:bookmarkStart w:id="2248" w:name="bookmark22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6"/>
      <w:bookmarkEnd w:id="2247"/>
      <w:bookmarkEnd w:id="2248"/>
    </w:p>
    <w:p>
      <w:pPr>
        <w:pStyle w:val="Style67"/>
        <w:keepNext/>
        <w:keepLines/>
        <w:widowControl w:val="0"/>
        <w:shd w:val="clear" w:color="auto" w:fill="auto"/>
        <w:bidi w:val="0"/>
        <w:spacing w:before="0" w:after="38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1</w:t>
      </w:r>
      <w:bookmarkEnd w:id="2251"/>
      <w:r>
        <w:rPr>
          <w:color w:val="000000"/>
          <w:spacing w:val="0"/>
          <w:w w:val="100"/>
          <w:position w:val="0"/>
        </w:rPr>
        <w:t>）应收股利分类</w:t>
      </w:r>
      <w:bookmarkEnd w:id="2249"/>
      <w:bookmarkEnd w:id="2250"/>
      <w:bookmarkEnd w:id="225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2</w:t>
      </w:r>
      <w:bookmarkEnd w:id="225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3"/>
      <w:bookmarkEnd w:id="2254"/>
      <w:bookmarkEnd w:id="225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3</w:t>
      </w:r>
      <w:bookmarkEnd w:id="2259"/>
      <w:r>
        <w:rPr>
          <w:color w:val="000000"/>
          <w:spacing w:val="0"/>
          <w:w w:val="100"/>
          <w:position w:val="0"/>
        </w:rPr>
        <w:t>）坏账准备计提情况</w:t>
      </w:r>
      <w:bookmarkEnd w:id="2257"/>
      <w:bookmarkEnd w:id="2258"/>
      <w:bookmarkEnd w:id="2260"/>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1"/>
      <w:bookmarkEnd w:id="2262"/>
      <w:bookmarkEnd w:id="2264"/>
    </w:p>
    <w:p>
      <w:pPr>
        <w:pStyle w:val="Style67"/>
        <w:keepNext/>
        <w:keepLines/>
        <w:widowControl w:val="0"/>
        <w:shd w:val="clear" w:color="auto" w:fill="auto"/>
        <w:bidi w:val="0"/>
        <w:spacing w:before="0" w:after="380" w:line="240" w:lineRule="auto"/>
        <w:ind w:left="0" w:right="0" w:firstLine="0"/>
        <w:jc w:val="left"/>
      </w:pPr>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5"/>
      <w:bookmarkEnd w:id="2266"/>
      <w:bookmarkEnd w:id="22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168,097,749.08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151,983,928.25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7,559,265.28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6,571,452.35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1,175,741.45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176,264,492.49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159,731,122.05</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8"/>
      <w:bookmarkEnd w:id="2269"/>
      <w:bookmarkEnd w:id="227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1,707,793.18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46,013,489.50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47,721,282.68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-61,659.96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1,646,133.22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46,013,489.50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47,659,622.72</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44,726,896.93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11,444,458.70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46,116,259.84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73,976,877.02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49,609,704.59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23,762,216.76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604,955.67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176,264,492.49</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3</w:t>
      </w:r>
      <w:bookmarkEnd w:id="2273"/>
      <w:r>
        <w:rPr>
          <w:color w:val="000000"/>
          <w:spacing w:val="0"/>
          <w:w w:val="100"/>
          <w:position w:val="0"/>
        </w:rPr>
        <w:t>）本期计提、收回或转回的坏账准备情况</w:t>
      </w:r>
      <w:bookmarkEnd w:id="2271"/>
      <w:bookmarkEnd w:id="2272"/>
      <w:bookmarkEnd w:id="2274"/>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47,721,282.6</w:t>
            </w:r>
          </w:p>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-61,659.96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47,659,622.72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47,721,282.6</w:t>
            </w:r>
          </w:p>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-61,659.96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47,659,622.72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4</w:t>
      </w:r>
      <w:bookmarkEnd w:id="2277"/>
      <w:r>
        <w:rPr>
          <w:color w:val="000000"/>
          <w:spacing w:val="0"/>
          <w:w w:val="100"/>
          <w:position w:val="0"/>
        </w:rPr>
        <w:t>）本期实际核销的其他应收款情况</w:t>
      </w:r>
      <w:bookmarkEnd w:id="2275"/>
      <w:bookmarkEnd w:id="2276"/>
      <w:bookmarkEnd w:id="22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51" w:hRule="exact"/>
        </w:trPr>
        <w:tc>
          <w:tcPr>
            <w:tcBorders>
              <w:top w:val="single" w:sz="4"/>
              <w:left w:val="single" w:sz="4"/>
            </w:tcBorders>
            <w:shd w:val="clear" w:color="auto" w:fill="D3D3D3"/>
            <w:vAlign w:val="bottom"/>
          </w:tcPr>
          <w:p>
            <w:pPr>
              <w:pStyle w:val="Style20"/>
              <w:keepNext w:val="0"/>
              <w:keepLines w:val="0"/>
              <w:widowControl w:val="0"/>
              <w:shd w:val="clear" w:color="auto" w:fill="auto"/>
              <w:tabs>
                <w:tab w:pos="1819" w:val="left"/>
                <w:tab w:pos="3643" w:val="left"/>
              </w:tabs>
              <w:bidi w:val="0"/>
              <w:spacing w:before="0" w:after="0" w:line="240" w:lineRule="auto"/>
              <w:ind w:left="0" w:right="0" w:firstLine="48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款项是否由关联交</w:t>
            </w:r>
          </w:p>
          <w:p>
            <w:pPr>
              <w:pStyle w:val="Style20"/>
              <w:keepNext w:val="0"/>
              <w:keepLines w:val="0"/>
              <w:widowControl w:val="0"/>
              <w:shd w:val="clear" w:color="auto" w:fill="auto"/>
              <w:tabs>
                <w:tab w:pos="1730" w:val="left"/>
              </w:tabs>
              <w:bidi w:val="0"/>
              <w:spacing w:before="0" w:after="0" w:line="240" w:lineRule="auto"/>
              <w:ind w:left="0" w:right="0" w:firstLine="420"/>
              <w:jc w:val="left"/>
              <w:rPr>
                <w:sz w:val="17"/>
                <w:szCs w:val="17"/>
              </w:rPr>
            </w:pPr>
            <w:r>
              <w:rPr>
                <w:color w:val="000000"/>
                <w:spacing w:val="0"/>
                <w:w w:val="100"/>
                <w:position w:val="0"/>
                <w:sz w:val="17"/>
                <w:szCs w:val="17"/>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3720" w:right="0" w:firstLine="0"/>
              <w:jc w:val="left"/>
              <w:rPr>
                <w:sz w:val="17"/>
                <w:szCs w:val="17"/>
              </w:rPr>
            </w:pPr>
            <w:r>
              <w:rPr>
                <w:color w:val="000000"/>
                <w:spacing w:val="0"/>
                <w:w w:val="100"/>
                <w:position w:val="0"/>
                <w:sz w:val="17"/>
                <w:szCs w:val="17"/>
              </w:rPr>
              <w:t>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7"/>
        <w:keepNext/>
        <w:keepLines/>
        <w:widowControl w:val="0"/>
        <w:shd w:val="clear" w:color="auto" w:fill="auto"/>
        <w:bidi w:val="0"/>
        <w:spacing w:before="0" w:after="40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5</w:t>
      </w:r>
      <w:bookmarkEnd w:id="2281"/>
      <w:r>
        <w:rPr>
          <w:color w:val="000000"/>
          <w:spacing w:val="0"/>
          <w:w w:val="100"/>
          <w:position w:val="0"/>
        </w:rPr>
        <w:t>）按欠款方归集的期末余额前五名的其他应收款情况</w:t>
      </w:r>
      <w:bookmarkEnd w:id="2279"/>
      <w:bookmarkEnd w:id="2280"/>
      <w:bookmarkEnd w:id="22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远光资本管理（横琴）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54,630,000.00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11,702,274.85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3,951,018.10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15,500,000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17,476,707.05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远光共创智能科技股 份有限公司及其子公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46,013,489.50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25,660,910.07</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20,352,579.43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46,013,489.50</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远光软件（北京）有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45,211,281.72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10,481,659.29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p>
            <w:pPr>
              <w:pStyle w:val="Style2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6,889,128.97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8,263,346.16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13,529,566.99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6,047,580.31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珠海远光移动互联科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16,204,778.22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 xml:space="preserve">11,392,102.84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4,812,675.38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远光软件（武汉）有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3,976,303.65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166,035,853.09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46,013,489.50</w:t>
            </w:r>
          </w:p>
        </w:tc>
      </w:tr>
    </w:tbl>
    <w:p>
      <w:pPr>
        <w:widowControl w:val="0"/>
        <w:spacing w:after="319" w:line="1" w:lineRule="exact"/>
      </w:pPr>
    </w:p>
    <w:p>
      <w:pPr>
        <w:pStyle w:val="Style67"/>
        <w:keepNext/>
        <w:keepLines/>
        <w:widowControl w:val="0"/>
        <w:shd w:val="clear" w:color="auto" w:fill="auto"/>
        <w:bidi w:val="0"/>
        <w:spacing w:before="0" w:after="40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6</w:t>
      </w:r>
      <w:bookmarkEnd w:id="2285"/>
      <w:r>
        <w:rPr>
          <w:color w:val="000000"/>
          <w:spacing w:val="0"/>
          <w:w w:val="100"/>
          <w:position w:val="0"/>
        </w:rPr>
        <w:t>）涉及政府补助的应收款项</w:t>
      </w:r>
      <w:bookmarkEnd w:id="2283"/>
      <w:bookmarkEnd w:id="2284"/>
      <w:bookmarkEnd w:id="22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spacing w:lineRule="exact" w:line="1"/>
        <w:rPr>
          <w:sz w:val="2"/>
          <w:szCs w:val="2"/>
        </w:rPr>
      </w:pPr>
      <w:r>
        <w:br w:type="page"/>
      </w:r>
    </w:p>
    <w:p>
      <w:pPr>
        <w:pStyle w:val="Style67"/>
        <w:keepNext/>
        <w:keepLines/>
        <w:widowControl w:val="0"/>
        <w:shd w:val="clear" w:color="auto" w:fill="auto"/>
        <w:tabs>
          <w:tab w:pos="392" w:val="left"/>
        </w:tabs>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7</w:t>
      </w:r>
      <w:bookmarkEnd w:id="2289"/>
      <w:r>
        <w:rPr>
          <w:color w:val="000000"/>
          <w:spacing w:val="0"/>
          <w:w w:val="100"/>
          <w:position w:val="0"/>
        </w:rPr>
        <w:t>）</w:t>
        <w:tab/>
        <w:t>因金融资产转移而终止确认的其他应收款</w:t>
      </w:r>
      <w:bookmarkEnd w:id="2287"/>
      <w:bookmarkEnd w:id="2288"/>
      <w:bookmarkEnd w:id="2290"/>
    </w:p>
    <w:p>
      <w:pPr>
        <w:pStyle w:val="Style67"/>
        <w:keepNext/>
        <w:keepLines/>
        <w:widowControl w:val="0"/>
        <w:shd w:val="clear" w:color="auto" w:fill="auto"/>
        <w:tabs>
          <w:tab w:pos="397" w:val="left"/>
        </w:tabs>
        <w:bidi w:val="0"/>
        <w:spacing w:before="0" w:after="38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8</w:t>
      </w:r>
      <w:bookmarkEnd w:id="2293"/>
      <w:r>
        <w:rPr>
          <w:color w:val="000000"/>
          <w:spacing w:val="0"/>
          <w:w w:val="100"/>
          <w:position w:val="0"/>
        </w:rPr>
        <w:t>）</w:t>
        <w:tab/>
        <w:t>转移其他应收款且继续涉入形成的资产、负债金额</w:t>
      </w:r>
      <w:bookmarkEnd w:id="2291"/>
      <w:bookmarkEnd w:id="2292"/>
      <w:bookmarkEnd w:id="229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3</w:t>
      </w:r>
      <w:bookmarkEnd w:id="2297"/>
      <w:r>
        <w:rPr>
          <w:color w:val="000000"/>
          <w:spacing w:val="0"/>
          <w:w w:val="100"/>
          <w:position w:val="0"/>
        </w:rPr>
        <w:t>、长期股权投资</w:t>
      </w:r>
      <w:bookmarkEnd w:id="2295"/>
      <w:bookmarkEnd w:id="2296"/>
      <w:bookmarkEnd w:id="22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258,369,596.15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258,369,596.15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247,611,196.00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247,611,196.00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50,774,180.44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50,774,180.44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55,720,317.50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55,720,317.50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309,143,776.59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309,143,776.59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303,331,513.50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303,331,513.50</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9"/>
      <w:bookmarkEnd w:id="2300"/>
      <w:bookmarkEnd w:id="23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远光资本管理</w:t>
            </w:r>
          </w:p>
          <w:p>
            <w:pPr>
              <w:pStyle w:val="Style20"/>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（横琴）有限公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远光软件（北 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远光软件（武 汉）有限公司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珠海远光软件</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珠海高远电能</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珠海远光移动</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互联科技有限</w:t>
            </w:r>
          </w:p>
          <w:p>
            <w:pPr>
              <w:pStyle w:val="Style2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远光能源互联 网产业发展（横 琴）有限公司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杭州昊美科技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75,771,196.00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75,771,196.00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珠海远光晴天 能源科技有限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远光信息技术</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（澳门）有限公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758,400.15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247,611,196.0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10,758,400.15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258,369,596.15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2302" w:name="bookmark2302"/>
      <w:bookmarkStart w:id="2303" w:name="bookmark2303"/>
      <w:bookmarkStart w:id="2304" w:name="bookmark2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2"/>
      <w:bookmarkEnd w:id="2303"/>
      <w:bookmarkEnd w:id="2304"/>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绍兴柯桥 天堂硅谷 远光股权 投资合伙 企业（有</w:t>
            </w:r>
          </w:p>
          <w:p>
            <w:pPr>
              <w:pStyle w:val="Style20"/>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24,487,95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19,652,15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合肥启迪 远光区块 链技术合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伙企业</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31,232,36</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-110,339.</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31,122,02</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55,720,31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-133,186.</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50,774,18</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55,720,31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-133,186.</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50,774,18</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05"/>
      <w:bookmarkEnd w:id="2306"/>
      <w:bookmarkEnd w:id="2308"/>
    </w:p>
    <w:p>
      <w:pPr>
        <w:pStyle w:val="Style29"/>
        <w:keepNext/>
        <w:keepLines/>
        <w:widowControl w:val="0"/>
        <w:shd w:val="clear" w:color="auto" w:fill="auto"/>
        <w:bidi w:val="0"/>
        <w:spacing w:before="0" w:after="40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4</w:t>
      </w:r>
      <w:bookmarkEnd w:id="2311"/>
      <w:r>
        <w:rPr>
          <w:color w:val="000000"/>
          <w:spacing w:val="0"/>
          <w:w w:val="100"/>
          <w:position w:val="0"/>
        </w:rPr>
        <w:t>、营业收入和营业成本</w:t>
      </w:r>
      <w:bookmarkEnd w:id="2309"/>
      <w:bookmarkEnd w:id="2310"/>
      <w:bookmarkEnd w:id="2312"/>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3754"/>
        <w:gridCol w:w="383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1,657,014,879.19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729,866,165.88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1,393,144,045.52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569,025,070.84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1,435,993.98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1,472,927.01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1,658,450,873.17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731,235,519.12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1,395,198,382.77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570,497,997.85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1,658,450,873.17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1,658,450,873.17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1,175,563,050.76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1,175,563,050.76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77,390,064.01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77,390,064.01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246,312,106.09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246,312,106.09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118,720,504.39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118,720,504.39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区块链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25,342,908.46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25,342,908.46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15,122,239.46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15,122,239.46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1,658,450,873.17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1,658,450,873.17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90,648,017.51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90,648,017.51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445,866,060.08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445,866,060.08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417,381,817.23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417,381,817.23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254,500,614.35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254,500,614.35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296,820,119.81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296,820,119.81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153,234,244.19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153,234,244.19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1,658,450,873.17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1,658,450,873.17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1,530,015,374.95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1,530,015,374.95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128,435,498.22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128,435,498.22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60" w:line="338"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263,474,936.91</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212,479,065.54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45,848,553.72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5,147,317.65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 其他说明：</w:t>
      </w:r>
    </w:p>
    <w:p>
      <w:pPr>
        <w:pStyle w:val="Style29"/>
        <w:keepNext/>
        <w:keepLines/>
        <w:widowControl w:val="0"/>
        <w:shd w:val="clear" w:color="auto" w:fill="auto"/>
        <w:bidi w:val="0"/>
        <w:spacing w:before="0" w:after="40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5</w:t>
      </w:r>
      <w:bookmarkEnd w:id="2315"/>
      <w:r>
        <w:rPr>
          <w:color w:val="000000"/>
          <w:spacing w:val="0"/>
          <w:w w:val="100"/>
          <w:position w:val="0"/>
        </w:rPr>
        <w:t>、投资收益</w:t>
      </w:r>
      <w:bookmarkEnd w:id="2313"/>
      <w:bookmarkEnd w:id="2314"/>
      <w:bookmarkEnd w:id="23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33,363,479.80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16,794,710.60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19,663,351.68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21,251,524.54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53,156,232.32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6</w:t>
      </w:r>
      <w:bookmarkEnd w:id="2319"/>
      <w:r>
        <w:rPr>
          <w:color w:val="000000"/>
          <w:spacing w:val="0"/>
          <w:w w:val="100"/>
          <w:position w:val="0"/>
        </w:rPr>
        <w:t>、其他</w:t>
      </w:r>
      <w:bookmarkEnd w:id="2317"/>
      <w:bookmarkEnd w:id="2318"/>
      <w:bookmarkEnd w:id="2320"/>
    </w:p>
    <w:p>
      <w:pPr>
        <w:pStyle w:val="Style24"/>
        <w:keepNext/>
        <w:keepLines/>
        <w:widowControl w:val="0"/>
        <w:shd w:val="clear" w:color="auto" w:fill="auto"/>
        <w:bidi w:val="0"/>
        <w:spacing w:before="0" w:after="360" w:line="240" w:lineRule="auto"/>
        <w:ind w:left="0" w:right="0" w:firstLine="0"/>
        <w:jc w:val="left"/>
      </w:pPr>
      <w:bookmarkStart w:id="2321" w:name="bookmark2321"/>
      <w:bookmarkStart w:id="2322" w:name="bookmark2322"/>
      <w:bookmarkStart w:id="2323" w:name="bookmark2323"/>
      <w:r>
        <w:rPr>
          <w:color w:val="000000"/>
          <w:spacing w:val="0"/>
          <w:w w:val="100"/>
          <w:position w:val="0"/>
        </w:rPr>
        <w:t>十八、补充资料</w:t>
      </w:r>
      <w:bookmarkEnd w:id="2321"/>
      <w:bookmarkEnd w:id="2322"/>
      <w:bookmarkEnd w:id="2323"/>
    </w:p>
    <w:p>
      <w:pPr>
        <w:pStyle w:val="Style29"/>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4"/>
      <w:bookmarkEnd w:id="2325"/>
      <w:bookmarkEnd w:id="232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-78,372.62</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6,206,816.50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20,272,691.23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-1,266,125.07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2,955,951.71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1,169,344.09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21,009,714.24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7"/>
      <w:bookmarkEnd w:id="2328"/>
      <w:bookmarkEnd w:id="2329"/>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0.2150</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3</w:t>
      </w:r>
      <w:bookmarkEnd w:id="2332"/>
      <w:r>
        <w:rPr>
          <w:color w:val="000000"/>
          <w:spacing w:val="0"/>
          <w:w w:val="100"/>
          <w:position w:val="0"/>
        </w:rPr>
        <w:t>、</w:t>
        <w:tab/>
        <w:t>境内外会计准则下会计数据差异</w:t>
      </w:r>
      <w:bookmarkEnd w:id="2330"/>
      <w:bookmarkEnd w:id="2331"/>
      <w:bookmarkEnd w:id="2333"/>
    </w:p>
    <w:p>
      <w:pPr>
        <w:pStyle w:val="Style41"/>
        <w:keepNext/>
        <w:keepLines/>
        <w:widowControl w:val="0"/>
        <w:shd w:val="clear" w:color="auto" w:fill="auto"/>
        <w:tabs>
          <w:tab w:pos="493" w:val="left"/>
        </w:tabs>
        <w:bidi w:val="0"/>
        <w:spacing w:before="0" w:line="326" w:lineRule="exact"/>
        <w:ind w:left="0" w:right="0" w:firstLine="0"/>
        <w:jc w:val="left"/>
      </w:pPr>
      <w:bookmarkStart w:id="2334" w:name="bookmark2334"/>
      <w:bookmarkStart w:id="2335" w:name="bookmark2335"/>
      <w:bookmarkStart w:id="2336" w:name="bookmark2336"/>
      <w:bookmarkStart w:id="2337" w:name="bookmark2337"/>
      <w:r>
        <w:rPr>
          <w:color w:val="000000"/>
          <w:spacing w:val="0"/>
          <w:w w:val="100"/>
          <w:position w:val="0"/>
        </w:rPr>
        <w:t>（</w:t>
      </w:r>
      <w:bookmarkEnd w:id="233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34"/>
      <w:bookmarkEnd w:id="2335"/>
      <w:bookmarkEnd w:id="2337"/>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26" w:lineRule="exact"/>
        <w:ind w:left="0" w:right="0" w:firstLine="0"/>
        <w:jc w:val="left"/>
      </w:pPr>
      <w:bookmarkStart w:id="2338" w:name="bookmark2338"/>
      <w:bookmarkStart w:id="2339" w:name="bookmark2339"/>
      <w:bookmarkStart w:id="2340" w:name="bookmark2340"/>
      <w:bookmarkStart w:id="2341" w:name="bookmark2341"/>
      <w:r>
        <w:rPr>
          <w:color w:val="000000"/>
          <w:spacing w:val="0"/>
          <w:w w:val="100"/>
          <w:position w:val="0"/>
        </w:rPr>
        <w:t>（</w:t>
      </w:r>
      <w:bookmarkEnd w:id="234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38"/>
      <w:bookmarkEnd w:id="2339"/>
      <w:bookmarkEnd w:id="2341"/>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after="280" w:line="326" w:lineRule="exact"/>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w:t>
      </w:r>
      <w:bookmarkEnd w:id="234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42"/>
      <w:bookmarkEnd w:id="2343"/>
      <w:bookmarkEnd w:id="2345"/>
    </w:p>
    <w:p>
      <w:pPr>
        <w:pStyle w:val="Style29"/>
        <w:keepNext/>
        <w:keepLines/>
        <w:widowControl w:val="0"/>
        <w:shd w:val="clear" w:color="auto" w:fill="auto"/>
        <w:tabs>
          <w:tab w:pos="378" w:val="left"/>
        </w:tabs>
        <w:bidi w:val="0"/>
        <w:spacing w:before="0" w:after="280" w:line="326" w:lineRule="exact"/>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4</w:t>
      </w:r>
      <w:bookmarkEnd w:id="2348"/>
      <w:r>
        <w:rPr>
          <w:color w:val="000000"/>
          <w:spacing w:val="0"/>
          <w:w w:val="100"/>
          <w:position w:val="0"/>
        </w:rPr>
        <w:t>、</w:t>
        <w:tab/>
        <w:t>其他</w:t>
      </w:r>
      <w:bookmarkEnd w:id="2346"/>
      <w:bookmarkEnd w:id="2347"/>
      <w:bookmarkEnd w:id="2349"/>
    </w:p>
    <w:sectPr>
      <w:footnotePr>
        <w:pos w:val="pageBottom"/>
        <w:numFmt w:val="decimal"/>
        <w:numRestart w:val="continuous"/>
      </w:footnotePr>
      <w:pgSz w:w="11900" w:h="16840"/>
      <w:pgMar w:top="1392" w:right="1055" w:bottom="1480" w:left="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7">
    <w:name w:val="Body text (9)_"/>
    <w:basedOn w:val="DefaultParagraphFont"/>
    <w:link w:val="Style5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8">
    <w:name w:val="Heading #5_"/>
    <w:basedOn w:val="DefaultParagraphFont"/>
    <w:link w:val="Style67"/>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8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40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70" w:after="4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18">
    <w:name w:val="Body text (2)"/>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Other"/>
    <w:basedOn w:val="Normal"/>
    <w:link w:val="CharStyle21"/>
    <w:pPr>
      <w:widowControl w:val="0"/>
      <w:shd w:val="clear" w:color="auto" w:fill="auto"/>
      <w:spacing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Heading #2"/>
    <w:basedOn w:val="Normal"/>
    <w:link w:val="CharStyle25"/>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qFormat/>
    <w:pPr>
      <w:widowControl w:val="0"/>
      <w:shd w:val="clear" w:color="auto" w:fill="auto"/>
      <w:spacing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1">
    <w:name w:val="Heading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Body text (9)"/>
    <w:basedOn w:val="Normal"/>
    <w:link w:val="CharStyle57"/>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7">
    <w:name w:val="Heading #5"/>
    <w:basedOn w:val="Normal"/>
    <w:link w:val="CharStyle6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远光软件股份有限公司2021年年度报告全文</dc:title>
  <dc:subject/>
  <dc:creator>远光软件股份有限公司</dc:creator>
  <cp:keywords/>
</cp:coreProperties>
</file>