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5.xml" ContentType="application/vnd.openxmlformats-officedocument.wordprocessingml.header+xml"/>
  <Override PartName="/word/footer31.xml" ContentType="application/vnd.openxmlformats-officedocument.wordprocessingml.footer+xml"/>
  <Override PartName="/word/header6.xml" ContentType="application/vnd.openxmlformats-officedocument.wordprocessingml.header+xml"/>
  <Override PartName="/word/footer3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1.xml" ContentType="application/vnd.openxmlformats-officedocument.wordprocessingml.header+xml"/>
  <Override PartName="/word/footer41.xml" ContentType="application/vnd.openxmlformats-officedocument.wordprocessingml.footer+xml"/>
  <Override PartName="/word/header12.xml" ContentType="application/vnd.openxmlformats-officedocument.wordprocessingml.header+xml"/>
  <Override PartName="/word/footer4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8"/>
          <w:szCs w:val="28"/>
        </w:rPr>
      </w:pPr>
    </w:p>
    <w:p>
      <w:pPr>
        <w:spacing w:line="539" w:lineRule="exact" w:before="0"/>
        <w:ind w:left="2551" w:right="4270" w:firstLine="0"/>
        <w:jc w:val="center"/>
        <w:rPr>
          <w:rFonts w:ascii="宋体" w:hAnsi="宋体" w:cs="宋体" w:eastAsia="宋体" w:hint="default"/>
          <w:sz w:val="44"/>
          <w:szCs w:val="44"/>
        </w:rPr>
      </w:pPr>
      <w:r>
        <w:rPr>
          <w:rFonts w:ascii="宋体" w:hAnsi="宋体" w:cs="宋体" w:eastAsia="宋体" w:hint="default"/>
          <w:b/>
          <w:bCs/>
          <w:color w:val="3366CC"/>
          <w:sz w:val="44"/>
          <w:szCs w:val="44"/>
        </w:rPr>
        <w:t>东华软件股份公司</w:t>
      </w:r>
      <w:r>
        <w:rPr>
          <w:rFonts w:ascii="宋体" w:hAnsi="宋体" w:cs="宋体" w:eastAsia="宋体" w:hint="default"/>
          <w:sz w:val="44"/>
          <w:szCs w:val="44"/>
        </w:rPr>
      </w:r>
    </w:p>
    <w:p>
      <w:pPr>
        <w:spacing w:line="240" w:lineRule="auto" w:before="5"/>
        <w:rPr>
          <w:rFonts w:ascii="宋体" w:hAnsi="宋体" w:cs="宋体" w:eastAsia="宋体" w:hint="default"/>
          <w:b/>
          <w:bCs/>
          <w:sz w:val="40"/>
          <w:szCs w:val="40"/>
        </w:rPr>
      </w:pPr>
    </w:p>
    <w:p>
      <w:pPr>
        <w:spacing w:before="0"/>
        <w:ind w:left="2552" w:right="4270" w:firstLine="0"/>
        <w:jc w:val="center"/>
        <w:rPr>
          <w:rFonts w:ascii="Calibri" w:hAnsi="Calibri" w:cs="Calibri" w:eastAsia="Calibri" w:hint="default"/>
          <w:sz w:val="30"/>
          <w:szCs w:val="30"/>
        </w:rPr>
      </w:pPr>
      <w:r>
        <w:rPr>
          <w:rFonts w:ascii="Calibri"/>
          <w:b/>
          <w:color w:val="3366CC"/>
          <w:sz w:val="30"/>
        </w:rPr>
        <w:t>DHC Software</w:t>
      </w:r>
      <w:r>
        <w:rPr>
          <w:rFonts w:ascii="Calibri"/>
          <w:b/>
          <w:color w:val="3366CC"/>
          <w:spacing w:val="-7"/>
          <w:sz w:val="30"/>
        </w:rPr>
        <w:t> </w:t>
      </w:r>
      <w:r>
        <w:rPr>
          <w:rFonts w:ascii="Calibri"/>
          <w:b/>
          <w:color w:val="3366CC"/>
          <w:sz w:val="30"/>
        </w:rPr>
        <w:t>Co.,Ltd</w:t>
      </w:r>
      <w:r>
        <w:rPr>
          <w:rFonts w:ascii="Calibri"/>
          <w:sz w:val="30"/>
        </w:rPr>
      </w:r>
    </w:p>
    <w:p>
      <w:pPr>
        <w:spacing w:line="240" w:lineRule="auto" w:before="0"/>
        <w:rPr>
          <w:rFonts w:ascii="Calibri" w:hAnsi="Calibri" w:cs="Calibri" w:eastAsia="Calibri" w:hint="default"/>
          <w:b/>
          <w:bCs/>
          <w:sz w:val="30"/>
          <w:szCs w:val="30"/>
        </w:rPr>
      </w:pPr>
    </w:p>
    <w:p>
      <w:pPr>
        <w:spacing w:line="240" w:lineRule="auto" w:before="0"/>
        <w:rPr>
          <w:rFonts w:ascii="Calibri" w:hAnsi="Calibri" w:cs="Calibri" w:eastAsia="Calibri" w:hint="default"/>
          <w:b/>
          <w:bCs/>
          <w:sz w:val="30"/>
          <w:szCs w:val="30"/>
        </w:rPr>
      </w:pPr>
    </w:p>
    <w:p>
      <w:pPr>
        <w:spacing w:line="240" w:lineRule="auto" w:before="0"/>
        <w:rPr>
          <w:rFonts w:ascii="Calibri" w:hAnsi="Calibri" w:cs="Calibri" w:eastAsia="Calibri" w:hint="default"/>
          <w:b/>
          <w:bCs/>
          <w:sz w:val="30"/>
          <w:szCs w:val="30"/>
        </w:rPr>
      </w:pPr>
    </w:p>
    <w:p>
      <w:pPr>
        <w:spacing w:line="240" w:lineRule="auto" w:before="0"/>
        <w:rPr>
          <w:rFonts w:ascii="Calibri" w:hAnsi="Calibri" w:cs="Calibri" w:eastAsia="Calibri" w:hint="default"/>
          <w:b/>
          <w:bCs/>
          <w:sz w:val="30"/>
          <w:szCs w:val="30"/>
        </w:rPr>
      </w:pPr>
    </w:p>
    <w:p>
      <w:pPr>
        <w:spacing w:line="240" w:lineRule="auto" w:before="1"/>
        <w:rPr>
          <w:rFonts w:ascii="Calibri" w:hAnsi="Calibri" w:cs="Calibri" w:eastAsia="Calibri" w:hint="default"/>
          <w:b/>
          <w:bCs/>
          <w:sz w:val="43"/>
          <w:szCs w:val="43"/>
        </w:rPr>
      </w:pPr>
    </w:p>
    <w:p>
      <w:pPr>
        <w:spacing w:before="0"/>
        <w:ind w:left="2554" w:right="4270" w:firstLine="0"/>
        <w:jc w:val="center"/>
        <w:rPr>
          <w:rFonts w:ascii="黑体" w:hAnsi="黑体" w:cs="黑体" w:eastAsia="黑体" w:hint="default"/>
          <w:sz w:val="52"/>
          <w:szCs w:val="52"/>
        </w:rPr>
      </w:pPr>
      <w:r>
        <w:rPr>
          <w:rFonts w:ascii="黑体" w:hAnsi="黑体" w:cs="黑体" w:eastAsia="黑体" w:hint="default"/>
          <w:b/>
          <w:bCs/>
          <w:color w:val="006FC0"/>
          <w:sz w:val="52"/>
          <w:szCs w:val="52"/>
        </w:rPr>
        <w:t>2011</w:t>
      </w:r>
      <w:r>
        <w:rPr>
          <w:rFonts w:ascii="黑体" w:hAnsi="黑体" w:cs="黑体" w:eastAsia="黑体" w:hint="default"/>
          <w:b/>
          <w:bCs/>
          <w:color w:val="006FC0"/>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6"/>
          <w:szCs w:val="16"/>
        </w:rPr>
      </w:pPr>
    </w:p>
    <w:p>
      <w:pPr>
        <w:spacing w:line="3055" w:lineRule="exact"/>
        <w:ind w:left="2662" w:right="0" w:firstLine="0"/>
        <w:rPr>
          <w:rFonts w:ascii="黑体" w:hAnsi="黑体" w:cs="黑体" w:eastAsia="黑体" w:hint="default"/>
          <w:sz w:val="20"/>
          <w:szCs w:val="20"/>
        </w:rPr>
      </w:pPr>
      <w:r>
        <w:rPr>
          <w:rFonts w:ascii="黑体" w:hAnsi="黑体" w:cs="黑体" w:eastAsia="黑体" w:hint="default"/>
          <w:position w:val="-60"/>
          <w:sz w:val="20"/>
          <w:szCs w:val="20"/>
        </w:rPr>
        <w:drawing>
          <wp:inline distT="0" distB="0" distL="0" distR="0">
            <wp:extent cx="2226600" cy="194043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26600" cy="1940433"/>
                    </a:xfrm>
                    <a:prstGeom prst="rect">
                      <a:avLst/>
                    </a:prstGeom>
                  </pic:spPr>
                </pic:pic>
              </a:graphicData>
            </a:graphic>
          </wp:inline>
        </w:drawing>
      </w:r>
      <w:r>
        <w:rPr>
          <w:rFonts w:ascii="黑体" w:hAnsi="黑体" w:cs="黑体" w:eastAsia="黑体" w:hint="default"/>
          <w:position w:val="-60"/>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p>
      <w:pPr>
        <w:spacing w:line="520" w:lineRule="auto" w:before="7"/>
        <w:ind w:left="2692" w:right="4362" w:hanging="195"/>
        <w:jc w:val="center"/>
        <w:rPr>
          <w:rFonts w:ascii="宋体" w:hAnsi="宋体" w:cs="宋体" w:eastAsia="宋体" w:hint="default"/>
          <w:sz w:val="30"/>
          <w:szCs w:val="30"/>
        </w:rPr>
      </w:pPr>
      <w:r>
        <w:rPr>
          <w:rFonts w:ascii="宋体" w:hAnsi="宋体" w:cs="宋体" w:eastAsia="宋体" w:hint="default"/>
          <w:sz w:val="30"/>
          <w:szCs w:val="30"/>
        </w:rPr>
        <w:t>证券代码：</w:t>
      </w:r>
      <w:r>
        <w:rPr>
          <w:rFonts w:ascii="Calibri" w:hAnsi="Calibri" w:cs="Calibri" w:eastAsia="Calibri" w:hint="default"/>
          <w:b/>
          <w:bCs/>
          <w:sz w:val="30"/>
          <w:szCs w:val="30"/>
        </w:rPr>
        <w:t>002065 </w:t>
      </w:r>
      <w:r>
        <w:rPr>
          <w:rFonts w:ascii="宋体" w:hAnsi="宋体" w:cs="宋体" w:eastAsia="宋体" w:hint="default"/>
          <w:sz w:val="30"/>
          <w:szCs w:val="30"/>
        </w:rPr>
        <w:t>证券简称：</w:t>
      </w:r>
      <w:r>
        <w:rPr>
          <w:rFonts w:ascii="宋体" w:hAnsi="宋体" w:cs="宋体" w:eastAsia="宋体" w:hint="default"/>
          <w:b/>
          <w:bCs/>
          <w:sz w:val="30"/>
          <w:szCs w:val="30"/>
        </w:rPr>
        <w:t>东华软件</w:t>
      </w:r>
      <w:r>
        <w:rPr>
          <w:rFonts w:ascii="宋体" w:hAnsi="宋体" w:cs="宋体" w:eastAsia="宋体" w:hint="default"/>
          <w:sz w:val="30"/>
          <w:szCs w:val="30"/>
        </w:rPr>
      </w:r>
    </w:p>
    <w:p>
      <w:pPr>
        <w:spacing w:before="190"/>
        <w:ind w:left="2554" w:right="4225" w:firstLine="0"/>
        <w:jc w:val="center"/>
        <w:rPr>
          <w:rFonts w:ascii="宋体" w:hAnsi="宋体" w:cs="宋体" w:eastAsia="宋体" w:hint="default"/>
          <w:sz w:val="30"/>
          <w:szCs w:val="30"/>
        </w:rPr>
      </w:pPr>
      <w:r>
        <w:rPr/>
        <w:pict>
          <v:shape style="position:absolute;margin-left:510.850006pt;margin-top:105.229263pt;width:101.25pt;height:57.75pt;mso-position-horizontal-relative:page;mso-position-vertical-relative:paragraph;z-index:0" type="#_x0000_t75" stroked="false">
            <v:imagedata r:id="rId6" o:title=""/>
          </v:shape>
        </w:pict>
      </w:r>
      <w:r>
        <w:rPr>
          <w:rFonts w:ascii="宋体" w:hAnsi="宋体" w:cs="宋体" w:eastAsia="宋体" w:hint="default"/>
          <w:sz w:val="30"/>
          <w:szCs w:val="30"/>
        </w:rPr>
        <w:t>披露日期：</w:t>
      </w:r>
      <w:r>
        <w:rPr>
          <w:rFonts w:ascii="Calibri" w:hAnsi="Calibri" w:cs="Calibri" w:eastAsia="Calibri" w:hint="default"/>
          <w:b/>
          <w:bCs/>
          <w:sz w:val="30"/>
          <w:szCs w:val="30"/>
        </w:rPr>
        <w:t>2012</w:t>
      </w:r>
      <w:r>
        <w:rPr>
          <w:rFonts w:ascii="宋体" w:hAnsi="宋体" w:cs="宋体" w:eastAsia="宋体" w:hint="default"/>
          <w:b/>
          <w:bCs/>
          <w:sz w:val="30"/>
          <w:szCs w:val="30"/>
        </w:rPr>
        <w:t>年</w:t>
      </w:r>
      <w:r>
        <w:rPr>
          <w:rFonts w:ascii="Calibri" w:hAnsi="Calibri" w:cs="Calibri" w:eastAsia="Calibri" w:hint="default"/>
          <w:b/>
          <w:bCs/>
          <w:sz w:val="30"/>
          <w:szCs w:val="30"/>
        </w:rPr>
        <w:t>4</w:t>
      </w:r>
      <w:r>
        <w:rPr>
          <w:rFonts w:ascii="宋体" w:hAnsi="宋体" w:cs="宋体" w:eastAsia="宋体" w:hint="default"/>
          <w:b/>
          <w:bCs/>
          <w:sz w:val="30"/>
          <w:szCs w:val="30"/>
        </w:rPr>
        <w:t>月</w:t>
      </w:r>
      <w:r>
        <w:rPr>
          <w:rFonts w:ascii="Calibri" w:hAnsi="Calibri" w:cs="Calibri" w:eastAsia="Calibri" w:hint="default"/>
          <w:b/>
          <w:bCs/>
          <w:sz w:val="30"/>
          <w:szCs w:val="30"/>
        </w:rPr>
        <w:t>26</w:t>
      </w:r>
      <w:r>
        <w:rPr>
          <w:rFonts w:ascii="宋体" w:hAnsi="宋体" w:cs="宋体" w:eastAsia="宋体" w:hint="default"/>
          <w:b/>
          <w:bCs/>
          <w:sz w:val="30"/>
          <w:szCs w:val="30"/>
        </w:rPr>
        <w:t>日</w:t>
      </w:r>
      <w:r>
        <w:rPr>
          <w:rFonts w:ascii="宋体" w:hAnsi="宋体" w:cs="宋体" w:eastAsia="宋体" w:hint="default"/>
          <w:sz w:val="30"/>
          <w:szCs w:val="30"/>
        </w:rPr>
      </w:r>
    </w:p>
    <w:p>
      <w:pPr>
        <w:spacing w:after="0"/>
        <w:jc w:val="center"/>
        <w:rPr>
          <w:rFonts w:ascii="宋体" w:hAnsi="宋体" w:cs="宋体" w:eastAsia="宋体" w:hint="default"/>
          <w:sz w:val="30"/>
          <w:szCs w:val="30"/>
        </w:rPr>
        <w:sectPr>
          <w:type w:val="continuous"/>
          <w:pgSz w:w="12250" w:h="15850"/>
          <w:pgMar w:top="1500" w:bottom="0" w:left="1720" w:right="0"/>
        </w:sectPr>
      </w:pPr>
    </w:p>
    <w:p>
      <w:pPr>
        <w:spacing w:line="240" w:lineRule="auto" w:before="0"/>
        <w:rPr>
          <w:rFonts w:ascii="宋体" w:hAnsi="宋体" w:cs="宋体" w:eastAsia="宋体" w:hint="default"/>
          <w:b/>
          <w:bCs/>
          <w:sz w:val="20"/>
          <w:szCs w:val="20"/>
        </w:rPr>
      </w:pPr>
      <w:r>
        <w:rPr/>
        <w:pict>
          <v:shape style="position:absolute;margin-left:510.850006pt;margin-top:734.299744pt;width:101.25pt;height:57.75pt;mso-position-horizontal-relative:page;mso-position-vertical-relative:page;z-index:1048" type="#_x0000_t75" stroked="false">
            <v:imagedata r:id="rId6" o:title=""/>
          </v:shape>
        </w:pict>
      </w:r>
      <w:r>
        <w:rPr/>
        <w:pict>
          <v:shape style="position:absolute;margin-left:84.25pt;margin-top:28.299995pt;width:96.95pt;height:24.75pt;mso-position-horizontal-relative:page;mso-position-vertical-relative:page;z-index:1072" type="#_x0000_t75" stroked="false">
            <v:imagedata r:id="rId9" o:title=""/>
          </v:shape>
        </w:pict>
      </w:r>
      <w:r>
        <w:rPr/>
        <w:pict>
          <v:group style="position:absolute;margin-left:80.783997pt;margin-top:56.999996pt;width:450.7pt;height:.1pt;mso-position-horizontal-relative:page;mso-position-vertical-relative:page;z-index:1096" coordorigin="1616,1140" coordsize="9014,2">
            <v:shape style="position:absolute;left:1616;top:1140;width:9014;height:2" coordorigin="1616,1140" coordsize="9014,0" path="m1616,1140l10630,1140e" filled="false" stroked="true" strokeweight=".72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0"/>
        <w:ind w:left="4202" w:right="5697" w:firstLine="0"/>
        <w:jc w:val="center"/>
        <w:rPr>
          <w:rFonts w:ascii="黑体" w:hAnsi="黑体" w:cs="黑体" w:eastAsia="黑体" w:hint="default"/>
          <w:sz w:val="32"/>
          <w:szCs w:val="32"/>
        </w:rPr>
      </w:pPr>
      <w:r>
        <w:rPr>
          <w:rFonts w:ascii="黑体" w:hAnsi="黑体" w:cs="黑体" w:eastAsia="黑体" w:hint="default"/>
          <w:b/>
          <w:bCs/>
          <w:sz w:val="32"/>
          <w:szCs w:val="32"/>
        </w:rPr>
        <w:t>目</w:t>
      </w:r>
      <w:r>
        <w:rPr>
          <w:rFonts w:ascii="黑体" w:hAnsi="黑体" w:cs="黑体" w:eastAsia="黑体" w:hint="default"/>
          <w:b/>
          <w:bCs/>
          <w:spacing w:val="-1"/>
          <w:sz w:val="32"/>
          <w:szCs w:val="32"/>
        </w:rPr>
        <w:t> </w:t>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9090" w:val="right" w:leader="dot"/>
            </w:tabs>
            <w:spacing w:line="240" w:lineRule="auto" w:before="219"/>
            <w:ind w:right="0"/>
            <w:jc w:val="left"/>
            <w:rPr>
              <w:rFonts w:ascii="Calibri" w:hAnsi="Calibri" w:cs="Calibri" w:eastAsia="Calibri" w:hint="default"/>
            </w:rPr>
          </w:pPr>
          <w:r>
            <w:fldChar w:fldCharType="begin"/>
          </w:r>
          <w:r>
            <w:instrText>TOC \o "1-1" \h \z \u </w:instrText>
          </w:r>
          <w:r>
            <w:fldChar w:fldCharType="separate"/>
          </w:r>
          <w:hyperlink w:history="true" w:anchor="_TOC_250012">
            <w:r>
              <w:rPr/>
              <w:t>第一节</w:t>
            </w:r>
            <w:r>
              <w:rPr>
                <w:spacing w:val="59"/>
              </w:rPr>
              <w:t> </w:t>
            </w:r>
            <w:r>
              <w:rPr/>
              <w:t>重要提示</w:t>
            </w:r>
            <w:r>
              <w:rPr>
                <w:rFonts w:ascii="Calibri" w:hAnsi="Calibri" w:cs="Calibri" w:eastAsia="Calibri" w:hint="default"/>
              </w:rPr>
              <w:tab/>
              <w:t>3</w:t>
            </w:r>
          </w:hyperlink>
        </w:p>
        <w:p>
          <w:pPr>
            <w:pStyle w:val="TOC1"/>
            <w:tabs>
              <w:tab w:pos="9090" w:val="right" w:leader="dot"/>
            </w:tabs>
            <w:spacing w:line="240" w:lineRule="auto"/>
            <w:ind w:right="0"/>
            <w:jc w:val="left"/>
            <w:rPr>
              <w:rFonts w:ascii="Calibri" w:hAnsi="Calibri" w:cs="Calibri" w:eastAsia="Calibri" w:hint="default"/>
            </w:rPr>
          </w:pPr>
          <w:hyperlink w:history="true" w:anchor="_TOC_250011">
            <w:r>
              <w:rPr/>
              <w:t>第二节</w:t>
            </w:r>
            <w:r>
              <w:rPr>
                <w:spacing w:val="-1"/>
              </w:rPr>
              <w:t> </w:t>
            </w:r>
            <w:r>
              <w:rPr/>
              <w:t>公司基本情况简介</w:t>
            </w:r>
            <w:r>
              <w:rPr>
                <w:rFonts w:ascii="Calibri" w:hAnsi="Calibri" w:cs="Calibri" w:eastAsia="Calibri" w:hint="default"/>
              </w:rPr>
              <w:tab/>
              <w:t>3</w:t>
            </w:r>
          </w:hyperlink>
        </w:p>
        <w:p>
          <w:pPr>
            <w:pStyle w:val="TOC1"/>
            <w:tabs>
              <w:tab w:pos="9090" w:val="right" w:leader="dot"/>
            </w:tabs>
            <w:spacing w:line="240" w:lineRule="auto"/>
            <w:ind w:right="0"/>
            <w:jc w:val="left"/>
            <w:rPr>
              <w:rFonts w:ascii="Calibri" w:hAnsi="Calibri" w:cs="Calibri" w:eastAsia="Calibri" w:hint="default"/>
            </w:rPr>
          </w:pPr>
          <w:hyperlink w:history="true" w:anchor="_TOC_250010">
            <w:r>
              <w:rPr/>
              <w:t>第三节</w:t>
            </w:r>
            <w:r>
              <w:rPr>
                <w:spacing w:val="-1"/>
              </w:rPr>
              <w:t> </w:t>
            </w:r>
            <w:r>
              <w:rPr/>
              <w:t>会计数据和财务指标摘要</w:t>
            </w:r>
            <w:r>
              <w:rPr>
                <w:rFonts w:ascii="Calibri" w:hAnsi="Calibri" w:cs="Calibri" w:eastAsia="Calibri" w:hint="default"/>
              </w:rPr>
              <w:tab/>
              <w:t>9</w:t>
            </w:r>
          </w:hyperlink>
        </w:p>
        <w:p>
          <w:pPr>
            <w:pStyle w:val="TOC1"/>
            <w:tabs>
              <w:tab w:pos="9093" w:val="right" w:leader="dot"/>
            </w:tabs>
            <w:spacing w:line="240" w:lineRule="auto" w:before="142"/>
            <w:ind w:right="0"/>
            <w:jc w:val="left"/>
            <w:rPr>
              <w:rFonts w:ascii="Calibri" w:hAnsi="Calibri" w:cs="Calibri" w:eastAsia="Calibri" w:hint="default"/>
            </w:rPr>
          </w:pPr>
          <w:hyperlink w:history="true" w:anchor="_TOC_250009">
            <w:r>
              <w:rPr/>
              <w:t>第四节</w:t>
            </w:r>
            <w:r>
              <w:rPr>
                <w:spacing w:val="-1"/>
              </w:rPr>
              <w:t> </w:t>
            </w:r>
            <w:r>
              <w:rPr/>
              <w:t>股份变动及股东情况</w:t>
            </w:r>
            <w:r>
              <w:rPr>
                <w:rFonts w:ascii="Calibri" w:hAnsi="Calibri" w:cs="Calibri" w:eastAsia="Calibri" w:hint="default"/>
              </w:rPr>
              <w:tab/>
              <w:t>10</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8">
            <w:r>
              <w:rPr/>
              <w:t>第五节</w:t>
            </w:r>
            <w:r>
              <w:rPr>
                <w:spacing w:val="-1"/>
              </w:rPr>
              <w:t> </w:t>
            </w:r>
            <w:r>
              <w:rPr/>
              <w:t>董事、监事、高级管理人员和员工情况</w:t>
            </w:r>
            <w:r>
              <w:rPr>
                <w:rFonts w:ascii="Calibri" w:hAnsi="Calibri" w:cs="Calibri" w:eastAsia="Calibri" w:hint="default"/>
              </w:rPr>
              <w:tab/>
              <w:t>16</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7">
            <w:r>
              <w:rPr/>
              <w:t>第六节</w:t>
            </w:r>
            <w:r>
              <w:rPr>
                <w:spacing w:val="-1"/>
              </w:rPr>
              <w:t> </w:t>
            </w:r>
            <w:r>
              <w:rPr/>
              <w:t>公司治理</w:t>
            </w:r>
            <w:r>
              <w:rPr>
                <w:rFonts w:ascii="Calibri" w:hAnsi="Calibri" w:cs="Calibri" w:eastAsia="Calibri" w:hint="default"/>
              </w:rPr>
              <w:tab/>
              <w:t>23</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6">
            <w:r>
              <w:rPr/>
              <w:t>第七节</w:t>
            </w:r>
            <w:r>
              <w:rPr>
                <w:spacing w:val="-1"/>
              </w:rPr>
              <w:t> </w:t>
            </w:r>
            <w:r>
              <w:rPr/>
              <w:t>内部控制</w:t>
            </w:r>
            <w:r>
              <w:rPr>
                <w:rFonts w:ascii="Calibri" w:hAnsi="Calibri" w:cs="Calibri" w:eastAsia="Calibri" w:hint="default"/>
              </w:rPr>
              <w:tab/>
              <w:t>32</w:t>
            </w:r>
          </w:hyperlink>
        </w:p>
        <w:p>
          <w:pPr>
            <w:pStyle w:val="TOC1"/>
            <w:tabs>
              <w:tab w:pos="9093" w:val="right" w:leader="dot"/>
            </w:tabs>
            <w:spacing w:line="240" w:lineRule="auto" w:before="142"/>
            <w:ind w:right="0"/>
            <w:jc w:val="left"/>
            <w:rPr>
              <w:rFonts w:ascii="Calibri" w:hAnsi="Calibri" w:cs="Calibri" w:eastAsia="Calibri" w:hint="default"/>
            </w:rPr>
          </w:pPr>
          <w:hyperlink w:history="true" w:anchor="_TOC_250005">
            <w:r>
              <w:rPr/>
              <w:t>第八节</w:t>
            </w:r>
            <w:r>
              <w:rPr>
                <w:spacing w:val="-1"/>
              </w:rPr>
              <w:t> </w:t>
            </w:r>
            <w:r>
              <w:rPr/>
              <w:t>股东大会情况简介</w:t>
            </w:r>
            <w:r>
              <w:rPr>
                <w:rFonts w:ascii="Calibri" w:hAnsi="Calibri" w:cs="Calibri" w:eastAsia="Calibri" w:hint="default"/>
              </w:rPr>
              <w:tab/>
              <w:t>37</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4">
            <w:r>
              <w:rPr/>
              <w:t>第九节</w:t>
            </w:r>
            <w:r>
              <w:rPr>
                <w:spacing w:val="-1"/>
              </w:rPr>
              <w:t> </w:t>
            </w:r>
            <w:r>
              <w:rPr/>
              <w:t>董事会报告</w:t>
            </w:r>
            <w:r>
              <w:rPr>
                <w:rFonts w:ascii="Calibri" w:hAnsi="Calibri" w:cs="Calibri" w:eastAsia="Calibri" w:hint="default"/>
              </w:rPr>
              <w:tab/>
              <w:t>37</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3">
            <w:r>
              <w:rPr/>
              <w:t>第十节</w:t>
            </w:r>
            <w:r>
              <w:rPr>
                <w:spacing w:val="-1"/>
              </w:rPr>
              <w:t> </w:t>
            </w:r>
            <w:r>
              <w:rPr/>
              <w:t>监事会报告</w:t>
            </w:r>
            <w:r>
              <w:rPr>
                <w:rFonts w:ascii="Calibri" w:hAnsi="Calibri" w:cs="Calibri" w:eastAsia="Calibri" w:hint="default"/>
              </w:rPr>
              <w:tab/>
              <w:t>66</w:t>
            </w:r>
          </w:hyperlink>
        </w:p>
        <w:p>
          <w:pPr>
            <w:pStyle w:val="TOC1"/>
            <w:tabs>
              <w:tab w:pos="9093" w:val="right" w:leader="dot"/>
            </w:tabs>
            <w:spacing w:line="240" w:lineRule="auto"/>
            <w:ind w:right="0"/>
            <w:jc w:val="left"/>
            <w:rPr>
              <w:rFonts w:ascii="Calibri" w:hAnsi="Calibri" w:cs="Calibri" w:eastAsia="Calibri" w:hint="default"/>
            </w:rPr>
          </w:pPr>
          <w:hyperlink w:history="true" w:anchor="_TOC_250002">
            <w:r>
              <w:rPr/>
              <w:t>第十一节</w:t>
            </w:r>
            <w:r>
              <w:rPr>
                <w:spacing w:val="-1"/>
              </w:rPr>
              <w:t> </w:t>
            </w:r>
            <w:r>
              <w:rPr/>
              <w:t>重要事项</w:t>
            </w:r>
            <w:r>
              <w:rPr>
                <w:rFonts w:ascii="Calibri" w:hAnsi="Calibri" w:cs="Calibri" w:eastAsia="Calibri" w:hint="default"/>
              </w:rPr>
              <w:tab/>
              <w:t>68</w:t>
            </w:r>
          </w:hyperlink>
        </w:p>
        <w:p>
          <w:pPr>
            <w:pStyle w:val="TOC1"/>
            <w:tabs>
              <w:tab w:pos="9093" w:val="right" w:leader="dot"/>
            </w:tabs>
            <w:spacing w:line="240" w:lineRule="auto" w:before="142"/>
            <w:ind w:right="0"/>
            <w:jc w:val="left"/>
            <w:rPr>
              <w:rFonts w:ascii="Calibri" w:hAnsi="Calibri" w:cs="Calibri" w:eastAsia="Calibri" w:hint="default"/>
            </w:rPr>
          </w:pPr>
          <w:hyperlink w:history="true" w:anchor="_TOC_250001">
            <w:r>
              <w:rPr/>
              <w:t>第十二节 财务报告</w:t>
            </w:r>
            <w:r>
              <w:rPr>
                <w:rFonts w:ascii="Calibri" w:hAnsi="Calibri" w:cs="Calibri" w:eastAsia="Calibri" w:hint="default"/>
              </w:rPr>
              <w:tab/>
              <w:t>85</w:t>
            </w:r>
          </w:hyperlink>
        </w:p>
        <w:p>
          <w:pPr>
            <w:pStyle w:val="TOC1"/>
            <w:tabs>
              <w:tab w:pos="9092" w:val="right" w:leader="dot"/>
            </w:tabs>
            <w:spacing w:line="240" w:lineRule="auto"/>
            <w:ind w:right="0"/>
            <w:jc w:val="left"/>
            <w:rPr>
              <w:rFonts w:ascii="Calibri" w:hAnsi="Calibri" w:cs="Calibri" w:eastAsia="Calibri" w:hint="default"/>
            </w:rPr>
          </w:pPr>
          <w:hyperlink w:history="true" w:anchor="_TOC_250000">
            <w:r>
              <w:rPr/>
              <w:t>第十三节 备查文件目录</w:t>
            </w:r>
            <w:r>
              <w:rPr>
                <w:rFonts w:ascii="Calibri" w:hAnsi="Calibri" w:cs="Calibri" w:eastAsia="Calibri" w:hint="default"/>
              </w:rPr>
              <w:tab/>
              <w:t>157</w:t>
            </w:r>
          </w:hyperlink>
        </w:p>
        <w:p>
          <w:pPr/>
          <w:r>
            <w:fldChar w:fldCharType="end"/>
          </w:r>
        </w:p>
      </w:sdtContent>
    </w:sdt>
    <w:p>
      <w:pPr>
        <w:spacing w:after="0"/>
        <w:sectPr>
          <w:headerReference w:type="even" r:id="rId7"/>
          <w:headerReference w:type="default" r:id="rId8"/>
          <w:pgSz w:w="12250" w:h="15850"/>
          <w:pgMar w:header="906" w:footer="0" w:top="1360" w:bottom="0" w:left="1500" w:right="0"/>
        </w:sectPr>
      </w:pPr>
    </w:p>
    <w:p>
      <w:pPr>
        <w:spacing w:line="240" w:lineRule="auto" w:before="5"/>
        <w:rPr>
          <w:rFonts w:ascii="Calibri" w:hAnsi="Calibri" w:cs="Calibri" w:eastAsia="Calibri" w:hint="default"/>
          <w:sz w:val="2"/>
          <w:szCs w:val="2"/>
        </w:rPr>
      </w:pPr>
    </w:p>
    <w:p>
      <w:pPr>
        <w:spacing w:line="20" w:lineRule="exact"/>
        <w:ind w:left="108" w:right="0" w:firstLine="0"/>
        <w:rPr>
          <w:rFonts w:ascii="Calibri" w:hAnsi="Calibri" w:cs="Calibri" w:eastAsia="Calibri" w:hint="default"/>
          <w:sz w:val="2"/>
          <w:szCs w:val="2"/>
        </w:rPr>
      </w:pPr>
      <w:r>
        <w:rPr>
          <w:rFonts w:ascii="Calibri" w:hAnsi="Calibri" w:cs="Calibri" w:eastAsia="Calibri"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Calibri" w:hAnsi="Calibri" w:cs="Calibri" w:eastAsia="Calibri" w:hint="default"/>
          <w:sz w:val="2"/>
          <w:szCs w:val="2"/>
        </w:rPr>
      </w:r>
    </w:p>
    <w:p>
      <w:pPr>
        <w:pStyle w:val="Heading1"/>
        <w:spacing w:line="240" w:lineRule="auto" w:before="149"/>
        <w:ind w:right="1493"/>
        <w:jc w:val="center"/>
        <w:rPr>
          <w:b w:val="0"/>
          <w:bCs w:val="0"/>
        </w:rPr>
      </w:pPr>
      <w:bookmarkStart w:name="_TOC_250012" w:id="1"/>
      <w:r>
        <w:rPr/>
        <w:t>第一节</w:t>
      </w:r>
      <w:r>
        <w:rPr>
          <w:spacing w:val="28"/>
        </w:rPr>
        <w:t> </w:t>
      </w:r>
      <w:r>
        <w:rPr/>
        <w:t>重要提示</w:t>
      </w:r>
      <w:bookmarkEnd w:id="1"/>
      <w:r>
        <w:rPr>
          <w:b w:val="0"/>
          <w:bCs w:val="0"/>
        </w:rPr>
      </w:r>
    </w:p>
    <w:p>
      <w:pPr>
        <w:spacing w:line="240" w:lineRule="auto" w:before="2"/>
        <w:rPr>
          <w:rFonts w:ascii="黑体" w:hAnsi="黑体" w:cs="黑体" w:eastAsia="黑体" w:hint="default"/>
          <w:b/>
          <w:bCs/>
          <w:sz w:val="28"/>
          <w:szCs w:val="28"/>
        </w:rPr>
      </w:pPr>
    </w:p>
    <w:p>
      <w:pPr>
        <w:pStyle w:val="BodyText"/>
        <w:spacing w:line="357" w:lineRule="auto"/>
        <w:ind w:right="1713" w:firstLine="479"/>
        <w:jc w:val="both"/>
      </w:pPr>
      <w:r>
        <w:rPr/>
        <w:t>本公司董事会、监事会及董事、监事、高级管理人员保证本报告所载资料不存在 任何虚假记载、误导性陈述或者重大遗漏，并对其内容的真实性、准确性和完整性承 担个别及连带责任。</w:t>
      </w:r>
    </w:p>
    <w:p>
      <w:pPr>
        <w:pStyle w:val="BodyText"/>
        <w:spacing w:line="355" w:lineRule="auto" w:before="156"/>
        <w:ind w:right="1697" w:firstLine="479"/>
        <w:jc w:val="left"/>
      </w:pPr>
      <w:r>
        <w:rPr/>
        <w:t>没有董事、监事、高级管理人员对年度报告内容的真实性、准确性、完整性无法 保证或存在异议。</w:t>
      </w:r>
    </w:p>
    <w:p>
      <w:pPr>
        <w:pStyle w:val="BodyText"/>
        <w:spacing w:line="446" w:lineRule="auto" w:before="159"/>
        <w:ind w:left="624" w:right="1696"/>
        <w:jc w:val="left"/>
      </w:pPr>
      <w:r>
        <w:rPr/>
        <w:t>公司全体董事亲自出席了本次审议年度报告的董事会。 北京兴华会计师事务所有限责任公司对本公司财务报表出具了标准无保留意见的</w:t>
      </w:r>
    </w:p>
    <w:p>
      <w:pPr>
        <w:pStyle w:val="BodyText"/>
        <w:spacing w:line="262" w:lineRule="exact"/>
        <w:ind w:right="1697"/>
        <w:jc w:val="left"/>
      </w:pPr>
      <w:r>
        <w:rPr/>
        <w:t>审计报告。</w:t>
      </w:r>
    </w:p>
    <w:p>
      <w:pPr>
        <w:spacing w:line="240" w:lineRule="auto" w:before="10"/>
        <w:rPr>
          <w:rFonts w:ascii="宋体" w:hAnsi="宋体" w:cs="宋体" w:eastAsia="宋体" w:hint="default"/>
          <w:sz w:val="20"/>
          <w:szCs w:val="20"/>
        </w:rPr>
      </w:pPr>
    </w:p>
    <w:p>
      <w:pPr>
        <w:pStyle w:val="BodyText"/>
        <w:spacing w:line="357" w:lineRule="auto"/>
        <w:ind w:right="1697" w:firstLine="479"/>
        <w:jc w:val="left"/>
      </w:pPr>
      <w:r>
        <w:rPr/>
        <w:t>公司董事长薛向东先生、主管会计工作负责人杨健先生及会计机构负责人叶莉女 士声明：保证年度报告中财务报告的真实、准确、完整。</w:t>
      </w:r>
    </w:p>
    <w:p>
      <w:pPr>
        <w:spacing w:line="240" w:lineRule="auto" w:before="0"/>
        <w:rPr>
          <w:rFonts w:ascii="宋体" w:hAnsi="宋体" w:cs="宋体" w:eastAsia="宋体" w:hint="default"/>
          <w:sz w:val="24"/>
          <w:szCs w:val="24"/>
        </w:rPr>
      </w:pPr>
    </w:p>
    <w:p>
      <w:pPr>
        <w:pStyle w:val="Heading1"/>
        <w:spacing w:line="240" w:lineRule="auto" w:before="185"/>
        <w:ind w:right="1499"/>
        <w:jc w:val="center"/>
        <w:rPr>
          <w:b w:val="0"/>
          <w:bCs w:val="0"/>
        </w:rPr>
      </w:pPr>
      <w:bookmarkStart w:name="_TOC_250011" w:id="2"/>
      <w:r>
        <w:rPr/>
        <w:t>第二节</w:t>
      </w:r>
      <w:r>
        <w:rPr>
          <w:spacing w:val="-6"/>
        </w:rPr>
        <w:t> </w:t>
      </w:r>
      <w:r>
        <w:rPr/>
        <w:t>公司基本情况简介</w:t>
      </w:r>
      <w:bookmarkEnd w:id="2"/>
      <w:r>
        <w:rPr>
          <w:b w:val="0"/>
          <w:bCs w:val="0"/>
        </w:rPr>
      </w:r>
    </w:p>
    <w:p>
      <w:pPr>
        <w:spacing w:line="240" w:lineRule="auto" w:before="5"/>
        <w:rPr>
          <w:rFonts w:ascii="黑体" w:hAnsi="黑体" w:cs="黑体" w:eastAsia="黑体" w:hint="default"/>
          <w:b/>
          <w:bCs/>
          <w:sz w:val="28"/>
          <w:szCs w:val="28"/>
        </w:rPr>
      </w:pPr>
    </w:p>
    <w:p>
      <w:pPr>
        <w:pStyle w:val="BodyText"/>
        <w:spacing w:line="429" w:lineRule="auto"/>
        <w:ind w:left="624" w:right="6809" w:hanging="480"/>
        <w:jc w:val="left"/>
      </w:pPr>
      <w:r>
        <w:rPr/>
        <w:t>一、中文名称：东华软件股份公司 英文名称：</w:t>
      </w:r>
      <w:r>
        <w:rPr>
          <w:rFonts w:ascii="Calibri" w:hAnsi="Calibri" w:cs="Calibri" w:eastAsia="Calibri" w:hint="default"/>
        </w:rPr>
        <w:t>DHC Software</w:t>
      </w:r>
      <w:r>
        <w:rPr>
          <w:rFonts w:ascii="Calibri" w:hAnsi="Calibri" w:cs="Calibri" w:eastAsia="Calibri" w:hint="default"/>
          <w:spacing w:val="-10"/>
        </w:rPr>
        <w:t> </w:t>
      </w:r>
      <w:r>
        <w:rPr>
          <w:rFonts w:ascii="Calibri" w:hAnsi="Calibri" w:cs="Calibri" w:eastAsia="Calibri" w:hint="default"/>
        </w:rPr>
        <w:t>Co.,Ltd</w:t>
      </w:r>
      <w:r>
        <w:rPr>
          <w:rFonts w:ascii="Calibri" w:hAnsi="Calibri" w:cs="Calibri" w:eastAsia="Calibri" w:hint="default"/>
        </w:rPr>
        <w:t> </w:t>
      </w:r>
      <w:r>
        <w:rPr/>
        <w:t>中文简称：东华软件</w:t>
      </w:r>
    </w:p>
    <w:p>
      <w:pPr>
        <w:pStyle w:val="BodyText"/>
        <w:spacing w:line="429" w:lineRule="auto" w:before="84"/>
        <w:ind w:right="5776" w:firstLine="479"/>
        <w:jc w:val="left"/>
      </w:pPr>
      <w:r>
        <w:rPr/>
        <w:t>英文缩写：</w:t>
      </w:r>
      <w:r>
        <w:rPr>
          <w:rFonts w:ascii="Calibri" w:hAnsi="Calibri" w:cs="Calibri" w:eastAsia="Calibri" w:hint="default"/>
        </w:rPr>
        <w:t>DHCC</w:t>
      </w:r>
      <w:r>
        <w:rPr>
          <w:rFonts w:ascii="Calibri" w:hAnsi="Calibri" w:cs="Calibri" w:eastAsia="Calibri" w:hint="default"/>
          <w:spacing w:val="-1"/>
        </w:rPr>
        <w:t> </w:t>
      </w:r>
      <w:r>
        <w:rPr/>
        <w:t>二、公司法定代表人：薛向东 三、公司董事会秘书及证券事务代表联系方式</w:t>
      </w:r>
    </w:p>
    <w:p>
      <w:pPr>
        <w:spacing w:line="240" w:lineRule="auto" w:before="4"/>
        <w:rPr>
          <w:rFonts w:ascii="宋体" w:hAnsi="宋体" w:cs="宋体" w:eastAsia="宋体" w:hint="default"/>
          <w:sz w:val="9"/>
          <w:szCs w:val="9"/>
        </w:rPr>
      </w:pPr>
    </w:p>
    <w:tbl>
      <w:tblPr>
        <w:tblW w:w="0" w:type="auto"/>
        <w:jc w:val="left"/>
        <w:tblInd w:w="122" w:type="dxa"/>
        <w:tblLayout w:type="fixed"/>
        <w:tblCellMar>
          <w:top w:w="0" w:type="dxa"/>
          <w:left w:w="0" w:type="dxa"/>
          <w:bottom w:w="0" w:type="dxa"/>
          <w:right w:w="0" w:type="dxa"/>
        </w:tblCellMar>
        <w:tblLook w:val="01E0"/>
      </w:tblPr>
      <w:tblGrid>
        <w:gridCol w:w="1140"/>
        <w:gridCol w:w="4122"/>
        <w:gridCol w:w="3968"/>
      </w:tblGrid>
      <w:tr>
        <w:trPr>
          <w:trHeight w:val="478" w:hRule="exact"/>
        </w:trPr>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4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7"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59"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122"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杨健</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侯杰</w:t>
            </w: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4122" w:type="dxa"/>
            <w:tcBorders>
              <w:top w:val="single" w:sz="4" w:space="0" w:color="000000"/>
              <w:left w:val="single" w:sz="13" w:space="0" w:color="DCDCDC"/>
              <w:bottom w:val="single" w:sz="4" w:space="0" w:color="000000"/>
              <w:right w:val="single" w:sz="4" w:space="0" w:color="000000"/>
            </w:tcBorders>
          </w:tcPr>
          <w:p>
            <w:pPr>
              <w:pStyle w:val="TableParagraph"/>
              <w:spacing w:line="304" w:lineRule="exact"/>
              <w:ind w:left="21" w:right="0"/>
              <w:jc w:val="left"/>
              <w:rPr>
                <w:rFonts w:ascii="宋体" w:hAnsi="宋体" w:cs="宋体" w:eastAsia="宋体" w:hint="default"/>
                <w:sz w:val="24"/>
                <w:szCs w:val="24"/>
              </w:rPr>
            </w:pPr>
            <w:r>
              <w:rPr>
                <w:rFonts w:ascii="宋体" w:hAnsi="宋体" w:cs="宋体" w:eastAsia="宋体" w:hint="default"/>
                <w:sz w:val="24"/>
                <w:szCs w:val="24"/>
              </w:rPr>
              <w:t>北京市海淀区紫金数码园</w:t>
            </w:r>
            <w:r>
              <w:rPr>
                <w:rFonts w:ascii="宋体" w:hAnsi="宋体" w:cs="宋体" w:eastAsia="宋体" w:hint="default"/>
                <w:spacing w:val="-60"/>
                <w:sz w:val="24"/>
                <w:szCs w:val="24"/>
              </w:rPr>
              <w:t> </w:t>
            </w:r>
            <w:r>
              <w:rPr>
                <w:rFonts w:ascii="Calibri" w:hAnsi="Calibri" w:cs="Calibri" w:eastAsia="Calibri" w:hint="default"/>
                <w:sz w:val="24"/>
                <w:szCs w:val="24"/>
              </w:rPr>
              <w:t>3</w:t>
            </w:r>
            <w:r>
              <w:rPr>
                <w:rFonts w:ascii="Calibri" w:hAnsi="Calibri" w:cs="Calibri" w:eastAsia="Calibri" w:hint="default"/>
                <w:spacing w:val="6"/>
                <w:sz w:val="24"/>
                <w:szCs w:val="24"/>
              </w:rPr>
              <w:t>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Calibri" w:hAnsi="Calibri" w:cs="Calibri" w:eastAsia="Calibri" w:hint="default"/>
                <w:sz w:val="24"/>
                <w:szCs w:val="24"/>
              </w:rPr>
              <w:t>16</w:t>
            </w:r>
            <w:r>
              <w:rPr>
                <w:rFonts w:ascii="Calibri" w:hAnsi="Calibri" w:cs="Calibri" w:eastAsia="Calibri" w:hint="default"/>
                <w:spacing w:val="6"/>
                <w:sz w:val="24"/>
                <w:szCs w:val="24"/>
              </w:rPr>
              <w:t> </w:t>
            </w:r>
            <w:r>
              <w:rPr>
                <w:rFonts w:ascii="宋体" w:hAnsi="宋体" w:cs="宋体" w:eastAsia="宋体" w:hint="default"/>
                <w:sz w:val="24"/>
                <w:szCs w:val="24"/>
              </w:rPr>
              <w:t>层</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北京市海淀区紫金数码园</w:t>
            </w:r>
            <w:r>
              <w:rPr>
                <w:rFonts w:ascii="宋体" w:hAnsi="宋体" w:cs="宋体" w:eastAsia="宋体" w:hint="default"/>
                <w:spacing w:val="-75"/>
                <w:sz w:val="24"/>
                <w:szCs w:val="24"/>
              </w:rPr>
              <w:t> </w:t>
            </w:r>
            <w:r>
              <w:rPr>
                <w:rFonts w:ascii="Calibri" w:hAnsi="Calibri" w:cs="Calibri" w:eastAsia="Calibri" w:hint="default"/>
                <w:sz w:val="24"/>
                <w:szCs w:val="24"/>
              </w:rPr>
              <w:t>3</w:t>
            </w:r>
            <w:r>
              <w:rPr>
                <w:rFonts w:ascii="Calibri" w:hAnsi="Calibri" w:cs="Calibri" w:eastAsia="Calibri" w:hint="default"/>
                <w:spacing w:val="-8"/>
                <w:sz w:val="24"/>
                <w:szCs w:val="24"/>
              </w:rPr>
              <w:t> </w:t>
            </w:r>
            <w:r>
              <w:rPr>
                <w:rFonts w:ascii="宋体" w:hAnsi="宋体" w:cs="宋体" w:eastAsia="宋体" w:hint="default"/>
                <w:sz w:val="24"/>
                <w:szCs w:val="24"/>
              </w:rPr>
              <w:t>号楼</w:t>
            </w:r>
            <w:r>
              <w:rPr>
                <w:rFonts w:ascii="宋体" w:hAnsi="宋体" w:cs="宋体" w:eastAsia="宋体" w:hint="default"/>
                <w:spacing w:val="-75"/>
                <w:sz w:val="24"/>
                <w:szCs w:val="24"/>
              </w:rPr>
              <w:t> </w:t>
            </w:r>
            <w:r>
              <w:rPr>
                <w:rFonts w:ascii="Calibri" w:hAnsi="Calibri" w:cs="Calibri" w:eastAsia="Calibri" w:hint="default"/>
                <w:sz w:val="24"/>
                <w:szCs w:val="24"/>
              </w:rPr>
              <w:t>16</w:t>
            </w:r>
            <w:r>
              <w:rPr>
                <w:rFonts w:ascii="Calibri" w:hAnsi="Calibri" w:cs="Calibri" w:eastAsia="Calibri" w:hint="default"/>
                <w:spacing w:val="-8"/>
                <w:sz w:val="24"/>
                <w:szCs w:val="24"/>
              </w:rPr>
              <w:t> </w:t>
            </w:r>
            <w:r>
              <w:rPr>
                <w:rFonts w:ascii="宋体" w:hAnsi="宋体" w:cs="宋体" w:eastAsia="宋体" w:hint="default"/>
                <w:sz w:val="24"/>
                <w:szCs w:val="24"/>
              </w:rPr>
              <w:t>层</w:t>
            </w:r>
          </w:p>
        </w:tc>
      </w:tr>
      <w:tr>
        <w:trPr>
          <w:trHeight w:val="475" w:hRule="exact"/>
        </w:trPr>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41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left="21" w:right="0"/>
              <w:jc w:val="left"/>
              <w:rPr>
                <w:rFonts w:ascii="Calibri" w:hAnsi="Calibri" w:cs="Calibri" w:eastAsia="Calibri" w:hint="default"/>
                <w:sz w:val="24"/>
                <w:szCs w:val="24"/>
              </w:rPr>
            </w:pPr>
            <w:r>
              <w:rPr>
                <w:rFonts w:ascii="Calibri"/>
                <w:sz w:val="24"/>
              </w:rPr>
              <w:t>010-62662188</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Calibri" w:hAnsi="Calibri" w:cs="Calibri" w:eastAsia="Calibri" w:hint="default"/>
                <w:sz w:val="24"/>
                <w:szCs w:val="24"/>
              </w:rPr>
            </w:pPr>
            <w:r>
              <w:rPr>
                <w:rFonts w:ascii="Calibri"/>
                <w:sz w:val="24"/>
              </w:rPr>
              <w:t>010-62662188</w:t>
            </w:r>
          </w:p>
        </w:tc>
      </w:tr>
    </w:tbl>
    <w:p>
      <w:pPr>
        <w:spacing w:after="0" w:line="240" w:lineRule="auto"/>
        <w:jc w:val="left"/>
        <w:rPr>
          <w:rFonts w:ascii="Calibri" w:hAnsi="Calibri" w:cs="Calibri" w:eastAsia="Calibri" w:hint="default"/>
          <w:sz w:val="24"/>
          <w:szCs w:val="24"/>
        </w:rPr>
        <w:sectPr>
          <w:footerReference w:type="default" r:id="rId10"/>
          <w:footerReference w:type="even" r:id="rId11"/>
          <w:pgSz w:w="12240" w:h="15840"/>
          <w:pgMar w:footer="987" w:header="847" w:top="1360" w:bottom="1180" w:left="1500" w:right="0"/>
          <w:pgNumType w:start="3"/>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51"/>
        <w:gridCol w:w="4111"/>
        <w:gridCol w:w="3968"/>
      </w:tblGrid>
      <w:tr>
        <w:trPr>
          <w:trHeight w:val="489" w:hRule="exact"/>
        </w:trPr>
        <w:tc>
          <w:tcPr>
            <w:tcW w:w="1151"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传真</w:t>
            </w:r>
          </w:p>
        </w:tc>
        <w:tc>
          <w:tcPr>
            <w:tcW w:w="41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Calibri" w:hAnsi="Calibri" w:cs="Calibri" w:eastAsia="Calibri" w:hint="default"/>
                <w:sz w:val="24"/>
                <w:szCs w:val="24"/>
              </w:rPr>
            </w:pPr>
            <w:r>
              <w:rPr>
                <w:rFonts w:ascii="Calibri"/>
                <w:sz w:val="24"/>
              </w:rPr>
              <w:t>010-62662299</w:t>
            </w:r>
          </w:p>
        </w:tc>
        <w:tc>
          <w:tcPr>
            <w:tcW w:w="39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Calibri" w:hAnsi="Calibri" w:cs="Calibri" w:eastAsia="Calibri" w:hint="default"/>
                <w:sz w:val="24"/>
                <w:szCs w:val="24"/>
              </w:rPr>
            </w:pPr>
            <w:r>
              <w:rPr>
                <w:rFonts w:ascii="Calibri"/>
                <w:sz w:val="24"/>
              </w:rPr>
              <w:t>010-62662299</w:t>
            </w:r>
          </w:p>
        </w:tc>
      </w:tr>
      <w:tr>
        <w:trPr>
          <w:trHeight w:val="475" w:hRule="exact"/>
        </w:trPr>
        <w:tc>
          <w:tcPr>
            <w:tcW w:w="11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Calibri" w:hAnsi="Calibri" w:cs="Calibri" w:eastAsia="Calibri" w:hint="default"/>
                <w:sz w:val="24"/>
                <w:szCs w:val="24"/>
              </w:rPr>
            </w:pPr>
            <w:hyperlink r:id="rId14">
              <w:r>
                <w:rPr>
                  <w:rFonts w:ascii="Calibri"/>
                  <w:sz w:val="24"/>
                </w:rPr>
                <w:t>strongyang@dhcc.com.cn</w:t>
              </w:r>
            </w:hyperlink>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Calibri" w:hAnsi="Calibri" w:cs="Calibri" w:eastAsia="Calibri" w:hint="default"/>
                <w:sz w:val="24"/>
                <w:szCs w:val="24"/>
              </w:rPr>
            </w:pPr>
            <w:hyperlink r:id="rId15">
              <w:r>
                <w:rPr>
                  <w:rFonts w:ascii="Calibri"/>
                  <w:sz w:val="24"/>
                </w:rPr>
                <w:t>houjie@dhcc.com.cn</w:t>
              </w:r>
            </w:hyperlink>
          </w:p>
        </w:tc>
      </w:tr>
    </w:tbl>
    <w:p>
      <w:pPr>
        <w:pStyle w:val="BodyText"/>
        <w:spacing w:line="408" w:lineRule="auto" w:before="79"/>
        <w:ind w:left="604" w:right="4204" w:hanging="480"/>
        <w:jc w:val="left"/>
        <w:rPr>
          <w:rFonts w:ascii="Calibri" w:hAnsi="Calibri" w:cs="Calibri" w:eastAsia="Calibri" w:hint="default"/>
        </w:rPr>
      </w:pPr>
      <w:r>
        <w:rPr/>
        <w:t>四、公司注册地址：北京市海淀区紫金数码园</w:t>
      </w:r>
      <w:r>
        <w:rPr>
          <w:rFonts w:ascii="Calibri" w:hAnsi="Calibri" w:cs="Calibri" w:eastAsia="Calibri" w:hint="default"/>
        </w:rPr>
        <w:t>3</w:t>
      </w:r>
      <w:r>
        <w:rPr/>
        <w:t>号楼</w:t>
      </w:r>
      <w:r>
        <w:rPr>
          <w:rFonts w:ascii="Calibri" w:hAnsi="Calibri" w:cs="Calibri" w:eastAsia="Calibri" w:hint="default"/>
        </w:rPr>
        <w:t>15</w:t>
      </w:r>
      <w:r>
        <w:rPr/>
        <w:t>层</w:t>
      </w:r>
      <w:r>
        <w:rPr>
          <w:rFonts w:ascii="Calibri" w:hAnsi="Calibri" w:cs="Calibri" w:eastAsia="Calibri" w:hint="default"/>
        </w:rPr>
        <w:t>1501 </w:t>
      </w:r>
      <w:r>
        <w:rPr/>
        <w:t>公司办公地址：北京市海淀区紫金数码园</w:t>
      </w:r>
      <w:r>
        <w:rPr>
          <w:rFonts w:ascii="Calibri" w:hAnsi="Calibri" w:cs="Calibri" w:eastAsia="Calibri" w:hint="default"/>
        </w:rPr>
        <w:t>3</w:t>
      </w:r>
      <w:r>
        <w:rPr/>
        <w:t>号楼</w:t>
      </w:r>
      <w:r>
        <w:rPr>
          <w:rFonts w:ascii="Calibri" w:hAnsi="Calibri" w:cs="Calibri" w:eastAsia="Calibri" w:hint="default"/>
        </w:rPr>
        <w:t>16</w:t>
      </w:r>
      <w:r>
        <w:rPr/>
        <w:t>层 邮政编码：</w:t>
      </w:r>
      <w:r>
        <w:rPr>
          <w:rFonts w:ascii="Calibri" w:hAnsi="Calibri" w:cs="Calibri" w:eastAsia="Calibri" w:hint="default"/>
        </w:rPr>
        <w:t>100190</w:t>
      </w:r>
    </w:p>
    <w:p>
      <w:pPr>
        <w:pStyle w:val="BodyText"/>
        <w:spacing w:line="410" w:lineRule="auto" w:before="38"/>
        <w:ind w:left="604" w:right="4204"/>
        <w:jc w:val="left"/>
        <w:rPr>
          <w:rFonts w:ascii="Calibri" w:hAnsi="Calibri" w:cs="Calibri" w:eastAsia="Calibri" w:hint="default"/>
        </w:rPr>
      </w:pPr>
      <w:r>
        <w:rPr/>
        <w:t>互联网网址：</w:t>
      </w:r>
      <w:hyperlink r:id="rId16">
        <w:r>
          <w:rPr>
            <w:rFonts w:ascii="Calibri" w:hAnsi="Calibri" w:cs="Calibri" w:eastAsia="Calibri" w:hint="default"/>
          </w:rPr>
          <w:t>www.dhcc.com.cn</w:t>
        </w:r>
      </w:hyperlink>
      <w:r>
        <w:rPr>
          <w:rFonts w:ascii="Calibri" w:hAnsi="Calibri" w:cs="Calibri" w:eastAsia="Calibri" w:hint="default"/>
        </w:rPr>
        <w:t> </w:t>
      </w:r>
      <w:r>
        <w:rPr>
          <w:spacing w:val="-1"/>
        </w:rPr>
        <w:t>电子信箱：</w:t>
      </w:r>
      <w:hyperlink r:id="rId14">
        <w:r>
          <w:rPr>
            <w:rFonts w:ascii="Calibri" w:hAnsi="Calibri" w:cs="Calibri" w:eastAsia="Calibri" w:hint="default"/>
            <w:spacing w:val="-1"/>
          </w:rPr>
          <w:t>strongyang@dhcc.com.cn</w:t>
        </w:r>
      </w:hyperlink>
    </w:p>
    <w:p>
      <w:pPr>
        <w:pStyle w:val="BodyText"/>
        <w:spacing w:line="429" w:lineRule="auto" w:before="33"/>
        <w:ind w:left="604" w:right="3856" w:hanging="480"/>
        <w:jc w:val="left"/>
      </w:pPr>
      <w:r>
        <w:rPr/>
        <w:t>五、公司选定的信息披露报纸：《中国证券报》、《证券时报》 登载年度报告的网站网址：</w:t>
      </w:r>
      <w:hyperlink r:id="rId17">
        <w:r>
          <w:rPr>
            <w:rFonts w:ascii="Calibri" w:hAnsi="Calibri" w:cs="Calibri" w:eastAsia="Calibri" w:hint="default"/>
          </w:rPr>
          <w:t>www.cninfo.com.cn</w:t>
        </w:r>
      </w:hyperlink>
      <w:r>
        <w:rPr>
          <w:rFonts w:ascii="Calibri" w:hAnsi="Calibri" w:cs="Calibri" w:eastAsia="Calibri" w:hint="default"/>
        </w:rPr>
        <w:t> </w:t>
      </w:r>
      <w:r>
        <w:rPr/>
        <w:t>年度报告备置地点：公司证券部</w:t>
      </w:r>
    </w:p>
    <w:p>
      <w:pPr>
        <w:pStyle w:val="BodyText"/>
        <w:spacing w:line="448" w:lineRule="auto" w:before="84"/>
        <w:ind w:left="604" w:right="6026" w:hanging="480"/>
        <w:jc w:val="left"/>
        <w:rPr>
          <w:rFonts w:ascii="Calibri" w:hAnsi="Calibri" w:cs="Calibri" w:eastAsia="Calibri" w:hint="default"/>
        </w:rPr>
      </w:pPr>
      <w:r>
        <w:rPr/>
        <w:t>六、公司股票上市交易所：深圳证券交易所 股票简称：东华软件 股票代码：</w:t>
      </w:r>
      <w:r>
        <w:rPr>
          <w:rFonts w:ascii="Calibri" w:hAnsi="Calibri" w:cs="Calibri" w:eastAsia="Calibri" w:hint="default"/>
        </w:rPr>
        <w:t>002065</w:t>
      </w:r>
    </w:p>
    <w:p>
      <w:pPr>
        <w:pStyle w:val="BodyText"/>
        <w:spacing w:line="300" w:lineRule="exact"/>
        <w:ind w:left="124" w:right="4204"/>
        <w:jc w:val="left"/>
      </w:pPr>
      <w:r>
        <w:rPr/>
        <w:t>七、其他有关资料</w:t>
      </w:r>
    </w:p>
    <w:p>
      <w:pPr>
        <w:spacing w:line="240" w:lineRule="auto" w:before="12"/>
        <w:rPr>
          <w:rFonts w:ascii="宋体" w:hAnsi="宋体" w:cs="宋体" w:eastAsia="宋体" w:hint="default"/>
          <w:sz w:val="20"/>
          <w:szCs w:val="20"/>
        </w:rPr>
      </w:pPr>
    </w:p>
    <w:p>
      <w:pPr>
        <w:pStyle w:val="BodyText"/>
        <w:spacing w:line="429" w:lineRule="auto"/>
        <w:ind w:left="604" w:right="4911"/>
        <w:jc w:val="left"/>
        <w:rPr>
          <w:rFonts w:ascii="Calibri" w:hAnsi="Calibri" w:cs="Calibri" w:eastAsia="Calibri" w:hint="default"/>
        </w:rPr>
      </w:pPr>
      <w:r>
        <w:rPr/>
        <w:t>公司最新注册登记日期：</w:t>
      </w:r>
      <w:r>
        <w:rPr>
          <w:spacing w:val="-1"/>
        </w:rPr>
        <w:t> </w:t>
      </w:r>
      <w:r>
        <w:rPr>
          <w:rFonts w:ascii="Calibri" w:hAnsi="Calibri" w:cs="Calibri" w:eastAsia="Calibri" w:hint="default"/>
        </w:rPr>
        <w:t>2011</w:t>
      </w:r>
      <w:r>
        <w:rPr/>
        <w:t>年</w:t>
      </w:r>
      <w:r>
        <w:rPr>
          <w:rFonts w:ascii="Calibri" w:hAnsi="Calibri" w:cs="Calibri" w:eastAsia="Calibri" w:hint="default"/>
        </w:rPr>
        <w:t>10</w:t>
      </w:r>
      <w:r>
        <w:rPr/>
        <w:t>月</w:t>
      </w:r>
      <w:r>
        <w:rPr>
          <w:rFonts w:ascii="Calibri" w:hAnsi="Calibri" w:cs="Calibri" w:eastAsia="Calibri" w:hint="default"/>
        </w:rPr>
        <w:t>17</w:t>
      </w:r>
      <w:r>
        <w:rPr/>
        <w:t>日 公司最新注册登记地点：北京市工商行政管理局 公司企业法人营业执照注册号：</w:t>
      </w:r>
      <w:r>
        <w:rPr>
          <w:rFonts w:ascii="Calibri" w:hAnsi="Calibri" w:cs="Calibri" w:eastAsia="Calibri" w:hint="default"/>
        </w:rPr>
        <w:t>110000001930643</w:t>
      </w:r>
    </w:p>
    <w:p>
      <w:pPr>
        <w:pStyle w:val="BodyText"/>
        <w:spacing w:line="410" w:lineRule="auto" w:before="9"/>
        <w:ind w:left="604" w:right="2664"/>
        <w:jc w:val="left"/>
        <w:rPr>
          <w:rFonts w:ascii="Calibri" w:hAnsi="Calibri" w:cs="Calibri" w:eastAsia="Calibri" w:hint="default"/>
        </w:rPr>
      </w:pPr>
      <w:r>
        <w:rPr/>
        <w:t>公司税务登记证号码：</w:t>
      </w:r>
      <w:r>
        <w:rPr>
          <w:rFonts w:ascii="Calibri" w:hAnsi="Calibri" w:cs="Calibri" w:eastAsia="Calibri" w:hint="default"/>
        </w:rPr>
        <w:t>110108722618881 </w:t>
      </w:r>
      <w:r>
        <w:rPr/>
        <w:t>公司组织机构代码：</w:t>
      </w:r>
      <w:r>
        <w:rPr>
          <w:rFonts w:ascii="Calibri" w:hAnsi="Calibri" w:cs="Calibri" w:eastAsia="Calibri" w:hint="default"/>
        </w:rPr>
        <w:t>722661888-1</w:t>
      </w:r>
    </w:p>
    <w:p>
      <w:pPr>
        <w:pStyle w:val="BodyText"/>
        <w:spacing w:line="429" w:lineRule="auto" w:before="33"/>
        <w:ind w:left="604" w:right="2664"/>
        <w:jc w:val="left"/>
      </w:pPr>
      <w:r>
        <w:rPr/>
        <w:t>公司聘请的会计师事务所名称：北京兴华会计师事务所有限责任公司 </w:t>
      </w:r>
      <w:r>
        <w:rPr>
          <w:spacing w:val="-1"/>
        </w:rPr>
        <w:t>公司聘请的会计师事务所办公地址：北京市西城区裕民路</w:t>
      </w:r>
      <w:r>
        <w:rPr>
          <w:rFonts w:ascii="Calibri" w:hAnsi="Calibri" w:cs="Calibri" w:eastAsia="Calibri" w:hint="default"/>
          <w:spacing w:val="-1"/>
        </w:rPr>
        <w:t>18</w:t>
      </w:r>
      <w:r>
        <w:rPr>
          <w:spacing w:val="-1"/>
        </w:rPr>
        <w:t>号</w:t>
      </w:r>
      <w:r>
        <w:rPr>
          <w:rFonts w:ascii="Calibri" w:hAnsi="Calibri" w:cs="Calibri" w:eastAsia="Calibri" w:hint="default"/>
          <w:spacing w:val="-1"/>
        </w:rPr>
        <w:t>2211</w:t>
      </w:r>
      <w:r>
        <w:rPr>
          <w:spacing w:val="-1"/>
        </w:rPr>
        <w:t>房间</w:t>
      </w:r>
      <w:r>
        <w:rPr>
          <w:spacing w:val="-91"/>
        </w:rPr>
        <w:t> </w:t>
      </w:r>
      <w:r>
        <w:rPr/>
        <w:t>签字会计师姓名：胡毅、肖丽娟</w:t>
      </w:r>
    </w:p>
    <w:p>
      <w:pPr>
        <w:spacing w:after="0" w:line="429" w:lineRule="auto"/>
        <w:jc w:val="left"/>
        <w:sectPr>
          <w:headerReference w:type="even" r:id="rId12"/>
          <w:headerReference w:type="default" r:id="rId13"/>
          <w:pgSz w:w="12240" w:h="15840"/>
          <w:pgMar w:header="847" w:footer="987" w:top="1360" w:bottom="1180" w:left="1520" w:right="0"/>
        </w:sectPr>
      </w:pPr>
    </w:p>
    <w:p>
      <w:pPr>
        <w:pStyle w:val="BodyText"/>
        <w:spacing w:line="448" w:lineRule="auto" w:before="11"/>
        <w:ind w:left="624" w:right="1696"/>
        <w:jc w:val="left"/>
      </w:pPr>
      <w:r>
        <w:rPr/>
        <w:pict>
          <v:group style="position:absolute;margin-left:80.783997pt;margin-top:1.845647pt;width:450.6pt;height:.1pt;mso-position-horizontal-relative:page;mso-position-vertical-relative:paragraph;z-index:-865528" coordorigin="1616,37" coordsize="9012,2">
            <v:shape style="position:absolute;left:1616;top:37;width:9012;height:2" coordorigin="1616,37" coordsize="9012,0" path="m1616,37l10627,37e" filled="false" stroked="true" strokeweight=".71999pt" strokecolor="#000000">
              <v:path arrowok="t"/>
            </v:shape>
            <w10:wrap type="none"/>
          </v:group>
        </w:pict>
      </w:r>
      <w:r>
        <w:rPr/>
        <w:t>公司聘请的正履行持续督导职责的财务顾问名称：华泰联合证券有限责任公司 公司聘请的正履行持续督导职责的财务顾问办公地址：北京市西城区月坛北街月</w:t>
      </w:r>
    </w:p>
    <w:p>
      <w:pPr>
        <w:pStyle w:val="BodyText"/>
        <w:spacing w:line="290" w:lineRule="exact"/>
        <w:ind w:right="1697"/>
        <w:jc w:val="left"/>
      </w:pPr>
      <w:r>
        <w:rPr/>
        <w:t>坛大厦</w:t>
      </w:r>
      <w:r>
        <w:rPr>
          <w:rFonts w:ascii="Calibri" w:hAnsi="Calibri" w:cs="Calibri" w:eastAsia="Calibri" w:hint="default"/>
        </w:rPr>
        <w:t>5</w:t>
      </w:r>
      <w:r>
        <w:rPr/>
        <w:t>层</w:t>
      </w:r>
    </w:p>
    <w:p>
      <w:pPr>
        <w:spacing w:line="240" w:lineRule="auto" w:before="5"/>
        <w:rPr>
          <w:rFonts w:ascii="宋体" w:hAnsi="宋体" w:cs="宋体" w:eastAsia="宋体" w:hint="default"/>
          <w:sz w:val="18"/>
          <w:szCs w:val="18"/>
        </w:rPr>
      </w:pPr>
    </w:p>
    <w:p>
      <w:pPr>
        <w:pStyle w:val="BodyText"/>
        <w:spacing w:line="357" w:lineRule="auto"/>
        <w:ind w:right="1713" w:firstLine="479"/>
        <w:jc w:val="both"/>
      </w:pPr>
      <w:r>
        <w:rPr/>
        <w:t>公司聘请的正履行持续督导职责的财务顾问签字的财务顾问主办人姓名：王勃、 刘威</w:t>
      </w:r>
    </w:p>
    <w:p>
      <w:pPr>
        <w:pStyle w:val="BodyText"/>
        <w:spacing w:line="240" w:lineRule="auto" w:before="154"/>
        <w:ind w:right="1697"/>
        <w:jc w:val="left"/>
      </w:pPr>
      <w:r>
        <w:rPr/>
        <w:t>八、公司历史沿革</w:t>
      </w:r>
    </w:p>
    <w:p>
      <w:pPr>
        <w:spacing w:line="240" w:lineRule="auto" w:before="12"/>
        <w:rPr>
          <w:rFonts w:ascii="宋体" w:hAnsi="宋体" w:cs="宋体" w:eastAsia="宋体" w:hint="default"/>
          <w:sz w:val="20"/>
          <w:szCs w:val="20"/>
        </w:rPr>
      </w:pPr>
    </w:p>
    <w:p>
      <w:pPr>
        <w:pStyle w:val="BodyText"/>
        <w:spacing w:line="240" w:lineRule="auto"/>
        <w:ind w:right="1697"/>
        <w:jc w:val="left"/>
      </w:pPr>
      <w:r>
        <w:rPr/>
        <w:t>（一）公司上市以来的历次注册变更情况</w:t>
      </w:r>
    </w:p>
    <w:p>
      <w:pPr>
        <w:spacing w:line="240" w:lineRule="auto" w:before="13"/>
        <w:rPr>
          <w:rFonts w:ascii="宋体" w:hAnsi="宋体" w:cs="宋体" w:eastAsia="宋体" w:hint="default"/>
          <w:sz w:val="20"/>
          <w:szCs w:val="20"/>
        </w:rPr>
      </w:pPr>
    </w:p>
    <w:p>
      <w:pPr>
        <w:pStyle w:val="BodyText"/>
        <w:spacing w:line="340" w:lineRule="auto"/>
        <w:ind w:right="1637" w:firstLine="479"/>
        <w:jc w:val="both"/>
      </w:pPr>
      <w:r>
        <w:rPr>
          <w:rFonts w:ascii="Calibri" w:hAnsi="Calibri" w:cs="Calibri" w:eastAsia="Calibri" w:hint="default"/>
        </w:rPr>
        <w:t>1</w:t>
      </w:r>
      <w:r>
        <w:rPr/>
        <w:t>、</w:t>
      </w:r>
      <w:r>
        <w:rPr>
          <w:rFonts w:ascii="Calibri" w:hAnsi="Calibri" w:cs="Calibri" w:eastAsia="Calibri" w:hint="default"/>
        </w:rPr>
        <w:t>2006</w:t>
      </w:r>
      <w:r>
        <w:rPr>
          <w:rFonts w:ascii="Calibri" w:hAnsi="Calibri" w:cs="Calibri" w:eastAsia="Calibri" w:hint="default"/>
          <w:spacing w:val="17"/>
        </w:rPr>
        <w:t> </w:t>
      </w:r>
      <w:r>
        <w:rPr/>
        <w:t>年</w:t>
      </w:r>
      <w:r>
        <w:rPr>
          <w:spacing w:val="-49"/>
        </w:rPr>
        <w:t> </w:t>
      </w:r>
      <w:r>
        <w:rPr>
          <w:rFonts w:ascii="Calibri" w:hAnsi="Calibri" w:cs="Calibri" w:eastAsia="Calibri" w:hint="default"/>
        </w:rPr>
        <w:t>8</w:t>
      </w:r>
      <w:r>
        <w:rPr>
          <w:rFonts w:ascii="Calibri" w:hAnsi="Calibri" w:cs="Calibri" w:eastAsia="Calibri" w:hint="default"/>
          <w:spacing w:val="18"/>
        </w:rPr>
        <w:t> </w:t>
      </w:r>
      <w:r>
        <w:rPr/>
        <w:t>月，根据中国证券监督管理委员会于</w:t>
      </w:r>
      <w:r>
        <w:rPr>
          <w:spacing w:val="-49"/>
        </w:rPr>
        <w:t> </w:t>
      </w:r>
      <w:r>
        <w:rPr>
          <w:rFonts w:ascii="Calibri" w:hAnsi="Calibri" w:cs="Calibri" w:eastAsia="Calibri" w:hint="default"/>
        </w:rPr>
        <w:t>2006</w:t>
      </w:r>
      <w:r>
        <w:rPr>
          <w:rFonts w:ascii="Calibri" w:hAnsi="Calibri" w:cs="Calibri" w:eastAsia="Calibri" w:hint="default"/>
          <w:spacing w:val="17"/>
        </w:rPr>
        <w:t> </w:t>
      </w:r>
      <w:r>
        <w:rPr/>
        <w:t>年</w:t>
      </w:r>
      <w:r>
        <w:rPr>
          <w:spacing w:val="-49"/>
        </w:rPr>
        <w:t> </w:t>
      </w:r>
      <w:r>
        <w:rPr>
          <w:rFonts w:ascii="Calibri" w:hAnsi="Calibri" w:cs="Calibri" w:eastAsia="Calibri" w:hint="default"/>
        </w:rPr>
        <w:t>7</w:t>
      </w:r>
      <w:r>
        <w:rPr>
          <w:rFonts w:ascii="Calibri" w:hAnsi="Calibri" w:cs="Calibri" w:eastAsia="Calibri" w:hint="default"/>
          <w:spacing w:val="17"/>
        </w:rPr>
        <w:t> </w:t>
      </w:r>
      <w:r>
        <w:rPr/>
        <w:t>月</w:t>
      </w:r>
      <w:r>
        <w:rPr>
          <w:spacing w:val="-49"/>
        </w:rPr>
        <w:t> </w:t>
      </w:r>
      <w:r>
        <w:rPr>
          <w:rFonts w:ascii="Calibri" w:hAnsi="Calibri" w:cs="Calibri" w:eastAsia="Calibri" w:hint="default"/>
        </w:rPr>
        <w:t>25</w:t>
      </w:r>
      <w:r>
        <w:rPr>
          <w:rFonts w:ascii="Calibri" w:hAnsi="Calibri" w:cs="Calibri" w:eastAsia="Calibri" w:hint="default"/>
          <w:spacing w:val="15"/>
        </w:rPr>
        <w:t> </w:t>
      </w:r>
      <w:r>
        <w:rPr/>
        <w:t>日下发的《关 于核准北京东华合创数码科技股份有限公司首次公开发行股票的通知》（证监发行字</w:t>
      </w:r>
      <w:r>
        <w:rPr>
          <w:spacing w:val="-59"/>
        </w:rPr>
        <w:t> </w:t>
      </w:r>
      <w:r>
        <w:rPr>
          <w:spacing w:val="-59"/>
        </w:rPr>
      </w:r>
      <w:r>
        <w:rPr>
          <w:rFonts w:ascii="Calibri" w:hAnsi="Calibri" w:cs="Calibri" w:eastAsia="Calibri" w:hint="default"/>
        </w:rPr>
        <w:t>[2006]55</w:t>
      </w:r>
      <w:r>
        <w:rPr>
          <w:rFonts w:ascii="Calibri" w:hAnsi="Calibri" w:cs="Calibri" w:eastAsia="Calibri" w:hint="default"/>
          <w:spacing w:val="17"/>
        </w:rPr>
        <w:t> </w:t>
      </w:r>
      <w:r>
        <w:rPr/>
        <w:t>号）的规定，公司于</w:t>
      </w:r>
      <w:r>
        <w:rPr>
          <w:spacing w:val="-49"/>
        </w:rPr>
        <w:t> </w:t>
      </w:r>
      <w:r>
        <w:rPr>
          <w:rFonts w:ascii="Calibri" w:hAnsi="Calibri" w:cs="Calibri" w:eastAsia="Calibri" w:hint="default"/>
        </w:rPr>
        <w:t>2006</w:t>
      </w:r>
      <w:r>
        <w:rPr>
          <w:rFonts w:ascii="Calibri" w:hAnsi="Calibri" w:cs="Calibri" w:eastAsia="Calibri" w:hint="default"/>
          <w:spacing w:val="17"/>
        </w:rPr>
        <w:t> </w:t>
      </w:r>
      <w:r>
        <w:rPr/>
        <w:t>年</w:t>
      </w:r>
      <w:r>
        <w:rPr>
          <w:spacing w:val="-52"/>
        </w:rPr>
        <w:t> </w:t>
      </w:r>
      <w:r>
        <w:rPr>
          <w:rFonts w:ascii="Calibri" w:hAnsi="Calibri" w:cs="Calibri" w:eastAsia="Calibri" w:hint="default"/>
        </w:rPr>
        <w:t>8</w:t>
      </w:r>
      <w:r>
        <w:rPr>
          <w:rFonts w:ascii="Calibri" w:hAnsi="Calibri" w:cs="Calibri" w:eastAsia="Calibri" w:hint="default"/>
          <w:spacing w:val="17"/>
        </w:rPr>
        <w:t> </w:t>
      </w:r>
      <w:r>
        <w:rPr/>
        <w:t>月</w:t>
      </w:r>
      <w:r>
        <w:rPr>
          <w:spacing w:val="-49"/>
        </w:rPr>
        <w:t> </w:t>
      </w:r>
      <w:r>
        <w:rPr>
          <w:rFonts w:ascii="Calibri" w:hAnsi="Calibri" w:cs="Calibri" w:eastAsia="Calibri" w:hint="default"/>
        </w:rPr>
        <w:t>16</w:t>
      </w:r>
      <w:r>
        <w:rPr>
          <w:rFonts w:ascii="Calibri" w:hAnsi="Calibri" w:cs="Calibri" w:eastAsia="Calibri" w:hint="default"/>
          <w:spacing w:val="17"/>
        </w:rPr>
        <w:t> </w:t>
      </w:r>
      <w:r>
        <w:rPr/>
        <w:t>日前完成了向境内投资者首次公开发行</w:t>
      </w:r>
    </w:p>
    <w:p>
      <w:pPr>
        <w:pStyle w:val="BodyText"/>
        <w:spacing w:line="343" w:lineRule="exact"/>
        <w:ind w:right="1557"/>
        <w:jc w:val="left"/>
      </w:pPr>
      <w:r>
        <w:rPr>
          <w:rFonts w:ascii="Calibri" w:hAnsi="Calibri" w:cs="Calibri" w:eastAsia="Calibri" w:hint="default"/>
        </w:rPr>
        <w:t>21,600,000</w:t>
      </w:r>
      <w:r>
        <w:rPr>
          <w:rFonts w:ascii="Calibri" w:hAnsi="Calibri" w:cs="Calibri" w:eastAsia="Calibri" w:hint="default"/>
          <w:spacing w:val="4"/>
        </w:rPr>
        <w:t> </w:t>
      </w:r>
      <w:r>
        <w:rPr/>
        <w:t>人民币普通股</w:t>
      </w:r>
      <w:r>
        <w:rPr>
          <w:rFonts w:ascii="Calibri" w:hAnsi="Calibri" w:cs="Calibri" w:eastAsia="Calibri" w:hint="default"/>
        </w:rPr>
        <w:t>[A</w:t>
      </w:r>
      <w:r>
        <w:rPr>
          <w:rFonts w:ascii="Calibri" w:hAnsi="Calibri" w:cs="Calibri" w:eastAsia="Calibri" w:hint="default"/>
          <w:spacing w:val="4"/>
        </w:rPr>
        <w:t> </w:t>
      </w:r>
      <w:r>
        <w:rPr/>
        <w:t>股</w:t>
      </w:r>
      <w:r>
        <w:rPr>
          <w:rFonts w:ascii="Calibri" w:hAnsi="Calibri" w:cs="Calibri" w:eastAsia="Calibri" w:hint="default"/>
        </w:rPr>
        <w:t>]</w:t>
      </w:r>
      <w:r>
        <w:rPr/>
        <w:t>股票的工作（发行价格为</w:t>
      </w:r>
      <w:r>
        <w:rPr>
          <w:spacing w:val="-62"/>
        </w:rPr>
        <w:t> </w:t>
      </w:r>
      <w:r>
        <w:rPr>
          <w:rFonts w:ascii="Calibri" w:hAnsi="Calibri" w:cs="Calibri" w:eastAsia="Calibri" w:hint="default"/>
        </w:rPr>
        <w:t>14.50</w:t>
      </w:r>
      <w:r>
        <w:rPr>
          <w:rFonts w:ascii="Calibri" w:hAnsi="Calibri" w:cs="Calibri" w:eastAsia="Calibri" w:hint="default"/>
          <w:spacing w:val="5"/>
        </w:rPr>
        <w:t> </w:t>
      </w:r>
      <w:r>
        <w:rPr>
          <w:spacing w:val="-3"/>
        </w:rPr>
        <w:t>元</w:t>
      </w:r>
      <w:r>
        <w:rPr>
          <w:rFonts w:ascii="Calibri" w:hAnsi="Calibri" w:cs="Calibri" w:eastAsia="Calibri" w:hint="default"/>
          <w:spacing w:val="-3"/>
        </w:rPr>
        <w:t>/</w:t>
      </w:r>
      <w:r>
        <w:rPr>
          <w:spacing w:val="-3"/>
        </w:rPr>
        <w:t>股）。经过上述股份</w:t>
      </w:r>
    </w:p>
    <w:p>
      <w:pPr>
        <w:pStyle w:val="BodyText"/>
        <w:spacing w:line="324" w:lineRule="auto" w:before="123"/>
        <w:ind w:right="1635"/>
        <w:jc w:val="left"/>
      </w:pPr>
      <w:r>
        <w:rPr>
          <w:spacing w:val="-3"/>
        </w:rPr>
        <w:t>变更事项后，公司股本为人民币</w:t>
      </w:r>
      <w:r>
        <w:rPr>
          <w:spacing w:val="-60"/>
        </w:rPr>
        <w:t> </w:t>
      </w:r>
      <w:r>
        <w:rPr>
          <w:rFonts w:ascii="Calibri" w:hAnsi="Calibri" w:cs="Calibri" w:eastAsia="Calibri" w:hint="default"/>
        </w:rPr>
        <w:t>8,623.6687</w:t>
      </w:r>
      <w:r>
        <w:rPr>
          <w:rFonts w:ascii="Calibri" w:hAnsi="Calibri" w:cs="Calibri" w:eastAsia="Calibri" w:hint="default"/>
          <w:spacing w:val="8"/>
        </w:rPr>
        <w:t> </w:t>
      </w:r>
      <w:r>
        <w:rPr>
          <w:spacing w:val="-7"/>
        </w:rPr>
        <w:t>万元。公司于</w:t>
      </w:r>
      <w:r>
        <w:rPr>
          <w:spacing w:val="-60"/>
        </w:rPr>
        <w:t> </w:t>
      </w:r>
      <w:r>
        <w:rPr>
          <w:rFonts w:ascii="Calibri" w:hAnsi="Calibri" w:cs="Calibri" w:eastAsia="Calibri" w:hint="default"/>
        </w:rPr>
        <w:t>2006</w:t>
      </w:r>
      <w:r>
        <w:rPr>
          <w:rFonts w:ascii="Calibri" w:hAnsi="Calibri" w:cs="Calibri" w:eastAsia="Calibri" w:hint="default"/>
          <w:spacing w:val="6"/>
        </w:rPr>
        <w:t> </w:t>
      </w:r>
      <w:r>
        <w:rPr/>
        <w:t>年</w:t>
      </w:r>
      <w:r>
        <w:rPr>
          <w:spacing w:val="-60"/>
        </w:rPr>
        <w:t> </w:t>
      </w:r>
      <w:r>
        <w:rPr>
          <w:rFonts w:ascii="Calibri" w:hAnsi="Calibri" w:cs="Calibri" w:eastAsia="Calibri" w:hint="default"/>
        </w:rPr>
        <w:t>9</w:t>
      </w:r>
      <w:r>
        <w:rPr>
          <w:rFonts w:ascii="Calibri" w:hAnsi="Calibri" w:cs="Calibri" w:eastAsia="Calibri" w:hint="default"/>
          <w:spacing w:val="4"/>
        </w:rPr>
        <w:t> </w:t>
      </w:r>
      <w:r>
        <w:rPr/>
        <w:t>月</w:t>
      </w:r>
      <w:r>
        <w:rPr>
          <w:spacing w:val="-60"/>
        </w:rPr>
        <w:t> </w:t>
      </w:r>
      <w:r>
        <w:rPr>
          <w:rFonts w:ascii="Calibri" w:hAnsi="Calibri" w:cs="Calibri" w:eastAsia="Calibri" w:hint="default"/>
        </w:rPr>
        <w:t>1</w:t>
      </w:r>
      <w:r>
        <w:rPr>
          <w:rFonts w:ascii="Calibri" w:hAnsi="Calibri" w:cs="Calibri" w:eastAsia="Calibri" w:hint="default"/>
          <w:spacing w:val="6"/>
        </w:rPr>
        <w:t> </w:t>
      </w:r>
      <w:r>
        <w:rPr/>
        <w:t>日在北京市工 商行政管理局办理了变更登记手续，企业法人营业执照注册号为</w:t>
      </w:r>
      <w:r>
        <w:rPr>
          <w:spacing w:val="-59"/>
        </w:rPr>
        <w:t> </w:t>
      </w:r>
      <w:r>
        <w:rPr>
          <w:rFonts w:ascii="Calibri" w:hAnsi="Calibri" w:cs="Calibri" w:eastAsia="Calibri" w:hint="default"/>
        </w:rPr>
        <w:t>1100001193064</w:t>
      </w:r>
      <w:r>
        <w:rPr/>
        <w:t>。</w:t>
      </w:r>
    </w:p>
    <w:p>
      <w:pPr>
        <w:pStyle w:val="BodyText"/>
        <w:spacing w:line="240" w:lineRule="auto" w:before="141"/>
        <w:ind w:left="624" w:right="1557"/>
        <w:jc w:val="left"/>
      </w:pPr>
      <w:r>
        <w:rPr>
          <w:rFonts w:ascii="Calibri" w:hAnsi="Calibri" w:cs="Calibri" w:eastAsia="Calibri" w:hint="default"/>
        </w:rPr>
        <w:t>2</w:t>
      </w:r>
      <w:r>
        <w:rPr/>
        <w:t>、</w:t>
      </w:r>
      <w:r>
        <w:rPr>
          <w:rFonts w:ascii="Calibri" w:hAnsi="Calibri" w:cs="Calibri" w:eastAsia="Calibri" w:hint="default"/>
        </w:rPr>
        <w:t>2007</w:t>
      </w:r>
      <w:r>
        <w:rPr>
          <w:rFonts w:ascii="Calibri" w:hAnsi="Calibri" w:cs="Calibri" w:eastAsia="Calibri" w:hint="default"/>
          <w:spacing w:val="4"/>
        </w:rPr>
        <w:t> </w:t>
      </w:r>
      <w:r>
        <w:rPr/>
        <w:t>年</w:t>
      </w:r>
      <w:r>
        <w:rPr>
          <w:spacing w:val="-62"/>
        </w:rPr>
        <w:t> </w:t>
      </w:r>
      <w:r>
        <w:rPr>
          <w:rFonts w:ascii="Calibri" w:hAnsi="Calibri" w:cs="Calibri" w:eastAsia="Calibri" w:hint="default"/>
        </w:rPr>
        <w:t>5</w:t>
      </w:r>
      <w:r>
        <w:rPr>
          <w:rFonts w:ascii="Calibri" w:hAnsi="Calibri" w:cs="Calibri" w:eastAsia="Calibri" w:hint="default"/>
          <w:spacing w:val="4"/>
        </w:rPr>
        <w:t> </w:t>
      </w:r>
      <w:r>
        <w:rPr/>
        <w:t>月</w:t>
      </w:r>
      <w:r>
        <w:rPr>
          <w:spacing w:val="-62"/>
        </w:rPr>
        <w:t> </w:t>
      </w:r>
      <w:r>
        <w:rPr>
          <w:rFonts w:ascii="Calibri" w:hAnsi="Calibri" w:cs="Calibri" w:eastAsia="Calibri" w:hint="default"/>
        </w:rPr>
        <w:t>15</w:t>
      </w:r>
      <w:r>
        <w:rPr>
          <w:rFonts w:ascii="Calibri" w:hAnsi="Calibri" w:cs="Calibri" w:eastAsia="Calibri" w:hint="default"/>
          <w:spacing w:val="4"/>
        </w:rPr>
        <w:t> </w:t>
      </w:r>
      <w:r>
        <w:rPr>
          <w:spacing w:val="-3"/>
        </w:rPr>
        <w:t>日，公司</w:t>
      </w:r>
      <w:r>
        <w:rPr>
          <w:spacing w:val="-62"/>
        </w:rPr>
        <w:t> </w:t>
      </w:r>
      <w:r>
        <w:rPr>
          <w:rFonts w:ascii="Calibri" w:hAnsi="Calibri" w:cs="Calibri" w:eastAsia="Calibri" w:hint="default"/>
        </w:rPr>
        <w:t>2006</w:t>
      </w:r>
      <w:r>
        <w:rPr>
          <w:rFonts w:ascii="Calibri" w:hAnsi="Calibri" w:cs="Calibri" w:eastAsia="Calibri" w:hint="default"/>
          <w:spacing w:val="4"/>
        </w:rPr>
        <w:t> </w:t>
      </w:r>
      <w:r>
        <w:rPr/>
        <w:t>年度股东大会审议通过了</w:t>
      </w:r>
      <w:r>
        <w:rPr>
          <w:spacing w:val="-62"/>
        </w:rPr>
        <w:t> </w:t>
      </w:r>
      <w:r>
        <w:rPr>
          <w:rFonts w:ascii="Calibri" w:hAnsi="Calibri" w:cs="Calibri" w:eastAsia="Calibri" w:hint="default"/>
        </w:rPr>
        <w:t>2006</w:t>
      </w:r>
      <w:r>
        <w:rPr>
          <w:rFonts w:ascii="Calibri" w:hAnsi="Calibri" w:cs="Calibri" w:eastAsia="Calibri" w:hint="default"/>
          <w:spacing w:val="2"/>
        </w:rPr>
        <w:t> </w:t>
      </w:r>
      <w:r>
        <w:rPr/>
        <w:t>年度权益分配方</w:t>
      </w:r>
    </w:p>
    <w:p>
      <w:pPr>
        <w:pStyle w:val="BodyText"/>
        <w:spacing w:line="240" w:lineRule="auto" w:before="121"/>
        <w:ind w:right="1557"/>
        <w:jc w:val="left"/>
      </w:pPr>
      <w:r>
        <w:rPr/>
        <w:t>案，公司以</w:t>
      </w:r>
      <w:r>
        <w:rPr>
          <w:spacing w:val="-57"/>
        </w:rPr>
        <w:t> </w:t>
      </w:r>
      <w:r>
        <w:rPr>
          <w:rFonts w:ascii="Calibri" w:hAnsi="Calibri" w:cs="Calibri" w:eastAsia="Calibri" w:hint="default"/>
        </w:rPr>
        <w:t>2007</w:t>
      </w:r>
      <w:r>
        <w:rPr>
          <w:rFonts w:ascii="Calibri" w:hAnsi="Calibri" w:cs="Calibri" w:eastAsia="Calibri" w:hint="default"/>
          <w:spacing w:val="10"/>
        </w:rPr>
        <w:t> </w:t>
      </w:r>
      <w:r>
        <w:rPr/>
        <w:t>年</w:t>
      </w:r>
      <w:r>
        <w:rPr>
          <w:spacing w:val="-56"/>
        </w:rPr>
        <w:t> </w:t>
      </w:r>
      <w:r>
        <w:rPr>
          <w:rFonts w:ascii="Calibri" w:hAnsi="Calibri" w:cs="Calibri" w:eastAsia="Calibri" w:hint="default"/>
        </w:rPr>
        <w:t>5</w:t>
      </w:r>
      <w:r>
        <w:rPr>
          <w:rFonts w:ascii="Calibri" w:hAnsi="Calibri" w:cs="Calibri" w:eastAsia="Calibri" w:hint="default"/>
          <w:spacing w:val="10"/>
        </w:rPr>
        <w:t> </w:t>
      </w:r>
      <w:r>
        <w:rPr/>
        <w:t>月</w:t>
      </w:r>
      <w:r>
        <w:rPr>
          <w:spacing w:val="-57"/>
        </w:rPr>
        <w:t> </w:t>
      </w:r>
      <w:r>
        <w:rPr>
          <w:rFonts w:ascii="Calibri" w:hAnsi="Calibri" w:cs="Calibri" w:eastAsia="Calibri" w:hint="default"/>
        </w:rPr>
        <w:t>30</w:t>
      </w:r>
      <w:r>
        <w:rPr>
          <w:rFonts w:ascii="Calibri" w:hAnsi="Calibri" w:cs="Calibri" w:eastAsia="Calibri" w:hint="default"/>
          <w:spacing w:val="10"/>
        </w:rPr>
        <w:t> </w:t>
      </w:r>
      <w:r>
        <w:rPr/>
        <w:t>日为股权登记日，以股本总额</w:t>
      </w:r>
      <w:r>
        <w:rPr>
          <w:spacing w:val="-57"/>
        </w:rPr>
        <w:t> </w:t>
      </w:r>
      <w:r>
        <w:rPr>
          <w:rFonts w:ascii="Calibri" w:hAnsi="Calibri" w:cs="Calibri" w:eastAsia="Calibri" w:hint="default"/>
        </w:rPr>
        <w:t>8,623.6687</w:t>
      </w:r>
      <w:r>
        <w:rPr>
          <w:rFonts w:ascii="Calibri" w:hAnsi="Calibri" w:cs="Calibri" w:eastAsia="Calibri" w:hint="default"/>
          <w:spacing w:val="12"/>
        </w:rPr>
        <w:t> </w:t>
      </w:r>
      <w:r>
        <w:rPr/>
        <w:t>万元为基数，以</w:t>
      </w:r>
    </w:p>
    <w:p>
      <w:pPr>
        <w:pStyle w:val="BodyText"/>
        <w:spacing w:line="240" w:lineRule="auto" w:before="123"/>
        <w:ind w:right="1557"/>
        <w:jc w:val="left"/>
      </w:pPr>
      <w:r>
        <w:rPr/>
        <w:t>资本公积金向全体股东每</w:t>
      </w:r>
      <w:r>
        <w:rPr>
          <w:spacing w:val="-58"/>
        </w:rPr>
        <w:t> </w:t>
      </w:r>
      <w:r>
        <w:rPr>
          <w:rFonts w:ascii="Calibri" w:hAnsi="Calibri" w:cs="Calibri" w:eastAsia="Calibri" w:hint="default"/>
        </w:rPr>
        <w:t>10</w:t>
      </w:r>
      <w:r>
        <w:rPr>
          <w:rFonts w:ascii="Calibri" w:hAnsi="Calibri" w:cs="Calibri" w:eastAsia="Calibri" w:hint="default"/>
          <w:spacing w:val="8"/>
        </w:rPr>
        <w:t> </w:t>
      </w:r>
      <w:r>
        <w:rPr/>
        <w:t>股转增</w:t>
      </w:r>
      <w:r>
        <w:rPr>
          <w:spacing w:val="-58"/>
        </w:rPr>
        <w:t> </w:t>
      </w:r>
      <w:r>
        <w:rPr>
          <w:rFonts w:ascii="Calibri" w:hAnsi="Calibri" w:cs="Calibri" w:eastAsia="Calibri" w:hint="default"/>
        </w:rPr>
        <w:t>5</w:t>
      </w:r>
      <w:r>
        <w:rPr>
          <w:rFonts w:ascii="Calibri" w:hAnsi="Calibri" w:cs="Calibri" w:eastAsia="Calibri" w:hint="default"/>
          <w:spacing w:val="8"/>
        </w:rPr>
        <w:t> </w:t>
      </w:r>
      <w:r>
        <w:rPr>
          <w:spacing w:val="-6"/>
        </w:rPr>
        <w:t>股，共增加股本</w:t>
      </w:r>
      <w:r>
        <w:rPr>
          <w:spacing w:val="-58"/>
        </w:rPr>
        <w:t> </w:t>
      </w:r>
      <w:r>
        <w:rPr>
          <w:rFonts w:ascii="Calibri" w:hAnsi="Calibri" w:cs="Calibri" w:eastAsia="Calibri" w:hint="default"/>
        </w:rPr>
        <w:t>4,311.8343</w:t>
      </w:r>
      <w:r>
        <w:rPr>
          <w:rFonts w:ascii="Calibri" w:hAnsi="Calibri" w:cs="Calibri" w:eastAsia="Calibri" w:hint="default"/>
          <w:spacing w:val="9"/>
        </w:rPr>
        <w:t> </w:t>
      </w:r>
      <w:r>
        <w:rPr>
          <w:spacing w:val="-5"/>
        </w:rPr>
        <w:t>万元。该增资事项完</w:t>
      </w:r>
    </w:p>
    <w:p>
      <w:pPr>
        <w:pStyle w:val="BodyText"/>
        <w:spacing w:line="326" w:lineRule="auto" w:before="121"/>
        <w:ind w:left="0" w:right="1623"/>
        <w:jc w:val="right"/>
      </w:pPr>
      <w:r>
        <w:rPr>
          <w:spacing w:val="-3"/>
        </w:rPr>
        <w:t>成后，公司的股本增加为人民币</w:t>
      </w:r>
      <w:r>
        <w:rPr>
          <w:spacing w:val="-59"/>
        </w:rPr>
        <w:t> </w:t>
      </w:r>
      <w:r>
        <w:rPr>
          <w:rFonts w:ascii="Calibri" w:hAnsi="Calibri" w:cs="Calibri" w:eastAsia="Calibri" w:hint="default"/>
        </w:rPr>
        <w:t>12,935.503</w:t>
      </w:r>
      <w:r>
        <w:rPr>
          <w:rFonts w:ascii="Calibri" w:hAnsi="Calibri" w:cs="Calibri" w:eastAsia="Calibri" w:hint="default"/>
          <w:spacing w:val="9"/>
        </w:rPr>
        <w:t> </w:t>
      </w:r>
      <w:r>
        <w:rPr>
          <w:spacing w:val="-7"/>
        </w:rPr>
        <w:t>万元。公司于</w:t>
      </w:r>
      <w:r>
        <w:rPr>
          <w:spacing w:val="-59"/>
        </w:rPr>
        <w:t> </w:t>
      </w:r>
      <w:r>
        <w:rPr>
          <w:rFonts w:ascii="Calibri" w:hAnsi="Calibri" w:cs="Calibri" w:eastAsia="Calibri" w:hint="default"/>
        </w:rPr>
        <w:t>2007</w:t>
      </w:r>
      <w:r>
        <w:rPr>
          <w:rFonts w:ascii="Calibri" w:hAnsi="Calibri" w:cs="Calibri" w:eastAsia="Calibri" w:hint="default"/>
          <w:spacing w:val="7"/>
        </w:rPr>
        <w:t> </w:t>
      </w:r>
      <w:r>
        <w:rPr/>
        <w:t>年</w:t>
      </w:r>
      <w:r>
        <w:rPr>
          <w:spacing w:val="-59"/>
        </w:rPr>
        <w:t> </w:t>
      </w:r>
      <w:r>
        <w:rPr>
          <w:rFonts w:ascii="Calibri" w:hAnsi="Calibri" w:cs="Calibri" w:eastAsia="Calibri" w:hint="default"/>
        </w:rPr>
        <w:t>6</w:t>
      </w:r>
      <w:r>
        <w:rPr>
          <w:rFonts w:ascii="Calibri" w:hAnsi="Calibri" w:cs="Calibri" w:eastAsia="Calibri" w:hint="default"/>
          <w:spacing w:val="5"/>
        </w:rPr>
        <w:t> </w:t>
      </w:r>
      <w:r>
        <w:rPr/>
        <w:t>月</w:t>
      </w:r>
      <w:r>
        <w:rPr>
          <w:spacing w:val="-59"/>
        </w:rPr>
        <w:t> </w:t>
      </w:r>
      <w:r>
        <w:rPr>
          <w:rFonts w:ascii="Calibri" w:hAnsi="Calibri" w:cs="Calibri" w:eastAsia="Calibri" w:hint="default"/>
        </w:rPr>
        <w:t>2</w:t>
      </w:r>
      <w:r>
        <w:rPr>
          <w:rFonts w:ascii="Calibri" w:hAnsi="Calibri" w:cs="Calibri" w:eastAsia="Calibri" w:hint="default"/>
          <w:spacing w:val="7"/>
        </w:rPr>
        <w:t> </w:t>
      </w:r>
      <w:r>
        <w:rPr/>
        <w:t>日在北京市工 商行政管理局办理了变更登记手续，企业法人营业执照注册号为</w:t>
      </w:r>
      <w:r>
        <w:rPr>
          <w:spacing w:val="-61"/>
        </w:rPr>
        <w:t> </w:t>
      </w:r>
      <w:r>
        <w:rPr>
          <w:rFonts w:ascii="Calibri" w:hAnsi="Calibri" w:cs="Calibri" w:eastAsia="Calibri" w:hint="default"/>
        </w:rPr>
        <w:t>1100000011930643</w:t>
      </w:r>
      <w:r>
        <w:rPr/>
        <w:t>。</w:t>
      </w:r>
    </w:p>
    <w:p>
      <w:pPr>
        <w:pStyle w:val="BodyText"/>
        <w:spacing w:line="240" w:lineRule="auto" w:before="135"/>
        <w:ind w:left="624" w:right="1557"/>
        <w:jc w:val="left"/>
      </w:pPr>
      <w:r>
        <w:rPr>
          <w:rFonts w:ascii="Calibri" w:hAnsi="Calibri" w:cs="Calibri" w:eastAsia="Calibri" w:hint="default"/>
        </w:rPr>
        <w:t>3</w:t>
      </w:r>
      <w:r>
        <w:rPr/>
        <w:t>、根据中国证券监督管理委员会于</w:t>
      </w:r>
      <w:r>
        <w:rPr>
          <w:spacing w:val="-65"/>
        </w:rPr>
        <w:t> </w:t>
      </w:r>
      <w:r>
        <w:rPr>
          <w:rFonts w:ascii="Calibri" w:hAnsi="Calibri" w:cs="Calibri" w:eastAsia="Calibri" w:hint="default"/>
        </w:rPr>
        <w:t>2008</w:t>
      </w:r>
      <w:r>
        <w:rPr>
          <w:rFonts w:ascii="Calibri" w:hAnsi="Calibri" w:cs="Calibri" w:eastAsia="Calibri" w:hint="default"/>
          <w:spacing w:val="1"/>
        </w:rPr>
        <w:t> </w:t>
      </w:r>
      <w:r>
        <w:rPr/>
        <w:t>年</w:t>
      </w:r>
      <w:r>
        <w:rPr>
          <w:spacing w:val="-68"/>
        </w:rPr>
        <w:t> </w:t>
      </w:r>
      <w:r>
        <w:rPr>
          <w:rFonts w:ascii="Calibri" w:hAnsi="Calibri" w:cs="Calibri" w:eastAsia="Calibri" w:hint="default"/>
        </w:rPr>
        <w:t>1</w:t>
      </w:r>
      <w:r>
        <w:rPr>
          <w:rFonts w:ascii="Calibri" w:hAnsi="Calibri" w:cs="Calibri" w:eastAsia="Calibri" w:hint="default"/>
          <w:spacing w:val="1"/>
        </w:rPr>
        <w:t> </w:t>
      </w:r>
      <w:r>
        <w:rPr/>
        <w:t>月</w:t>
      </w:r>
      <w:r>
        <w:rPr>
          <w:spacing w:val="-65"/>
        </w:rPr>
        <w:t> </w:t>
      </w:r>
      <w:r>
        <w:rPr>
          <w:rFonts w:ascii="Calibri" w:hAnsi="Calibri" w:cs="Calibri" w:eastAsia="Calibri" w:hint="default"/>
        </w:rPr>
        <w:t>11</w:t>
      </w:r>
      <w:r>
        <w:rPr>
          <w:rFonts w:ascii="Calibri" w:hAnsi="Calibri" w:cs="Calibri" w:eastAsia="Calibri" w:hint="default"/>
          <w:spacing w:val="1"/>
        </w:rPr>
        <w:t> </w:t>
      </w:r>
      <w:r>
        <w:rPr>
          <w:spacing w:val="-3"/>
        </w:rPr>
        <w:t>日下发的《关于核准北京东华</w:t>
      </w:r>
    </w:p>
    <w:p>
      <w:pPr>
        <w:pStyle w:val="BodyText"/>
        <w:spacing w:line="240" w:lineRule="auto" w:before="123"/>
        <w:ind w:right="1557"/>
        <w:jc w:val="left"/>
      </w:pPr>
      <w:r>
        <w:rPr/>
        <w:t>合创数码科技股份有限公司向秦劳、翟曙春、柏红、胡明炜、谢坤等 </w:t>
      </w:r>
      <w:r>
        <w:rPr>
          <w:rFonts w:ascii="Calibri" w:hAnsi="Calibri" w:cs="Calibri" w:eastAsia="Calibri" w:hint="default"/>
        </w:rPr>
        <w:t>5</w:t>
      </w:r>
      <w:r>
        <w:rPr>
          <w:rFonts w:ascii="Calibri" w:hAnsi="Calibri" w:cs="Calibri" w:eastAsia="Calibri" w:hint="default"/>
          <w:spacing w:val="19"/>
        </w:rPr>
        <w:t> </w:t>
      </w:r>
      <w:r>
        <w:rPr/>
        <w:t>人发行新股购</w:t>
      </w:r>
    </w:p>
    <w:p>
      <w:pPr>
        <w:pStyle w:val="BodyText"/>
        <w:spacing w:line="240" w:lineRule="auto" w:before="121"/>
        <w:ind w:right="1557"/>
        <w:jc w:val="left"/>
      </w:pPr>
      <w:r>
        <w:rPr/>
        <w:t>买资产的批复》（证监许可</w:t>
      </w:r>
      <w:r>
        <w:rPr>
          <w:rFonts w:ascii="Calibri" w:hAnsi="Calibri" w:cs="Calibri" w:eastAsia="Calibri" w:hint="default"/>
        </w:rPr>
        <w:t>[2008]78</w:t>
      </w:r>
      <w:r>
        <w:rPr>
          <w:rFonts w:ascii="Calibri" w:hAnsi="Calibri" w:cs="Calibri" w:eastAsia="Calibri" w:hint="default"/>
          <w:spacing w:val="18"/>
        </w:rPr>
        <w:t> </w:t>
      </w:r>
      <w:r>
        <w:rPr/>
        <w:t>号）的规定，公司于</w:t>
      </w:r>
      <w:r>
        <w:rPr>
          <w:spacing w:val="-49"/>
        </w:rPr>
        <w:t> </w:t>
      </w:r>
      <w:r>
        <w:rPr>
          <w:rFonts w:ascii="Calibri" w:hAnsi="Calibri" w:cs="Calibri" w:eastAsia="Calibri" w:hint="default"/>
        </w:rPr>
        <w:t>2008</w:t>
      </w:r>
      <w:r>
        <w:rPr>
          <w:rFonts w:ascii="Calibri" w:hAnsi="Calibri" w:cs="Calibri" w:eastAsia="Calibri" w:hint="default"/>
          <w:spacing w:val="18"/>
        </w:rPr>
        <w:t> </w:t>
      </w:r>
      <w:r>
        <w:rPr/>
        <w:t>年</w:t>
      </w:r>
      <w:r>
        <w:rPr>
          <w:spacing w:val="-52"/>
        </w:rPr>
        <w:t> </w:t>
      </w:r>
      <w:r>
        <w:rPr>
          <w:rFonts w:ascii="Calibri" w:hAnsi="Calibri" w:cs="Calibri" w:eastAsia="Calibri" w:hint="default"/>
        </w:rPr>
        <w:t>2</w:t>
      </w:r>
      <w:r>
        <w:rPr>
          <w:rFonts w:ascii="Calibri" w:hAnsi="Calibri" w:cs="Calibri" w:eastAsia="Calibri" w:hint="default"/>
          <w:spacing w:val="15"/>
        </w:rPr>
        <w:t> </w:t>
      </w:r>
      <w:r>
        <w:rPr/>
        <w:t>月</w:t>
      </w:r>
      <w:r>
        <w:rPr>
          <w:spacing w:val="-49"/>
        </w:rPr>
        <w:t> </w:t>
      </w:r>
      <w:r>
        <w:rPr>
          <w:rFonts w:ascii="Calibri" w:hAnsi="Calibri" w:cs="Calibri" w:eastAsia="Calibri" w:hint="default"/>
        </w:rPr>
        <w:t>15</w:t>
      </w:r>
      <w:r>
        <w:rPr>
          <w:rFonts w:ascii="Calibri" w:hAnsi="Calibri" w:cs="Calibri" w:eastAsia="Calibri" w:hint="default"/>
          <w:spacing w:val="17"/>
        </w:rPr>
        <w:t> </w:t>
      </w:r>
      <w:r>
        <w:rPr/>
        <w:t>日向自然人</w:t>
      </w:r>
    </w:p>
    <w:p>
      <w:pPr>
        <w:pStyle w:val="BodyText"/>
        <w:spacing w:line="240" w:lineRule="auto" w:before="123"/>
        <w:ind w:right="1557"/>
        <w:jc w:val="left"/>
      </w:pPr>
      <w:r>
        <w:rPr/>
        <w:t>秦劳、翟曙春、柏红、胡明炜、谢坤等五人合计发行 </w:t>
      </w:r>
      <w:r>
        <w:rPr>
          <w:rFonts w:ascii="Calibri" w:hAnsi="Calibri" w:cs="Calibri" w:eastAsia="Calibri" w:hint="default"/>
        </w:rPr>
        <w:t>1,264 </w:t>
      </w:r>
      <w:r>
        <w:rPr>
          <w:rFonts w:ascii="Calibri" w:hAnsi="Calibri" w:cs="Calibri" w:eastAsia="Calibri" w:hint="default"/>
          <w:spacing w:val="15"/>
        </w:rPr>
        <w:t> </w:t>
      </w:r>
      <w:r>
        <w:rPr/>
        <w:t>万股股份，该新增股份于</w:t>
      </w:r>
    </w:p>
    <w:p>
      <w:pPr>
        <w:pStyle w:val="BodyText"/>
        <w:spacing w:line="240" w:lineRule="auto" w:before="123"/>
        <w:ind w:right="1557"/>
        <w:jc w:val="left"/>
      </w:pPr>
      <w:r>
        <w:rPr>
          <w:rFonts w:ascii="Calibri" w:hAnsi="Calibri" w:cs="Calibri" w:eastAsia="Calibri" w:hint="default"/>
        </w:rPr>
        <w:t>2008  </w:t>
      </w:r>
      <w:r>
        <w:rPr/>
        <w:t>年 </w:t>
      </w:r>
      <w:r>
        <w:rPr>
          <w:rFonts w:ascii="Calibri" w:hAnsi="Calibri" w:cs="Calibri" w:eastAsia="Calibri" w:hint="default"/>
        </w:rPr>
        <w:t>2  </w:t>
      </w:r>
      <w:r>
        <w:rPr/>
        <w:t>月 </w:t>
      </w:r>
      <w:r>
        <w:rPr>
          <w:rFonts w:ascii="Calibri" w:hAnsi="Calibri" w:cs="Calibri" w:eastAsia="Calibri" w:hint="default"/>
        </w:rPr>
        <w:t>2  </w:t>
      </w:r>
      <w:r>
        <w:rPr>
          <w:rFonts w:ascii="Calibri" w:hAnsi="Calibri" w:cs="Calibri" w:eastAsia="Calibri" w:hint="default"/>
          <w:spacing w:val="50"/>
        </w:rPr>
        <w:t> </w:t>
      </w:r>
      <w:r>
        <w:rPr>
          <w:spacing w:val="12"/>
        </w:rPr>
        <w:t>日在深圳证券交易所上市。增发完成后，公司股本增加为人民币</w:t>
      </w:r>
    </w:p>
    <w:p>
      <w:pPr>
        <w:pStyle w:val="BodyText"/>
        <w:spacing w:line="326" w:lineRule="auto" w:before="121"/>
        <w:ind w:right="1636"/>
        <w:jc w:val="left"/>
      </w:pPr>
      <w:r>
        <w:rPr>
          <w:rFonts w:ascii="Calibri" w:hAnsi="Calibri" w:cs="Calibri" w:eastAsia="Calibri" w:hint="default"/>
        </w:rPr>
        <w:t>14,199.503</w:t>
      </w:r>
      <w:r>
        <w:rPr>
          <w:rFonts w:ascii="Calibri" w:hAnsi="Calibri" w:cs="Calibri" w:eastAsia="Calibri" w:hint="default"/>
          <w:spacing w:val="19"/>
        </w:rPr>
        <w:t> </w:t>
      </w:r>
      <w:r>
        <w:rPr/>
        <w:t>万元。公司于</w:t>
      </w:r>
      <w:r>
        <w:rPr>
          <w:spacing w:val="-46"/>
        </w:rPr>
        <w:t> </w:t>
      </w:r>
      <w:r>
        <w:rPr>
          <w:rFonts w:ascii="Calibri" w:hAnsi="Calibri" w:cs="Calibri" w:eastAsia="Calibri" w:hint="default"/>
        </w:rPr>
        <w:t>2008</w:t>
      </w:r>
      <w:r>
        <w:rPr>
          <w:rFonts w:ascii="Calibri" w:hAnsi="Calibri" w:cs="Calibri" w:eastAsia="Calibri" w:hint="default"/>
          <w:spacing w:val="19"/>
        </w:rPr>
        <w:t> </w:t>
      </w:r>
      <w:r>
        <w:rPr/>
        <w:t>年</w:t>
      </w:r>
      <w:r>
        <w:rPr>
          <w:spacing w:val="-47"/>
        </w:rPr>
        <w:t> </w:t>
      </w:r>
      <w:r>
        <w:rPr>
          <w:rFonts w:ascii="Calibri" w:hAnsi="Calibri" w:cs="Calibri" w:eastAsia="Calibri" w:hint="default"/>
        </w:rPr>
        <w:t>3</w:t>
      </w:r>
      <w:r>
        <w:rPr>
          <w:rFonts w:ascii="Calibri" w:hAnsi="Calibri" w:cs="Calibri" w:eastAsia="Calibri" w:hint="default"/>
          <w:spacing w:val="19"/>
        </w:rPr>
        <w:t> </w:t>
      </w:r>
      <w:r>
        <w:rPr/>
        <w:t>月</w:t>
      </w:r>
      <w:r>
        <w:rPr>
          <w:spacing w:val="-47"/>
        </w:rPr>
        <w:t> </w:t>
      </w:r>
      <w:r>
        <w:rPr>
          <w:rFonts w:ascii="Calibri" w:hAnsi="Calibri" w:cs="Calibri" w:eastAsia="Calibri" w:hint="default"/>
        </w:rPr>
        <w:t>11</w:t>
      </w:r>
      <w:r>
        <w:rPr>
          <w:rFonts w:ascii="Calibri" w:hAnsi="Calibri" w:cs="Calibri" w:eastAsia="Calibri" w:hint="default"/>
          <w:spacing w:val="20"/>
        </w:rPr>
        <w:t> </w:t>
      </w:r>
      <w:r>
        <w:rPr/>
        <w:t>日在北京市工商行政管理局办理了变更登记 手续，企业法人营业执照注册号为</w:t>
      </w:r>
      <w:r>
        <w:rPr>
          <w:spacing w:val="-60"/>
        </w:rPr>
        <w:t> </w:t>
      </w:r>
      <w:r>
        <w:rPr>
          <w:rFonts w:ascii="Calibri" w:hAnsi="Calibri" w:cs="Calibri" w:eastAsia="Calibri" w:hint="default"/>
        </w:rPr>
        <w:t>1100000011930643</w:t>
      </w:r>
      <w:r>
        <w:rPr/>
        <w:t>。</w:t>
      </w:r>
    </w:p>
    <w:p>
      <w:pPr>
        <w:spacing w:after="0" w:line="326" w:lineRule="auto"/>
        <w:jc w:val="left"/>
        <w:sectPr>
          <w:pgSz w:w="12240" w:h="15840"/>
          <w:pgMar w:header="847" w:footer="987" w:top="1360" w:bottom="1180" w:left="1500" w:right="0"/>
        </w:sectPr>
      </w:pPr>
    </w:p>
    <w:p>
      <w:pPr>
        <w:pStyle w:val="BodyText"/>
        <w:spacing w:line="240" w:lineRule="auto" w:before="11"/>
        <w:ind w:left="624" w:right="1557"/>
        <w:jc w:val="left"/>
      </w:pPr>
      <w:r>
        <w:rPr/>
        <w:pict>
          <v:group style="position:absolute;margin-left:80.783997pt;margin-top:1.845647pt;width:450.6pt;height:.1pt;mso-position-horizontal-relative:page;mso-position-vertical-relative:paragraph;z-index:-865504"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Calibri" w:hAnsi="Calibri" w:cs="Calibri" w:eastAsia="Calibri" w:hint="default"/>
        </w:rPr>
        <w:t>4</w:t>
      </w:r>
      <w:r>
        <w:rPr/>
        <w:t>、</w:t>
      </w:r>
      <w:r>
        <w:rPr>
          <w:rFonts w:ascii="Calibri" w:hAnsi="Calibri" w:cs="Calibri" w:eastAsia="Calibri" w:hint="default"/>
        </w:rPr>
        <w:t>2008</w:t>
      </w:r>
      <w:r>
        <w:rPr>
          <w:rFonts w:ascii="Calibri" w:hAnsi="Calibri" w:cs="Calibri" w:eastAsia="Calibri" w:hint="default"/>
          <w:spacing w:val="4"/>
        </w:rPr>
        <w:t> </w:t>
      </w:r>
      <w:r>
        <w:rPr/>
        <w:t>年</w:t>
      </w:r>
      <w:r>
        <w:rPr>
          <w:spacing w:val="-62"/>
        </w:rPr>
        <w:t> </w:t>
      </w:r>
      <w:r>
        <w:rPr>
          <w:rFonts w:ascii="Calibri" w:hAnsi="Calibri" w:cs="Calibri" w:eastAsia="Calibri" w:hint="default"/>
        </w:rPr>
        <w:t>5</w:t>
      </w:r>
      <w:r>
        <w:rPr>
          <w:rFonts w:ascii="Calibri" w:hAnsi="Calibri" w:cs="Calibri" w:eastAsia="Calibri" w:hint="default"/>
          <w:spacing w:val="4"/>
        </w:rPr>
        <w:t> </w:t>
      </w:r>
      <w:r>
        <w:rPr/>
        <w:t>月</w:t>
      </w:r>
      <w:r>
        <w:rPr>
          <w:spacing w:val="-62"/>
        </w:rPr>
        <w:t> </w:t>
      </w:r>
      <w:r>
        <w:rPr>
          <w:rFonts w:ascii="Calibri" w:hAnsi="Calibri" w:cs="Calibri" w:eastAsia="Calibri" w:hint="default"/>
        </w:rPr>
        <w:t>15</w:t>
      </w:r>
      <w:r>
        <w:rPr>
          <w:rFonts w:ascii="Calibri" w:hAnsi="Calibri" w:cs="Calibri" w:eastAsia="Calibri" w:hint="default"/>
          <w:spacing w:val="4"/>
        </w:rPr>
        <w:t> </w:t>
      </w:r>
      <w:r>
        <w:rPr>
          <w:spacing w:val="-3"/>
        </w:rPr>
        <w:t>日，公司</w:t>
      </w:r>
      <w:r>
        <w:rPr>
          <w:spacing w:val="-62"/>
        </w:rPr>
        <w:t> </w:t>
      </w:r>
      <w:r>
        <w:rPr>
          <w:rFonts w:ascii="Calibri" w:hAnsi="Calibri" w:cs="Calibri" w:eastAsia="Calibri" w:hint="default"/>
        </w:rPr>
        <w:t>2007</w:t>
      </w:r>
      <w:r>
        <w:rPr>
          <w:rFonts w:ascii="Calibri" w:hAnsi="Calibri" w:cs="Calibri" w:eastAsia="Calibri" w:hint="default"/>
          <w:spacing w:val="4"/>
        </w:rPr>
        <w:t> </w:t>
      </w:r>
      <w:r>
        <w:rPr/>
        <w:t>年度股东大会审议通过了</w:t>
      </w:r>
      <w:r>
        <w:rPr>
          <w:spacing w:val="-61"/>
        </w:rPr>
        <w:t> </w:t>
      </w:r>
      <w:r>
        <w:rPr>
          <w:rFonts w:ascii="Calibri" w:hAnsi="Calibri" w:cs="Calibri" w:eastAsia="Calibri" w:hint="default"/>
        </w:rPr>
        <w:t>2007</w:t>
      </w:r>
      <w:r>
        <w:rPr>
          <w:rFonts w:ascii="Calibri" w:hAnsi="Calibri" w:cs="Calibri" w:eastAsia="Calibri" w:hint="default"/>
          <w:spacing w:val="2"/>
        </w:rPr>
        <w:t> </w:t>
      </w:r>
      <w:r>
        <w:rPr/>
        <w:t>年度权益分配方</w:t>
      </w:r>
    </w:p>
    <w:p>
      <w:pPr>
        <w:pStyle w:val="BodyText"/>
        <w:spacing w:line="240" w:lineRule="auto" w:before="121"/>
        <w:ind w:right="0"/>
        <w:jc w:val="both"/>
      </w:pPr>
      <w:r>
        <w:rPr/>
        <w:t>案，公司以</w:t>
      </w:r>
      <w:r>
        <w:rPr>
          <w:spacing w:val="-56"/>
        </w:rPr>
        <w:t> </w:t>
      </w:r>
      <w:r>
        <w:rPr>
          <w:rFonts w:ascii="Calibri" w:hAnsi="Calibri" w:cs="Calibri" w:eastAsia="Calibri" w:hint="default"/>
        </w:rPr>
        <w:t>2008</w:t>
      </w:r>
      <w:r>
        <w:rPr>
          <w:rFonts w:ascii="Calibri" w:hAnsi="Calibri" w:cs="Calibri" w:eastAsia="Calibri" w:hint="default"/>
          <w:spacing w:val="11"/>
        </w:rPr>
        <w:t> </w:t>
      </w:r>
      <w:r>
        <w:rPr/>
        <w:t>年</w:t>
      </w:r>
      <w:r>
        <w:rPr>
          <w:spacing w:val="-55"/>
        </w:rPr>
        <w:t> </w:t>
      </w:r>
      <w:r>
        <w:rPr>
          <w:rFonts w:ascii="Calibri" w:hAnsi="Calibri" w:cs="Calibri" w:eastAsia="Calibri" w:hint="default"/>
        </w:rPr>
        <w:t>5</w:t>
      </w:r>
      <w:r>
        <w:rPr>
          <w:rFonts w:ascii="Calibri" w:hAnsi="Calibri" w:cs="Calibri" w:eastAsia="Calibri" w:hint="default"/>
          <w:spacing w:val="11"/>
        </w:rPr>
        <w:t> </w:t>
      </w:r>
      <w:r>
        <w:rPr/>
        <w:t>月</w:t>
      </w:r>
      <w:r>
        <w:rPr>
          <w:spacing w:val="-56"/>
        </w:rPr>
        <w:t> </w:t>
      </w:r>
      <w:r>
        <w:rPr>
          <w:rFonts w:ascii="Calibri" w:hAnsi="Calibri" w:cs="Calibri" w:eastAsia="Calibri" w:hint="default"/>
        </w:rPr>
        <w:t>28</w:t>
      </w:r>
      <w:r>
        <w:rPr>
          <w:rFonts w:ascii="Calibri" w:hAnsi="Calibri" w:cs="Calibri" w:eastAsia="Calibri" w:hint="default"/>
          <w:spacing w:val="11"/>
        </w:rPr>
        <w:t> </w:t>
      </w:r>
      <w:r>
        <w:rPr/>
        <w:t>日为股权登记日，以股本总额</w:t>
      </w:r>
      <w:r>
        <w:rPr>
          <w:spacing w:val="-55"/>
        </w:rPr>
        <w:t> </w:t>
      </w:r>
      <w:r>
        <w:rPr>
          <w:rFonts w:ascii="Calibri" w:hAnsi="Calibri" w:cs="Calibri" w:eastAsia="Calibri" w:hint="default"/>
        </w:rPr>
        <w:t>14,199.503</w:t>
      </w:r>
      <w:r>
        <w:rPr>
          <w:rFonts w:ascii="Calibri" w:hAnsi="Calibri" w:cs="Calibri" w:eastAsia="Calibri" w:hint="default"/>
          <w:spacing w:val="11"/>
        </w:rPr>
        <w:t> </w:t>
      </w:r>
      <w:r>
        <w:rPr/>
        <w:t>万元为基数，以</w:t>
      </w:r>
    </w:p>
    <w:p>
      <w:pPr>
        <w:pStyle w:val="BodyText"/>
        <w:spacing w:line="240" w:lineRule="auto" w:before="123"/>
        <w:ind w:right="0"/>
        <w:jc w:val="both"/>
      </w:pPr>
      <w:r>
        <w:rPr/>
        <w:t>资本公积金向全体股东每</w:t>
      </w:r>
      <w:r>
        <w:rPr>
          <w:spacing w:val="-53"/>
        </w:rPr>
        <w:t> </w:t>
      </w:r>
      <w:r>
        <w:rPr>
          <w:rFonts w:ascii="Calibri" w:hAnsi="Calibri" w:cs="Calibri" w:eastAsia="Calibri" w:hint="default"/>
        </w:rPr>
        <w:t>10</w:t>
      </w:r>
      <w:r>
        <w:rPr>
          <w:rFonts w:ascii="Calibri" w:hAnsi="Calibri" w:cs="Calibri" w:eastAsia="Calibri" w:hint="default"/>
          <w:spacing w:val="13"/>
        </w:rPr>
        <w:t> </w:t>
      </w:r>
      <w:r>
        <w:rPr/>
        <w:t>股转增</w:t>
      </w:r>
      <w:r>
        <w:rPr>
          <w:spacing w:val="-54"/>
        </w:rPr>
        <w:t> </w:t>
      </w:r>
      <w:r>
        <w:rPr>
          <w:rFonts w:ascii="Calibri" w:hAnsi="Calibri" w:cs="Calibri" w:eastAsia="Calibri" w:hint="default"/>
        </w:rPr>
        <w:t>10</w:t>
      </w:r>
      <w:r>
        <w:rPr>
          <w:rFonts w:ascii="Calibri" w:hAnsi="Calibri" w:cs="Calibri" w:eastAsia="Calibri" w:hint="default"/>
          <w:spacing w:val="13"/>
        </w:rPr>
        <w:t> </w:t>
      </w:r>
      <w:r>
        <w:rPr/>
        <w:t>股，共增加股本</w:t>
      </w:r>
      <w:r>
        <w:rPr>
          <w:spacing w:val="-53"/>
        </w:rPr>
        <w:t> </w:t>
      </w:r>
      <w:r>
        <w:rPr>
          <w:rFonts w:ascii="Calibri" w:hAnsi="Calibri" w:cs="Calibri" w:eastAsia="Calibri" w:hint="default"/>
        </w:rPr>
        <w:t>14,199.503</w:t>
      </w:r>
      <w:r>
        <w:rPr>
          <w:rFonts w:ascii="Calibri" w:hAnsi="Calibri" w:cs="Calibri" w:eastAsia="Calibri" w:hint="default"/>
          <w:spacing w:val="13"/>
        </w:rPr>
        <w:t> </w:t>
      </w:r>
      <w:r>
        <w:rPr/>
        <w:t>万元。该增资事项</w:t>
      </w:r>
    </w:p>
    <w:p>
      <w:pPr>
        <w:pStyle w:val="BodyText"/>
        <w:spacing w:line="340" w:lineRule="auto" w:before="121"/>
        <w:ind w:right="1587"/>
        <w:jc w:val="both"/>
      </w:pPr>
      <w:r>
        <w:rPr/>
        <w:t>完成后，公司的股本增加为人民币</w:t>
      </w:r>
      <w:r>
        <w:rPr>
          <w:spacing w:val="-55"/>
        </w:rPr>
        <w:t> </w:t>
      </w:r>
      <w:r>
        <w:rPr>
          <w:rFonts w:ascii="Calibri" w:hAnsi="Calibri" w:cs="Calibri" w:eastAsia="Calibri" w:hint="default"/>
        </w:rPr>
        <w:t>28,399.006</w:t>
      </w:r>
      <w:r>
        <w:rPr>
          <w:rFonts w:ascii="Calibri" w:hAnsi="Calibri" w:cs="Calibri" w:eastAsia="Calibri" w:hint="default"/>
          <w:spacing w:val="12"/>
        </w:rPr>
        <w:t> </w:t>
      </w:r>
      <w:r>
        <w:rPr/>
        <w:t>万元。公司于</w:t>
      </w:r>
      <w:r>
        <w:rPr>
          <w:spacing w:val="-56"/>
        </w:rPr>
        <w:t> </w:t>
      </w:r>
      <w:r>
        <w:rPr>
          <w:rFonts w:ascii="Calibri" w:hAnsi="Calibri" w:cs="Calibri" w:eastAsia="Calibri" w:hint="default"/>
        </w:rPr>
        <w:t>2008</w:t>
      </w:r>
      <w:r>
        <w:rPr>
          <w:rFonts w:ascii="Calibri" w:hAnsi="Calibri" w:cs="Calibri" w:eastAsia="Calibri" w:hint="default"/>
          <w:spacing w:val="11"/>
        </w:rPr>
        <w:t> </w:t>
      </w:r>
      <w:r>
        <w:rPr/>
        <w:t>年</w:t>
      </w:r>
      <w:r>
        <w:rPr>
          <w:spacing w:val="-56"/>
        </w:rPr>
        <w:t> </w:t>
      </w:r>
      <w:r>
        <w:rPr>
          <w:rFonts w:ascii="Calibri" w:hAnsi="Calibri" w:cs="Calibri" w:eastAsia="Calibri" w:hint="default"/>
        </w:rPr>
        <w:t>6</w:t>
      </w:r>
      <w:r>
        <w:rPr>
          <w:rFonts w:ascii="Calibri" w:hAnsi="Calibri" w:cs="Calibri" w:eastAsia="Calibri" w:hint="default"/>
          <w:spacing w:val="11"/>
        </w:rPr>
        <w:t> </w:t>
      </w:r>
      <w:r>
        <w:rPr/>
        <w:t>月</w:t>
      </w:r>
      <w:r>
        <w:rPr>
          <w:spacing w:val="-56"/>
        </w:rPr>
        <w:t> </w:t>
      </w:r>
      <w:r>
        <w:rPr>
          <w:rFonts w:ascii="Calibri" w:hAnsi="Calibri" w:cs="Calibri" w:eastAsia="Calibri" w:hint="default"/>
        </w:rPr>
        <w:t>20</w:t>
      </w:r>
      <w:r>
        <w:rPr>
          <w:rFonts w:ascii="Calibri" w:hAnsi="Calibri" w:cs="Calibri" w:eastAsia="Calibri" w:hint="default"/>
          <w:spacing w:val="11"/>
        </w:rPr>
        <w:t> </w:t>
      </w:r>
      <w:r>
        <w:rPr/>
        <w:t>日在北京 </w:t>
      </w:r>
      <w:r>
        <w:rPr>
          <w:spacing w:val="52"/>
        </w:rPr>
        <w:t>市工商行政管理局</w:t>
      </w:r>
      <w:r>
        <w:rPr>
          <w:spacing w:val="-55"/>
        </w:rPr>
        <w:t> </w:t>
      </w:r>
      <w:r>
        <w:rPr>
          <w:spacing w:val="52"/>
        </w:rPr>
        <w:t>办理了变更登记手</w:t>
      </w:r>
      <w:r>
        <w:rPr>
          <w:spacing w:val="-55"/>
        </w:rPr>
        <w:t> </w:t>
      </w:r>
      <w:r>
        <w:rPr>
          <w:spacing w:val="52"/>
        </w:rPr>
        <w:t>续，企业法人营业</w:t>
      </w:r>
      <w:r>
        <w:rPr>
          <w:spacing w:val="-55"/>
        </w:rPr>
        <w:t> </w:t>
      </w:r>
      <w:r>
        <w:rPr>
          <w:spacing w:val="50"/>
        </w:rPr>
        <w:t>执照注册号为</w:t>
      </w:r>
      <w:r>
        <w:rPr>
          <w:spacing w:val="-117"/>
        </w:rPr>
        <w:t> </w:t>
      </w:r>
      <w:r>
        <w:rPr>
          <w:rFonts w:ascii="Calibri" w:hAnsi="Calibri" w:cs="Calibri" w:eastAsia="Calibri" w:hint="default"/>
        </w:rPr>
        <w:t>1100000011930643</w:t>
      </w:r>
      <w:r>
        <w:rPr/>
        <w:t>。</w:t>
      </w:r>
    </w:p>
    <w:p>
      <w:pPr>
        <w:pStyle w:val="BodyText"/>
        <w:spacing w:line="240" w:lineRule="auto" w:before="120"/>
        <w:ind w:left="624" w:right="1557"/>
        <w:jc w:val="left"/>
      </w:pPr>
      <w:r>
        <w:rPr>
          <w:rFonts w:ascii="Calibri" w:hAnsi="Calibri" w:cs="Calibri" w:eastAsia="Calibri" w:hint="default"/>
        </w:rPr>
        <w:t>5</w:t>
      </w:r>
      <w:r>
        <w:rPr/>
        <w:t>、</w:t>
      </w:r>
      <w:r>
        <w:rPr>
          <w:rFonts w:ascii="Calibri" w:hAnsi="Calibri" w:cs="Calibri" w:eastAsia="Calibri" w:hint="default"/>
        </w:rPr>
        <w:t>2009</w:t>
      </w:r>
      <w:r>
        <w:rPr>
          <w:rFonts w:ascii="Calibri" w:hAnsi="Calibri" w:cs="Calibri" w:eastAsia="Calibri" w:hint="default"/>
          <w:spacing w:val="16"/>
        </w:rPr>
        <w:t> </w:t>
      </w:r>
      <w:r>
        <w:rPr/>
        <w:t>年</w:t>
      </w:r>
      <w:r>
        <w:rPr>
          <w:spacing w:val="-50"/>
        </w:rPr>
        <w:t> </w:t>
      </w:r>
      <w:r>
        <w:rPr>
          <w:rFonts w:ascii="Calibri" w:hAnsi="Calibri" w:cs="Calibri" w:eastAsia="Calibri" w:hint="default"/>
        </w:rPr>
        <w:t>5</w:t>
      </w:r>
      <w:r>
        <w:rPr>
          <w:rFonts w:ascii="Calibri" w:hAnsi="Calibri" w:cs="Calibri" w:eastAsia="Calibri" w:hint="default"/>
          <w:spacing w:val="17"/>
        </w:rPr>
        <w:t> </w:t>
      </w:r>
      <w:r>
        <w:rPr/>
        <w:t>月</w:t>
      </w:r>
      <w:r>
        <w:rPr>
          <w:spacing w:val="-50"/>
        </w:rPr>
        <w:t> </w:t>
      </w:r>
      <w:r>
        <w:rPr>
          <w:rFonts w:ascii="Calibri" w:hAnsi="Calibri" w:cs="Calibri" w:eastAsia="Calibri" w:hint="default"/>
        </w:rPr>
        <w:t>6</w:t>
      </w:r>
      <w:r>
        <w:rPr>
          <w:rFonts w:ascii="Calibri" w:hAnsi="Calibri" w:cs="Calibri" w:eastAsia="Calibri" w:hint="default"/>
          <w:spacing w:val="16"/>
        </w:rPr>
        <w:t> </w:t>
      </w:r>
      <w:r>
        <w:rPr/>
        <w:t>日，公司</w:t>
      </w:r>
      <w:r>
        <w:rPr>
          <w:spacing w:val="-50"/>
        </w:rPr>
        <w:t> </w:t>
      </w:r>
      <w:r>
        <w:rPr>
          <w:rFonts w:ascii="Calibri" w:hAnsi="Calibri" w:cs="Calibri" w:eastAsia="Calibri" w:hint="default"/>
        </w:rPr>
        <w:t>2008</w:t>
      </w:r>
      <w:r>
        <w:rPr>
          <w:rFonts w:ascii="Calibri" w:hAnsi="Calibri" w:cs="Calibri" w:eastAsia="Calibri" w:hint="default"/>
          <w:spacing w:val="16"/>
        </w:rPr>
        <w:t> </w:t>
      </w:r>
      <w:r>
        <w:rPr/>
        <w:t>年度股东大会审议通过了</w:t>
      </w:r>
      <w:r>
        <w:rPr>
          <w:spacing w:val="-49"/>
        </w:rPr>
        <w:t> </w:t>
      </w:r>
      <w:r>
        <w:rPr>
          <w:rFonts w:ascii="Calibri" w:hAnsi="Calibri" w:cs="Calibri" w:eastAsia="Calibri" w:hint="default"/>
        </w:rPr>
        <w:t>2008</w:t>
      </w:r>
      <w:r>
        <w:rPr>
          <w:rFonts w:ascii="Calibri" w:hAnsi="Calibri" w:cs="Calibri" w:eastAsia="Calibri" w:hint="default"/>
          <w:spacing w:val="16"/>
        </w:rPr>
        <w:t> </w:t>
      </w:r>
      <w:r>
        <w:rPr/>
        <w:t>年度权益分配方</w:t>
      </w:r>
    </w:p>
    <w:p>
      <w:pPr>
        <w:pStyle w:val="BodyText"/>
        <w:spacing w:line="240" w:lineRule="auto" w:before="124"/>
        <w:ind w:right="0"/>
        <w:jc w:val="both"/>
      </w:pPr>
      <w:r>
        <w:rPr/>
        <w:t>案，公司以</w:t>
      </w:r>
      <w:r>
        <w:rPr>
          <w:spacing w:val="-56"/>
        </w:rPr>
        <w:t> </w:t>
      </w:r>
      <w:r>
        <w:rPr>
          <w:rFonts w:ascii="Calibri" w:hAnsi="Calibri" w:cs="Calibri" w:eastAsia="Calibri" w:hint="default"/>
        </w:rPr>
        <w:t>2009</w:t>
      </w:r>
      <w:r>
        <w:rPr>
          <w:rFonts w:ascii="Calibri" w:hAnsi="Calibri" w:cs="Calibri" w:eastAsia="Calibri" w:hint="default"/>
          <w:spacing w:val="11"/>
        </w:rPr>
        <w:t> </w:t>
      </w:r>
      <w:r>
        <w:rPr/>
        <w:t>年</w:t>
      </w:r>
      <w:r>
        <w:rPr>
          <w:spacing w:val="-55"/>
        </w:rPr>
        <w:t> </w:t>
      </w:r>
      <w:r>
        <w:rPr>
          <w:rFonts w:ascii="Calibri" w:hAnsi="Calibri" w:cs="Calibri" w:eastAsia="Calibri" w:hint="default"/>
        </w:rPr>
        <w:t>5</w:t>
      </w:r>
      <w:r>
        <w:rPr>
          <w:rFonts w:ascii="Calibri" w:hAnsi="Calibri" w:cs="Calibri" w:eastAsia="Calibri" w:hint="default"/>
          <w:spacing w:val="11"/>
        </w:rPr>
        <w:t> </w:t>
      </w:r>
      <w:r>
        <w:rPr/>
        <w:t>月</w:t>
      </w:r>
      <w:r>
        <w:rPr>
          <w:spacing w:val="-56"/>
        </w:rPr>
        <w:t> </w:t>
      </w:r>
      <w:r>
        <w:rPr>
          <w:rFonts w:ascii="Calibri" w:hAnsi="Calibri" w:cs="Calibri" w:eastAsia="Calibri" w:hint="default"/>
        </w:rPr>
        <w:t>21</w:t>
      </w:r>
      <w:r>
        <w:rPr>
          <w:rFonts w:ascii="Calibri" w:hAnsi="Calibri" w:cs="Calibri" w:eastAsia="Calibri" w:hint="default"/>
          <w:spacing w:val="11"/>
        </w:rPr>
        <w:t> </w:t>
      </w:r>
      <w:r>
        <w:rPr/>
        <w:t>日为股权登记日，以股本总额</w:t>
      </w:r>
      <w:r>
        <w:rPr>
          <w:spacing w:val="-55"/>
        </w:rPr>
        <w:t> </w:t>
      </w:r>
      <w:r>
        <w:rPr>
          <w:rFonts w:ascii="Calibri" w:hAnsi="Calibri" w:cs="Calibri" w:eastAsia="Calibri" w:hint="default"/>
        </w:rPr>
        <w:t>28,399.006</w:t>
      </w:r>
      <w:r>
        <w:rPr>
          <w:rFonts w:ascii="Calibri" w:hAnsi="Calibri" w:cs="Calibri" w:eastAsia="Calibri" w:hint="default"/>
          <w:spacing w:val="13"/>
        </w:rPr>
        <w:t> </w:t>
      </w:r>
      <w:r>
        <w:rPr/>
        <w:t>万元为基数，向</w:t>
      </w:r>
    </w:p>
    <w:p>
      <w:pPr>
        <w:pStyle w:val="BodyText"/>
        <w:spacing w:line="240" w:lineRule="auto" w:before="121"/>
        <w:ind w:right="0"/>
        <w:jc w:val="both"/>
      </w:pPr>
      <w:r>
        <w:rPr/>
        <w:t>全体股东每</w:t>
      </w:r>
      <w:r>
        <w:rPr>
          <w:spacing w:val="-62"/>
        </w:rPr>
        <w:t> </w:t>
      </w:r>
      <w:r>
        <w:rPr>
          <w:rFonts w:ascii="Calibri" w:hAnsi="Calibri" w:cs="Calibri" w:eastAsia="Calibri" w:hint="default"/>
        </w:rPr>
        <w:t>10</w:t>
      </w:r>
      <w:r>
        <w:rPr>
          <w:rFonts w:ascii="Calibri" w:hAnsi="Calibri" w:cs="Calibri" w:eastAsia="Calibri" w:hint="default"/>
          <w:spacing w:val="5"/>
        </w:rPr>
        <w:t> </w:t>
      </w:r>
      <w:r>
        <w:rPr/>
        <w:t>股转增</w:t>
      </w:r>
      <w:r>
        <w:rPr>
          <w:spacing w:val="-63"/>
        </w:rPr>
        <w:t> </w:t>
      </w:r>
      <w:r>
        <w:rPr>
          <w:rFonts w:ascii="Calibri" w:hAnsi="Calibri" w:cs="Calibri" w:eastAsia="Calibri" w:hint="default"/>
        </w:rPr>
        <w:t>3</w:t>
      </w:r>
      <w:r>
        <w:rPr>
          <w:rFonts w:ascii="Calibri" w:hAnsi="Calibri" w:cs="Calibri" w:eastAsia="Calibri" w:hint="default"/>
          <w:spacing w:val="5"/>
        </w:rPr>
        <w:t> </w:t>
      </w:r>
      <w:r>
        <w:rPr/>
        <w:t>股送</w:t>
      </w:r>
      <w:r>
        <w:rPr>
          <w:spacing w:val="-61"/>
        </w:rPr>
        <w:t> </w:t>
      </w:r>
      <w:r>
        <w:rPr>
          <w:rFonts w:ascii="Calibri" w:hAnsi="Calibri" w:cs="Calibri" w:eastAsia="Calibri" w:hint="default"/>
        </w:rPr>
        <w:t>2</w:t>
      </w:r>
      <w:r>
        <w:rPr>
          <w:rFonts w:ascii="Calibri" w:hAnsi="Calibri" w:cs="Calibri" w:eastAsia="Calibri" w:hint="default"/>
          <w:spacing w:val="5"/>
        </w:rPr>
        <w:t> </w:t>
      </w:r>
      <w:r>
        <w:rPr/>
        <w:t>股，共增加股本</w:t>
      </w:r>
      <w:r>
        <w:rPr>
          <w:spacing w:val="-61"/>
        </w:rPr>
        <w:t> </w:t>
      </w:r>
      <w:r>
        <w:rPr>
          <w:rFonts w:ascii="Calibri" w:hAnsi="Calibri" w:cs="Calibri" w:eastAsia="Calibri" w:hint="default"/>
        </w:rPr>
        <w:t>14,199.503</w:t>
      </w:r>
      <w:r>
        <w:rPr>
          <w:rFonts w:ascii="Calibri" w:hAnsi="Calibri" w:cs="Calibri" w:eastAsia="Calibri" w:hint="default"/>
          <w:spacing w:val="5"/>
        </w:rPr>
        <w:t> </w:t>
      </w:r>
      <w:r>
        <w:rPr/>
        <w:t>万元。该增资事项完成后，</w:t>
      </w:r>
    </w:p>
    <w:p>
      <w:pPr>
        <w:pStyle w:val="BodyText"/>
        <w:spacing w:line="408" w:lineRule="auto" w:before="123"/>
        <w:ind w:left="624" w:right="1557" w:hanging="480"/>
        <w:jc w:val="left"/>
      </w:pPr>
      <w:r>
        <w:rPr/>
        <w:t>公司的股本增加为人民币</w:t>
      </w:r>
      <w:r>
        <w:rPr>
          <w:spacing w:val="-60"/>
        </w:rPr>
        <w:t> </w:t>
      </w:r>
      <w:r>
        <w:rPr>
          <w:rFonts w:ascii="Calibri" w:hAnsi="Calibri" w:cs="Calibri" w:eastAsia="Calibri" w:hint="default"/>
        </w:rPr>
        <w:t>42,598.509</w:t>
      </w:r>
      <w:r>
        <w:rPr>
          <w:rFonts w:ascii="Calibri" w:hAnsi="Calibri" w:cs="Calibri" w:eastAsia="Calibri" w:hint="default"/>
          <w:spacing w:val="7"/>
        </w:rPr>
        <w:t> </w:t>
      </w:r>
      <w:r>
        <w:rPr/>
        <w:t>万元。 同时审议通过了关于变更公司名称及住所的议案，公司名称变为“东华软件股份</w:t>
      </w:r>
    </w:p>
    <w:p>
      <w:pPr>
        <w:pStyle w:val="BodyText"/>
        <w:spacing w:line="331" w:lineRule="exact"/>
        <w:ind w:right="0"/>
        <w:jc w:val="both"/>
      </w:pPr>
      <w:r>
        <w:rPr/>
        <w:t>公司”，注册地址变为“北京市海淀区紫金数码园</w:t>
      </w:r>
      <w:r>
        <w:rPr>
          <w:spacing w:val="-61"/>
        </w:rPr>
        <w:t> </w:t>
      </w:r>
      <w:r>
        <w:rPr>
          <w:rFonts w:ascii="Calibri" w:hAnsi="Calibri" w:cs="Calibri" w:eastAsia="Calibri" w:hint="default"/>
        </w:rPr>
        <w:t>3</w:t>
      </w:r>
      <w:r>
        <w:rPr>
          <w:rFonts w:ascii="Calibri" w:hAnsi="Calibri" w:cs="Calibri" w:eastAsia="Calibri" w:hint="default"/>
          <w:spacing w:val="5"/>
        </w:rPr>
        <w:t> </w:t>
      </w:r>
      <w:r>
        <w:rPr/>
        <w:t>号楼</w:t>
      </w:r>
      <w:r>
        <w:rPr>
          <w:spacing w:val="-61"/>
        </w:rPr>
        <w:t> </w:t>
      </w:r>
      <w:r>
        <w:rPr>
          <w:rFonts w:ascii="Calibri" w:hAnsi="Calibri" w:cs="Calibri" w:eastAsia="Calibri" w:hint="default"/>
        </w:rPr>
        <w:t>15</w:t>
      </w:r>
      <w:r>
        <w:rPr>
          <w:rFonts w:ascii="Calibri" w:hAnsi="Calibri" w:cs="Calibri" w:eastAsia="Calibri" w:hint="default"/>
          <w:spacing w:val="5"/>
        </w:rPr>
        <w:t> </w:t>
      </w:r>
      <w:r>
        <w:rPr/>
        <w:t>层</w:t>
      </w:r>
      <w:r>
        <w:rPr>
          <w:spacing w:val="-61"/>
        </w:rPr>
        <w:t> </w:t>
      </w:r>
      <w:r>
        <w:rPr>
          <w:rFonts w:ascii="Calibri" w:hAnsi="Calibri" w:cs="Calibri" w:eastAsia="Calibri" w:hint="default"/>
        </w:rPr>
        <w:t>1501</w:t>
      </w:r>
      <w:r>
        <w:rPr/>
        <w:t>”。</w:t>
      </w:r>
    </w:p>
    <w:p>
      <w:pPr>
        <w:spacing w:line="240" w:lineRule="auto" w:before="5"/>
        <w:rPr>
          <w:rFonts w:ascii="宋体" w:hAnsi="宋体" w:cs="宋体" w:eastAsia="宋体" w:hint="default"/>
          <w:sz w:val="18"/>
          <w:szCs w:val="18"/>
        </w:rPr>
      </w:pPr>
    </w:p>
    <w:p>
      <w:pPr>
        <w:pStyle w:val="BodyText"/>
        <w:spacing w:line="326" w:lineRule="auto"/>
        <w:ind w:right="1642" w:firstLine="479"/>
        <w:jc w:val="both"/>
      </w:pPr>
      <w:r>
        <w:rPr/>
        <w:t>公司于</w:t>
      </w:r>
      <w:r>
        <w:rPr>
          <w:spacing w:val="-57"/>
        </w:rPr>
        <w:t> </w:t>
      </w:r>
      <w:r>
        <w:rPr>
          <w:rFonts w:ascii="Calibri" w:hAnsi="Calibri" w:cs="Calibri" w:eastAsia="Calibri" w:hint="default"/>
        </w:rPr>
        <w:t>2009</w:t>
      </w:r>
      <w:r>
        <w:rPr>
          <w:rFonts w:ascii="Calibri" w:hAnsi="Calibri" w:cs="Calibri" w:eastAsia="Calibri" w:hint="default"/>
          <w:spacing w:val="9"/>
        </w:rPr>
        <w:t> </w:t>
      </w:r>
      <w:r>
        <w:rPr/>
        <w:t>年</w:t>
      </w:r>
      <w:r>
        <w:rPr>
          <w:spacing w:val="-59"/>
        </w:rPr>
        <w:t> </w:t>
      </w:r>
      <w:r>
        <w:rPr>
          <w:rFonts w:ascii="Calibri" w:hAnsi="Calibri" w:cs="Calibri" w:eastAsia="Calibri" w:hint="default"/>
        </w:rPr>
        <w:t>7</w:t>
      </w:r>
      <w:r>
        <w:rPr>
          <w:rFonts w:ascii="Calibri" w:hAnsi="Calibri" w:cs="Calibri" w:eastAsia="Calibri" w:hint="default"/>
          <w:spacing w:val="9"/>
        </w:rPr>
        <w:t> </w:t>
      </w:r>
      <w:r>
        <w:rPr/>
        <w:t>月</w:t>
      </w:r>
      <w:r>
        <w:rPr>
          <w:spacing w:val="-57"/>
        </w:rPr>
        <w:t> </w:t>
      </w:r>
      <w:r>
        <w:rPr>
          <w:rFonts w:ascii="Calibri" w:hAnsi="Calibri" w:cs="Calibri" w:eastAsia="Calibri" w:hint="default"/>
        </w:rPr>
        <w:t>6</w:t>
      </w:r>
      <w:r>
        <w:rPr>
          <w:rFonts w:ascii="Calibri" w:hAnsi="Calibri" w:cs="Calibri" w:eastAsia="Calibri" w:hint="default"/>
          <w:spacing w:val="7"/>
        </w:rPr>
        <w:t> </w:t>
      </w:r>
      <w:r>
        <w:rPr>
          <w:spacing w:val="-3"/>
        </w:rPr>
        <w:t>日在北京市工商行政管理局办理了变更登记手续，企业法人</w:t>
      </w:r>
      <w:r>
        <w:rPr/>
        <w:t> 营业执照注册号为</w:t>
      </w:r>
      <w:r>
        <w:rPr>
          <w:spacing w:val="-62"/>
        </w:rPr>
        <w:t> </w:t>
      </w:r>
      <w:r>
        <w:rPr>
          <w:rFonts w:ascii="Calibri" w:hAnsi="Calibri" w:cs="Calibri" w:eastAsia="Calibri" w:hint="default"/>
        </w:rPr>
        <w:t>1100000011930643</w:t>
      </w:r>
      <w:r>
        <w:rPr/>
        <w:t>。</w:t>
      </w:r>
    </w:p>
    <w:p>
      <w:pPr>
        <w:pStyle w:val="BodyText"/>
        <w:spacing w:line="324" w:lineRule="auto" w:before="135"/>
        <w:ind w:right="1641" w:firstLine="479"/>
        <w:jc w:val="both"/>
        <w:rPr>
          <w:rFonts w:ascii="Calibri" w:hAnsi="Calibri" w:cs="Calibri" w:eastAsia="Calibri" w:hint="default"/>
        </w:rPr>
      </w:pPr>
      <w:r>
        <w:rPr>
          <w:rFonts w:ascii="Calibri" w:hAnsi="Calibri" w:cs="Calibri" w:eastAsia="Calibri" w:hint="default"/>
        </w:rPr>
        <w:t>6</w:t>
      </w:r>
      <w:r>
        <w:rPr/>
        <w:t>、根据中国证券监督管理委员会于</w:t>
      </w:r>
      <w:r>
        <w:rPr>
          <w:spacing w:val="-65"/>
        </w:rPr>
        <w:t> </w:t>
      </w:r>
      <w:r>
        <w:rPr>
          <w:rFonts w:ascii="Calibri" w:hAnsi="Calibri" w:cs="Calibri" w:eastAsia="Calibri" w:hint="default"/>
        </w:rPr>
        <w:t>2011</w:t>
      </w:r>
      <w:r>
        <w:rPr>
          <w:rFonts w:ascii="Calibri" w:hAnsi="Calibri" w:cs="Calibri" w:eastAsia="Calibri" w:hint="default"/>
          <w:spacing w:val="1"/>
        </w:rPr>
        <w:t> </w:t>
      </w:r>
      <w:r>
        <w:rPr/>
        <w:t>年</w:t>
      </w:r>
      <w:r>
        <w:rPr>
          <w:spacing w:val="-68"/>
        </w:rPr>
        <w:t> </w:t>
      </w:r>
      <w:r>
        <w:rPr>
          <w:rFonts w:ascii="Calibri" w:hAnsi="Calibri" w:cs="Calibri" w:eastAsia="Calibri" w:hint="default"/>
        </w:rPr>
        <w:t>1</w:t>
      </w:r>
      <w:r>
        <w:rPr>
          <w:rFonts w:ascii="Calibri" w:hAnsi="Calibri" w:cs="Calibri" w:eastAsia="Calibri" w:hint="default"/>
          <w:spacing w:val="1"/>
        </w:rPr>
        <w:t> </w:t>
      </w:r>
      <w:r>
        <w:rPr/>
        <w:t>月</w:t>
      </w:r>
      <w:r>
        <w:rPr>
          <w:spacing w:val="-65"/>
        </w:rPr>
        <w:t> </w:t>
      </w:r>
      <w:r>
        <w:rPr>
          <w:rFonts w:ascii="Calibri" w:hAnsi="Calibri" w:cs="Calibri" w:eastAsia="Calibri" w:hint="default"/>
        </w:rPr>
        <w:t>18</w:t>
      </w:r>
      <w:r>
        <w:rPr>
          <w:rFonts w:ascii="Calibri" w:hAnsi="Calibri" w:cs="Calibri" w:eastAsia="Calibri" w:hint="default"/>
          <w:spacing w:val="1"/>
        </w:rPr>
        <w:t> </w:t>
      </w:r>
      <w:r>
        <w:rPr>
          <w:spacing w:val="-3"/>
        </w:rPr>
        <w:t>日下发的《关于核准东华软件</w:t>
      </w:r>
      <w:r>
        <w:rPr/>
        <w:t> 股份公司发行股份购买资产的批复》（证监许可</w:t>
      </w:r>
      <w:r>
        <w:rPr>
          <w:rFonts w:ascii="Calibri" w:hAnsi="Calibri" w:cs="Calibri" w:eastAsia="Calibri" w:hint="default"/>
        </w:rPr>
        <w:t>[2011]96</w:t>
      </w:r>
      <w:r>
        <w:rPr>
          <w:rFonts w:ascii="Calibri" w:hAnsi="Calibri" w:cs="Calibri" w:eastAsia="Calibri" w:hint="default"/>
          <w:spacing w:val="-6"/>
        </w:rPr>
        <w:t> </w:t>
      </w:r>
      <w:r>
        <w:rPr/>
        <w:t>号）的规定，公司于</w:t>
      </w:r>
      <w:r>
        <w:rPr>
          <w:spacing w:val="-73"/>
        </w:rPr>
        <w:t> </w:t>
      </w:r>
      <w:r>
        <w:rPr>
          <w:rFonts w:ascii="Calibri" w:hAnsi="Calibri" w:cs="Calibri" w:eastAsia="Calibri" w:hint="default"/>
        </w:rPr>
        <w:t>2011</w:t>
      </w:r>
      <w:r>
        <w:rPr>
          <w:rFonts w:ascii="Calibri" w:hAnsi="Calibri" w:cs="Calibri" w:eastAsia="Calibri" w:hint="default"/>
          <w:spacing w:val="-7"/>
        </w:rPr>
        <w:t> </w:t>
      </w:r>
      <w:r>
        <w:rPr/>
        <w:t>年 </w:t>
      </w:r>
      <w:r>
        <w:rPr>
          <w:rFonts w:ascii="Calibri" w:hAnsi="Calibri" w:cs="Calibri" w:eastAsia="Calibri" w:hint="default"/>
        </w:rPr>
        <w:t>2</w:t>
      </w:r>
      <w:r>
        <w:rPr>
          <w:rFonts w:ascii="Calibri" w:hAnsi="Calibri" w:cs="Calibri" w:eastAsia="Calibri" w:hint="default"/>
          <w:spacing w:val="4"/>
        </w:rPr>
        <w:t> </w:t>
      </w:r>
      <w:r>
        <w:rPr/>
        <w:t>月</w:t>
      </w:r>
      <w:r>
        <w:rPr>
          <w:spacing w:val="-63"/>
        </w:rPr>
        <w:t> </w:t>
      </w:r>
      <w:r>
        <w:rPr>
          <w:rFonts w:ascii="Calibri" w:hAnsi="Calibri" w:cs="Calibri" w:eastAsia="Calibri" w:hint="default"/>
        </w:rPr>
        <w:t>117</w:t>
      </w:r>
      <w:r>
        <w:rPr>
          <w:rFonts w:ascii="Calibri" w:hAnsi="Calibri" w:cs="Calibri" w:eastAsia="Calibri" w:hint="default"/>
          <w:spacing w:val="4"/>
        </w:rPr>
        <w:t> </w:t>
      </w:r>
      <w:r>
        <w:rPr/>
        <w:t>日向自然人秦劳、翟曙春、柏红、胡明炜、谢坤等五人合计发行</w:t>
      </w:r>
      <w:r>
        <w:rPr>
          <w:spacing w:val="-61"/>
        </w:rPr>
        <w:t> </w:t>
      </w:r>
      <w:r>
        <w:rPr>
          <w:rFonts w:ascii="Calibri" w:hAnsi="Calibri" w:cs="Calibri" w:eastAsia="Calibri" w:hint="default"/>
        </w:rPr>
        <w:t>1,630.1577</w:t>
      </w:r>
    </w:p>
    <w:p>
      <w:pPr>
        <w:pStyle w:val="BodyText"/>
        <w:spacing w:line="240" w:lineRule="auto" w:before="20"/>
        <w:ind w:right="0"/>
        <w:jc w:val="both"/>
      </w:pPr>
      <w:r>
        <w:rPr/>
        <w:t>万股股份，该新增股份于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2</w:t>
      </w:r>
      <w:r>
        <w:rPr>
          <w:rFonts w:ascii="Calibri" w:hAnsi="Calibri" w:cs="Calibri" w:eastAsia="Calibri" w:hint="default"/>
          <w:spacing w:val="5"/>
        </w:rPr>
        <w:t> </w:t>
      </w:r>
      <w:r>
        <w:rPr/>
        <w:t>月</w:t>
      </w:r>
      <w:r>
        <w:rPr>
          <w:spacing w:val="-61"/>
        </w:rPr>
        <w:t> </w:t>
      </w:r>
      <w:r>
        <w:rPr>
          <w:rFonts w:ascii="Calibri" w:hAnsi="Calibri" w:cs="Calibri" w:eastAsia="Calibri" w:hint="default"/>
        </w:rPr>
        <w:t>24</w:t>
      </w:r>
      <w:r>
        <w:rPr>
          <w:rFonts w:ascii="Calibri" w:hAnsi="Calibri" w:cs="Calibri" w:eastAsia="Calibri" w:hint="default"/>
          <w:spacing w:val="5"/>
        </w:rPr>
        <w:t> </w:t>
      </w:r>
      <w:r>
        <w:rPr/>
        <w:t>日在深圳证券交易所上市。增发完成后，公</w:t>
      </w:r>
    </w:p>
    <w:p>
      <w:pPr>
        <w:pStyle w:val="BodyText"/>
        <w:spacing w:line="326" w:lineRule="auto" w:before="121"/>
        <w:ind w:right="1638"/>
        <w:jc w:val="both"/>
      </w:pPr>
      <w:r>
        <w:rPr/>
        <w:t>司股本增加为人民币</w:t>
      </w:r>
      <w:r>
        <w:rPr>
          <w:spacing w:val="-61"/>
        </w:rPr>
        <w:t> </w:t>
      </w:r>
      <w:r>
        <w:rPr>
          <w:rFonts w:ascii="Calibri" w:hAnsi="Calibri" w:cs="Calibri" w:eastAsia="Calibri" w:hint="default"/>
        </w:rPr>
        <w:t>44,228.6667</w:t>
      </w:r>
      <w:r>
        <w:rPr>
          <w:rFonts w:ascii="Calibri" w:hAnsi="Calibri" w:cs="Calibri" w:eastAsia="Calibri" w:hint="default"/>
          <w:spacing w:val="6"/>
        </w:rPr>
        <w:t> </w:t>
      </w:r>
      <w:r>
        <w:rPr>
          <w:spacing w:val="-13"/>
        </w:rPr>
        <w:t>万元。公司于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3</w:t>
      </w:r>
      <w:r>
        <w:rPr>
          <w:rFonts w:ascii="Calibri" w:hAnsi="Calibri" w:cs="Calibri" w:eastAsia="Calibri" w:hint="default"/>
          <w:spacing w:val="5"/>
        </w:rPr>
        <w:t> </w:t>
      </w:r>
      <w:r>
        <w:rPr/>
        <w:t>月</w:t>
      </w:r>
      <w:r>
        <w:rPr>
          <w:spacing w:val="-61"/>
        </w:rPr>
        <w:t> </w:t>
      </w:r>
      <w:r>
        <w:rPr>
          <w:rFonts w:ascii="Calibri" w:hAnsi="Calibri" w:cs="Calibri" w:eastAsia="Calibri" w:hint="default"/>
        </w:rPr>
        <w:t>11</w:t>
      </w:r>
      <w:r>
        <w:rPr>
          <w:rFonts w:ascii="Calibri" w:hAnsi="Calibri" w:cs="Calibri" w:eastAsia="Calibri" w:hint="default"/>
          <w:spacing w:val="5"/>
        </w:rPr>
        <w:t> </w:t>
      </w:r>
      <w:r>
        <w:rPr/>
        <w:t>日在北京市工商行政管 理局办理了变更登记手续，企业法人营业执照注册号为</w:t>
      </w:r>
      <w:r>
        <w:rPr>
          <w:spacing w:val="-61"/>
        </w:rPr>
        <w:t> </w:t>
      </w:r>
      <w:r>
        <w:rPr>
          <w:rFonts w:ascii="Calibri" w:hAnsi="Calibri" w:cs="Calibri" w:eastAsia="Calibri" w:hint="default"/>
        </w:rPr>
        <w:t>1100000011930643</w:t>
      </w:r>
      <w:r>
        <w:rPr/>
        <w:t>。</w:t>
      </w:r>
    </w:p>
    <w:p>
      <w:pPr>
        <w:pStyle w:val="BodyText"/>
        <w:spacing w:line="326" w:lineRule="auto" w:before="135"/>
        <w:ind w:right="1637" w:firstLine="479"/>
        <w:jc w:val="both"/>
      </w:pPr>
      <w:r>
        <w:rPr>
          <w:rFonts w:ascii="Calibri" w:hAnsi="Calibri" w:cs="Calibri" w:eastAsia="Calibri" w:hint="default"/>
        </w:rPr>
        <w:t>7</w:t>
      </w:r>
      <w:r>
        <w:rPr/>
        <w:t>、</w:t>
      </w:r>
      <w:r>
        <w:rPr>
          <w:rFonts w:ascii="Calibri" w:hAnsi="Calibri" w:cs="Calibri" w:eastAsia="Calibri" w:hint="default"/>
        </w:rPr>
        <w:t>2011</w:t>
      </w:r>
      <w:r>
        <w:rPr/>
        <w:t>年</w:t>
      </w:r>
      <w:r>
        <w:rPr>
          <w:rFonts w:ascii="Calibri" w:hAnsi="Calibri" w:cs="Calibri" w:eastAsia="Calibri" w:hint="default"/>
        </w:rPr>
        <w:t>5</w:t>
      </w:r>
      <w:r>
        <w:rPr/>
        <w:t>月</w:t>
      </w:r>
      <w:r>
        <w:rPr>
          <w:rFonts w:ascii="Calibri" w:hAnsi="Calibri" w:cs="Calibri" w:eastAsia="Calibri" w:hint="default"/>
        </w:rPr>
        <w:t>18</w:t>
      </w:r>
      <w:r>
        <w:rPr/>
        <w:t>日，公司</w:t>
      </w:r>
      <w:r>
        <w:rPr>
          <w:rFonts w:ascii="Calibri" w:hAnsi="Calibri" w:cs="Calibri" w:eastAsia="Calibri" w:hint="default"/>
        </w:rPr>
        <w:t>2010</w:t>
      </w:r>
      <w:r>
        <w:rPr/>
        <w:t>年度股东大会审议通过了</w:t>
      </w:r>
      <w:r>
        <w:rPr>
          <w:rFonts w:ascii="Calibri" w:hAnsi="Calibri" w:cs="Calibri" w:eastAsia="Calibri" w:hint="default"/>
        </w:rPr>
        <w:t>2012</w:t>
      </w:r>
      <w:r>
        <w:rPr/>
        <w:t>年度权益分配方案， </w:t>
      </w:r>
      <w:r>
        <w:rPr>
          <w:spacing w:val="-2"/>
        </w:rPr>
        <w:t>公司以</w:t>
      </w:r>
      <w:r>
        <w:rPr>
          <w:rFonts w:ascii="Calibri" w:hAnsi="Calibri" w:cs="Calibri" w:eastAsia="Calibri" w:hint="default"/>
          <w:spacing w:val="-2"/>
        </w:rPr>
        <w:t>2011</w:t>
      </w:r>
      <w:r>
        <w:rPr>
          <w:spacing w:val="-2"/>
        </w:rPr>
        <w:t>年</w:t>
      </w:r>
      <w:r>
        <w:rPr>
          <w:rFonts w:ascii="Calibri" w:hAnsi="Calibri" w:cs="Calibri" w:eastAsia="Calibri" w:hint="default"/>
          <w:spacing w:val="-2"/>
        </w:rPr>
        <w:t>7</w:t>
      </w:r>
      <w:r>
        <w:rPr>
          <w:spacing w:val="-2"/>
        </w:rPr>
        <w:t>月</w:t>
      </w:r>
      <w:r>
        <w:rPr>
          <w:rFonts w:ascii="Calibri" w:hAnsi="Calibri" w:cs="Calibri" w:eastAsia="Calibri" w:hint="default"/>
          <w:spacing w:val="-2"/>
        </w:rPr>
        <w:t>12</w:t>
      </w:r>
      <w:r>
        <w:rPr>
          <w:spacing w:val="-2"/>
        </w:rPr>
        <w:t>日为股权登记日，以股本总额</w:t>
      </w:r>
      <w:r>
        <w:rPr>
          <w:rFonts w:ascii="Calibri" w:hAnsi="Calibri" w:cs="Calibri" w:eastAsia="Calibri" w:hint="default"/>
          <w:spacing w:val="-2"/>
        </w:rPr>
        <w:t>442,286,667</w:t>
      </w:r>
      <w:r>
        <w:rPr>
          <w:spacing w:val="-2"/>
        </w:rPr>
        <w:t>股为基数，向全体股东每</w:t>
      </w:r>
      <w:r>
        <w:rPr>
          <w:spacing w:val="-107"/>
        </w:rPr>
        <w:t> </w:t>
      </w:r>
      <w:r>
        <w:rPr>
          <w:spacing w:val="-107"/>
        </w:rPr>
      </w:r>
      <w:r>
        <w:rPr>
          <w:rFonts w:ascii="Calibri" w:hAnsi="Calibri" w:cs="Calibri" w:eastAsia="Calibri" w:hint="default"/>
        </w:rPr>
        <w:t>10</w:t>
      </w:r>
      <w:r>
        <w:rPr/>
        <w:t>股送</w:t>
      </w:r>
      <w:r>
        <w:rPr>
          <w:rFonts w:ascii="Calibri" w:hAnsi="Calibri" w:cs="Calibri" w:eastAsia="Calibri" w:hint="default"/>
        </w:rPr>
        <w:t>2</w:t>
      </w:r>
      <w:r>
        <w:rPr/>
        <w:t>股红股，共增加股本</w:t>
      </w:r>
      <w:r>
        <w:rPr>
          <w:rFonts w:ascii="Calibri" w:hAnsi="Calibri" w:cs="Calibri" w:eastAsia="Calibri" w:hint="default"/>
        </w:rPr>
        <w:t>8,845.7333</w:t>
      </w:r>
      <w:r>
        <w:rPr/>
        <w:t>万元，该增资事项完成后，公司的股本增加为 </w:t>
      </w:r>
      <w:r>
        <w:rPr>
          <w:spacing w:val="-2"/>
        </w:rPr>
        <w:t>人民币</w:t>
      </w:r>
      <w:r>
        <w:rPr>
          <w:rFonts w:ascii="Calibri" w:hAnsi="Calibri" w:cs="Calibri" w:eastAsia="Calibri" w:hint="default"/>
          <w:spacing w:val="-2"/>
        </w:rPr>
        <w:t>53,074.4</w:t>
      </w:r>
      <w:r>
        <w:rPr>
          <w:spacing w:val="-2"/>
        </w:rPr>
        <w:t>万元。公司于</w:t>
      </w:r>
      <w:r>
        <w:rPr>
          <w:rFonts w:ascii="Calibri" w:hAnsi="Calibri" w:cs="Calibri" w:eastAsia="Calibri" w:hint="default"/>
          <w:spacing w:val="-2"/>
        </w:rPr>
        <w:t>2011</w:t>
      </w:r>
      <w:r>
        <w:rPr>
          <w:spacing w:val="-2"/>
        </w:rPr>
        <w:t>年</w:t>
      </w:r>
      <w:r>
        <w:rPr>
          <w:rFonts w:ascii="Calibri" w:hAnsi="Calibri" w:cs="Calibri" w:eastAsia="Calibri" w:hint="default"/>
          <w:spacing w:val="-2"/>
        </w:rPr>
        <w:t>10</w:t>
      </w:r>
      <w:r>
        <w:rPr>
          <w:spacing w:val="-2"/>
        </w:rPr>
        <w:t>月</w:t>
      </w:r>
      <w:r>
        <w:rPr>
          <w:rFonts w:ascii="Calibri" w:hAnsi="Calibri" w:cs="Calibri" w:eastAsia="Calibri" w:hint="default"/>
          <w:spacing w:val="-2"/>
        </w:rPr>
        <w:t>17</w:t>
      </w:r>
      <w:r>
        <w:rPr>
          <w:spacing w:val="-2"/>
        </w:rPr>
        <w:t>日在北京市工商行政管理局办理了变更登记</w:t>
      </w:r>
      <w:r>
        <w:rPr>
          <w:spacing w:val="-105"/>
        </w:rPr>
        <w:t> </w:t>
      </w:r>
      <w:r>
        <w:rPr>
          <w:spacing w:val="-105"/>
        </w:rPr>
      </w:r>
      <w:r>
        <w:rPr/>
        <w:t>手续，企业法人营业执照注册号为</w:t>
      </w:r>
      <w:r>
        <w:rPr>
          <w:rFonts w:ascii="Calibri" w:hAnsi="Calibri" w:cs="Calibri" w:eastAsia="Calibri" w:hint="default"/>
        </w:rPr>
        <w:t>1100000011930643</w:t>
      </w:r>
      <w:r>
        <w:rPr/>
        <w:t>。</w:t>
      </w:r>
    </w:p>
    <w:p>
      <w:pPr>
        <w:spacing w:after="0" w:line="326" w:lineRule="auto"/>
        <w:jc w:val="both"/>
        <w:sectPr>
          <w:pgSz w:w="12240" w:h="15840"/>
          <w:pgMar w:header="847" w:footer="987" w:top="1360" w:bottom="1180" w:left="1500" w:right="0"/>
        </w:sectPr>
      </w:pPr>
    </w:p>
    <w:p>
      <w:pPr>
        <w:pStyle w:val="BodyText"/>
        <w:spacing w:line="240" w:lineRule="auto" w:before="11"/>
        <w:ind w:right="1697"/>
        <w:jc w:val="left"/>
      </w:pPr>
      <w:r>
        <w:rPr/>
        <w:pict>
          <v:group style="position:absolute;margin-left:80.783997pt;margin-top:1.845647pt;width:450.6pt;height:.1pt;mso-position-horizontal-relative:page;mso-position-vertical-relative:paragraph;z-index:-865480" coordorigin="1616,37" coordsize="9012,2">
            <v:shape style="position:absolute;left:1616;top:37;width:9012;height:2" coordorigin="1616,37" coordsize="9012,0" path="m1616,37l10627,37e" filled="false" stroked="true" strokeweight=".71999pt" strokecolor="#000000">
              <v:path arrowok="t"/>
            </v:shape>
            <w10:wrap type="none"/>
          </v:group>
        </w:pict>
      </w:r>
      <w:r>
        <w:rPr/>
        <w:t>（二）历次变更中，公司税务登记证号码（</w:t>
      </w:r>
      <w:r>
        <w:rPr>
          <w:rFonts w:ascii="Calibri" w:hAnsi="Calibri" w:cs="Calibri" w:eastAsia="Calibri" w:hint="default"/>
        </w:rPr>
        <w:t>110108722618881</w:t>
      </w:r>
      <w:r>
        <w:rPr/>
        <w:t>）、组织机构代码</w:t>
      </w:r>
    </w:p>
    <w:p>
      <w:pPr>
        <w:pStyle w:val="BodyText"/>
        <w:spacing w:line="240" w:lineRule="auto" w:before="121"/>
        <w:ind w:right="1697"/>
        <w:jc w:val="left"/>
      </w:pPr>
      <w:r>
        <w:rPr/>
        <w:t>（</w:t>
      </w:r>
      <w:r>
        <w:rPr>
          <w:rFonts w:ascii="Calibri" w:hAnsi="Calibri" w:cs="Calibri" w:eastAsia="Calibri" w:hint="default"/>
        </w:rPr>
        <w:t>722661888-1</w:t>
      </w:r>
      <w:r>
        <w:rPr/>
        <w:t>）均未发生变化。</w:t>
      </w:r>
    </w:p>
    <w:p>
      <w:pPr>
        <w:spacing w:line="240" w:lineRule="auto" w:before="8"/>
        <w:rPr>
          <w:rFonts w:ascii="宋体" w:hAnsi="宋体" w:cs="宋体" w:eastAsia="宋体" w:hint="default"/>
          <w:sz w:val="18"/>
          <w:szCs w:val="18"/>
        </w:rPr>
      </w:pPr>
    </w:p>
    <w:p>
      <w:pPr>
        <w:pStyle w:val="BodyText"/>
        <w:spacing w:line="240" w:lineRule="auto"/>
        <w:ind w:right="1697"/>
        <w:jc w:val="left"/>
      </w:pPr>
      <w:r>
        <w:rPr/>
        <w:t>（三）主要分支机构的设立、变更情况</w:t>
      </w:r>
    </w:p>
    <w:p>
      <w:pPr>
        <w:spacing w:line="240" w:lineRule="auto" w:before="10"/>
        <w:rPr>
          <w:rFonts w:ascii="宋体" w:hAnsi="宋体" w:cs="宋体" w:eastAsia="宋体" w:hint="default"/>
          <w:sz w:val="20"/>
          <w:szCs w:val="20"/>
        </w:rPr>
      </w:pPr>
    </w:p>
    <w:p>
      <w:pPr>
        <w:pStyle w:val="BodyText"/>
        <w:spacing w:line="326" w:lineRule="auto"/>
        <w:ind w:right="1637" w:firstLine="479"/>
        <w:jc w:val="both"/>
      </w:pPr>
      <w:r>
        <w:rPr>
          <w:rFonts w:ascii="Calibri" w:hAnsi="Calibri" w:cs="Calibri" w:eastAsia="Calibri" w:hint="default"/>
          <w:spacing w:val="-2"/>
        </w:rPr>
        <w:t>1</w:t>
      </w:r>
      <w:r>
        <w:rPr>
          <w:spacing w:val="-2"/>
        </w:rPr>
        <w:t>、北京东华合创科技有限公司，本公司全资子公司，成立于</w:t>
      </w:r>
      <w:r>
        <w:rPr>
          <w:rFonts w:ascii="Calibri" w:hAnsi="Calibri" w:cs="Calibri" w:eastAsia="Calibri" w:hint="default"/>
          <w:spacing w:val="-2"/>
        </w:rPr>
        <w:t>2006</w:t>
      </w:r>
      <w:r>
        <w:rPr>
          <w:spacing w:val="-2"/>
        </w:rPr>
        <w:t>年</w:t>
      </w:r>
      <w:r>
        <w:rPr>
          <w:rFonts w:ascii="Calibri" w:hAnsi="Calibri" w:cs="Calibri" w:eastAsia="Calibri" w:hint="default"/>
          <w:spacing w:val="-2"/>
        </w:rPr>
        <w:t>10</w:t>
      </w:r>
      <w:r>
        <w:rPr>
          <w:spacing w:val="-2"/>
        </w:rPr>
        <w:t>月</w:t>
      </w:r>
      <w:r>
        <w:rPr>
          <w:rFonts w:ascii="Calibri" w:hAnsi="Calibri" w:cs="Calibri" w:eastAsia="Calibri" w:hint="default"/>
          <w:spacing w:val="-2"/>
        </w:rPr>
        <w:t>13</w:t>
      </w:r>
      <w:r>
        <w:rPr>
          <w:spacing w:val="-2"/>
        </w:rPr>
        <w:t>日，注</w:t>
      </w:r>
      <w:r>
        <w:rPr/>
        <w:t> </w:t>
      </w:r>
      <w:r>
        <w:rPr>
          <w:spacing w:val="-2"/>
        </w:rPr>
        <w:t>册资本</w:t>
      </w:r>
      <w:r>
        <w:rPr>
          <w:rFonts w:ascii="Calibri" w:hAnsi="Calibri" w:cs="Calibri" w:eastAsia="Calibri" w:hint="default"/>
          <w:spacing w:val="-2"/>
        </w:rPr>
        <w:t>2000</w:t>
      </w:r>
      <w:r>
        <w:rPr>
          <w:spacing w:val="-2"/>
        </w:rPr>
        <w:t>万元。根据</w:t>
      </w:r>
      <w:r>
        <w:rPr>
          <w:rFonts w:ascii="Calibri" w:hAnsi="Calibri" w:cs="Calibri" w:eastAsia="Calibri" w:hint="default"/>
          <w:spacing w:val="-2"/>
        </w:rPr>
        <w:t>2009</w:t>
      </w:r>
      <w:r>
        <w:rPr>
          <w:spacing w:val="-2"/>
        </w:rPr>
        <w:t>年</w:t>
      </w:r>
      <w:r>
        <w:rPr>
          <w:rFonts w:ascii="Calibri" w:hAnsi="Calibri" w:cs="Calibri" w:eastAsia="Calibri" w:hint="default"/>
          <w:spacing w:val="-2"/>
        </w:rPr>
        <w:t>4</w:t>
      </w:r>
      <w:r>
        <w:rPr>
          <w:spacing w:val="-2"/>
        </w:rPr>
        <w:t>月</w:t>
      </w:r>
      <w:r>
        <w:rPr>
          <w:rFonts w:ascii="Calibri" w:hAnsi="Calibri" w:cs="Calibri" w:eastAsia="Calibri" w:hint="default"/>
          <w:spacing w:val="-2"/>
        </w:rPr>
        <w:t>29</w:t>
      </w:r>
      <w:r>
        <w:rPr>
          <w:spacing w:val="-2"/>
        </w:rPr>
        <w:t>日的股东决定，以</w:t>
      </w:r>
      <w:r>
        <w:rPr>
          <w:rFonts w:ascii="Calibri" w:hAnsi="Calibri" w:cs="Calibri" w:eastAsia="Calibri" w:hint="default"/>
          <w:spacing w:val="-2"/>
        </w:rPr>
        <w:t>2008</w:t>
      </w:r>
      <w:r>
        <w:rPr>
          <w:spacing w:val="-2"/>
        </w:rPr>
        <w:t>年经审计的未分配利润</w:t>
      </w:r>
      <w:r>
        <w:rPr>
          <w:rFonts w:ascii="Calibri" w:hAnsi="Calibri" w:cs="Calibri" w:eastAsia="Calibri" w:hint="default"/>
          <w:spacing w:val="-2"/>
        </w:rPr>
        <w:t>4000</w:t>
      </w:r>
      <w:r>
        <w:rPr>
          <w:rFonts w:ascii="Calibri" w:hAnsi="Calibri" w:cs="Calibri" w:eastAsia="Calibri" w:hint="default"/>
          <w:spacing w:val="-53"/>
        </w:rPr>
        <w:t> </w:t>
      </w:r>
      <w:r>
        <w:rPr>
          <w:spacing w:val="-2"/>
        </w:rPr>
        <w:t>万元转增注册资本，变更后注册资本为人民币</w:t>
      </w:r>
      <w:r>
        <w:rPr>
          <w:rFonts w:ascii="Calibri" w:hAnsi="Calibri" w:cs="Calibri" w:eastAsia="Calibri" w:hint="default"/>
          <w:spacing w:val="-2"/>
        </w:rPr>
        <w:t>6000</w:t>
      </w:r>
      <w:r>
        <w:rPr>
          <w:spacing w:val="-2"/>
        </w:rPr>
        <w:t>万元；根据</w:t>
      </w:r>
      <w:r>
        <w:rPr>
          <w:rFonts w:ascii="Calibri" w:hAnsi="Calibri" w:cs="Calibri" w:eastAsia="Calibri" w:hint="default"/>
          <w:spacing w:val="-2"/>
        </w:rPr>
        <w:t>2010</w:t>
      </w:r>
      <w:r>
        <w:rPr>
          <w:spacing w:val="-2"/>
        </w:rPr>
        <w:t>年</w:t>
      </w:r>
      <w:r>
        <w:rPr>
          <w:rFonts w:ascii="Calibri" w:hAnsi="Calibri" w:cs="Calibri" w:eastAsia="Calibri" w:hint="default"/>
          <w:spacing w:val="-2"/>
        </w:rPr>
        <w:t>5</w:t>
      </w:r>
      <w:r>
        <w:rPr>
          <w:spacing w:val="-2"/>
        </w:rPr>
        <w:t>月</w:t>
      </w:r>
      <w:r>
        <w:rPr>
          <w:rFonts w:ascii="Calibri" w:hAnsi="Calibri" w:cs="Calibri" w:eastAsia="Calibri" w:hint="default"/>
          <w:spacing w:val="-2"/>
        </w:rPr>
        <w:t>19</w:t>
      </w:r>
      <w:r>
        <w:rPr>
          <w:spacing w:val="-2"/>
        </w:rPr>
        <w:t>日的股东决</w:t>
      </w:r>
      <w:r>
        <w:rPr>
          <w:spacing w:val="-106"/>
        </w:rPr>
        <w:t> </w:t>
      </w:r>
      <w:r>
        <w:rPr/>
        <w:t>定，以</w:t>
      </w:r>
      <w:r>
        <w:rPr>
          <w:rFonts w:ascii="Calibri" w:hAnsi="Calibri" w:cs="Calibri" w:eastAsia="Calibri" w:hint="default"/>
        </w:rPr>
        <w:t>2009</w:t>
      </w:r>
      <w:r>
        <w:rPr/>
        <w:t>年经审计的未分配利润</w:t>
      </w:r>
      <w:r>
        <w:rPr>
          <w:rFonts w:ascii="Calibri" w:hAnsi="Calibri" w:cs="Calibri" w:eastAsia="Calibri" w:hint="default"/>
        </w:rPr>
        <w:t>4000</w:t>
      </w:r>
      <w:r>
        <w:rPr/>
        <w:t>万元转增注册资本，变更后注册资本为人民币 </w:t>
      </w:r>
      <w:r>
        <w:rPr>
          <w:rFonts w:ascii="Calibri" w:hAnsi="Calibri" w:cs="Calibri" w:eastAsia="Calibri" w:hint="default"/>
        </w:rPr>
        <w:t>10000</w:t>
      </w:r>
      <w:r>
        <w:rPr/>
        <w:t>万元。相应工商变更登记手续均已完成。</w:t>
      </w:r>
    </w:p>
    <w:p>
      <w:pPr>
        <w:pStyle w:val="BodyText"/>
        <w:spacing w:line="324" w:lineRule="auto" w:before="135"/>
        <w:ind w:right="1557" w:firstLine="479"/>
        <w:jc w:val="left"/>
      </w:pPr>
      <w:r>
        <w:rPr>
          <w:rFonts w:ascii="Calibri" w:hAnsi="Calibri" w:cs="Calibri" w:eastAsia="Calibri" w:hint="default"/>
          <w:spacing w:val="-2"/>
        </w:rPr>
        <w:t>2</w:t>
      </w:r>
      <w:r>
        <w:rPr>
          <w:spacing w:val="-2"/>
        </w:rPr>
        <w:t>、北京联银通科技有限公司，本公司全资子公司，成立于</w:t>
      </w:r>
      <w:r>
        <w:rPr>
          <w:rFonts w:ascii="Calibri" w:hAnsi="Calibri" w:cs="Calibri" w:eastAsia="Calibri" w:hint="default"/>
          <w:spacing w:val="-2"/>
        </w:rPr>
        <w:t>2000</w:t>
      </w:r>
      <w:r>
        <w:rPr>
          <w:spacing w:val="-2"/>
        </w:rPr>
        <w:t>年</w:t>
      </w:r>
      <w:r>
        <w:rPr>
          <w:rFonts w:ascii="Calibri" w:hAnsi="Calibri" w:cs="Calibri" w:eastAsia="Calibri" w:hint="default"/>
          <w:spacing w:val="-2"/>
        </w:rPr>
        <w:t>2</w:t>
      </w:r>
      <w:r>
        <w:rPr>
          <w:spacing w:val="-2"/>
        </w:rPr>
        <w:t>月</w:t>
      </w:r>
      <w:r>
        <w:rPr>
          <w:rFonts w:ascii="Calibri" w:hAnsi="Calibri" w:cs="Calibri" w:eastAsia="Calibri" w:hint="default"/>
          <w:spacing w:val="-2"/>
        </w:rPr>
        <w:t>1</w:t>
      </w:r>
      <w:r>
        <w:rPr>
          <w:spacing w:val="-2"/>
        </w:rPr>
        <w:t>日，注册资</w:t>
      </w:r>
      <w:r>
        <w:rPr/>
        <w:t> 本</w:t>
      </w:r>
      <w:r>
        <w:rPr>
          <w:rFonts w:ascii="Calibri" w:hAnsi="Calibri" w:cs="Calibri" w:eastAsia="Calibri" w:hint="default"/>
        </w:rPr>
        <w:t>1000</w:t>
      </w:r>
      <w:r>
        <w:rPr/>
        <w:t>万元，于</w:t>
      </w:r>
      <w:r>
        <w:rPr>
          <w:rFonts w:ascii="Calibri" w:hAnsi="Calibri" w:cs="Calibri" w:eastAsia="Calibri" w:hint="default"/>
        </w:rPr>
        <w:t>2008</w:t>
      </w:r>
      <w:r>
        <w:rPr/>
        <w:t>年</w:t>
      </w:r>
      <w:r>
        <w:rPr>
          <w:rFonts w:ascii="Calibri" w:hAnsi="Calibri" w:cs="Calibri" w:eastAsia="Calibri" w:hint="default"/>
        </w:rPr>
        <w:t>2</w:t>
      </w:r>
      <w:r>
        <w:rPr/>
        <w:t>月被本公司以定向增发形式收购。根据</w:t>
      </w:r>
      <w:r>
        <w:rPr>
          <w:rFonts w:ascii="Calibri" w:hAnsi="Calibri" w:cs="Calibri" w:eastAsia="Calibri" w:hint="default"/>
        </w:rPr>
        <w:t>2008</w:t>
      </w:r>
      <w:r>
        <w:rPr/>
        <w:t>年</w:t>
      </w:r>
      <w:r>
        <w:rPr>
          <w:rFonts w:ascii="Calibri" w:hAnsi="Calibri" w:cs="Calibri" w:eastAsia="Calibri" w:hint="default"/>
        </w:rPr>
        <w:t>6</w:t>
      </w:r>
      <w:r>
        <w:rPr/>
        <w:t>月</w:t>
      </w:r>
      <w:r>
        <w:rPr>
          <w:rFonts w:ascii="Calibri" w:hAnsi="Calibri" w:cs="Calibri" w:eastAsia="Calibri" w:hint="default"/>
        </w:rPr>
        <w:t>27</w:t>
      </w:r>
      <w:r>
        <w:rPr/>
        <w:t>日的股东 </w:t>
      </w:r>
      <w:r>
        <w:rPr>
          <w:spacing w:val="-2"/>
        </w:rPr>
        <w:t>决定，以盈余公积</w:t>
      </w:r>
      <w:r>
        <w:rPr>
          <w:rFonts w:ascii="Calibri" w:hAnsi="Calibri" w:cs="Calibri" w:eastAsia="Calibri" w:hint="default"/>
          <w:spacing w:val="-2"/>
        </w:rPr>
        <w:t>250</w:t>
      </w:r>
      <w:r>
        <w:rPr>
          <w:spacing w:val="-2"/>
        </w:rPr>
        <w:t>万元、未分配利润</w:t>
      </w:r>
      <w:r>
        <w:rPr>
          <w:rFonts w:ascii="Calibri" w:hAnsi="Calibri" w:cs="Calibri" w:eastAsia="Calibri" w:hint="default"/>
          <w:spacing w:val="-2"/>
        </w:rPr>
        <w:t>3750</w:t>
      </w:r>
      <w:r>
        <w:rPr>
          <w:spacing w:val="-2"/>
        </w:rPr>
        <w:t>万元转增注册资本，变更后注册资本为人</w:t>
      </w:r>
      <w:r>
        <w:rPr>
          <w:spacing w:val="-102"/>
        </w:rPr>
        <w:t> </w:t>
      </w:r>
      <w:r>
        <w:rPr>
          <w:spacing w:val="-102"/>
        </w:rPr>
      </w:r>
      <w:r>
        <w:rPr/>
        <w:t>民币</w:t>
      </w:r>
      <w:r>
        <w:rPr>
          <w:rFonts w:ascii="Calibri" w:hAnsi="Calibri" w:cs="Calibri" w:eastAsia="Calibri" w:hint="default"/>
        </w:rPr>
        <w:t>5000</w:t>
      </w:r>
      <w:r>
        <w:rPr/>
        <w:t>万元；根据</w:t>
      </w:r>
      <w:r>
        <w:rPr>
          <w:rFonts w:ascii="Calibri" w:hAnsi="Calibri" w:cs="Calibri" w:eastAsia="Calibri" w:hint="default"/>
        </w:rPr>
        <w:t>2010</w:t>
      </w:r>
      <w:r>
        <w:rPr/>
        <w:t>年</w:t>
      </w:r>
      <w:r>
        <w:rPr>
          <w:rFonts w:ascii="Calibri" w:hAnsi="Calibri" w:cs="Calibri" w:eastAsia="Calibri" w:hint="default"/>
        </w:rPr>
        <w:t>5</w:t>
      </w:r>
      <w:r>
        <w:rPr/>
        <w:t>月</w:t>
      </w:r>
      <w:r>
        <w:rPr>
          <w:rFonts w:ascii="Calibri" w:hAnsi="Calibri" w:cs="Calibri" w:eastAsia="Calibri" w:hint="default"/>
        </w:rPr>
        <w:t>24</w:t>
      </w:r>
      <w:r>
        <w:rPr/>
        <w:t>日的股东决定，以</w:t>
      </w:r>
      <w:r>
        <w:rPr>
          <w:rFonts w:ascii="Calibri" w:hAnsi="Calibri" w:cs="Calibri" w:eastAsia="Calibri" w:hint="default"/>
        </w:rPr>
        <w:t>2009</w:t>
      </w:r>
      <w:r>
        <w:rPr/>
        <w:t>年经审计的未分配利润</w:t>
      </w:r>
      <w:r>
        <w:rPr>
          <w:rFonts w:ascii="Calibri" w:hAnsi="Calibri" w:cs="Calibri" w:eastAsia="Calibri" w:hint="default"/>
        </w:rPr>
        <w:t>3000 </w:t>
      </w:r>
      <w:r>
        <w:rPr/>
        <w:t>万元转增注册资本，变更后注册资本为人民币</w:t>
      </w:r>
      <w:r>
        <w:rPr>
          <w:rFonts w:ascii="Calibri" w:hAnsi="Calibri" w:cs="Calibri" w:eastAsia="Calibri" w:hint="default"/>
        </w:rPr>
        <w:t>8000</w:t>
      </w:r>
      <w:r>
        <w:rPr/>
        <w:t>万元。相应工商变更登记手续均已 完成。</w:t>
      </w:r>
    </w:p>
    <w:p>
      <w:pPr>
        <w:pStyle w:val="BodyText"/>
        <w:spacing w:line="326" w:lineRule="auto" w:before="188"/>
        <w:ind w:right="1557" w:firstLine="479"/>
        <w:jc w:val="left"/>
      </w:pPr>
      <w:r>
        <w:rPr>
          <w:rFonts w:ascii="Calibri" w:hAnsi="Calibri" w:cs="Calibri" w:eastAsia="Calibri" w:hint="default"/>
        </w:rPr>
        <w:t>3</w:t>
      </w:r>
      <w:r>
        <w:rPr/>
        <w:t>、北京神州新桥科技有限公司，本公司全资子公司，成立于</w:t>
      </w:r>
      <w:r>
        <w:rPr>
          <w:rFonts w:ascii="Calibri" w:hAnsi="Calibri" w:cs="Calibri" w:eastAsia="Calibri" w:hint="default"/>
        </w:rPr>
        <w:t>2001</w:t>
      </w:r>
      <w:r>
        <w:rPr/>
        <w:t>年</w:t>
      </w:r>
      <w:r>
        <w:rPr>
          <w:rFonts w:ascii="Calibri" w:hAnsi="Calibri" w:cs="Calibri" w:eastAsia="Calibri" w:hint="default"/>
        </w:rPr>
        <w:t>7</w:t>
      </w:r>
      <w:r>
        <w:rPr/>
        <w:t>月</w:t>
      </w:r>
      <w:r>
        <w:rPr>
          <w:rFonts w:ascii="Calibri" w:hAnsi="Calibri" w:cs="Calibri" w:eastAsia="Calibri" w:hint="default"/>
        </w:rPr>
        <w:t>30</w:t>
      </w:r>
      <w:r>
        <w:rPr/>
        <w:t>日，注 册资本</w:t>
      </w:r>
      <w:r>
        <w:rPr>
          <w:rFonts w:ascii="Calibri" w:hAnsi="Calibri" w:cs="Calibri" w:eastAsia="Calibri" w:hint="default"/>
        </w:rPr>
        <w:t>3000</w:t>
      </w:r>
      <w:r>
        <w:rPr/>
        <w:t>万元，于</w:t>
      </w:r>
      <w:r>
        <w:rPr>
          <w:rFonts w:ascii="Calibri" w:hAnsi="Calibri" w:cs="Calibri" w:eastAsia="Calibri" w:hint="default"/>
        </w:rPr>
        <w:t>2011</w:t>
      </w:r>
      <w:r>
        <w:rPr/>
        <w:t>年</w:t>
      </w:r>
      <w:r>
        <w:rPr>
          <w:rFonts w:ascii="Calibri" w:hAnsi="Calibri" w:cs="Calibri" w:eastAsia="Calibri" w:hint="default"/>
        </w:rPr>
        <w:t>2</w:t>
      </w:r>
      <w:r>
        <w:rPr/>
        <w:t>月被本公司以定向增发形式收购。根据</w:t>
      </w:r>
      <w:r>
        <w:rPr>
          <w:rFonts w:ascii="Calibri" w:hAnsi="Calibri" w:cs="Calibri" w:eastAsia="Calibri" w:hint="default"/>
        </w:rPr>
        <w:t>2011</w:t>
      </w:r>
      <w:r>
        <w:rPr/>
        <w:t>年</w:t>
      </w:r>
      <w:r>
        <w:rPr>
          <w:rFonts w:ascii="Calibri" w:hAnsi="Calibri" w:cs="Calibri" w:eastAsia="Calibri" w:hint="default"/>
        </w:rPr>
        <w:t>4</w:t>
      </w:r>
      <w:r>
        <w:rPr/>
        <w:t>月</w:t>
      </w:r>
      <w:r>
        <w:rPr>
          <w:rFonts w:ascii="Calibri" w:hAnsi="Calibri" w:cs="Calibri" w:eastAsia="Calibri" w:hint="default"/>
        </w:rPr>
        <w:t>11</w:t>
      </w:r>
      <w:r>
        <w:rPr/>
        <w:t>日的 股东决定，以</w:t>
      </w:r>
      <w:r>
        <w:rPr>
          <w:rFonts w:ascii="Calibri" w:hAnsi="Calibri" w:cs="Calibri" w:eastAsia="Calibri" w:hint="default"/>
        </w:rPr>
        <w:t>2009</w:t>
      </w:r>
      <w:r>
        <w:rPr/>
        <w:t>年经审计的盈余公积</w:t>
      </w:r>
      <w:r>
        <w:rPr>
          <w:rFonts w:ascii="Calibri" w:hAnsi="Calibri" w:cs="Calibri" w:eastAsia="Calibri" w:hint="default"/>
        </w:rPr>
        <w:t>500</w:t>
      </w:r>
      <w:r>
        <w:rPr/>
        <w:t>万元、未分配利润</w:t>
      </w:r>
      <w:r>
        <w:rPr>
          <w:rFonts w:ascii="Calibri" w:hAnsi="Calibri" w:cs="Calibri" w:eastAsia="Calibri" w:hint="default"/>
        </w:rPr>
        <w:t>5500</w:t>
      </w:r>
      <w:r>
        <w:rPr/>
        <w:t>万元转增注册资本， 变更后注册资本为人民币</w:t>
      </w:r>
      <w:r>
        <w:rPr>
          <w:rFonts w:ascii="Calibri" w:hAnsi="Calibri" w:cs="Calibri" w:eastAsia="Calibri" w:hint="default"/>
        </w:rPr>
        <w:t>9000</w:t>
      </w:r>
      <w:r>
        <w:rPr/>
        <w:t>万元。相应工商变更登记手续均已完成。</w:t>
      </w:r>
    </w:p>
    <w:p>
      <w:pPr>
        <w:pStyle w:val="BodyText"/>
        <w:spacing w:line="240" w:lineRule="auto" w:before="135"/>
        <w:ind w:left="624" w:right="1557"/>
        <w:jc w:val="left"/>
        <w:rPr>
          <w:rFonts w:ascii="Calibri" w:hAnsi="Calibri" w:cs="Calibri" w:eastAsia="Calibri" w:hint="default"/>
        </w:rPr>
      </w:pPr>
      <w:r>
        <w:rPr>
          <w:rFonts w:ascii="Calibri" w:hAnsi="Calibri" w:cs="Calibri" w:eastAsia="Calibri" w:hint="default"/>
          <w:spacing w:val="-3"/>
        </w:rPr>
        <w:t>4</w:t>
      </w:r>
      <w:r>
        <w:rPr>
          <w:spacing w:val="-3"/>
        </w:rPr>
        <w:t>、广州东华合创数码科技有限公司，本公司控股（</w:t>
      </w:r>
      <w:r>
        <w:rPr>
          <w:rFonts w:ascii="Calibri" w:hAnsi="Calibri" w:cs="Calibri" w:eastAsia="Calibri" w:hint="default"/>
          <w:spacing w:val="-3"/>
        </w:rPr>
        <w:t>90%</w:t>
      </w:r>
      <w:r>
        <w:rPr>
          <w:spacing w:val="-3"/>
        </w:rPr>
        <w:t>）子公司，成立于</w:t>
      </w:r>
      <w:r>
        <w:rPr>
          <w:rFonts w:ascii="Calibri" w:hAnsi="Calibri" w:cs="Calibri" w:eastAsia="Calibri" w:hint="default"/>
          <w:spacing w:val="-3"/>
        </w:rPr>
        <w:t>2001</w:t>
      </w:r>
      <w:r>
        <w:rPr>
          <w:spacing w:val="-3"/>
        </w:rPr>
        <w:t>年</w:t>
      </w:r>
      <w:r>
        <w:rPr>
          <w:rFonts w:ascii="Calibri" w:hAnsi="Calibri" w:cs="Calibri" w:eastAsia="Calibri" w:hint="default"/>
          <w:spacing w:val="-3"/>
        </w:rPr>
        <w:t>9</w:t>
      </w:r>
    </w:p>
    <w:p>
      <w:pPr>
        <w:pStyle w:val="BodyText"/>
        <w:spacing w:line="240" w:lineRule="auto" w:before="123"/>
        <w:ind w:right="1697"/>
        <w:jc w:val="left"/>
      </w:pPr>
      <w:r>
        <w:rPr/>
        <w:t>月</w:t>
      </w:r>
      <w:r>
        <w:rPr>
          <w:rFonts w:ascii="Calibri" w:hAnsi="Calibri" w:cs="Calibri" w:eastAsia="Calibri" w:hint="default"/>
        </w:rPr>
        <w:t>6</w:t>
      </w:r>
      <w:r>
        <w:rPr/>
        <w:t>日，注册资本</w:t>
      </w:r>
      <w:r>
        <w:rPr>
          <w:rFonts w:ascii="Calibri" w:hAnsi="Calibri" w:cs="Calibri" w:eastAsia="Calibri" w:hint="default"/>
        </w:rPr>
        <w:t>100</w:t>
      </w:r>
      <w:r>
        <w:rPr/>
        <w:t>万元。</w:t>
      </w:r>
    </w:p>
    <w:p>
      <w:pPr>
        <w:spacing w:line="240" w:lineRule="auto" w:before="5"/>
        <w:rPr>
          <w:rFonts w:ascii="宋体" w:hAnsi="宋体" w:cs="宋体" w:eastAsia="宋体" w:hint="default"/>
          <w:sz w:val="18"/>
          <w:szCs w:val="18"/>
        </w:rPr>
      </w:pPr>
    </w:p>
    <w:p>
      <w:pPr>
        <w:pStyle w:val="BodyText"/>
        <w:spacing w:line="326" w:lineRule="auto"/>
        <w:ind w:right="1637" w:firstLine="479"/>
        <w:jc w:val="both"/>
      </w:pPr>
      <w:r>
        <w:rPr>
          <w:rFonts w:ascii="Calibri" w:hAnsi="Calibri" w:cs="Calibri" w:eastAsia="Calibri" w:hint="default"/>
        </w:rPr>
        <w:t>5</w:t>
      </w:r>
      <w:r>
        <w:rPr/>
        <w:t>、泰安东华合创软件有限公司，本公司全资子公司，成立于</w:t>
      </w:r>
      <w:r>
        <w:rPr>
          <w:rFonts w:ascii="Calibri" w:hAnsi="Calibri" w:cs="Calibri" w:eastAsia="Calibri" w:hint="default"/>
        </w:rPr>
        <w:t>2006</w:t>
      </w:r>
      <w:r>
        <w:rPr/>
        <w:t>年</w:t>
      </w:r>
      <w:r>
        <w:rPr>
          <w:rFonts w:ascii="Calibri" w:hAnsi="Calibri" w:cs="Calibri" w:eastAsia="Calibri" w:hint="default"/>
        </w:rPr>
        <w:t>5</w:t>
      </w:r>
      <w:r>
        <w:rPr/>
        <w:t>月</w:t>
      </w:r>
      <w:r>
        <w:rPr>
          <w:rFonts w:ascii="Calibri" w:hAnsi="Calibri" w:cs="Calibri" w:eastAsia="Calibri" w:hint="default"/>
        </w:rPr>
        <w:t>25</w:t>
      </w:r>
      <w:r>
        <w:rPr/>
        <w:t>日，注 </w:t>
      </w:r>
      <w:r>
        <w:rPr>
          <w:spacing w:val="-2"/>
        </w:rPr>
        <w:t>册资本</w:t>
      </w:r>
      <w:r>
        <w:rPr>
          <w:rFonts w:ascii="Calibri" w:hAnsi="Calibri" w:cs="Calibri" w:eastAsia="Calibri" w:hint="default"/>
          <w:spacing w:val="-2"/>
        </w:rPr>
        <w:t>500</w:t>
      </w:r>
      <w:r>
        <w:rPr>
          <w:spacing w:val="-2"/>
        </w:rPr>
        <w:t>万元，并先后于</w:t>
      </w:r>
      <w:r>
        <w:rPr>
          <w:rFonts w:ascii="Calibri" w:hAnsi="Calibri" w:cs="Calibri" w:eastAsia="Calibri" w:hint="default"/>
          <w:spacing w:val="-2"/>
        </w:rPr>
        <w:t>2007</w:t>
      </w:r>
      <w:r>
        <w:rPr>
          <w:spacing w:val="-2"/>
        </w:rPr>
        <w:t>年</w:t>
      </w:r>
      <w:r>
        <w:rPr>
          <w:rFonts w:ascii="Calibri" w:hAnsi="Calibri" w:cs="Calibri" w:eastAsia="Calibri" w:hint="default"/>
          <w:spacing w:val="-2"/>
        </w:rPr>
        <w:t>1</w:t>
      </w:r>
      <w:r>
        <w:rPr>
          <w:spacing w:val="-2"/>
        </w:rPr>
        <w:t>月增资至</w:t>
      </w:r>
      <w:r>
        <w:rPr>
          <w:rFonts w:ascii="Calibri" w:hAnsi="Calibri" w:cs="Calibri" w:eastAsia="Calibri" w:hint="default"/>
          <w:spacing w:val="-2"/>
        </w:rPr>
        <w:t>2800</w:t>
      </w:r>
      <w:r>
        <w:rPr>
          <w:spacing w:val="-2"/>
        </w:rPr>
        <w:t>万元，</w:t>
      </w:r>
      <w:r>
        <w:rPr>
          <w:rFonts w:ascii="Calibri" w:hAnsi="Calibri" w:cs="Calibri" w:eastAsia="Calibri" w:hint="default"/>
          <w:spacing w:val="-2"/>
        </w:rPr>
        <w:t>2011</w:t>
      </w:r>
      <w:r>
        <w:rPr>
          <w:spacing w:val="-2"/>
        </w:rPr>
        <w:t>年</w:t>
      </w:r>
      <w:r>
        <w:rPr>
          <w:rFonts w:ascii="Calibri" w:hAnsi="Calibri" w:cs="Calibri" w:eastAsia="Calibri" w:hint="default"/>
          <w:spacing w:val="-2"/>
        </w:rPr>
        <w:t>3</w:t>
      </w:r>
      <w:r>
        <w:rPr>
          <w:spacing w:val="-2"/>
        </w:rPr>
        <w:t>月增资至</w:t>
      </w:r>
      <w:r>
        <w:rPr>
          <w:rFonts w:ascii="Calibri" w:hAnsi="Calibri" w:cs="Calibri" w:eastAsia="Calibri" w:hint="default"/>
          <w:spacing w:val="-2"/>
        </w:rPr>
        <w:t>3800</w:t>
      </w:r>
      <w:r>
        <w:rPr>
          <w:spacing w:val="-2"/>
        </w:rPr>
        <w:t>万元，相</w:t>
      </w:r>
      <w:r>
        <w:rPr/>
        <w:t> 应工商变更登记手续均已完成。</w:t>
      </w:r>
    </w:p>
    <w:p>
      <w:pPr>
        <w:pStyle w:val="BodyText"/>
        <w:spacing w:line="326" w:lineRule="auto" w:before="185"/>
        <w:ind w:right="1557" w:firstLine="479"/>
        <w:jc w:val="left"/>
      </w:pPr>
      <w:r>
        <w:rPr>
          <w:rFonts w:ascii="Calibri" w:hAnsi="Calibri" w:cs="Calibri" w:eastAsia="Calibri" w:hint="default"/>
          <w:spacing w:val="-2"/>
        </w:rPr>
        <w:t>6</w:t>
      </w:r>
      <w:r>
        <w:rPr>
          <w:spacing w:val="-2"/>
        </w:rPr>
        <w:t>、北京东华合创香港有限公司，本公司全资子公司，成立于</w:t>
      </w:r>
      <w:r>
        <w:rPr>
          <w:rFonts w:ascii="Calibri" w:hAnsi="Calibri" w:cs="Calibri" w:eastAsia="Calibri" w:hint="default"/>
          <w:spacing w:val="-2"/>
        </w:rPr>
        <w:t>2008</w:t>
      </w:r>
      <w:r>
        <w:rPr>
          <w:spacing w:val="-2"/>
        </w:rPr>
        <w:t>年</w:t>
      </w:r>
      <w:r>
        <w:rPr>
          <w:rFonts w:ascii="Calibri" w:hAnsi="Calibri" w:cs="Calibri" w:eastAsia="Calibri" w:hint="default"/>
          <w:spacing w:val="-2"/>
        </w:rPr>
        <w:t>7</w:t>
      </w:r>
      <w:r>
        <w:rPr>
          <w:spacing w:val="-2"/>
        </w:rPr>
        <w:t>月</w:t>
      </w:r>
      <w:r>
        <w:rPr>
          <w:rFonts w:ascii="Calibri" w:hAnsi="Calibri" w:cs="Calibri" w:eastAsia="Calibri" w:hint="default"/>
          <w:spacing w:val="-2"/>
        </w:rPr>
        <w:t>2</w:t>
      </w:r>
      <w:r>
        <w:rPr>
          <w:spacing w:val="-2"/>
        </w:rPr>
        <w:t>日，注册</w:t>
      </w:r>
      <w:r>
        <w:rPr/>
        <w:t> 资本</w:t>
      </w:r>
      <w:r>
        <w:rPr>
          <w:rFonts w:ascii="Calibri" w:hAnsi="Calibri" w:cs="Calibri" w:eastAsia="Calibri" w:hint="default"/>
        </w:rPr>
        <w:t>1000</w:t>
      </w:r>
      <w:r>
        <w:rPr/>
        <w:t>万港元。</w:t>
      </w:r>
    </w:p>
    <w:p>
      <w:pPr>
        <w:spacing w:after="0" w:line="326" w:lineRule="auto"/>
        <w:jc w:val="left"/>
        <w:sectPr>
          <w:pgSz w:w="12240" w:h="15840"/>
          <w:pgMar w:header="847" w:footer="987" w:top="1360" w:bottom="1180" w:left="1500" w:right="0"/>
        </w:sectPr>
      </w:pPr>
    </w:p>
    <w:p>
      <w:pPr>
        <w:pStyle w:val="BodyText"/>
        <w:spacing w:line="324" w:lineRule="auto" w:before="11"/>
        <w:ind w:right="1683" w:firstLine="479"/>
        <w:jc w:val="left"/>
      </w:pPr>
      <w:r>
        <w:rPr/>
        <w:pict>
          <v:group style="position:absolute;margin-left:80.783997pt;margin-top:1.845647pt;width:450.6pt;height:.1pt;mso-position-horizontal-relative:page;mso-position-vertical-relative:paragraph;z-index:-865456"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Calibri" w:hAnsi="Calibri" w:cs="Calibri" w:eastAsia="Calibri" w:hint="default"/>
        </w:rPr>
        <w:t>7</w:t>
      </w:r>
      <w:r>
        <w:rPr/>
        <w:t>、北京厚盾科技有限公司，本公司全资子公司，成立于</w:t>
      </w:r>
      <w:r>
        <w:rPr>
          <w:rFonts w:ascii="Calibri" w:hAnsi="Calibri" w:cs="Calibri" w:eastAsia="Calibri" w:hint="default"/>
        </w:rPr>
        <w:t>2003</w:t>
      </w:r>
      <w:r>
        <w:rPr/>
        <w:t>年</w:t>
      </w:r>
      <w:r>
        <w:rPr>
          <w:rFonts w:ascii="Calibri" w:hAnsi="Calibri" w:cs="Calibri" w:eastAsia="Calibri" w:hint="default"/>
        </w:rPr>
        <w:t>8</w:t>
      </w:r>
      <w:r>
        <w:rPr/>
        <w:t>月</w:t>
      </w:r>
      <w:r>
        <w:rPr>
          <w:rFonts w:ascii="Calibri" w:hAnsi="Calibri" w:cs="Calibri" w:eastAsia="Calibri" w:hint="default"/>
        </w:rPr>
        <w:t>28</w:t>
      </w:r>
      <w:r>
        <w:rPr/>
        <w:t>日，注册资 本</w:t>
      </w:r>
      <w:r>
        <w:rPr>
          <w:rFonts w:ascii="Calibri" w:hAnsi="Calibri" w:cs="Calibri" w:eastAsia="Calibri" w:hint="default"/>
        </w:rPr>
        <w:t>500</w:t>
      </w:r>
      <w:r>
        <w:rPr/>
        <w:t>万元，于</w:t>
      </w:r>
      <w:r>
        <w:rPr>
          <w:rFonts w:ascii="Calibri" w:hAnsi="Calibri" w:cs="Calibri" w:eastAsia="Calibri" w:hint="default"/>
        </w:rPr>
        <w:t>2009</w:t>
      </w:r>
      <w:r>
        <w:rPr/>
        <w:t>年</w:t>
      </w:r>
      <w:r>
        <w:rPr>
          <w:rFonts w:ascii="Calibri" w:hAnsi="Calibri" w:cs="Calibri" w:eastAsia="Calibri" w:hint="default"/>
        </w:rPr>
        <w:t>10</w:t>
      </w:r>
      <w:r>
        <w:rPr/>
        <w:t>月被本公司以现金方式收购。</w:t>
      </w:r>
    </w:p>
    <w:p>
      <w:pPr>
        <w:pStyle w:val="BodyText"/>
        <w:spacing w:line="324" w:lineRule="auto" w:before="140"/>
        <w:ind w:right="1557" w:firstLine="479"/>
        <w:jc w:val="left"/>
      </w:pPr>
      <w:r>
        <w:rPr>
          <w:rFonts w:ascii="Calibri" w:hAnsi="Calibri" w:cs="Calibri" w:eastAsia="Calibri" w:hint="default"/>
          <w:spacing w:val="-2"/>
        </w:rPr>
        <w:t>8</w:t>
      </w:r>
      <w:r>
        <w:rPr>
          <w:spacing w:val="-2"/>
        </w:rPr>
        <w:t>、东华软件工程有限公司，本公司全资子公司，成立于</w:t>
      </w:r>
      <w:r>
        <w:rPr>
          <w:rFonts w:ascii="Calibri" w:hAnsi="Calibri" w:cs="Calibri" w:eastAsia="Calibri" w:hint="default"/>
          <w:spacing w:val="-2"/>
        </w:rPr>
        <w:t>2009</w:t>
      </w:r>
      <w:r>
        <w:rPr>
          <w:spacing w:val="-2"/>
        </w:rPr>
        <w:t>年</w:t>
      </w:r>
      <w:r>
        <w:rPr>
          <w:rFonts w:ascii="Calibri" w:hAnsi="Calibri" w:cs="Calibri" w:eastAsia="Calibri" w:hint="default"/>
          <w:spacing w:val="-2"/>
        </w:rPr>
        <w:t>12</w:t>
      </w:r>
      <w:r>
        <w:rPr>
          <w:spacing w:val="-2"/>
        </w:rPr>
        <w:t>月</w:t>
      </w:r>
      <w:r>
        <w:rPr>
          <w:rFonts w:ascii="Calibri" w:hAnsi="Calibri" w:cs="Calibri" w:eastAsia="Calibri" w:hint="default"/>
          <w:spacing w:val="-2"/>
        </w:rPr>
        <w:t>16</w:t>
      </w:r>
      <w:r>
        <w:rPr>
          <w:spacing w:val="-2"/>
        </w:rPr>
        <w:t>日，注册资</w:t>
      </w:r>
      <w:r>
        <w:rPr/>
        <w:t> 本</w:t>
      </w:r>
      <w:r>
        <w:rPr>
          <w:rFonts w:ascii="Calibri" w:hAnsi="Calibri" w:cs="Calibri" w:eastAsia="Calibri" w:hint="default"/>
        </w:rPr>
        <w:t>5000</w:t>
      </w:r>
      <w:r>
        <w:rPr/>
        <w:t>万元。</w:t>
      </w:r>
    </w:p>
    <w:p>
      <w:pPr>
        <w:pStyle w:val="BodyText"/>
        <w:spacing w:line="324" w:lineRule="auto" w:before="140"/>
        <w:ind w:right="1557" w:firstLine="479"/>
        <w:jc w:val="left"/>
      </w:pPr>
      <w:r>
        <w:rPr>
          <w:rFonts w:ascii="Calibri" w:hAnsi="Calibri" w:cs="Calibri" w:eastAsia="Calibri" w:hint="default"/>
          <w:spacing w:val="-2"/>
        </w:rPr>
        <w:t>9</w:t>
      </w:r>
      <w:r>
        <w:rPr>
          <w:spacing w:val="-2"/>
        </w:rPr>
        <w:t>、哈尔滨东华软件有限公司，本公司全资子公司，成立于</w:t>
      </w:r>
      <w:r>
        <w:rPr>
          <w:rFonts w:ascii="Calibri" w:hAnsi="Calibri" w:cs="Calibri" w:eastAsia="Calibri" w:hint="default"/>
          <w:spacing w:val="-2"/>
        </w:rPr>
        <w:t>2010</w:t>
      </w:r>
      <w:r>
        <w:rPr>
          <w:spacing w:val="-2"/>
        </w:rPr>
        <w:t>年</w:t>
      </w:r>
      <w:r>
        <w:rPr>
          <w:rFonts w:ascii="Calibri" w:hAnsi="Calibri" w:cs="Calibri" w:eastAsia="Calibri" w:hint="default"/>
          <w:spacing w:val="-2"/>
        </w:rPr>
        <w:t>1</w:t>
      </w:r>
      <w:r>
        <w:rPr>
          <w:spacing w:val="-2"/>
        </w:rPr>
        <w:t>月</w:t>
      </w:r>
      <w:r>
        <w:rPr>
          <w:rFonts w:ascii="Calibri" w:hAnsi="Calibri" w:cs="Calibri" w:eastAsia="Calibri" w:hint="default"/>
          <w:spacing w:val="-2"/>
        </w:rPr>
        <w:t>6</w:t>
      </w:r>
      <w:r>
        <w:rPr>
          <w:spacing w:val="-2"/>
        </w:rPr>
        <w:t>日，注册资</w:t>
      </w:r>
      <w:r>
        <w:rPr/>
        <w:t> 本</w:t>
      </w:r>
      <w:r>
        <w:rPr>
          <w:rFonts w:ascii="Calibri" w:hAnsi="Calibri" w:cs="Calibri" w:eastAsia="Calibri" w:hint="default"/>
        </w:rPr>
        <w:t>2000</w:t>
      </w:r>
      <w:r>
        <w:rPr/>
        <w:t>万元。</w:t>
      </w:r>
    </w:p>
    <w:p>
      <w:pPr>
        <w:pStyle w:val="BodyText"/>
        <w:spacing w:line="326" w:lineRule="auto" w:before="140"/>
        <w:ind w:right="1557" w:firstLine="479"/>
        <w:jc w:val="left"/>
      </w:pPr>
      <w:r>
        <w:rPr>
          <w:rFonts w:ascii="Calibri" w:hAnsi="Calibri" w:cs="Calibri" w:eastAsia="Calibri" w:hint="default"/>
          <w:spacing w:val="-2"/>
        </w:rPr>
        <w:t>10</w:t>
      </w:r>
      <w:r>
        <w:rPr>
          <w:spacing w:val="-2"/>
        </w:rPr>
        <w:t>、东华合创软件有限公司，本公司全资子公司，成立于</w:t>
      </w:r>
      <w:r>
        <w:rPr>
          <w:rFonts w:ascii="Calibri" w:hAnsi="Calibri" w:cs="Calibri" w:eastAsia="Calibri" w:hint="default"/>
          <w:spacing w:val="-2"/>
        </w:rPr>
        <w:t>2010</w:t>
      </w:r>
      <w:r>
        <w:rPr>
          <w:spacing w:val="-2"/>
        </w:rPr>
        <w:t>年</w:t>
      </w:r>
      <w:r>
        <w:rPr>
          <w:rFonts w:ascii="Calibri" w:hAnsi="Calibri" w:cs="Calibri" w:eastAsia="Calibri" w:hint="default"/>
          <w:spacing w:val="-2"/>
        </w:rPr>
        <w:t>1</w:t>
      </w:r>
      <w:r>
        <w:rPr>
          <w:spacing w:val="-2"/>
        </w:rPr>
        <w:t>月</w:t>
      </w:r>
      <w:r>
        <w:rPr>
          <w:rFonts w:ascii="Calibri" w:hAnsi="Calibri" w:cs="Calibri" w:eastAsia="Calibri" w:hint="default"/>
          <w:spacing w:val="-2"/>
        </w:rPr>
        <w:t>15</w:t>
      </w:r>
      <w:r>
        <w:rPr>
          <w:spacing w:val="-2"/>
        </w:rPr>
        <w:t>日，注册资</w:t>
      </w:r>
      <w:r>
        <w:rPr/>
        <w:t> 本</w:t>
      </w:r>
      <w:r>
        <w:rPr>
          <w:rFonts w:ascii="Calibri" w:hAnsi="Calibri" w:cs="Calibri" w:eastAsia="Calibri" w:hint="default"/>
        </w:rPr>
        <w:t>5000</w:t>
      </w:r>
      <w:r>
        <w:rPr/>
        <w:t>万元。</w:t>
      </w:r>
    </w:p>
    <w:p>
      <w:pPr>
        <w:pStyle w:val="BodyText"/>
        <w:spacing w:line="326" w:lineRule="auto" w:before="135"/>
        <w:ind w:right="1697" w:firstLine="479"/>
        <w:jc w:val="left"/>
      </w:pPr>
      <w:r>
        <w:rPr>
          <w:rFonts w:ascii="Calibri" w:hAnsi="Calibri" w:cs="Calibri" w:eastAsia="Calibri" w:hint="default"/>
          <w:spacing w:val="-1"/>
        </w:rPr>
        <w:t>11</w:t>
      </w:r>
      <w:r>
        <w:rPr>
          <w:spacing w:val="-1"/>
        </w:rPr>
        <w:t>、东华软件技术有限公司，本公司全资子公司，成立于</w:t>
      </w:r>
      <w:r>
        <w:rPr>
          <w:rFonts w:ascii="Calibri" w:hAnsi="Calibri" w:cs="Calibri" w:eastAsia="Calibri" w:hint="default"/>
          <w:spacing w:val="-1"/>
        </w:rPr>
        <w:t>2010</w:t>
      </w:r>
      <w:r>
        <w:rPr>
          <w:spacing w:val="-1"/>
        </w:rPr>
        <w:t>年</w:t>
      </w:r>
      <w:r>
        <w:rPr>
          <w:rFonts w:ascii="Calibri" w:hAnsi="Calibri" w:cs="Calibri" w:eastAsia="Calibri" w:hint="default"/>
          <w:spacing w:val="-1"/>
        </w:rPr>
        <w:t>7</w:t>
      </w:r>
      <w:r>
        <w:rPr>
          <w:spacing w:val="-1"/>
        </w:rPr>
        <w:t>月</w:t>
      </w:r>
      <w:r>
        <w:rPr>
          <w:rFonts w:ascii="Calibri" w:hAnsi="Calibri" w:cs="Calibri" w:eastAsia="Calibri" w:hint="default"/>
          <w:spacing w:val="-1"/>
        </w:rPr>
        <w:t>7</w:t>
      </w:r>
      <w:r>
        <w:rPr>
          <w:spacing w:val="-1"/>
        </w:rPr>
        <w:t>日，注册资</w:t>
      </w:r>
      <w:r>
        <w:rPr/>
        <w:t> 本</w:t>
      </w:r>
      <w:r>
        <w:rPr>
          <w:rFonts w:ascii="Calibri" w:hAnsi="Calibri" w:cs="Calibri" w:eastAsia="Calibri" w:hint="default"/>
        </w:rPr>
        <w:t>5000</w:t>
      </w:r>
      <w:r>
        <w:rPr/>
        <w:t>万元。</w:t>
      </w:r>
    </w:p>
    <w:p>
      <w:pPr>
        <w:pStyle w:val="BodyText"/>
        <w:spacing w:line="326" w:lineRule="auto" w:before="135"/>
        <w:ind w:right="1557" w:firstLine="479"/>
        <w:jc w:val="left"/>
      </w:pPr>
      <w:r>
        <w:rPr>
          <w:rFonts w:ascii="Calibri" w:hAnsi="Calibri" w:cs="Calibri" w:eastAsia="Calibri" w:hint="default"/>
          <w:spacing w:val="-2"/>
        </w:rPr>
        <w:t>12</w:t>
      </w:r>
      <w:r>
        <w:rPr>
          <w:spacing w:val="-2"/>
        </w:rPr>
        <w:t>、东华合创科技有限公司，本公司全资子公司，成立于</w:t>
      </w:r>
      <w:r>
        <w:rPr>
          <w:rFonts w:ascii="Calibri" w:hAnsi="Calibri" w:cs="Calibri" w:eastAsia="Calibri" w:hint="default"/>
          <w:spacing w:val="-2"/>
        </w:rPr>
        <w:t>2010</w:t>
      </w:r>
      <w:r>
        <w:rPr>
          <w:spacing w:val="-2"/>
        </w:rPr>
        <w:t>年</w:t>
      </w:r>
      <w:r>
        <w:rPr>
          <w:rFonts w:ascii="Calibri" w:hAnsi="Calibri" w:cs="Calibri" w:eastAsia="Calibri" w:hint="default"/>
          <w:spacing w:val="-2"/>
        </w:rPr>
        <w:t>7</w:t>
      </w:r>
      <w:r>
        <w:rPr>
          <w:spacing w:val="-2"/>
        </w:rPr>
        <w:t>月</w:t>
      </w:r>
      <w:r>
        <w:rPr>
          <w:rFonts w:ascii="Calibri" w:hAnsi="Calibri" w:cs="Calibri" w:eastAsia="Calibri" w:hint="default"/>
          <w:spacing w:val="-2"/>
        </w:rPr>
        <w:t>23</w:t>
      </w:r>
      <w:r>
        <w:rPr>
          <w:spacing w:val="-2"/>
        </w:rPr>
        <w:t>日，注册资</w:t>
      </w:r>
      <w:r>
        <w:rPr/>
        <w:t> 本</w:t>
      </w:r>
      <w:r>
        <w:rPr>
          <w:rFonts w:ascii="Calibri" w:hAnsi="Calibri" w:cs="Calibri" w:eastAsia="Calibri" w:hint="default"/>
        </w:rPr>
        <w:t>5000</w:t>
      </w:r>
      <w:r>
        <w:rPr/>
        <w:t>万元。</w:t>
      </w:r>
    </w:p>
    <w:p>
      <w:pPr>
        <w:pStyle w:val="BodyText"/>
        <w:spacing w:line="326" w:lineRule="auto" w:before="135"/>
        <w:ind w:right="1557" w:firstLine="479"/>
        <w:jc w:val="left"/>
      </w:pPr>
      <w:r>
        <w:rPr>
          <w:rFonts w:ascii="Calibri" w:hAnsi="Calibri" w:cs="Calibri" w:eastAsia="Calibri" w:hint="default"/>
          <w:spacing w:val="-2"/>
        </w:rPr>
        <w:t>13</w:t>
      </w:r>
      <w:r>
        <w:rPr>
          <w:spacing w:val="-2"/>
        </w:rPr>
        <w:t>、北京东华厚盾软件有限公司，本公司全资子公司，成立于</w:t>
      </w:r>
      <w:r>
        <w:rPr>
          <w:rFonts w:ascii="Calibri" w:hAnsi="Calibri" w:cs="Calibri" w:eastAsia="Calibri" w:hint="default"/>
          <w:spacing w:val="-2"/>
        </w:rPr>
        <w:t>2010</w:t>
      </w:r>
      <w:r>
        <w:rPr>
          <w:spacing w:val="-2"/>
        </w:rPr>
        <w:t>年</w:t>
      </w:r>
      <w:r>
        <w:rPr>
          <w:rFonts w:ascii="Calibri" w:hAnsi="Calibri" w:cs="Calibri" w:eastAsia="Calibri" w:hint="default"/>
          <w:spacing w:val="-2"/>
        </w:rPr>
        <w:t>7</w:t>
      </w:r>
      <w:r>
        <w:rPr>
          <w:spacing w:val="-2"/>
        </w:rPr>
        <w:t>月</w:t>
      </w:r>
      <w:r>
        <w:rPr>
          <w:rFonts w:ascii="Calibri" w:hAnsi="Calibri" w:cs="Calibri" w:eastAsia="Calibri" w:hint="default"/>
          <w:spacing w:val="-2"/>
        </w:rPr>
        <w:t>22</w:t>
      </w:r>
      <w:r>
        <w:rPr>
          <w:spacing w:val="-2"/>
        </w:rPr>
        <w:t>日，注</w:t>
      </w:r>
      <w:r>
        <w:rPr/>
        <w:t> 册资本</w:t>
      </w:r>
      <w:r>
        <w:rPr>
          <w:rFonts w:ascii="Calibri" w:hAnsi="Calibri" w:cs="Calibri" w:eastAsia="Calibri" w:hint="default"/>
        </w:rPr>
        <w:t>1000</w:t>
      </w:r>
      <w:r>
        <w:rPr/>
        <w:t>万元。</w:t>
      </w:r>
    </w:p>
    <w:p>
      <w:pPr>
        <w:pStyle w:val="BodyText"/>
        <w:spacing w:line="326" w:lineRule="auto" w:before="135"/>
        <w:ind w:right="1557" w:firstLine="479"/>
        <w:jc w:val="left"/>
      </w:pPr>
      <w:r>
        <w:rPr>
          <w:rFonts w:ascii="Calibri" w:hAnsi="Calibri" w:cs="Calibri" w:eastAsia="Calibri" w:hint="default"/>
          <w:spacing w:val="-2"/>
        </w:rPr>
        <w:t>14</w:t>
      </w:r>
      <w:r>
        <w:rPr>
          <w:spacing w:val="-2"/>
        </w:rPr>
        <w:t>、北京东华易时科技有限公司，本公司全资子公司，成立于</w:t>
      </w:r>
      <w:r>
        <w:rPr>
          <w:rFonts w:ascii="Calibri" w:hAnsi="Calibri" w:cs="Calibri" w:eastAsia="Calibri" w:hint="default"/>
          <w:spacing w:val="-2"/>
        </w:rPr>
        <w:t>2010</w:t>
      </w:r>
      <w:r>
        <w:rPr>
          <w:spacing w:val="-2"/>
        </w:rPr>
        <w:t>年</w:t>
      </w:r>
      <w:r>
        <w:rPr>
          <w:rFonts w:ascii="Calibri" w:hAnsi="Calibri" w:cs="Calibri" w:eastAsia="Calibri" w:hint="default"/>
          <w:spacing w:val="-2"/>
        </w:rPr>
        <w:t>8</w:t>
      </w:r>
      <w:r>
        <w:rPr>
          <w:spacing w:val="-2"/>
        </w:rPr>
        <w:t>月</w:t>
      </w:r>
      <w:r>
        <w:rPr>
          <w:rFonts w:ascii="Calibri" w:hAnsi="Calibri" w:cs="Calibri" w:eastAsia="Calibri" w:hint="default"/>
          <w:spacing w:val="-2"/>
        </w:rPr>
        <w:t>11</w:t>
      </w:r>
      <w:r>
        <w:rPr>
          <w:spacing w:val="-2"/>
        </w:rPr>
        <w:t>日，注</w:t>
      </w:r>
      <w:r>
        <w:rPr/>
        <w:t> 册资本</w:t>
      </w:r>
      <w:r>
        <w:rPr>
          <w:rFonts w:ascii="Calibri" w:hAnsi="Calibri" w:cs="Calibri" w:eastAsia="Calibri" w:hint="default"/>
        </w:rPr>
        <w:t>2000</w:t>
      </w:r>
      <w:r>
        <w:rPr/>
        <w:t>万元。</w:t>
      </w:r>
    </w:p>
    <w:p>
      <w:pPr>
        <w:pStyle w:val="BodyText"/>
        <w:spacing w:line="326" w:lineRule="auto" w:before="135"/>
        <w:ind w:right="1680" w:firstLine="479"/>
        <w:jc w:val="left"/>
      </w:pPr>
      <w:r>
        <w:rPr>
          <w:rFonts w:ascii="Calibri" w:hAnsi="Calibri" w:cs="Calibri" w:eastAsia="Calibri" w:hint="default"/>
        </w:rPr>
        <w:t>15</w:t>
      </w:r>
      <w:r>
        <w:rPr/>
        <w:t>、北京东华软件开发有限公司，本公司全资子公司，成立于</w:t>
      </w:r>
      <w:r>
        <w:rPr>
          <w:rFonts w:ascii="Calibri" w:hAnsi="Calibri" w:cs="Calibri" w:eastAsia="Calibri" w:hint="default"/>
        </w:rPr>
        <w:t>2010</w:t>
      </w:r>
      <w:r>
        <w:rPr/>
        <w:t>年</w:t>
      </w:r>
      <w:r>
        <w:rPr>
          <w:rFonts w:ascii="Calibri" w:hAnsi="Calibri" w:cs="Calibri" w:eastAsia="Calibri" w:hint="default"/>
        </w:rPr>
        <w:t>12</w:t>
      </w:r>
      <w:r>
        <w:rPr/>
        <w:t>月</w:t>
      </w:r>
      <w:r>
        <w:rPr>
          <w:rFonts w:ascii="Calibri" w:hAnsi="Calibri" w:cs="Calibri" w:eastAsia="Calibri" w:hint="default"/>
        </w:rPr>
        <w:t>10</w:t>
      </w:r>
      <w:r>
        <w:rPr/>
        <w:t>日， 注册资本</w:t>
      </w:r>
      <w:r>
        <w:rPr>
          <w:rFonts w:ascii="Calibri" w:hAnsi="Calibri" w:cs="Calibri" w:eastAsia="Calibri" w:hint="default"/>
        </w:rPr>
        <w:t>2000</w:t>
      </w:r>
      <w:r>
        <w:rPr/>
        <w:t>万元。</w:t>
      </w:r>
    </w:p>
    <w:p>
      <w:pPr>
        <w:pStyle w:val="BodyText"/>
        <w:spacing w:line="326" w:lineRule="auto" w:before="135"/>
        <w:ind w:right="1557" w:firstLine="479"/>
        <w:jc w:val="left"/>
      </w:pPr>
      <w:r>
        <w:rPr>
          <w:rFonts w:ascii="Calibri" w:hAnsi="Calibri" w:cs="Calibri" w:eastAsia="Calibri" w:hint="default"/>
          <w:spacing w:val="-2"/>
        </w:rPr>
        <w:t>16</w:t>
      </w:r>
      <w:r>
        <w:rPr>
          <w:spacing w:val="-2"/>
        </w:rPr>
        <w:t>、沈阳东华合创科技有限公司，本公司全资子公司，成立于</w:t>
      </w:r>
      <w:r>
        <w:rPr>
          <w:rFonts w:ascii="Calibri" w:hAnsi="Calibri" w:cs="Calibri" w:eastAsia="Calibri" w:hint="default"/>
          <w:spacing w:val="-2"/>
        </w:rPr>
        <w:t>2011</w:t>
      </w:r>
      <w:r>
        <w:rPr>
          <w:spacing w:val="-2"/>
        </w:rPr>
        <w:t>年</w:t>
      </w:r>
      <w:r>
        <w:rPr>
          <w:rFonts w:ascii="Calibri" w:hAnsi="Calibri" w:cs="Calibri" w:eastAsia="Calibri" w:hint="default"/>
          <w:spacing w:val="-2"/>
        </w:rPr>
        <w:t>3</w:t>
      </w:r>
      <w:r>
        <w:rPr>
          <w:spacing w:val="-2"/>
        </w:rPr>
        <w:t>月</w:t>
      </w:r>
      <w:r>
        <w:rPr>
          <w:rFonts w:ascii="Calibri" w:hAnsi="Calibri" w:cs="Calibri" w:eastAsia="Calibri" w:hint="default"/>
          <w:spacing w:val="-2"/>
        </w:rPr>
        <w:t>23</w:t>
      </w:r>
      <w:r>
        <w:rPr>
          <w:spacing w:val="-2"/>
        </w:rPr>
        <w:t>日，注</w:t>
      </w:r>
      <w:r>
        <w:rPr/>
        <w:t> 册资本</w:t>
      </w:r>
      <w:r>
        <w:rPr>
          <w:rFonts w:ascii="Calibri" w:hAnsi="Calibri" w:cs="Calibri" w:eastAsia="Calibri" w:hint="default"/>
        </w:rPr>
        <w:t>2000</w:t>
      </w:r>
      <w:r>
        <w:rPr/>
        <w:t>万元。</w:t>
      </w:r>
    </w:p>
    <w:p>
      <w:pPr>
        <w:pStyle w:val="BodyText"/>
        <w:spacing w:line="326" w:lineRule="auto" w:before="136"/>
        <w:ind w:right="1557" w:firstLine="479"/>
        <w:jc w:val="left"/>
      </w:pPr>
      <w:r>
        <w:rPr>
          <w:rFonts w:ascii="Calibri" w:hAnsi="Calibri" w:cs="Calibri" w:eastAsia="Calibri" w:hint="default"/>
          <w:spacing w:val="-2"/>
        </w:rPr>
        <w:t>17</w:t>
      </w:r>
      <w:r>
        <w:rPr>
          <w:spacing w:val="-2"/>
        </w:rPr>
        <w:t>、西安东华软件有限公司，本公司全资子公司，成立于</w:t>
      </w:r>
      <w:r>
        <w:rPr>
          <w:rFonts w:ascii="Calibri" w:hAnsi="Calibri" w:cs="Calibri" w:eastAsia="Calibri" w:hint="default"/>
          <w:spacing w:val="-2"/>
        </w:rPr>
        <w:t>2011</w:t>
      </w:r>
      <w:r>
        <w:rPr>
          <w:spacing w:val="-2"/>
        </w:rPr>
        <w:t>年</w:t>
      </w:r>
      <w:r>
        <w:rPr>
          <w:rFonts w:ascii="Calibri" w:hAnsi="Calibri" w:cs="Calibri" w:eastAsia="Calibri" w:hint="default"/>
          <w:spacing w:val="-2"/>
        </w:rPr>
        <w:t>4</w:t>
      </w:r>
      <w:r>
        <w:rPr>
          <w:spacing w:val="-2"/>
        </w:rPr>
        <w:t>月</w:t>
      </w:r>
      <w:r>
        <w:rPr>
          <w:rFonts w:ascii="Calibri" w:hAnsi="Calibri" w:cs="Calibri" w:eastAsia="Calibri" w:hint="default"/>
          <w:spacing w:val="-2"/>
        </w:rPr>
        <w:t>18</w:t>
      </w:r>
      <w:r>
        <w:rPr>
          <w:spacing w:val="-2"/>
        </w:rPr>
        <w:t>日，注册资</w:t>
      </w:r>
      <w:r>
        <w:rPr/>
        <w:t> 本</w:t>
      </w:r>
      <w:r>
        <w:rPr>
          <w:rFonts w:ascii="Calibri" w:hAnsi="Calibri" w:cs="Calibri" w:eastAsia="Calibri" w:hint="default"/>
        </w:rPr>
        <w:t>5000</w:t>
      </w:r>
      <w:r>
        <w:rPr/>
        <w:t>万元。</w:t>
      </w:r>
    </w:p>
    <w:p>
      <w:pPr>
        <w:pStyle w:val="BodyText"/>
        <w:spacing w:line="324" w:lineRule="auto" w:before="137"/>
        <w:ind w:right="1680" w:firstLine="479"/>
        <w:jc w:val="left"/>
      </w:pPr>
      <w:r>
        <w:rPr>
          <w:rFonts w:ascii="Calibri" w:hAnsi="Calibri" w:cs="Calibri" w:eastAsia="Calibri" w:hint="default"/>
        </w:rPr>
        <w:t>18</w:t>
      </w:r>
      <w:r>
        <w:rPr/>
        <w:t>、南昌东华软件有限公司，本公司全资子公司，成立于</w:t>
      </w:r>
      <w:r>
        <w:rPr>
          <w:rFonts w:ascii="Calibri" w:hAnsi="Calibri" w:cs="Calibri" w:eastAsia="Calibri" w:hint="default"/>
        </w:rPr>
        <w:t>2011</w:t>
      </w:r>
      <w:r>
        <w:rPr/>
        <w:t>年</w:t>
      </w:r>
      <w:r>
        <w:rPr>
          <w:rFonts w:ascii="Calibri" w:hAnsi="Calibri" w:cs="Calibri" w:eastAsia="Calibri" w:hint="default"/>
        </w:rPr>
        <w:t>12</w:t>
      </w:r>
      <w:r>
        <w:rPr/>
        <w:t>月</w:t>
      </w:r>
      <w:r>
        <w:rPr>
          <w:rFonts w:ascii="Calibri" w:hAnsi="Calibri" w:cs="Calibri" w:eastAsia="Calibri" w:hint="default"/>
        </w:rPr>
        <w:t>29</w:t>
      </w:r>
      <w:r>
        <w:rPr/>
        <w:t>日，注册 资本</w:t>
      </w:r>
      <w:r>
        <w:rPr>
          <w:rFonts w:ascii="Calibri" w:hAnsi="Calibri" w:cs="Calibri" w:eastAsia="Calibri" w:hint="default"/>
        </w:rPr>
        <w:t>5000</w:t>
      </w:r>
      <w:r>
        <w:rPr/>
        <w:t>万元。</w:t>
      </w:r>
    </w:p>
    <w:p>
      <w:pPr>
        <w:spacing w:after="0" w:line="324" w:lineRule="auto"/>
        <w:jc w:val="left"/>
        <w:sectPr>
          <w:pgSz w:w="12240" w:h="15840"/>
          <w:pgMar w:header="847" w:footer="987" w:top="1360" w:bottom="1180" w:left="1500" w:right="0"/>
        </w:sectPr>
      </w:pPr>
    </w:p>
    <w:p>
      <w:pPr>
        <w:pStyle w:val="BodyText"/>
        <w:spacing w:line="324" w:lineRule="auto" w:before="11"/>
        <w:ind w:right="1697" w:firstLine="479"/>
        <w:jc w:val="left"/>
      </w:pPr>
      <w:r>
        <w:rPr/>
        <w:pict>
          <v:group style="position:absolute;margin-left:80.783997pt;margin-top:1.845647pt;width:450.6pt;height:.1pt;mso-position-horizontal-relative:page;mso-position-vertical-relative:paragraph;z-index:-865432"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Calibri" w:hAnsi="Calibri" w:cs="Calibri" w:eastAsia="Calibri" w:hint="default"/>
          <w:spacing w:val="-1"/>
        </w:rPr>
        <w:t>19</w:t>
      </w:r>
      <w:r>
        <w:rPr>
          <w:spacing w:val="-1"/>
        </w:rPr>
        <w:t>、山西东华软件有限公司，本公司全资子公司，成立于</w:t>
      </w:r>
      <w:r>
        <w:rPr>
          <w:rFonts w:ascii="Calibri" w:hAnsi="Calibri" w:cs="Calibri" w:eastAsia="Calibri" w:hint="default"/>
          <w:spacing w:val="-1"/>
        </w:rPr>
        <w:t>2012</w:t>
      </w:r>
      <w:r>
        <w:rPr>
          <w:spacing w:val="-1"/>
        </w:rPr>
        <w:t>年</w:t>
      </w:r>
      <w:r>
        <w:rPr>
          <w:rFonts w:ascii="Calibri" w:hAnsi="Calibri" w:cs="Calibri" w:eastAsia="Calibri" w:hint="default"/>
          <w:spacing w:val="-1"/>
        </w:rPr>
        <w:t>1</w:t>
      </w:r>
      <w:r>
        <w:rPr>
          <w:spacing w:val="-1"/>
        </w:rPr>
        <w:t>月</w:t>
      </w:r>
      <w:r>
        <w:rPr>
          <w:rFonts w:ascii="Calibri" w:hAnsi="Calibri" w:cs="Calibri" w:eastAsia="Calibri" w:hint="default"/>
          <w:spacing w:val="-1"/>
        </w:rPr>
        <w:t>4</w:t>
      </w:r>
      <w:r>
        <w:rPr>
          <w:spacing w:val="-1"/>
        </w:rPr>
        <w:t>日，注册资</w:t>
      </w:r>
      <w:r>
        <w:rPr/>
        <w:t> 本</w:t>
      </w:r>
      <w:r>
        <w:rPr>
          <w:rFonts w:ascii="Calibri" w:hAnsi="Calibri" w:cs="Calibri" w:eastAsia="Calibri" w:hint="default"/>
        </w:rPr>
        <w:t>5000</w:t>
      </w:r>
      <w:r>
        <w:rPr/>
        <w:t>万元。</w:t>
      </w:r>
    </w:p>
    <w:p>
      <w:pPr>
        <w:pStyle w:val="BodyText"/>
        <w:spacing w:line="324" w:lineRule="auto" w:before="140"/>
        <w:ind w:right="1557" w:firstLine="479"/>
        <w:jc w:val="left"/>
      </w:pPr>
      <w:r>
        <w:rPr>
          <w:rFonts w:ascii="Calibri" w:hAnsi="Calibri" w:cs="Calibri" w:eastAsia="Calibri" w:hint="default"/>
          <w:spacing w:val="-2"/>
        </w:rPr>
        <w:t>20</w:t>
      </w:r>
      <w:r>
        <w:rPr>
          <w:spacing w:val="-2"/>
        </w:rPr>
        <w:t>、北京东方易维软件有限公司，本公司全资子公司，成立于</w:t>
      </w:r>
      <w:r>
        <w:rPr>
          <w:rFonts w:ascii="Calibri" w:hAnsi="Calibri" w:cs="Calibri" w:eastAsia="Calibri" w:hint="default"/>
          <w:spacing w:val="-2"/>
        </w:rPr>
        <w:t>2006</w:t>
      </w:r>
      <w:r>
        <w:rPr>
          <w:spacing w:val="-2"/>
        </w:rPr>
        <w:t>年</w:t>
      </w:r>
      <w:r>
        <w:rPr>
          <w:rFonts w:ascii="Calibri" w:hAnsi="Calibri" w:cs="Calibri" w:eastAsia="Calibri" w:hint="default"/>
          <w:spacing w:val="-2"/>
        </w:rPr>
        <w:t>4</w:t>
      </w:r>
      <w:r>
        <w:rPr>
          <w:spacing w:val="-2"/>
        </w:rPr>
        <w:t>月</w:t>
      </w:r>
      <w:r>
        <w:rPr>
          <w:rFonts w:ascii="Calibri" w:hAnsi="Calibri" w:cs="Calibri" w:eastAsia="Calibri" w:hint="default"/>
          <w:spacing w:val="-2"/>
        </w:rPr>
        <w:t>14</w:t>
      </w:r>
      <w:r>
        <w:rPr>
          <w:spacing w:val="-2"/>
        </w:rPr>
        <w:t>日，注</w:t>
      </w:r>
      <w:r>
        <w:rPr/>
        <w:t> 册资本</w:t>
      </w:r>
      <w:r>
        <w:rPr>
          <w:rFonts w:ascii="Calibri" w:hAnsi="Calibri" w:cs="Calibri" w:eastAsia="Calibri" w:hint="default"/>
        </w:rPr>
        <w:t>200</w:t>
      </w:r>
      <w:r>
        <w:rPr/>
        <w:t>万元，于</w:t>
      </w:r>
      <w:r>
        <w:rPr>
          <w:rFonts w:ascii="Calibri" w:hAnsi="Calibri" w:cs="Calibri" w:eastAsia="Calibri" w:hint="default"/>
        </w:rPr>
        <w:t>2011</w:t>
      </w:r>
      <w:r>
        <w:rPr/>
        <w:t>年</w:t>
      </w:r>
      <w:r>
        <w:rPr>
          <w:rFonts w:ascii="Calibri" w:hAnsi="Calibri" w:cs="Calibri" w:eastAsia="Calibri" w:hint="default"/>
        </w:rPr>
        <w:t>11</w:t>
      </w:r>
      <w:r>
        <w:rPr/>
        <w:t>月被本公司以现金方式收购。</w:t>
      </w:r>
    </w:p>
    <w:p>
      <w:pPr>
        <w:pStyle w:val="BodyText"/>
        <w:spacing w:line="324" w:lineRule="auto" w:before="140"/>
        <w:ind w:right="1557" w:firstLine="479"/>
        <w:jc w:val="left"/>
      </w:pPr>
      <w:r>
        <w:rPr>
          <w:rFonts w:ascii="Calibri" w:hAnsi="Calibri" w:cs="Calibri" w:eastAsia="Calibri" w:hint="default"/>
          <w:spacing w:val="-2"/>
        </w:rPr>
        <w:t>21</w:t>
      </w:r>
      <w:r>
        <w:rPr>
          <w:spacing w:val="-2"/>
        </w:rPr>
        <w:t>、北京卓讯科信技术有限公司，本公司全资子公司，成立于</w:t>
      </w:r>
      <w:r>
        <w:rPr>
          <w:rFonts w:ascii="Calibri" w:hAnsi="Calibri" w:cs="Calibri" w:eastAsia="Calibri" w:hint="default"/>
          <w:spacing w:val="-2"/>
        </w:rPr>
        <w:t>2011</w:t>
      </w:r>
      <w:r>
        <w:rPr>
          <w:spacing w:val="-2"/>
        </w:rPr>
        <w:t>年</w:t>
      </w:r>
      <w:r>
        <w:rPr>
          <w:rFonts w:ascii="Calibri" w:hAnsi="Calibri" w:cs="Calibri" w:eastAsia="Calibri" w:hint="default"/>
          <w:spacing w:val="-2"/>
        </w:rPr>
        <w:t>2</w:t>
      </w:r>
      <w:r>
        <w:rPr>
          <w:spacing w:val="-2"/>
        </w:rPr>
        <w:t>月</w:t>
      </w:r>
      <w:r>
        <w:rPr>
          <w:rFonts w:ascii="Calibri" w:hAnsi="Calibri" w:cs="Calibri" w:eastAsia="Calibri" w:hint="default"/>
          <w:spacing w:val="-2"/>
        </w:rPr>
        <w:t>23</w:t>
      </w:r>
      <w:r>
        <w:rPr>
          <w:spacing w:val="-2"/>
        </w:rPr>
        <w:t>日，注</w:t>
      </w:r>
      <w:r>
        <w:rPr/>
        <w:t> 册资本</w:t>
      </w:r>
      <w:r>
        <w:rPr>
          <w:rFonts w:ascii="Calibri" w:hAnsi="Calibri" w:cs="Calibri" w:eastAsia="Calibri" w:hint="default"/>
        </w:rPr>
        <w:t>108</w:t>
      </w:r>
      <w:r>
        <w:rPr/>
        <w:t>万元，于</w:t>
      </w:r>
      <w:r>
        <w:rPr>
          <w:rFonts w:ascii="Calibri" w:hAnsi="Calibri" w:cs="Calibri" w:eastAsia="Calibri" w:hint="default"/>
        </w:rPr>
        <w:t>2011</w:t>
      </w:r>
      <w:r>
        <w:rPr/>
        <w:t>年</w:t>
      </w:r>
      <w:r>
        <w:rPr>
          <w:rFonts w:ascii="Calibri" w:hAnsi="Calibri" w:cs="Calibri" w:eastAsia="Calibri" w:hint="default"/>
        </w:rPr>
        <w:t>8</w:t>
      </w:r>
      <w:r>
        <w:rPr/>
        <w:t>月被本公司以现金方式收购。</w:t>
      </w:r>
    </w:p>
    <w:p>
      <w:pPr>
        <w:spacing w:line="240" w:lineRule="auto" w:before="3"/>
        <w:rPr>
          <w:rFonts w:ascii="宋体" w:hAnsi="宋体" w:cs="宋体" w:eastAsia="宋体" w:hint="default"/>
          <w:sz w:val="37"/>
          <w:szCs w:val="37"/>
        </w:rPr>
      </w:pPr>
    </w:p>
    <w:p>
      <w:pPr>
        <w:pStyle w:val="Heading1"/>
        <w:spacing w:line="240" w:lineRule="auto"/>
        <w:ind w:left="2290" w:right="1697"/>
        <w:jc w:val="left"/>
        <w:rPr>
          <w:b w:val="0"/>
          <w:bCs w:val="0"/>
        </w:rPr>
      </w:pPr>
      <w:bookmarkStart w:name="_TOC_250010" w:id="3"/>
      <w:r>
        <w:rPr/>
        <w:t>第三节</w:t>
      </w:r>
      <w:r>
        <w:rPr>
          <w:spacing w:val="-3"/>
        </w:rPr>
        <w:t> </w:t>
      </w:r>
      <w:r>
        <w:rPr/>
        <w:t>会计数据和财务指标摘要</w:t>
      </w:r>
      <w:bookmarkEnd w:id="3"/>
      <w:r>
        <w:rPr>
          <w:b w:val="0"/>
          <w:bCs w:val="0"/>
        </w:rPr>
      </w:r>
    </w:p>
    <w:p>
      <w:pPr>
        <w:spacing w:line="240" w:lineRule="auto" w:before="13"/>
        <w:rPr>
          <w:rFonts w:ascii="黑体" w:hAnsi="黑体" w:cs="黑体" w:eastAsia="黑体" w:hint="default"/>
          <w:b/>
          <w:bCs/>
          <w:sz w:val="39"/>
          <w:szCs w:val="39"/>
        </w:rPr>
      </w:pPr>
    </w:p>
    <w:p>
      <w:pPr>
        <w:pStyle w:val="Heading2"/>
        <w:spacing w:line="240" w:lineRule="auto"/>
        <w:ind w:right="1697"/>
        <w:jc w:val="left"/>
        <w:rPr>
          <w:b w:val="0"/>
          <w:bCs w:val="0"/>
        </w:rPr>
      </w:pPr>
      <w:r>
        <w:rPr/>
        <w:t>一、主要会计数据</w:t>
      </w:r>
      <w:r>
        <w:rPr>
          <w:b w:val="0"/>
          <w:bCs w:val="0"/>
        </w:rPr>
      </w:r>
    </w:p>
    <w:p>
      <w:pPr>
        <w:spacing w:line="240" w:lineRule="auto" w:before="8"/>
        <w:rPr>
          <w:rFonts w:ascii="黑体" w:hAnsi="黑体" w:cs="黑体" w:eastAsia="黑体" w:hint="default"/>
          <w:b/>
          <w:bCs/>
          <w:sz w:val="21"/>
          <w:szCs w:val="21"/>
        </w:rPr>
      </w:pPr>
    </w:p>
    <w:p>
      <w:pPr>
        <w:pStyle w:val="BodyText"/>
        <w:spacing w:line="240" w:lineRule="auto"/>
        <w:ind w:left="0" w:right="1641"/>
        <w:jc w:val="right"/>
      </w:pPr>
      <w:r>
        <w:rPr/>
        <w:t>单位：元</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09"/>
        <w:gridCol w:w="1757"/>
        <w:gridCol w:w="1755"/>
        <w:gridCol w:w="1522"/>
        <w:gridCol w:w="1757"/>
      </w:tblGrid>
      <w:tr>
        <w:trPr>
          <w:trHeight w:val="166" w:hRule="exact"/>
        </w:trPr>
        <w:tc>
          <w:tcPr>
            <w:tcW w:w="22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本年比上年增</w:t>
            </w:r>
          </w:p>
          <w:p>
            <w:pPr>
              <w:pStyle w:val="TableParagraph"/>
              <w:spacing w:line="344" w:lineRule="exact"/>
              <w:ind w:right="0"/>
              <w:jc w:val="center"/>
              <w:rPr>
                <w:rFonts w:ascii="宋体" w:hAnsi="宋体" w:cs="宋体" w:eastAsia="宋体" w:hint="default"/>
                <w:sz w:val="24"/>
                <w:szCs w:val="24"/>
              </w:rPr>
            </w:pPr>
            <w:r>
              <w:rPr>
                <w:rFonts w:ascii="宋体" w:hAnsi="宋体" w:cs="宋体" w:eastAsia="宋体" w:hint="default"/>
                <w:sz w:val="24"/>
                <w:szCs w:val="24"/>
              </w:rPr>
              <w:t>减（</w:t>
            </w:r>
            <w:r>
              <w:rPr>
                <w:rFonts w:ascii="Calibri" w:hAnsi="Calibri" w:cs="Calibri" w:eastAsia="Calibri" w:hint="default"/>
                <w:sz w:val="24"/>
                <w:szCs w:val="24"/>
              </w:rPr>
              <w:t>%</w:t>
            </w:r>
            <w:r>
              <w:rPr>
                <w:rFonts w:ascii="宋体" w:hAnsi="宋体" w:cs="宋体" w:eastAsia="宋体" w:hint="default"/>
                <w:sz w:val="24"/>
                <w:szCs w:val="24"/>
              </w:rPr>
              <w:t>）</w:t>
            </w: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2" w:hRule="exact"/>
        </w:trPr>
        <w:tc>
          <w:tcPr>
            <w:tcW w:w="2209" w:type="dxa"/>
            <w:tcBorders>
              <w:top w:val="nil" w:sz="6" w:space="0" w:color="auto"/>
              <w:left w:val="single" w:sz="4" w:space="0" w:color="000000"/>
              <w:bottom w:val="nil" w:sz="6" w:space="0" w:color="auto"/>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480"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7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477"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522" w:type="dxa"/>
            <w:vMerge/>
            <w:tcBorders>
              <w:left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480"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w:t>
            </w:r>
          </w:p>
        </w:tc>
      </w:tr>
      <w:tr>
        <w:trPr>
          <w:trHeight w:val="163" w:hRule="exact"/>
        </w:trPr>
        <w:tc>
          <w:tcPr>
            <w:tcW w:w="22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2" w:type="dxa"/>
            <w:vMerge/>
            <w:tcBorders>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3"/>
              <w:jc w:val="center"/>
              <w:rPr>
                <w:rFonts w:ascii="宋体" w:hAnsi="宋体" w:cs="宋体" w:eastAsia="宋体" w:hint="default"/>
                <w:sz w:val="24"/>
                <w:szCs w:val="24"/>
              </w:rPr>
            </w:pPr>
            <w:r>
              <w:rPr>
                <w:rFonts w:ascii="宋体" w:hAnsi="宋体" w:cs="宋体" w:eastAsia="宋体" w:hint="default"/>
                <w:sz w:val="24"/>
                <w:szCs w:val="24"/>
              </w:rPr>
              <w:t>营业总收入</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2,586,386,846.58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pacing w:val="-1"/>
                <w:sz w:val="24"/>
              </w:rPr>
              <w:t>1,870,161,269.56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38.30%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1,548,936,840.66</w:t>
            </w: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3"/>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444,015,758.44</w:t>
            </w:r>
            <w:r>
              <w:rPr>
                <w:rFonts w:ascii="Calibri"/>
                <w:sz w:val="24"/>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326,424,196.23</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36.02%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254,263,417.70</w:t>
            </w:r>
            <w:r>
              <w:rPr>
                <w:rFonts w:ascii="Calibri"/>
                <w:sz w:val="24"/>
              </w:rPr>
            </w: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2"/>
              <w:jc w:val="center"/>
              <w:rPr>
                <w:rFonts w:ascii="宋体" w:hAnsi="宋体" w:cs="宋体" w:eastAsia="宋体" w:hint="default"/>
                <w:sz w:val="24"/>
                <w:szCs w:val="24"/>
              </w:rPr>
            </w:pPr>
            <w:r>
              <w:rPr>
                <w:rFonts w:ascii="宋体" w:hAnsi="宋体" w:cs="宋体" w:eastAsia="宋体" w:hint="default"/>
                <w:sz w:val="24"/>
                <w:szCs w:val="24"/>
              </w:rPr>
              <w:t>利润总额（元）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460,812,593.00</w:t>
            </w:r>
            <w:r>
              <w:rPr>
                <w:rFonts w:ascii="Calibri"/>
                <w:sz w:val="24"/>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346,173,809.84</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33.12%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254,263,417.70</w:t>
            </w:r>
            <w:r>
              <w:rPr>
                <w:rFonts w:ascii="Calibri"/>
                <w:sz w:val="24"/>
              </w:rPr>
            </w:r>
          </w:p>
        </w:tc>
      </w:tr>
      <w:tr>
        <w:trPr>
          <w:trHeight w:val="63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12"/>
              <w:jc w:val="center"/>
              <w:rPr>
                <w:rFonts w:ascii="宋体" w:hAnsi="宋体" w:cs="宋体" w:eastAsia="宋体" w:hint="default"/>
                <w:sz w:val="24"/>
                <w:szCs w:val="24"/>
              </w:rPr>
            </w:pPr>
            <w:r>
              <w:rPr>
                <w:rFonts w:ascii="宋体" w:hAnsi="宋体" w:cs="宋体" w:eastAsia="宋体" w:hint="default"/>
                <w:sz w:val="24"/>
                <w:szCs w:val="24"/>
              </w:rPr>
              <w:t>归属于上市公司股东</w:t>
            </w:r>
          </w:p>
          <w:p>
            <w:pPr>
              <w:pStyle w:val="TableParagraph"/>
              <w:spacing w:line="313" w:lineRule="exact"/>
              <w:ind w:right="13"/>
              <w:jc w:val="center"/>
              <w:rPr>
                <w:rFonts w:ascii="宋体" w:hAnsi="宋体" w:cs="宋体" w:eastAsia="宋体" w:hint="default"/>
                <w:sz w:val="24"/>
                <w:szCs w:val="24"/>
              </w:rPr>
            </w:pPr>
            <w:r>
              <w:rPr>
                <w:rFonts w:ascii="宋体" w:hAnsi="宋体" w:cs="宋体" w:eastAsia="宋体" w:hint="default"/>
                <w:sz w:val="24"/>
                <w:szCs w:val="24"/>
              </w:rPr>
              <w:t>的净利润</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420,955,251.13</w:t>
            </w:r>
            <w:r>
              <w:rPr>
                <w:rFonts w:ascii="Calibri"/>
                <w:sz w:val="24"/>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317,334,381.80</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9"/>
              <w:jc w:val="right"/>
              <w:rPr>
                <w:rFonts w:ascii="Calibri" w:hAnsi="Calibri" w:cs="Calibri" w:eastAsia="Calibri" w:hint="default"/>
                <w:sz w:val="24"/>
                <w:szCs w:val="24"/>
              </w:rPr>
            </w:pPr>
            <w:r>
              <w:rPr>
                <w:rFonts w:ascii="Calibri"/>
                <w:spacing w:val="-1"/>
                <w:sz w:val="24"/>
              </w:rPr>
              <w:t>32.65%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241,020,384.55</w:t>
            </w:r>
            <w:r>
              <w:rPr>
                <w:rFonts w:ascii="Calibri"/>
                <w:sz w:val="24"/>
              </w:rPr>
            </w:r>
          </w:p>
        </w:tc>
      </w:tr>
      <w:tr>
        <w:trPr>
          <w:trHeight w:val="943"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2" w:right="0"/>
              <w:jc w:val="left"/>
              <w:rPr>
                <w:rFonts w:ascii="宋体" w:hAnsi="宋体" w:cs="宋体" w:eastAsia="宋体" w:hint="default"/>
                <w:sz w:val="24"/>
                <w:szCs w:val="24"/>
              </w:rPr>
            </w:pPr>
            <w:r>
              <w:rPr>
                <w:rFonts w:ascii="宋体" w:hAnsi="宋体" w:cs="宋体" w:eastAsia="宋体" w:hint="default"/>
                <w:sz w:val="24"/>
                <w:szCs w:val="24"/>
              </w:rPr>
              <w:t>归属于上市公司股东</w:t>
            </w:r>
          </w:p>
          <w:p>
            <w:pPr>
              <w:pStyle w:val="TableParagraph"/>
              <w:spacing w:line="312" w:lineRule="exact" w:before="28"/>
              <w:ind w:left="611" w:right="24" w:hanging="600"/>
              <w:jc w:val="left"/>
              <w:rPr>
                <w:rFonts w:ascii="宋体" w:hAnsi="宋体" w:cs="宋体" w:eastAsia="宋体" w:hint="default"/>
                <w:sz w:val="24"/>
                <w:szCs w:val="24"/>
              </w:rPr>
            </w:pPr>
            <w:r>
              <w:rPr>
                <w:rFonts w:ascii="宋体" w:hAnsi="宋体" w:cs="宋体" w:eastAsia="宋体" w:hint="default"/>
                <w:sz w:val="24"/>
                <w:szCs w:val="24"/>
              </w:rPr>
              <w:t>的扣除非经常性损益 的净利润</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Calibri" w:hAnsi="Calibri" w:cs="Calibri" w:eastAsia="Calibri" w:hint="default"/>
                <w:sz w:val="24"/>
                <w:szCs w:val="24"/>
              </w:rPr>
            </w:pPr>
            <w:r>
              <w:rPr>
                <w:rFonts w:ascii="Calibri"/>
                <w:spacing w:val="-1"/>
                <w:sz w:val="24"/>
              </w:rPr>
              <w:t>411,035,051.67</w:t>
            </w:r>
            <w:r>
              <w:rPr>
                <w:rFonts w:ascii="Calibri"/>
                <w:sz w:val="24"/>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Calibri" w:hAnsi="Calibri" w:cs="Calibri" w:eastAsia="Calibri" w:hint="default"/>
                <w:sz w:val="24"/>
                <w:szCs w:val="24"/>
              </w:rPr>
            </w:pPr>
            <w:r>
              <w:rPr>
                <w:rFonts w:ascii="Calibri"/>
                <w:spacing w:val="-1"/>
                <w:sz w:val="24"/>
              </w:rPr>
              <w:t>316,027,382.51</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Calibri" w:hAnsi="Calibri" w:cs="Calibri" w:eastAsia="Calibri" w:hint="default"/>
                <w:sz w:val="24"/>
                <w:szCs w:val="24"/>
              </w:rPr>
            </w:pPr>
            <w:r>
              <w:rPr>
                <w:rFonts w:ascii="Calibri"/>
                <w:spacing w:val="-1"/>
                <w:sz w:val="24"/>
              </w:rPr>
              <w:t>30.06%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Calibri" w:hAnsi="Calibri" w:cs="Calibri" w:eastAsia="Calibri" w:hint="default"/>
                <w:sz w:val="24"/>
                <w:szCs w:val="24"/>
              </w:rPr>
            </w:pPr>
            <w:r>
              <w:rPr>
                <w:rFonts w:ascii="Calibri"/>
                <w:spacing w:val="-1"/>
                <w:sz w:val="24"/>
              </w:rPr>
              <w:t>236,685,742.82</w:t>
            </w:r>
            <w:r>
              <w:rPr>
                <w:rFonts w:ascii="Calibri"/>
                <w:sz w:val="24"/>
              </w:rPr>
            </w:r>
          </w:p>
        </w:tc>
      </w:tr>
      <w:tr>
        <w:trPr>
          <w:trHeight w:val="63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12"/>
              <w:jc w:val="center"/>
              <w:rPr>
                <w:rFonts w:ascii="宋体" w:hAnsi="宋体" w:cs="宋体" w:eastAsia="宋体" w:hint="default"/>
                <w:sz w:val="24"/>
                <w:szCs w:val="24"/>
              </w:rPr>
            </w:pPr>
            <w:r>
              <w:rPr>
                <w:rFonts w:ascii="宋体" w:hAnsi="宋体" w:cs="宋体" w:eastAsia="宋体" w:hint="default"/>
                <w:sz w:val="24"/>
                <w:szCs w:val="24"/>
              </w:rPr>
              <w:t>经营活动产生的现金</w:t>
            </w:r>
          </w:p>
          <w:p>
            <w:pPr>
              <w:pStyle w:val="TableParagraph"/>
              <w:spacing w:line="313" w:lineRule="exact"/>
              <w:ind w:right="13"/>
              <w:jc w:val="center"/>
              <w:rPr>
                <w:rFonts w:ascii="宋体" w:hAnsi="宋体" w:cs="宋体" w:eastAsia="宋体" w:hint="default"/>
                <w:sz w:val="24"/>
                <w:szCs w:val="24"/>
              </w:rPr>
            </w:pPr>
            <w:r>
              <w:rPr>
                <w:rFonts w:ascii="宋体" w:hAnsi="宋体" w:cs="宋体" w:eastAsia="宋体" w:hint="default"/>
                <w:sz w:val="24"/>
                <w:szCs w:val="24"/>
              </w:rPr>
              <w:t>流量净额</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75,677,588.04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27,215,318.94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0"/>
              <w:jc w:val="right"/>
              <w:rPr>
                <w:rFonts w:ascii="Calibri" w:hAnsi="Calibri" w:cs="Calibri" w:eastAsia="Calibri" w:hint="default"/>
                <w:sz w:val="24"/>
                <w:szCs w:val="24"/>
              </w:rPr>
            </w:pPr>
            <w:r>
              <w:rPr>
                <w:rFonts w:ascii="Calibri"/>
                <w:sz w:val="24"/>
              </w:rPr>
              <w:t>178.07%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68,268,822.09</w:t>
            </w:r>
          </w:p>
        </w:tc>
      </w:tr>
      <w:tr>
        <w:trPr>
          <w:trHeight w:val="164" w:hRule="exact"/>
        </w:trPr>
        <w:tc>
          <w:tcPr>
            <w:tcW w:w="22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69" w:right="0" w:hanging="34"/>
              <w:jc w:val="left"/>
              <w:rPr>
                <w:rFonts w:ascii="宋体" w:hAnsi="宋体" w:cs="宋体" w:eastAsia="宋体" w:hint="default"/>
                <w:sz w:val="24"/>
                <w:szCs w:val="24"/>
              </w:rPr>
            </w:pPr>
            <w:r>
              <w:rPr>
                <w:rFonts w:ascii="宋体" w:hAnsi="宋体" w:cs="宋体" w:eastAsia="宋体" w:hint="default"/>
                <w:sz w:val="24"/>
                <w:szCs w:val="24"/>
              </w:rPr>
              <w:t>本年末比上年</w:t>
            </w:r>
          </w:p>
          <w:p>
            <w:pPr>
              <w:pStyle w:val="TableParagraph"/>
              <w:spacing w:line="343" w:lineRule="exact"/>
              <w:ind w:left="69" w:right="0"/>
              <w:jc w:val="left"/>
              <w:rPr>
                <w:rFonts w:ascii="宋体" w:hAnsi="宋体" w:cs="宋体" w:eastAsia="宋体" w:hint="default"/>
                <w:sz w:val="24"/>
                <w:szCs w:val="24"/>
              </w:rPr>
            </w:pPr>
            <w:r>
              <w:rPr>
                <w:rFonts w:ascii="宋体" w:hAnsi="宋体" w:cs="宋体" w:eastAsia="宋体" w:hint="default"/>
                <w:sz w:val="24"/>
                <w:szCs w:val="24"/>
              </w:rPr>
              <w:t>末增减（</w:t>
            </w:r>
            <w:r>
              <w:rPr>
                <w:rFonts w:ascii="Calibri" w:hAnsi="Calibri" w:cs="Calibri" w:eastAsia="Calibri" w:hint="default"/>
                <w:sz w:val="24"/>
                <w:szCs w:val="24"/>
              </w:rPr>
              <w:t>%</w:t>
            </w:r>
            <w:r>
              <w:rPr>
                <w:rFonts w:ascii="宋体" w:hAnsi="宋体" w:cs="宋体" w:eastAsia="宋体" w:hint="default"/>
                <w:sz w:val="24"/>
                <w:szCs w:val="24"/>
              </w:rPr>
              <w:t>）</w:t>
            </w: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2" w:hRule="exact"/>
        </w:trPr>
        <w:tc>
          <w:tcPr>
            <w:tcW w:w="2209" w:type="dxa"/>
            <w:tcBorders>
              <w:top w:val="nil" w:sz="6" w:space="0" w:color="auto"/>
              <w:left w:val="single" w:sz="4" w:space="0" w:color="000000"/>
              <w:bottom w:val="nil" w:sz="6" w:space="0" w:color="auto"/>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360"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年末</w:t>
            </w:r>
          </w:p>
        </w:tc>
        <w:tc>
          <w:tcPr>
            <w:tcW w:w="17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357"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年末</w:t>
            </w:r>
          </w:p>
        </w:tc>
        <w:tc>
          <w:tcPr>
            <w:tcW w:w="1522" w:type="dxa"/>
            <w:vMerge/>
            <w:tcBorders>
              <w:left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360"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年末</w:t>
            </w:r>
          </w:p>
        </w:tc>
      </w:tr>
      <w:tr>
        <w:trPr>
          <w:trHeight w:val="166" w:hRule="exact"/>
        </w:trPr>
        <w:tc>
          <w:tcPr>
            <w:tcW w:w="22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2" w:type="dxa"/>
            <w:vMerge/>
            <w:tcBorders>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资产总额</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3,355,701,976.29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2,378,803,457.51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41.07%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1,976,897,888.35</w:t>
            </w: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负债总额</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1,088,204,576.51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805,559,461.64</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35.09%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pacing w:val="-1"/>
                <w:sz w:val="24"/>
              </w:rPr>
              <w:t>1,295,967,401.12</w:t>
            </w:r>
          </w:p>
        </w:tc>
      </w:tr>
      <w:tr>
        <w:trPr>
          <w:trHeight w:val="631"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right="12"/>
              <w:jc w:val="center"/>
              <w:rPr>
                <w:rFonts w:ascii="宋体" w:hAnsi="宋体" w:cs="宋体" w:eastAsia="宋体" w:hint="default"/>
                <w:sz w:val="24"/>
                <w:szCs w:val="24"/>
              </w:rPr>
            </w:pPr>
            <w:r>
              <w:rPr>
                <w:rFonts w:ascii="宋体" w:hAnsi="宋体" w:cs="宋体" w:eastAsia="宋体" w:hint="default"/>
                <w:sz w:val="24"/>
                <w:szCs w:val="24"/>
              </w:rPr>
              <w:t>归属于上市公司股东</w:t>
            </w:r>
          </w:p>
          <w:p>
            <w:pPr>
              <w:pStyle w:val="TableParagraph"/>
              <w:spacing w:line="312" w:lineRule="exact"/>
              <w:ind w:right="13"/>
              <w:jc w:val="center"/>
              <w:rPr>
                <w:rFonts w:ascii="宋体" w:hAnsi="宋体" w:cs="宋体" w:eastAsia="宋体" w:hint="default"/>
                <w:sz w:val="24"/>
                <w:szCs w:val="24"/>
              </w:rPr>
            </w:pPr>
            <w:r>
              <w:rPr>
                <w:rFonts w:ascii="宋体" w:hAnsi="宋体" w:cs="宋体" w:eastAsia="宋体" w:hint="default"/>
                <w:sz w:val="24"/>
                <w:szCs w:val="24"/>
              </w:rPr>
              <w:t>的所有者权益</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right="21"/>
              <w:jc w:val="right"/>
              <w:rPr>
                <w:rFonts w:ascii="Calibri" w:hAnsi="Calibri" w:cs="Calibri" w:eastAsia="Calibri" w:hint="default"/>
                <w:sz w:val="24"/>
                <w:szCs w:val="24"/>
              </w:rPr>
            </w:pPr>
            <w:r>
              <w:rPr>
                <w:rFonts w:ascii="Calibri"/>
                <w:spacing w:val="-1"/>
                <w:sz w:val="24"/>
              </w:rPr>
              <w:t>2,267,401,088.97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Calibri" w:hAnsi="Calibri" w:cs="Calibri" w:eastAsia="Calibri" w:hint="default"/>
                <w:sz w:val="24"/>
                <w:szCs w:val="24"/>
              </w:rPr>
            </w:pPr>
            <w:r>
              <w:rPr>
                <w:rFonts w:ascii="Calibri"/>
                <w:spacing w:val="-1"/>
                <w:sz w:val="24"/>
              </w:rPr>
              <w:t>1,570,695,403.17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9"/>
              <w:jc w:val="right"/>
              <w:rPr>
                <w:rFonts w:ascii="Calibri" w:hAnsi="Calibri" w:cs="Calibri" w:eastAsia="Calibri" w:hint="default"/>
                <w:sz w:val="24"/>
                <w:szCs w:val="24"/>
              </w:rPr>
            </w:pPr>
            <w:r>
              <w:rPr>
                <w:rFonts w:ascii="Calibri"/>
                <w:spacing w:val="-1"/>
                <w:sz w:val="24"/>
              </w:rPr>
              <w:t>44.36%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Calibri" w:hAnsi="Calibri" w:cs="Calibri" w:eastAsia="Calibri" w:hint="default"/>
                <w:sz w:val="24"/>
                <w:szCs w:val="24"/>
              </w:rPr>
            </w:pPr>
            <w:r>
              <w:rPr>
                <w:rFonts w:ascii="Calibri"/>
                <w:spacing w:val="-1"/>
                <w:sz w:val="24"/>
              </w:rPr>
              <w:t>1,295,967,401.12</w:t>
            </w:r>
          </w:p>
        </w:tc>
      </w:tr>
      <w:tr>
        <w:trPr>
          <w:trHeight w:val="32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总股本（股）</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530,744,000.00</w:t>
            </w:r>
            <w:r>
              <w:rPr>
                <w:rFonts w:ascii="Calibri"/>
                <w:sz w:val="24"/>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425,985,090.00</w:t>
            </w:r>
            <w:r>
              <w:rPr>
                <w:rFonts w:ascii="Calibri"/>
                <w:sz w:val="24"/>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24.59%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425,985,090.00</w:t>
            </w:r>
            <w:r>
              <w:rPr>
                <w:rFonts w:ascii="Calibri"/>
                <w:sz w:val="24"/>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before="14"/>
        <w:ind w:right="1697"/>
        <w:jc w:val="left"/>
        <w:rPr>
          <w:b w:val="0"/>
          <w:bCs w:val="0"/>
        </w:rPr>
      </w:pPr>
      <w:r>
        <w:rPr/>
        <w:t>二、主要财务指标</w:t>
      </w:r>
      <w:r>
        <w:rPr>
          <w:b w:val="0"/>
          <w:bCs w:val="0"/>
        </w:rPr>
      </w:r>
    </w:p>
    <w:p>
      <w:pPr>
        <w:pStyle w:val="BodyText"/>
        <w:spacing w:line="240" w:lineRule="auto" w:before="122"/>
        <w:ind w:left="0" w:right="1641"/>
        <w:jc w:val="right"/>
      </w:pPr>
      <w:r>
        <w:rPr/>
        <w:t>单位：元</w:t>
      </w:r>
      <w:r>
        <w:rPr>
          <w:rFonts w:ascii="Calibri" w:hAnsi="Calibri" w:cs="Calibri" w:eastAsia="Calibri" w:hint="default"/>
        </w:rPr>
        <w:t>/</w:t>
      </w:r>
      <w:r>
        <w:rPr/>
        <w:t>股</w:t>
      </w:r>
    </w:p>
    <w:p>
      <w:pPr>
        <w:spacing w:after="0" w:line="240" w:lineRule="auto"/>
        <w:jc w:val="right"/>
        <w:sectPr>
          <w:pgSz w:w="12240" w:h="15840"/>
          <w:pgMar w:header="847" w:footer="987" w:top="1360" w:bottom="1180" w:left="1500" w:right="0"/>
        </w:sectPr>
      </w:pPr>
    </w:p>
    <w:p>
      <w:pPr>
        <w:spacing w:line="240" w:lineRule="auto" w:before="6"/>
        <w:rPr>
          <w:rFonts w:ascii="宋体" w:hAnsi="宋体" w:cs="宋体" w:eastAsia="宋体" w:hint="default"/>
          <w:sz w:val="23"/>
          <w:szCs w:val="23"/>
        </w:rPr>
      </w:pPr>
    </w:p>
    <w:p>
      <w:pPr>
        <w:pStyle w:val="BodyText"/>
        <w:spacing w:line="240" w:lineRule="auto" w:before="26"/>
        <w:ind w:left="0" w:right="2772"/>
        <w:jc w:val="right"/>
      </w:pPr>
      <w:r>
        <w:rPr/>
        <w:pict>
          <v:shape style="position:absolute;margin-left:80.543999pt;margin-top:-13.864385pt;width:452.55pt;height:224.4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1"/>
                    <w:gridCol w:w="1253"/>
                    <w:gridCol w:w="1250"/>
                    <w:gridCol w:w="1253"/>
                    <w:gridCol w:w="162"/>
                    <w:gridCol w:w="1091"/>
                  </w:tblGrid>
                  <w:tr>
                    <w:trPr>
                      <w:trHeight w:val="176" w:hRule="exact"/>
                    </w:trPr>
                    <w:tc>
                      <w:tcPr>
                        <w:tcW w:w="4001" w:type="dxa"/>
                        <w:tcBorders>
                          <w:top w:val="single" w:sz="12" w:space="0" w:color="000000"/>
                          <w:left w:val="single" w:sz="4" w:space="0" w:color="000000"/>
                          <w:bottom w:val="nil" w:sz="6" w:space="0" w:color="auto"/>
                          <w:right w:val="single" w:sz="4" w:space="0" w:color="000000"/>
                        </w:tcBorders>
                        <w:shd w:val="clear" w:color="auto" w:fill="DCDCDC"/>
                      </w:tcPr>
                      <w:p>
                        <w:pPr/>
                      </w:p>
                    </w:tc>
                    <w:tc>
                      <w:tcPr>
                        <w:tcW w:w="1253" w:type="dxa"/>
                        <w:tcBorders>
                          <w:top w:val="single" w:sz="12" w:space="0" w:color="000000"/>
                          <w:left w:val="single" w:sz="4" w:space="0" w:color="000000"/>
                          <w:bottom w:val="nil" w:sz="6" w:space="0" w:color="auto"/>
                          <w:right w:val="single" w:sz="4" w:space="0" w:color="000000"/>
                        </w:tcBorders>
                        <w:shd w:val="clear" w:color="auto" w:fill="DCDCDC"/>
                      </w:tcPr>
                      <w:p>
                        <w:pPr/>
                      </w:p>
                    </w:tc>
                    <w:tc>
                      <w:tcPr>
                        <w:tcW w:w="1250" w:type="dxa"/>
                        <w:tcBorders>
                          <w:top w:val="single" w:sz="12" w:space="0" w:color="000000"/>
                          <w:left w:val="single" w:sz="4" w:space="0" w:color="000000"/>
                          <w:bottom w:val="nil" w:sz="6" w:space="0" w:color="auto"/>
                          <w:right w:val="single" w:sz="4" w:space="0" w:color="000000"/>
                        </w:tcBorders>
                        <w:shd w:val="clear" w:color="auto" w:fill="DCDCDC"/>
                      </w:tcPr>
                      <w:p>
                        <w:pPr/>
                      </w:p>
                    </w:tc>
                    <w:tc>
                      <w:tcPr>
                        <w:tcW w:w="1253" w:type="dxa"/>
                        <w:vMerge w:val="restart"/>
                        <w:tcBorders>
                          <w:top w:val="single" w:sz="12" w:space="0" w:color="000000"/>
                          <w:left w:val="single" w:sz="4" w:space="0" w:color="000000"/>
                          <w:right w:val="single" w:sz="4" w:space="0" w:color="000000"/>
                        </w:tcBorders>
                        <w:shd w:val="clear" w:color="auto" w:fill="DCDCDC"/>
                      </w:tcPr>
                      <w:p>
                        <w:pPr>
                          <w:pStyle w:val="TableParagraph"/>
                          <w:spacing w:line="273" w:lineRule="exact"/>
                          <w:ind w:right="115"/>
                          <w:jc w:val="center"/>
                          <w:rPr>
                            <w:rFonts w:ascii="宋体" w:hAnsi="宋体" w:cs="宋体" w:eastAsia="宋体" w:hint="default"/>
                            <w:sz w:val="24"/>
                            <w:szCs w:val="24"/>
                          </w:rPr>
                        </w:pPr>
                        <w:r>
                          <w:rPr>
                            <w:rFonts w:ascii="宋体" w:hAnsi="宋体" w:cs="宋体" w:eastAsia="宋体" w:hint="default"/>
                            <w:sz w:val="24"/>
                            <w:szCs w:val="24"/>
                          </w:rPr>
                          <w:t>本年比上</w:t>
                        </w:r>
                      </w:p>
                      <w:p>
                        <w:pPr>
                          <w:pStyle w:val="TableParagraph"/>
                          <w:spacing w:line="344" w:lineRule="exact"/>
                          <w:ind w:right="116"/>
                          <w:jc w:val="center"/>
                          <w:rPr>
                            <w:rFonts w:ascii="Calibri" w:hAnsi="Calibri" w:cs="Calibri" w:eastAsia="Calibri" w:hint="default"/>
                            <w:sz w:val="24"/>
                            <w:szCs w:val="24"/>
                          </w:rPr>
                        </w:pPr>
                        <w:r>
                          <w:rPr>
                            <w:rFonts w:ascii="宋体" w:hAnsi="宋体" w:cs="宋体" w:eastAsia="宋体" w:hint="default"/>
                            <w:spacing w:val="-11"/>
                            <w:sz w:val="24"/>
                            <w:szCs w:val="24"/>
                          </w:rPr>
                          <w:t>年增减（</w:t>
                        </w:r>
                        <w:r>
                          <w:rPr>
                            <w:rFonts w:ascii="Calibri" w:hAnsi="Calibri" w:cs="Calibri" w:eastAsia="Calibri" w:hint="default"/>
                            <w:spacing w:val="-11"/>
                            <w:sz w:val="24"/>
                            <w:szCs w:val="24"/>
                          </w:rPr>
                          <w:t>%</w:t>
                        </w:r>
                      </w:p>
                    </w:tc>
                    <w:tc>
                      <w:tcPr>
                        <w:tcW w:w="1253" w:type="dxa"/>
                        <w:gridSpan w:val="2"/>
                        <w:tcBorders>
                          <w:top w:val="single" w:sz="12" w:space="0" w:color="000000"/>
                          <w:left w:val="single" w:sz="4" w:space="0" w:color="000000"/>
                          <w:bottom w:val="nil" w:sz="6" w:space="0" w:color="auto"/>
                          <w:right w:val="single" w:sz="4" w:space="0" w:color="000000"/>
                        </w:tcBorders>
                        <w:shd w:val="clear" w:color="auto" w:fill="DCDCDC"/>
                      </w:tcPr>
                      <w:p>
                        <w:pPr/>
                      </w:p>
                    </w:tc>
                  </w:tr>
                  <w:tr>
                    <w:trPr>
                      <w:trHeight w:val="303" w:hRule="exact"/>
                    </w:trPr>
                    <w:tc>
                      <w:tcPr>
                        <w:tcW w:w="4001" w:type="dxa"/>
                        <w:tcBorders>
                          <w:top w:val="nil" w:sz="6" w:space="0" w:color="auto"/>
                          <w:left w:val="single" w:sz="4" w:space="0" w:color="000000"/>
                          <w:bottom w:val="nil" w:sz="6" w:space="0" w:color="auto"/>
                          <w:right w:val="single" w:sz="4" w:space="0" w:color="000000"/>
                        </w:tcBorders>
                        <w:shd w:val="clear" w:color="auto" w:fill="DCDCDC"/>
                      </w:tcPr>
                      <w:p>
                        <w:pPr/>
                      </w:p>
                    </w:tc>
                    <w:tc>
                      <w:tcPr>
                        <w:tcW w:w="125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227"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2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00" w:lineRule="exact"/>
                          <w:ind w:left="225"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253" w:type="dxa"/>
                        <w:vMerge/>
                        <w:tcBorders>
                          <w:left w:val="single" w:sz="4" w:space="0" w:color="000000"/>
                          <w:right w:val="single" w:sz="4" w:space="0" w:color="000000"/>
                        </w:tcBorders>
                        <w:shd w:val="clear" w:color="auto" w:fill="DCDCDC"/>
                      </w:tcPr>
                      <w:p>
                        <w:pPr/>
                      </w:p>
                    </w:tc>
                    <w:tc>
                      <w:tcPr>
                        <w:tcW w:w="162" w:type="dxa"/>
                        <w:tcBorders>
                          <w:top w:val="nil" w:sz="6" w:space="0" w:color="auto"/>
                          <w:left w:val="single" w:sz="4" w:space="0" w:color="000000"/>
                          <w:bottom w:val="nil" w:sz="6" w:space="0" w:color="auto"/>
                          <w:right w:val="nil" w:sz="6" w:space="0" w:color="auto"/>
                        </w:tcBorders>
                        <w:shd w:val="clear" w:color="auto" w:fill="DCDCDC"/>
                      </w:tcPr>
                      <w:p>
                        <w:pPr/>
                      </w:p>
                    </w:tc>
                    <w:tc>
                      <w:tcPr>
                        <w:tcW w:w="1091"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300" w:lineRule="exact"/>
                          <w:ind w:left="70"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w:t>
                        </w:r>
                      </w:p>
                    </w:tc>
                  </w:tr>
                  <w:tr>
                    <w:trPr>
                      <w:trHeight w:val="164" w:hRule="exact"/>
                    </w:trPr>
                    <w:tc>
                      <w:tcPr>
                        <w:tcW w:w="40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3" w:type="dxa"/>
                        <w:vMerge/>
                        <w:tcBorders>
                          <w:left w:val="single" w:sz="4" w:space="0" w:color="000000"/>
                          <w:bottom w:val="single" w:sz="4" w:space="0" w:color="000000"/>
                          <w:right w:val="single" w:sz="4" w:space="0" w:color="000000"/>
                        </w:tcBorders>
                        <w:shd w:val="clear" w:color="auto" w:fill="DCDCDC"/>
                      </w:tcPr>
                      <w:p>
                        <w:pPr/>
                      </w:p>
                    </w:tc>
                    <w:tc>
                      <w:tcPr>
                        <w:tcW w:w="1253"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Calibri" w:hAnsi="Calibri" w:cs="Calibri" w:eastAsia="Calibri" w:hint="default"/>
                            <w:sz w:val="24"/>
                            <w:szCs w:val="24"/>
                          </w:rPr>
                        </w:pPr>
                        <w:r>
                          <w:rPr>
                            <w:rFonts w:ascii="Calibri"/>
                            <w:sz w:val="24"/>
                          </w:rPr>
                          <w:t>0.7972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Calibri" w:hAnsi="Calibri" w:cs="Calibri" w:eastAsia="Calibri" w:hint="default"/>
                            <w:sz w:val="24"/>
                            <w:szCs w:val="24"/>
                          </w:rPr>
                        </w:pPr>
                        <w:r>
                          <w:rPr>
                            <w:rFonts w:ascii="Calibri"/>
                            <w:sz w:val="24"/>
                          </w:rPr>
                          <w:t>0.6208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Calibri" w:hAnsi="Calibri" w:cs="Calibri" w:eastAsia="Calibri" w:hint="default"/>
                            <w:sz w:val="24"/>
                            <w:szCs w:val="24"/>
                          </w:rPr>
                        </w:pPr>
                        <w:r>
                          <w:rPr>
                            <w:rFonts w:ascii="Calibri"/>
                            <w:spacing w:val="-1"/>
                            <w:sz w:val="24"/>
                          </w:rPr>
                          <w:t>28.41%</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9" w:right="0"/>
                          <w:jc w:val="left"/>
                          <w:rPr>
                            <w:rFonts w:ascii="Calibri" w:hAnsi="Calibri" w:cs="Calibri" w:eastAsia="Calibri" w:hint="default"/>
                            <w:sz w:val="24"/>
                            <w:szCs w:val="24"/>
                          </w:rPr>
                        </w:pPr>
                        <w:r>
                          <w:rPr>
                            <w:rFonts w:ascii="Calibri"/>
                            <w:sz w:val="24"/>
                          </w:rPr>
                          <w:t>0.5658</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0.7972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0.6208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28.41%</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9" w:right="0"/>
                          <w:jc w:val="left"/>
                          <w:rPr>
                            <w:rFonts w:ascii="Calibri" w:hAnsi="Calibri" w:cs="Calibri" w:eastAsia="Calibri" w:hint="default"/>
                            <w:sz w:val="24"/>
                            <w:szCs w:val="24"/>
                          </w:rPr>
                        </w:pPr>
                        <w:r>
                          <w:rPr>
                            <w:rFonts w:ascii="Calibri"/>
                            <w:sz w:val="24"/>
                          </w:rPr>
                          <w:t>0.5556</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扣除非经常性损益后的基本每股收益</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0.7784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0.6182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25.91%</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9" w:right="0"/>
                          <w:jc w:val="left"/>
                          <w:rPr>
                            <w:rFonts w:ascii="Calibri" w:hAnsi="Calibri" w:cs="Calibri" w:eastAsia="Calibri" w:hint="default"/>
                            <w:sz w:val="24"/>
                            <w:szCs w:val="24"/>
                          </w:rPr>
                        </w:pPr>
                        <w:r>
                          <w:rPr>
                            <w:rFonts w:ascii="Calibri"/>
                            <w:sz w:val="24"/>
                          </w:rPr>
                          <w:t>0.5556</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exact"/>
                          <w:ind w:left="24"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r>
                          <w:rPr>
                            <w:rFonts w:ascii="Calibri" w:hAnsi="Calibri" w:cs="Calibri" w:eastAsia="Calibri" w:hint="default"/>
                            <w:sz w:val="24"/>
                            <w:szCs w:val="24"/>
                          </w:rPr>
                          <w:t>%</w:t>
                        </w:r>
                        <w:r>
                          <w:rPr>
                            <w:rFonts w:ascii="宋体" w:hAnsi="宋体" w:cs="宋体" w:eastAsia="宋体" w:hint="default"/>
                            <w:sz w:val="24"/>
                            <w:szCs w:val="24"/>
                          </w:rPr>
                          <w:t>）</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20.74%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22.08%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z w:val="24"/>
                          </w:rPr>
                          <w:t>-1.34%</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1" w:right="0"/>
                          <w:jc w:val="left"/>
                          <w:rPr>
                            <w:rFonts w:ascii="Calibri" w:hAnsi="Calibri" w:cs="Calibri" w:eastAsia="Calibri" w:hint="default"/>
                            <w:sz w:val="24"/>
                            <w:szCs w:val="24"/>
                          </w:rPr>
                        </w:pPr>
                        <w:r>
                          <w:rPr>
                            <w:rFonts w:ascii="Calibri"/>
                            <w:sz w:val="24"/>
                          </w:rPr>
                          <w:t>20.30%</w:t>
                        </w:r>
                      </w:p>
                    </w:tc>
                  </w:tr>
                  <w:tr>
                    <w:trPr>
                      <w:trHeight w:val="631"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扣除非经常性损益后的加权平均净资</w:t>
                        </w:r>
                      </w:p>
                      <w:p>
                        <w:pPr>
                          <w:pStyle w:val="TableParagraph"/>
                          <w:spacing w:line="344" w:lineRule="exact"/>
                          <w:ind w:left="24" w:right="0"/>
                          <w:jc w:val="left"/>
                          <w:rPr>
                            <w:rFonts w:ascii="宋体" w:hAnsi="宋体" w:cs="宋体" w:eastAsia="宋体" w:hint="default"/>
                            <w:sz w:val="24"/>
                            <w:szCs w:val="24"/>
                          </w:rPr>
                        </w:pPr>
                        <w:r>
                          <w:rPr>
                            <w:rFonts w:ascii="宋体" w:hAnsi="宋体" w:cs="宋体" w:eastAsia="宋体" w:hint="default"/>
                            <w:sz w:val="24"/>
                            <w:szCs w:val="24"/>
                          </w:rPr>
                          <w:t>产收益率（</w:t>
                        </w:r>
                        <w:r>
                          <w:rPr>
                            <w:rFonts w:ascii="Calibri" w:hAnsi="Calibri" w:cs="Calibri" w:eastAsia="Calibri" w:hint="default"/>
                            <w:sz w:val="24"/>
                            <w:szCs w:val="24"/>
                          </w:rPr>
                          <w:t>%</w:t>
                        </w:r>
                        <w:r>
                          <w:rPr>
                            <w:rFonts w:ascii="宋体" w:hAnsi="宋体" w:cs="宋体" w:eastAsia="宋体" w:hint="default"/>
                            <w:sz w:val="24"/>
                            <w:szCs w:val="24"/>
                          </w:rPr>
                          <w:t>）</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5"/>
                          <w:ind w:right="18"/>
                          <w:jc w:val="right"/>
                          <w:rPr>
                            <w:rFonts w:ascii="Calibri" w:hAnsi="Calibri" w:cs="Calibri" w:eastAsia="Calibri" w:hint="default"/>
                            <w:sz w:val="24"/>
                            <w:szCs w:val="24"/>
                          </w:rPr>
                        </w:pPr>
                        <w:r>
                          <w:rPr>
                            <w:rFonts w:ascii="Calibri"/>
                            <w:spacing w:val="-1"/>
                            <w:sz w:val="24"/>
                          </w:rPr>
                          <w:t>20.25%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8"/>
                          <w:jc w:val="right"/>
                          <w:rPr>
                            <w:rFonts w:ascii="Calibri" w:hAnsi="Calibri" w:cs="Calibri" w:eastAsia="Calibri" w:hint="default"/>
                            <w:sz w:val="24"/>
                            <w:szCs w:val="24"/>
                          </w:rPr>
                        </w:pPr>
                        <w:r>
                          <w:rPr>
                            <w:rFonts w:ascii="Calibri"/>
                            <w:spacing w:val="-1"/>
                            <w:sz w:val="24"/>
                          </w:rPr>
                          <w:t>21.99%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9"/>
                          <w:jc w:val="right"/>
                          <w:rPr>
                            <w:rFonts w:ascii="Calibri" w:hAnsi="Calibri" w:cs="Calibri" w:eastAsia="Calibri" w:hint="default"/>
                            <w:sz w:val="24"/>
                            <w:szCs w:val="24"/>
                          </w:rPr>
                        </w:pPr>
                        <w:r>
                          <w:rPr>
                            <w:rFonts w:ascii="Calibri"/>
                            <w:sz w:val="24"/>
                          </w:rPr>
                          <w:t>-1.74%</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01" w:right="0"/>
                          <w:jc w:val="left"/>
                          <w:rPr>
                            <w:rFonts w:ascii="Calibri" w:hAnsi="Calibri" w:cs="Calibri" w:eastAsia="Calibri" w:hint="default"/>
                            <w:sz w:val="24"/>
                            <w:szCs w:val="24"/>
                          </w:rPr>
                        </w:pPr>
                        <w:r>
                          <w:rPr>
                            <w:rFonts w:ascii="Calibri"/>
                            <w:sz w:val="24"/>
                          </w:rPr>
                          <w:t>19.93%</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每股经营活动产生的现金流量净额</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0.14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0.06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z w:val="24"/>
                          </w:rPr>
                          <w:t>133.33%</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94" w:right="0"/>
                          <w:jc w:val="left"/>
                          <w:rPr>
                            <w:rFonts w:ascii="Calibri" w:hAnsi="Calibri" w:cs="Calibri" w:eastAsia="Calibri" w:hint="default"/>
                            <w:sz w:val="24"/>
                            <w:szCs w:val="24"/>
                          </w:rPr>
                        </w:pPr>
                        <w:r>
                          <w:rPr>
                            <w:rFonts w:ascii="Calibri"/>
                            <w:sz w:val="24"/>
                          </w:rPr>
                          <w:t>0.16</w:t>
                        </w:r>
                      </w:p>
                    </w:tc>
                  </w:tr>
                  <w:tr>
                    <w:trPr>
                      <w:trHeight w:val="322" w:hRule="exact"/>
                    </w:trPr>
                    <w:tc>
                      <w:tcPr>
                        <w:tcW w:w="40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3"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142" w:right="0"/>
                          <w:jc w:val="left"/>
                          <w:rPr>
                            <w:rFonts w:ascii="宋体" w:hAnsi="宋体" w:cs="宋体" w:eastAsia="宋体" w:hint="default"/>
                            <w:sz w:val="24"/>
                            <w:szCs w:val="24"/>
                          </w:rPr>
                        </w:pPr>
                        <w:r>
                          <w:rPr>
                            <w:rFonts w:ascii="宋体" w:hAnsi="宋体" w:cs="宋体" w:eastAsia="宋体" w:hint="default"/>
                            <w:sz w:val="24"/>
                            <w:szCs w:val="24"/>
                          </w:rPr>
                          <w:t>本年末比</w:t>
                        </w:r>
                      </w:p>
                      <w:p>
                        <w:pPr>
                          <w:pStyle w:val="TableParagraph"/>
                          <w:spacing w:line="240" w:lineRule="auto"/>
                          <w:ind w:left="175" w:right="139" w:hanging="34"/>
                          <w:jc w:val="left"/>
                          <w:rPr>
                            <w:rFonts w:ascii="宋体" w:hAnsi="宋体" w:cs="宋体" w:eastAsia="宋体" w:hint="default"/>
                            <w:sz w:val="24"/>
                            <w:szCs w:val="24"/>
                          </w:rPr>
                        </w:pPr>
                        <w:r>
                          <w:rPr>
                            <w:rFonts w:ascii="宋体" w:hAnsi="宋体" w:cs="宋体" w:eastAsia="宋体" w:hint="default"/>
                            <w:sz w:val="24"/>
                            <w:szCs w:val="24"/>
                          </w:rPr>
                          <w:t>上年末增 减（</w:t>
                        </w:r>
                        <w:r>
                          <w:rPr>
                            <w:rFonts w:ascii="Calibri" w:hAnsi="Calibri" w:cs="Calibri" w:eastAsia="Calibri" w:hint="default"/>
                            <w:sz w:val="24"/>
                            <w:szCs w:val="24"/>
                          </w:rPr>
                          <w:t>%</w:t>
                        </w:r>
                        <w:r>
                          <w:rPr>
                            <w:rFonts w:ascii="宋体" w:hAnsi="宋体" w:cs="宋体" w:eastAsia="宋体" w:hint="default"/>
                            <w:sz w:val="24"/>
                            <w:szCs w:val="24"/>
                          </w:rPr>
                          <w:t>）</w:t>
                        </w:r>
                      </w:p>
                    </w:tc>
                    <w:tc>
                      <w:tcPr>
                        <w:tcW w:w="1253"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2" w:hRule="exact"/>
                    </w:trPr>
                    <w:tc>
                      <w:tcPr>
                        <w:tcW w:w="4001" w:type="dxa"/>
                        <w:tcBorders>
                          <w:top w:val="nil" w:sz="6" w:space="0" w:color="auto"/>
                          <w:left w:val="single" w:sz="4" w:space="0" w:color="000000"/>
                          <w:bottom w:val="nil" w:sz="6" w:space="0" w:color="auto"/>
                          <w:right w:val="single" w:sz="4" w:space="0" w:color="000000"/>
                        </w:tcBorders>
                        <w:shd w:val="clear" w:color="auto" w:fill="DCDCDC"/>
                      </w:tcPr>
                      <w:p>
                        <w:pPr/>
                      </w:p>
                    </w:tc>
                    <w:tc>
                      <w:tcPr>
                        <w:tcW w:w="1253" w:type="dxa"/>
                        <w:tcBorders>
                          <w:top w:val="nil" w:sz="6" w:space="0" w:color="auto"/>
                          <w:left w:val="single" w:sz="23" w:space="0" w:color="DCDCDC"/>
                          <w:bottom w:val="nil" w:sz="6" w:space="0" w:color="auto"/>
                          <w:right w:val="single" w:sz="22" w:space="0" w:color="DCDCDC"/>
                        </w:tcBorders>
                      </w:tcPr>
                      <w:p>
                        <w:pPr>
                          <w:pStyle w:val="TableParagraph"/>
                          <w:spacing w:line="300" w:lineRule="exact"/>
                          <w:ind w:left="-1" w:right="0"/>
                          <w:jc w:val="left"/>
                          <w:rPr>
                            <w:rFonts w:ascii="宋体" w:hAnsi="宋体" w:cs="宋体" w:eastAsia="宋体" w:hint="default"/>
                            <w:sz w:val="24"/>
                            <w:szCs w:val="24"/>
                          </w:rPr>
                        </w:pPr>
                        <w:r>
                          <w:rPr>
                            <w:rFonts w:ascii="Calibri" w:hAnsi="Calibri" w:cs="Calibri" w:eastAsia="Calibri" w:hint="default"/>
                            <w:sz w:val="24"/>
                            <w:szCs w:val="24"/>
                          </w:rPr>
                        </w:r>
                        <w:r>
                          <w:rPr>
                            <w:rFonts w:ascii="Calibri" w:hAnsi="Calibri" w:cs="Calibri" w:eastAsia="Calibri" w:hint="default"/>
                            <w:sz w:val="24"/>
                            <w:szCs w:val="24"/>
                            <w:shd w:fill="DCDCDC" w:color="auto" w:val="clear"/>
                          </w:rPr>
                          <w:t> </w:t>
                        </w:r>
                        <w:r>
                          <w:rPr>
                            <w:rFonts w:ascii="Calibri" w:hAnsi="Calibri" w:cs="Calibri" w:eastAsia="Calibri" w:hint="default"/>
                            <w:spacing w:val="-25"/>
                            <w:sz w:val="24"/>
                            <w:szCs w:val="24"/>
                            <w:shd w:fill="DCDCDC" w:color="auto" w:val="clear"/>
                          </w:rPr>
                          <w:t> </w:t>
                        </w:r>
                        <w:r>
                          <w:rPr>
                            <w:rFonts w:ascii="Calibri" w:hAnsi="Calibri" w:cs="Calibri" w:eastAsia="Calibri" w:hint="default"/>
                            <w:sz w:val="24"/>
                            <w:szCs w:val="24"/>
                            <w:shd w:fill="DCDCDC" w:color="auto" w:val="clear"/>
                          </w:rPr>
                          <w:t>2011</w:t>
                        </w:r>
                        <w:r>
                          <w:rPr>
                            <w:rFonts w:ascii="Calibri" w:hAnsi="Calibri" w:cs="Calibri" w:eastAsia="Calibri" w:hint="default"/>
                            <w:spacing w:val="6"/>
                            <w:sz w:val="24"/>
                            <w:szCs w:val="24"/>
                            <w:shd w:fill="DCDCDC" w:color="auto" w:val="clear"/>
                          </w:rPr>
                          <w:t> </w:t>
                        </w:r>
                        <w:r>
                          <w:rPr>
                            <w:rFonts w:ascii="宋体" w:hAnsi="宋体" w:cs="宋体" w:eastAsia="宋体" w:hint="default"/>
                            <w:sz w:val="24"/>
                            <w:szCs w:val="24"/>
                            <w:shd w:fill="DCDCDC" w:color="auto" w:val="clear"/>
                          </w:rPr>
                          <w:t>年末</w:t>
                        </w:r>
                        <w:r>
                          <w:rPr>
                            <w:rFonts w:ascii="宋体" w:hAnsi="宋体" w:cs="宋体" w:eastAsia="宋体" w:hint="default"/>
                            <w:sz w:val="24"/>
                            <w:szCs w:val="24"/>
                          </w:rPr>
                        </w:r>
                      </w:p>
                    </w:tc>
                    <w:tc>
                      <w:tcPr>
                        <w:tcW w:w="1250" w:type="dxa"/>
                        <w:tcBorders>
                          <w:top w:val="nil" w:sz="6" w:space="0" w:color="auto"/>
                          <w:left w:val="single" w:sz="22" w:space="0" w:color="DCDCDC"/>
                          <w:bottom w:val="nil" w:sz="6" w:space="0" w:color="auto"/>
                          <w:right w:val="single" w:sz="22" w:space="0" w:color="DCDCDC"/>
                        </w:tcBorders>
                      </w:tcPr>
                      <w:p>
                        <w:pPr>
                          <w:pStyle w:val="TableParagraph"/>
                          <w:spacing w:line="300" w:lineRule="exact"/>
                          <w:ind w:left="-2" w:right="0"/>
                          <w:jc w:val="left"/>
                          <w:rPr>
                            <w:rFonts w:ascii="宋体" w:hAnsi="宋体" w:cs="宋体" w:eastAsia="宋体" w:hint="default"/>
                            <w:sz w:val="24"/>
                            <w:szCs w:val="24"/>
                          </w:rPr>
                        </w:pPr>
                        <w:r>
                          <w:rPr>
                            <w:rFonts w:ascii="Calibri" w:hAnsi="Calibri" w:cs="Calibri" w:eastAsia="Calibri" w:hint="default"/>
                            <w:sz w:val="24"/>
                            <w:szCs w:val="24"/>
                          </w:rPr>
                        </w:r>
                        <w:r>
                          <w:rPr>
                            <w:rFonts w:ascii="Calibri" w:hAnsi="Calibri" w:cs="Calibri" w:eastAsia="Calibri" w:hint="default"/>
                            <w:sz w:val="24"/>
                            <w:szCs w:val="24"/>
                            <w:shd w:fill="DCDCDC" w:color="auto" w:val="clear"/>
                          </w:rPr>
                          <w:t> </w:t>
                        </w:r>
                        <w:r>
                          <w:rPr>
                            <w:rFonts w:ascii="Calibri" w:hAnsi="Calibri" w:cs="Calibri" w:eastAsia="Calibri" w:hint="default"/>
                            <w:spacing w:val="-25"/>
                            <w:sz w:val="24"/>
                            <w:szCs w:val="24"/>
                            <w:shd w:fill="DCDCDC" w:color="auto" w:val="clear"/>
                          </w:rPr>
                          <w:t> </w:t>
                        </w:r>
                        <w:r>
                          <w:rPr>
                            <w:rFonts w:ascii="Calibri" w:hAnsi="Calibri" w:cs="Calibri" w:eastAsia="Calibri" w:hint="default"/>
                            <w:sz w:val="24"/>
                            <w:szCs w:val="24"/>
                            <w:shd w:fill="DCDCDC" w:color="auto" w:val="clear"/>
                          </w:rPr>
                          <w:t>2010</w:t>
                        </w:r>
                        <w:r>
                          <w:rPr>
                            <w:rFonts w:ascii="Calibri" w:hAnsi="Calibri" w:cs="Calibri" w:eastAsia="Calibri" w:hint="default"/>
                            <w:spacing w:val="6"/>
                            <w:sz w:val="24"/>
                            <w:szCs w:val="24"/>
                            <w:shd w:fill="DCDCDC" w:color="auto" w:val="clear"/>
                          </w:rPr>
                          <w:t> </w:t>
                        </w:r>
                        <w:r>
                          <w:rPr>
                            <w:rFonts w:ascii="宋体" w:hAnsi="宋体" w:cs="宋体" w:eastAsia="宋体" w:hint="default"/>
                            <w:sz w:val="24"/>
                            <w:szCs w:val="24"/>
                            <w:shd w:fill="DCDCDC" w:color="auto" w:val="clear"/>
                          </w:rPr>
                          <w:t>年末</w:t>
                        </w:r>
                        <w:r>
                          <w:rPr>
                            <w:rFonts w:ascii="宋体" w:hAnsi="宋体" w:cs="宋体" w:eastAsia="宋体" w:hint="default"/>
                            <w:sz w:val="24"/>
                            <w:szCs w:val="24"/>
                          </w:rPr>
                        </w:r>
                      </w:p>
                    </w:tc>
                    <w:tc>
                      <w:tcPr>
                        <w:tcW w:w="1253" w:type="dxa"/>
                        <w:vMerge/>
                        <w:tcBorders>
                          <w:left w:val="single" w:sz="4" w:space="0" w:color="000000"/>
                          <w:right w:val="single" w:sz="4" w:space="0" w:color="000000"/>
                        </w:tcBorders>
                        <w:shd w:val="clear" w:color="auto" w:fill="DCDCDC"/>
                      </w:tcPr>
                      <w:p>
                        <w:pPr/>
                      </w:p>
                    </w:tc>
                    <w:tc>
                      <w:tcPr>
                        <w:tcW w:w="1253" w:type="dxa"/>
                        <w:gridSpan w:val="2"/>
                        <w:tcBorders>
                          <w:top w:val="nil" w:sz="6" w:space="0" w:color="auto"/>
                          <w:left w:val="single" w:sz="10" w:space="0" w:color="DCDCDC"/>
                          <w:bottom w:val="nil" w:sz="6" w:space="0" w:color="auto"/>
                          <w:right w:val="single" w:sz="14" w:space="0" w:color="DCDCDC"/>
                        </w:tcBorders>
                      </w:tcPr>
                      <w:p>
                        <w:pPr>
                          <w:pStyle w:val="TableParagraph"/>
                          <w:spacing w:line="300" w:lineRule="exact"/>
                          <w:ind w:left="16" w:right="0"/>
                          <w:jc w:val="left"/>
                          <w:rPr>
                            <w:rFonts w:ascii="宋体" w:hAnsi="宋体" w:cs="宋体" w:eastAsia="宋体" w:hint="default"/>
                            <w:sz w:val="24"/>
                            <w:szCs w:val="24"/>
                          </w:rPr>
                        </w:pPr>
                        <w:r>
                          <w:rPr>
                            <w:rFonts w:ascii="Calibri" w:hAnsi="Calibri" w:cs="Calibri" w:eastAsia="Calibri" w:hint="default"/>
                            <w:sz w:val="24"/>
                            <w:szCs w:val="24"/>
                          </w:rPr>
                        </w:r>
                        <w:r>
                          <w:rPr>
                            <w:rFonts w:ascii="Calibri" w:hAnsi="Calibri" w:cs="Calibri" w:eastAsia="Calibri" w:hint="default"/>
                            <w:sz w:val="24"/>
                            <w:szCs w:val="24"/>
                            <w:shd w:fill="DCDCDC" w:color="auto" w:val="clear"/>
                          </w:rPr>
                          <w:t> </w:t>
                        </w:r>
                        <w:r>
                          <w:rPr>
                            <w:rFonts w:ascii="Calibri" w:hAnsi="Calibri" w:cs="Calibri" w:eastAsia="Calibri" w:hint="default"/>
                            <w:spacing w:val="-25"/>
                            <w:sz w:val="24"/>
                            <w:szCs w:val="24"/>
                            <w:shd w:fill="DCDCDC" w:color="auto" w:val="clear"/>
                          </w:rPr>
                          <w:t> </w:t>
                        </w:r>
                        <w:r>
                          <w:rPr>
                            <w:rFonts w:ascii="Calibri" w:hAnsi="Calibri" w:cs="Calibri" w:eastAsia="Calibri" w:hint="default"/>
                            <w:sz w:val="24"/>
                            <w:szCs w:val="24"/>
                            <w:shd w:fill="DCDCDC" w:color="auto" w:val="clear"/>
                          </w:rPr>
                          <w:t>2009</w:t>
                        </w:r>
                        <w:r>
                          <w:rPr>
                            <w:rFonts w:ascii="Calibri" w:hAnsi="Calibri" w:cs="Calibri" w:eastAsia="Calibri" w:hint="default"/>
                            <w:spacing w:val="6"/>
                            <w:sz w:val="24"/>
                            <w:szCs w:val="24"/>
                            <w:shd w:fill="DCDCDC" w:color="auto" w:val="clear"/>
                          </w:rPr>
                          <w:t> </w:t>
                        </w:r>
                        <w:r>
                          <w:rPr>
                            <w:rFonts w:ascii="宋体" w:hAnsi="宋体" w:cs="宋体" w:eastAsia="宋体" w:hint="default"/>
                            <w:sz w:val="24"/>
                            <w:szCs w:val="24"/>
                            <w:shd w:fill="DCDCDC" w:color="auto" w:val="clear"/>
                          </w:rPr>
                          <w:t>年末</w:t>
                        </w:r>
                        <w:r>
                          <w:rPr>
                            <w:rFonts w:ascii="宋体" w:hAnsi="宋体" w:cs="宋体" w:eastAsia="宋体" w:hint="default"/>
                            <w:sz w:val="24"/>
                            <w:szCs w:val="24"/>
                          </w:rPr>
                        </w:r>
                      </w:p>
                    </w:tc>
                  </w:tr>
                  <w:tr>
                    <w:trPr>
                      <w:trHeight w:val="321" w:hRule="exact"/>
                    </w:trPr>
                    <w:tc>
                      <w:tcPr>
                        <w:tcW w:w="40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3" w:type="dxa"/>
                        <w:vMerge/>
                        <w:tcBorders>
                          <w:left w:val="single" w:sz="4" w:space="0" w:color="000000"/>
                          <w:bottom w:val="single" w:sz="4" w:space="0" w:color="000000"/>
                          <w:right w:val="single" w:sz="4" w:space="0" w:color="000000"/>
                        </w:tcBorders>
                        <w:shd w:val="clear" w:color="auto" w:fill="DCDCDC"/>
                      </w:tcPr>
                      <w:p>
                        <w:pPr/>
                      </w:p>
                    </w:tc>
                    <w:tc>
                      <w:tcPr>
                        <w:tcW w:w="1253"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归属于上市公司股东的每股净资产</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Calibri" w:hAnsi="Calibri" w:cs="Calibri" w:eastAsia="Calibri" w:hint="default"/>
                            <w:sz w:val="24"/>
                            <w:szCs w:val="24"/>
                          </w:rPr>
                        </w:pPr>
                        <w:r>
                          <w:rPr>
                            <w:rFonts w:ascii="Calibri"/>
                            <w:sz w:val="24"/>
                          </w:rPr>
                          <w:t>4.27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Calibri" w:hAnsi="Calibri" w:cs="Calibri" w:eastAsia="Calibri" w:hint="default"/>
                            <w:sz w:val="24"/>
                            <w:szCs w:val="24"/>
                          </w:rPr>
                        </w:pPr>
                        <w:r>
                          <w:rPr>
                            <w:rFonts w:ascii="Calibri"/>
                            <w:sz w:val="24"/>
                          </w:rPr>
                          <w:t>3.69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Calibri" w:hAnsi="Calibri" w:cs="Calibri" w:eastAsia="Calibri" w:hint="default"/>
                            <w:sz w:val="24"/>
                            <w:szCs w:val="24"/>
                          </w:rPr>
                        </w:pPr>
                        <w:r>
                          <w:rPr>
                            <w:rFonts w:ascii="Calibri"/>
                            <w:spacing w:val="-1"/>
                            <w:sz w:val="24"/>
                          </w:rPr>
                          <w:t>15.72%</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4" w:right="0"/>
                          <w:jc w:val="left"/>
                          <w:rPr>
                            <w:rFonts w:ascii="Calibri" w:hAnsi="Calibri" w:cs="Calibri" w:eastAsia="Calibri" w:hint="default"/>
                            <w:sz w:val="24"/>
                            <w:szCs w:val="24"/>
                          </w:rPr>
                        </w:pPr>
                        <w:r>
                          <w:rPr>
                            <w:rFonts w:ascii="Calibri"/>
                            <w:sz w:val="24"/>
                          </w:rPr>
                          <w:t>3.04</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exact"/>
                          <w:ind w:left="24" w:right="0"/>
                          <w:jc w:val="left"/>
                          <w:rPr>
                            <w:rFonts w:ascii="宋体" w:hAnsi="宋体" w:cs="宋体" w:eastAsia="宋体" w:hint="default"/>
                            <w:sz w:val="24"/>
                            <w:szCs w:val="24"/>
                          </w:rPr>
                        </w:pPr>
                        <w:r>
                          <w:rPr>
                            <w:rFonts w:ascii="宋体" w:hAnsi="宋体" w:cs="宋体" w:eastAsia="宋体" w:hint="default"/>
                            <w:sz w:val="24"/>
                            <w:szCs w:val="24"/>
                          </w:rPr>
                          <w:t>资产负债率（</w:t>
                        </w:r>
                        <w:r>
                          <w:rPr>
                            <w:rFonts w:ascii="Calibri" w:hAnsi="Calibri" w:cs="Calibri" w:eastAsia="Calibri" w:hint="default"/>
                            <w:sz w:val="24"/>
                            <w:szCs w:val="24"/>
                          </w:rPr>
                          <w:t>%</w:t>
                        </w:r>
                        <w:r>
                          <w:rPr>
                            <w:rFonts w:ascii="宋体" w:hAnsi="宋体" w:cs="宋体" w:eastAsia="宋体" w:hint="default"/>
                            <w:sz w:val="24"/>
                            <w:szCs w:val="24"/>
                          </w:rPr>
                          <w:t>）</w:t>
                        </w:r>
                      </w:p>
                    </w:tc>
                    <w:tc>
                      <w:tcPr>
                        <w:tcW w:w="12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32.43%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33.86%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z w:val="24"/>
                          </w:rPr>
                          <w:t>-1.43%</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1" w:right="0"/>
                          <w:jc w:val="left"/>
                          <w:rPr>
                            <w:rFonts w:ascii="Calibri" w:hAnsi="Calibri" w:cs="Calibri" w:eastAsia="Calibri" w:hint="default"/>
                            <w:sz w:val="24"/>
                            <w:szCs w:val="24"/>
                          </w:rPr>
                        </w:pPr>
                        <w:r>
                          <w:rPr>
                            <w:rFonts w:ascii="Calibri"/>
                            <w:sz w:val="24"/>
                          </w:rPr>
                          <w:t>65.56%</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even" r:id="rId18"/>
          <w:footerReference w:type="default" r:id="rId19"/>
          <w:pgSz w:w="12240" w:h="15840"/>
          <w:pgMar w:footer="987" w:header="847" w:top="1360" w:bottom="1180" w:left="1500" w:right="0"/>
        </w:sectPr>
      </w:pPr>
    </w:p>
    <w:p>
      <w:pPr>
        <w:pStyle w:val="Heading2"/>
        <w:spacing w:line="240" w:lineRule="auto" w:before="156"/>
        <w:ind w:right="0"/>
        <w:jc w:val="left"/>
        <w:rPr>
          <w:b w:val="0"/>
          <w:bCs w:val="0"/>
        </w:rPr>
      </w:pPr>
      <w:r>
        <w:rPr>
          <w:w w:val="95"/>
        </w:rPr>
        <w:t>三、非经常性损益项目</w:t>
      </w:r>
      <w:r>
        <w:rPr>
          <w:b w:val="0"/>
          <w:bCs w:val="0"/>
        </w:rPr>
      </w:r>
    </w:p>
    <w:p>
      <w:pPr>
        <w:spacing w:line="240" w:lineRule="auto" w:before="0"/>
        <w:rPr>
          <w:rFonts w:ascii="黑体" w:hAnsi="黑体" w:cs="黑体" w:eastAsia="黑体" w:hint="default"/>
          <w:b/>
          <w:bCs/>
          <w:sz w:val="24"/>
          <w:szCs w:val="24"/>
        </w:rPr>
      </w:pPr>
      <w:r>
        <w:rPr/>
        <w:br w:type="column"/>
      </w:r>
      <w:r>
        <w:rPr>
          <w:rFonts w:ascii="黑体"/>
          <w:b/>
          <w:sz w:val="24"/>
        </w:rPr>
      </w:r>
    </w:p>
    <w:p>
      <w:pPr>
        <w:spacing w:line="240" w:lineRule="auto" w:before="3"/>
        <w:rPr>
          <w:rFonts w:ascii="黑体" w:hAnsi="黑体" w:cs="黑体" w:eastAsia="黑体" w:hint="default"/>
          <w:b/>
          <w:bCs/>
          <w:sz w:val="25"/>
          <w:szCs w:val="25"/>
        </w:rPr>
      </w:pPr>
    </w:p>
    <w:p>
      <w:pPr>
        <w:pStyle w:val="BodyText"/>
        <w:spacing w:line="240" w:lineRule="auto"/>
        <w:ind w:right="0"/>
        <w:jc w:val="left"/>
      </w:pPr>
      <w:r>
        <w:rPr/>
        <w:t>单位：元</w:t>
      </w:r>
    </w:p>
    <w:p>
      <w:pPr>
        <w:spacing w:after="0" w:line="240" w:lineRule="auto"/>
        <w:jc w:val="left"/>
        <w:sectPr>
          <w:type w:val="continuous"/>
          <w:pgSz w:w="12240" w:h="15840"/>
          <w:pgMar w:top="1500" w:bottom="0" w:left="1500" w:right="0"/>
          <w:cols w:num="2" w:equalWidth="0">
            <w:col w:w="2955" w:space="5038"/>
            <w:col w:w="2747"/>
          </w:cols>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901"/>
        <w:gridCol w:w="1740"/>
        <w:gridCol w:w="1685"/>
        <w:gridCol w:w="1685"/>
      </w:tblGrid>
      <w:tr>
        <w:trPr>
          <w:trHeight w:val="319" w:hRule="exact"/>
        </w:trPr>
        <w:tc>
          <w:tcPr>
            <w:tcW w:w="3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983"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exact"/>
              <w:ind w:left="232"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年金额</w:t>
            </w:r>
          </w:p>
        </w:tc>
        <w:tc>
          <w:tcPr>
            <w:tcW w:w="16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exact"/>
              <w:ind w:left="204"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年金额</w:t>
            </w:r>
          </w:p>
        </w:tc>
        <w:tc>
          <w:tcPr>
            <w:tcW w:w="16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exact"/>
              <w:ind w:left="204"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年金额</w:t>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z w:val="24"/>
              </w:rPr>
              <w:t>49,487.65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-226,067.99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pacing w:val="-1"/>
                <w:sz w:val="24"/>
              </w:rPr>
              <w:t>-2,200.00</w:t>
            </w:r>
          </w:p>
        </w:tc>
      </w:tr>
      <w:tr>
        <w:trPr>
          <w:trHeight w:val="1256"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both"/>
              <w:rPr>
                <w:rFonts w:ascii="宋体" w:hAnsi="宋体" w:cs="宋体" w:eastAsia="宋体" w:hint="default"/>
                <w:sz w:val="24"/>
                <w:szCs w:val="24"/>
              </w:rPr>
            </w:pPr>
            <w:r>
              <w:rPr>
                <w:rFonts w:ascii="宋体" w:hAnsi="宋体" w:cs="宋体" w:eastAsia="宋体" w:hint="default"/>
                <w:sz w:val="24"/>
                <w:szCs w:val="24"/>
              </w:rPr>
              <w:t>计入当期损益的政府补助，但与公司</w:t>
            </w:r>
          </w:p>
          <w:p>
            <w:pPr>
              <w:pStyle w:val="TableParagraph"/>
              <w:spacing w:line="312" w:lineRule="exact" w:before="28"/>
              <w:ind w:left="24" w:right="24"/>
              <w:jc w:val="both"/>
              <w:rPr>
                <w:rFonts w:ascii="宋体" w:hAnsi="宋体" w:cs="宋体" w:eastAsia="宋体" w:hint="default"/>
                <w:sz w:val="24"/>
                <w:szCs w:val="24"/>
              </w:rPr>
            </w:pPr>
            <w:r>
              <w:rPr>
                <w:rFonts w:ascii="宋体" w:hAnsi="宋体" w:cs="宋体" w:eastAsia="宋体" w:hint="default"/>
                <w:sz w:val="24"/>
                <w:szCs w:val="24"/>
              </w:rPr>
              <w:t>正常经营业务密切相关，符合国家政 策规定、按照一定标准定额或定量持 续享受的政府补助除外</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9"/>
              <w:jc w:val="right"/>
              <w:rPr>
                <w:rFonts w:ascii="Calibri" w:hAnsi="Calibri" w:cs="Calibri" w:eastAsia="Calibri" w:hint="default"/>
                <w:sz w:val="24"/>
                <w:szCs w:val="24"/>
              </w:rPr>
            </w:pPr>
            <w:r>
              <w:rPr>
                <w:rFonts w:ascii="Calibri"/>
                <w:spacing w:val="-1"/>
                <w:sz w:val="24"/>
              </w:rPr>
              <w:t>11,054,500.00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9"/>
              <w:jc w:val="right"/>
              <w:rPr>
                <w:rFonts w:ascii="Calibri" w:hAnsi="Calibri" w:cs="Calibri" w:eastAsia="Calibri" w:hint="default"/>
                <w:sz w:val="24"/>
                <w:szCs w:val="24"/>
              </w:rPr>
            </w:pPr>
            <w:r>
              <w:rPr>
                <w:rFonts w:ascii="Calibri"/>
                <w:spacing w:val="-1"/>
                <w:sz w:val="24"/>
              </w:rPr>
              <w:t>1,864,323.00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21"/>
              <w:jc w:val="right"/>
              <w:rPr>
                <w:rFonts w:ascii="Calibri" w:hAnsi="Calibri" w:cs="Calibri" w:eastAsia="Calibri" w:hint="default"/>
                <w:sz w:val="24"/>
                <w:szCs w:val="24"/>
              </w:rPr>
            </w:pPr>
            <w:r>
              <w:rPr>
                <w:rFonts w:ascii="Calibri"/>
                <w:spacing w:val="-1"/>
                <w:sz w:val="24"/>
              </w:rPr>
              <w:t>4,336,760.34</w:t>
            </w:r>
          </w:p>
        </w:tc>
      </w:tr>
      <w:tr>
        <w:trPr>
          <w:trHeight w:val="1255"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企业取得子公司、联营企业及合营企</w:t>
            </w:r>
          </w:p>
          <w:p>
            <w:pPr>
              <w:pStyle w:val="TableParagraph"/>
              <w:spacing w:line="237" w:lineRule="auto" w:before="1"/>
              <w:ind w:left="24" w:right="24"/>
              <w:jc w:val="both"/>
              <w:rPr>
                <w:rFonts w:ascii="宋体" w:hAnsi="宋体" w:cs="宋体" w:eastAsia="宋体" w:hint="default"/>
                <w:sz w:val="24"/>
                <w:szCs w:val="24"/>
              </w:rPr>
            </w:pPr>
            <w:r>
              <w:rPr>
                <w:rFonts w:ascii="宋体" w:hAnsi="宋体" w:cs="宋体" w:eastAsia="宋体" w:hint="default"/>
                <w:sz w:val="24"/>
                <w:szCs w:val="24"/>
              </w:rPr>
              <w:t>业的投资成本小于取得投资时应享有 被投资单位可辨认净资产公允价值产 生的收益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8"/>
              <w:jc w:val="right"/>
              <w:rPr>
                <w:rFonts w:ascii="Calibri" w:hAnsi="Calibri" w:cs="Calibri" w:eastAsia="Calibri" w:hint="default"/>
                <w:sz w:val="24"/>
                <w:szCs w:val="24"/>
              </w:rPr>
            </w:pPr>
            <w:r>
              <w:rPr>
                <w:rFonts w:ascii="Calibri"/>
                <w:sz w:val="24"/>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18"/>
              <w:jc w:val="right"/>
              <w:rPr>
                <w:rFonts w:ascii="Calibri" w:hAnsi="Calibri" w:cs="Calibri" w:eastAsia="Calibri" w:hint="default"/>
                <w:sz w:val="24"/>
                <w:szCs w:val="24"/>
              </w:rPr>
            </w:pPr>
            <w:r>
              <w:rPr>
                <w:rFonts w:ascii="Calibri"/>
                <w:sz w:val="24"/>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21"/>
              <w:jc w:val="right"/>
              <w:rPr>
                <w:rFonts w:ascii="Calibri" w:hAnsi="Calibri" w:cs="Calibri" w:eastAsia="Calibri" w:hint="default"/>
                <w:sz w:val="24"/>
                <w:szCs w:val="24"/>
              </w:rPr>
            </w:pPr>
            <w:r>
              <w:rPr>
                <w:rFonts w:ascii="Calibri"/>
                <w:spacing w:val="-1"/>
                <w:sz w:val="24"/>
              </w:rPr>
              <w:t>137,207.58</w:t>
            </w:r>
            <w:r>
              <w:rPr>
                <w:rFonts w:ascii="Calibri"/>
                <w:sz w:val="24"/>
              </w:rPr>
            </w:r>
          </w:p>
        </w:tc>
      </w:tr>
      <w:tr>
        <w:trPr>
          <w:trHeight w:val="634"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支出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8"/>
              <w:jc w:val="right"/>
              <w:rPr>
                <w:rFonts w:ascii="Calibri" w:hAnsi="Calibri" w:cs="Calibri" w:eastAsia="Calibri" w:hint="default"/>
                <w:sz w:val="24"/>
                <w:szCs w:val="24"/>
              </w:rPr>
            </w:pPr>
            <w:r>
              <w:rPr>
                <w:rFonts w:ascii="Calibri"/>
                <w:spacing w:val="-1"/>
                <w:sz w:val="24"/>
              </w:rPr>
              <w:t>-154,130.19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9"/>
              <w:jc w:val="right"/>
              <w:rPr>
                <w:rFonts w:ascii="Calibri" w:hAnsi="Calibri" w:cs="Calibri" w:eastAsia="Calibri" w:hint="default"/>
                <w:sz w:val="24"/>
                <w:szCs w:val="24"/>
              </w:rPr>
            </w:pPr>
            <w:r>
              <w:rPr>
                <w:rFonts w:ascii="Calibri"/>
                <w:spacing w:val="-1"/>
                <w:sz w:val="24"/>
              </w:rPr>
              <w:t>-255,012.79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21"/>
              <w:jc w:val="right"/>
              <w:rPr>
                <w:rFonts w:ascii="Calibri" w:hAnsi="Calibri" w:cs="Calibri" w:eastAsia="Calibri" w:hint="default"/>
                <w:sz w:val="24"/>
                <w:szCs w:val="24"/>
              </w:rPr>
            </w:pPr>
            <w:r>
              <w:rPr>
                <w:rFonts w:ascii="Calibri"/>
                <w:spacing w:val="-1"/>
                <w:sz w:val="24"/>
              </w:rPr>
              <w:t>117,615.16</w:t>
            </w:r>
            <w:r>
              <w:rPr>
                <w:rFonts w:ascii="Calibri"/>
                <w:sz w:val="24"/>
              </w:rPr>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-1,029,664.86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-76,242.93</w:t>
            </w:r>
            <w:r>
              <w:rPr>
                <w:rFonts w:ascii="Calibri"/>
                <w:sz w:val="24"/>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pacing w:val="-1"/>
                <w:sz w:val="24"/>
              </w:rPr>
              <w:t>-254,741.35</w:t>
            </w:r>
          </w:p>
        </w:tc>
      </w:tr>
      <w:tr>
        <w:trPr>
          <w:trHeight w:val="319"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z w:val="24"/>
              </w:rPr>
              <w:t>6.86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z w:val="24"/>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0.00</w:t>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7"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4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9,920,199.46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pacing w:val="-1"/>
                <w:sz w:val="24"/>
              </w:rPr>
              <w:t>1,306,999.29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4,334,641.73</w:t>
            </w:r>
          </w:p>
        </w:tc>
      </w:tr>
    </w:tbl>
    <w:p>
      <w:pPr>
        <w:spacing w:line="240" w:lineRule="auto" w:before="0"/>
        <w:rPr>
          <w:rFonts w:ascii="宋体" w:hAnsi="宋体" w:cs="宋体" w:eastAsia="宋体" w:hint="default"/>
          <w:sz w:val="20"/>
          <w:szCs w:val="20"/>
        </w:rPr>
      </w:pPr>
    </w:p>
    <w:p>
      <w:pPr>
        <w:pStyle w:val="Heading1"/>
        <w:spacing w:line="240" w:lineRule="auto" w:before="163"/>
        <w:ind w:left="2612" w:right="1697"/>
        <w:jc w:val="left"/>
        <w:rPr>
          <w:b w:val="0"/>
          <w:bCs w:val="0"/>
        </w:rPr>
      </w:pPr>
      <w:bookmarkStart w:name="_TOC_250009" w:id="4"/>
      <w:r>
        <w:rPr/>
        <w:t>第四节</w:t>
      </w:r>
      <w:r>
        <w:rPr>
          <w:spacing w:val="-6"/>
        </w:rPr>
        <w:t> </w:t>
      </w:r>
      <w:r>
        <w:rPr/>
        <w:t>股份变动及股东情况</w:t>
      </w:r>
      <w:bookmarkEnd w:id="4"/>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pStyle w:val="Heading2"/>
        <w:spacing w:line="240" w:lineRule="auto" w:before="14"/>
        <w:ind w:right="1697"/>
        <w:jc w:val="left"/>
        <w:rPr>
          <w:b w:val="0"/>
          <w:bCs w:val="0"/>
        </w:rPr>
      </w:pPr>
      <w:r>
        <w:rPr/>
        <w:t>一、股份变动情况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（一）股份变动情况表</w:t>
      </w:r>
      <w:r>
        <w:rPr>
          <w:b w:val="0"/>
          <w:bCs w:val="0"/>
        </w:rPr>
      </w:r>
    </w:p>
    <w:p>
      <w:pPr>
        <w:spacing w:after="0" w:line="240" w:lineRule="auto"/>
        <w:jc w:val="left"/>
        <w:sectPr>
          <w:type w:val="continuous"/>
          <w:pgSz w:w="12240" w:h="15840"/>
          <w:pgMar w:top="1500" w:bottom="0" w:left="1500" w:right="0"/>
        </w:sectPr>
      </w:pPr>
    </w:p>
    <w:p>
      <w:pPr>
        <w:spacing w:before="17"/>
        <w:ind w:left="0" w:right="1637" w:firstLine="0"/>
        <w:jc w:val="right"/>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5384"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1"/>
          <w:sz w:val="21"/>
          <w:szCs w:val="21"/>
        </w:rPr>
        <w:t>单位：股</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46"/>
        <w:gridCol w:w="1004"/>
        <w:gridCol w:w="710"/>
        <w:gridCol w:w="991"/>
        <w:gridCol w:w="992"/>
        <w:gridCol w:w="710"/>
        <w:gridCol w:w="992"/>
        <w:gridCol w:w="994"/>
        <w:gridCol w:w="991"/>
        <w:gridCol w:w="708"/>
      </w:tblGrid>
      <w:tr>
        <w:trPr>
          <w:trHeight w:val="246" w:hRule="exact"/>
        </w:trPr>
        <w:tc>
          <w:tcPr>
            <w:tcW w:w="22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7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44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2246" w:type="dxa"/>
            <w:vMerge w:val="restart"/>
            <w:tcBorders>
              <w:top w:val="nil" w:sz="6" w:space="0" w:color="auto"/>
              <w:left w:val="single" w:sz="4" w:space="0" w:color="000000"/>
              <w:right w:val="single" w:sz="4" w:space="0" w:color="000000"/>
            </w:tcBorders>
            <w:shd w:val="clear" w:color="auto" w:fill="DCDCDC"/>
          </w:tcPr>
          <w:p>
            <w:pPr/>
          </w:p>
        </w:tc>
        <w:tc>
          <w:tcPr>
            <w:tcW w:w="1004"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vMerge w:val="restart"/>
            <w:tcBorders>
              <w:top w:val="single" w:sz="4" w:space="0" w:color="000000"/>
              <w:left w:val="single" w:sz="4" w:space="0" w:color="000000"/>
              <w:right w:val="single" w:sz="4" w:space="0" w:color="000000"/>
            </w:tcBorders>
            <w:shd w:val="clear" w:color="auto" w:fill="DCDCDC"/>
          </w:tcPr>
          <w:p>
            <w:pPr>
              <w:pStyle w:val="TableParagraph"/>
              <w:spacing w:line="203" w:lineRule="exact"/>
              <w:ind w:left="170"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03" w:hRule="exact"/>
        </w:trPr>
        <w:tc>
          <w:tcPr>
            <w:tcW w:w="2246" w:type="dxa"/>
            <w:vMerge/>
            <w:tcBorders>
              <w:left w:val="single" w:sz="4" w:space="0" w:color="000000"/>
              <w:bottom w:val="nil" w:sz="6" w:space="0" w:color="auto"/>
              <w:right w:val="single" w:sz="4" w:space="0" w:color="000000"/>
            </w:tcBorders>
            <w:shd w:val="clear" w:color="auto" w:fill="DCDCDC"/>
          </w:tcPr>
          <w:p>
            <w:pPr/>
          </w:p>
        </w:tc>
        <w:tc>
          <w:tcPr>
            <w:tcW w:w="100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CDCDC"/>
          </w:tcPr>
          <w:p>
            <w:pPr/>
          </w:p>
        </w:tc>
        <w:tc>
          <w:tcPr>
            <w:tcW w:w="99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2" w:hRule="exact"/>
        </w:trPr>
        <w:tc>
          <w:tcPr>
            <w:tcW w:w="22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4" w:type="dxa"/>
            <w:vMerge/>
            <w:tcBorders>
              <w:left w:val="single" w:sz="4" w:space="0" w:color="000000"/>
              <w:bottom w:val="single" w:sz="4" w:space="0" w:color="000000"/>
              <w:right w:val="single" w:sz="4" w:space="0" w:color="000000"/>
            </w:tcBorders>
            <w:shd w:val="clear" w:color="auto" w:fill="DCDCDC"/>
          </w:tcPr>
          <w:p>
            <w:pPr/>
          </w:p>
        </w:tc>
        <w:tc>
          <w:tcPr>
            <w:tcW w:w="710"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710"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50" w:space="0" w:color="DCDCDC"/>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92,873,010</w:t>
            </w:r>
          </w:p>
        </w:tc>
        <w:tc>
          <w:tcPr>
            <w:tcW w:w="71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21.80%</w:t>
            </w:r>
          </w:p>
        </w:tc>
        <w:tc>
          <w:tcPr>
            <w:tcW w:w="991"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16,301,577</w:t>
            </w:r>
          </w:p>
        </w:tc>
        <w:tc>
          <w:tcPr>
            <w:tcW w:w="992" w:type="dxa"/>
            <w:tcBorders>
              <w:top w:val="single" w:sz="50" w:space="0" w:color="DCDCDC"/>
              <w:left w:val="single" w:sz="4" w:space="0" w:color="000000"/>
              <w:bottom w:val="single" w:sz="4" w:space="0" w:color="000000"/>
              <w:right w:val="single" w:sz="10" w:space="0" w:color="DCDCDC"/>
            </w:tcBorders>
          </w:tcPr>
          <w:p>
            <w:pPr>
              <w:pStyle w:val="TableParagraph"/>
              <w:spacing w:line="240" w:lineRule="auto" w:before="6"/>
              <w:ind w:right="12"/>
              <w:jc w:val="right"/>
              <w:rPr>
                <w:rFonts w:ascii="Calibri" w:hAnsi="Calibri" w:cs="Calibri" w:eastAsia="Calibri" w:hint="default"/>
                <w:sz w:val="18"/>
                <w:szCs w:val="18"/>
              </w:rPr>
            </w:pPr>
            <w:r>
              <w:rPr>
                <w:rFonts w:ascii="Calibri"/>
                <w:sz w:val="18"/>
              </w:rPr>
              <w:t>13,837,788</w:t>
            </w:r>
          </w:p>
        </w:tc>
        <w:tc>
          <w:tcPr>
            <w:tcW w:w="710" w:type="dxa"/>
            <w:tcBorders>
              <w:top w:val="single" w:sz="4" w:space="0" w:color="000000"/>
              <w:left w:val="single" w:sz="10" w:space="0" w:color="DCDCDC"/>
              <w:bottom w:val="single" w:sz="4" w:space="0" w:color="000000"/>
              <w:right w:val="single" w:sz="13" w:space="0" w:color="DCDCDC"/>
            </w:tcBorders>
          </w:tcPr>
          <w:p>
            <w:pPr/>
          </w:p>
        </w:tc>
        <w:tc>
          <w:tcPr>
            <w:tcW w:w="992"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-39,985,647</w:t>
            </w:r>
          </w:p>
        </w:tc>
        <w:tc>
          <w:tcPr>
            <w:tcW w:w="994"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-9,846,282</w:t>
            </w:r>
          </w:p>
        </w:tc>
        <w:tc>
          <w:tcPr>
            <w:tcW w:w="991"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83,026,728</w:t>
            </w:r>
          </w:p>
        </w:tc>
        <w:tc>
          <w:tcPr>
            <w:tcW w:w="708"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15.64%</w:t>
            </w: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37,920,000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16,301,577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3,260,315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-37,920,000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-18,358,108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19,561,892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3.69%</w:t>
            </w: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其中：境内非国有法人持股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4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37,920,000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16,301,577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3,260,315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-37,920,000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-18,358,108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19,561,892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3.69%</w:t>
            </w: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0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4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、高管股份</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54,953,010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12.90%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10,577,473</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-2,065,647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8,511,826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63,464,836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11.96%</w:t>
            </w:r>
          </w:p>
        </w:tc>
      </w:tr>
      <w:tr>
        <w:trPr>
          <w:trHeight w:val="243"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333,112,080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78.20%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74,619,545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39,985,647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114,605,192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447,717,272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84.36%</w:t>
            </w: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333,112,080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78.20%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74,619,545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39,985,647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114,605,192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447,717,272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84.36%</w:t>
            </w: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425,985,090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8"/>
                <w:szCs w:val="18"/>
              </w:rPr>
            </w:pPr>
            <w:r>
              <w:rPr>
                <w:rFonts w:ascii="Calibri"/>
                <w:sz w:val="18"/>
              </w:rPr>
              <w:t>16,301,577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88,457,333</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104,758,910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530,744,000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100.00%</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2240" w:h="15840"/>
          <w:pgMar w:header="847" w:footer="987" w:top="1360" w:bottom="1180" w:left="820" w:right="0"/>
        </w:sectPr>
      </w:pPr>
    </w:p>
    <w:p>
      <w:pPr>
        <w:pStyle w:val="Heading3"/>
        <w:spacing w:line="240" w:lineRule="auto" w:before="19"/>
        <w:ind w:left="824" w:right="0"/>
        <w:jc w:val="left"/>
        <w:rPr>
          <w:b w:val="0"/>
          <w:bCs w:val="0"/>
        </w:rPr>
      </w:pPr>
      <w:r>
        <w:rPr>
          <w:w w:val="95"/>
        </w:rPr>
        <w:t>（二）限售股份变动情况表</w:t>
      </w:r>
      <w:r>
        <w:rPr>
          <w:b w:val="0"/>
          <w:bCs w:val="0"/>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4"/>
        <w:rPr>
          <w:rFonts w:ascii="黑体" w:hAnsi="黑体" w:cs="黑体" w:eastAsia="黑体" w:hint="default"/>
          <w:b/>
          <w:bCs/>
          <w:sz w:val="17"/>
          <w:szCs w:val="17"/>
        </w:rPr>
      </w:pPr>
    </w:p>
    <w:p>
      <w:pPr>
        <w:spacing w:before="0"/>
        <w:ind w:left="824"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2240" w:h="15840"/>
          <w:pgMar w:top="1500" w:bottom="0" w:left="820" w:right="0"/>
          <w:cols w:num="2" w:equalWidth="0">
            <w:col w:w="3954" w:space="4159"/>
            <w:col w:w="3307"/>
          </w:cols>
        </w:sectPr>
      </w:pP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992"/>
        <w:gridCol w:w="1277"/>
        <w:gridCol w:w="1275"/>
        <w:gridCol w:w="1277"/>
        <w:gridCol w:w="1419"/>
        <w:gridCol w:w="2269"/>
        <w:gridCol w:w="1702"/>
      </w:tblGrid>
      <w:tr>
        <w:trPr>
          <w:trHeight w:val="554" w:hRule="exact"/>
        </w:trPr>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70"/>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70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53,063,223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7,095,269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9,193,591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55,161,545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28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吕波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884,443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1"/>
                <w:sz w:val="21"/>
              </w:rPr>
              <w:t>221,111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132,666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1"/>
                <w:sz w:val="21"/>
              </w:rPr>
              <w:t>795,998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398,014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99,504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59,702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358,212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459,951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114,988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68,993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413,956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132,698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33,175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19,905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119,428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金伟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14,681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2,936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17,617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Calibri" w:hAnsi="Calibri" w:cs="Calibri" w:eastAsia="Calibri" w:hint="default"/>
                <w:sz w:val="21"/>
                <w:szCs w:val="21"/>
              </w:rPr>
            </w:pPr>
            <w:r>
              <w:rPr>
                <w:rFonts w:ascii="宋体" w:hAnsi="宋体" w:cs="宋体" w:eastAsia="宋体" w:hint="default"/>
                <w:sz w:val="21"/>
                <w:szCs w:val="21"/>
              </w:rPr>
              <w:t>每年初解限</w:t>
            </w:r>
            <w:r>
              <w:rPr>
                <w:rFonts w:ascii="宋体" w:hAnsi="宋体" w:cs="宋体" w:eastAsia="宋体" w:hint="default"/>
                <w:spacing w:val="-53"/>
                <w:sz w:val="21"/>
                <w:szCs w:val="21"/>
              </w:rPr>
              <w:t> </w:t>
            </w:r>
            <w:r>
              <w:rPr>
                <w:rFonts w:ascii="Calibri" w:hAnsi="Calibri" w:cs="Calibri" w:eastAsia="Calibri" w:hint="default"/>
                <w:sz w:val="21"/>
                <w:szCs w:val="21"/>
              </w:rPr>
              <w:t>25%</w:t>
            </w:r>
          </w:p>
        </w:tc>
      </w:tr>
      <w:tr>
        <w:trPr>
          <w:trHeight w:val="109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翟曙春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1"/>
              <w:jc w:val="right"/>
              <w:rPr>
                <w:rFonts w:ascii="Calibri" w:hAnsi="Calibri" w:cs="Calibri" w:eastAsia="Calibri" w:hint="default"/>
                <w:sz w:val="21"/>
                <w:szCs w:val="21"/>
              </w:rPr>
            </w:pPr>
            <w:r>
              <w:rPr>
                <w:rFonts w:ascii="Calibri"/>
                <w:spacing w:val="-2"/>
                <w:sz w:val="21"/>
              </w:rPr>
              <w:t>10,996,800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spacing w:val="-1"/>
                <w:sz w:val="21"/>
              </w:rPr>
              <w:t>5,498,400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1"/>
              <w:jc w:val="right"/>
              <w:rPr>
                <w:rFonts w:ascii="Calibri" w:hAnsi="Calibri" w:cs="Calibri" w:eastAsia="Calibri" w:hint="default"/>
                <w:sz w:val="21"/>
                <w:szCs w:val="21"/>
              </w:rPr>
            </w:pPr>
            <w:r>
              <w:rPr>
                <w:rFonts w:ascii="Calibri"/>
                <w:spacing w:val="-1"/>
                <w:sz w:val="21"/>
              </w:rPr>
              <w:t>1,099,680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spacing w:val="-1"/>
                <w:sz w:val="21"/>
              </w:rPr>
              <w:t>6,598,080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高管离任满</w:t>
            </w:r>
            <w:r>
              <w:rPr>
                <w:rFonts w:ascii="宋体" w:hAnsi="宋体" w:cs="宋体" w:eastAsia="宋体" w:hint="default"/>
                <w:spacing w:val="-51"/>
                <w:sz w:val="21"/>
                <w:szCs w:val="21"/>
              </w:rPr>
              <w:t> </w:t>
            </w:r>
            <w:r>
              <w:rPr>
                <w:rFonts w:ascii="Calibri" w:hAnsi="Calibri" w:cs="Calibri" w:eastAsia="Calibri" w:hint="default"/>
                <w:sz w:val="21"/>
                <w:szCs w:val="21"/>
              </w:rPr>
              <w:t>6</w:t>
            </w:r>
            <w:r>
              <w:rPr>
                <w:rFonts w:ascii="Calibri" w:hAnsi="Calibri" w:cs="Calibri" w:eastAsia="Calibri" w:hint="default"/>
                <w:spacing w:val="4"/>
                <w:sz w:val="21"/>
                <w:szCs w:val="21"/>
              </w:rPr>
              <w:t> </w:t>
            </w:r>
            <w:r>
              <w:rPr>
                <w:rFonts w:ascii="宋体" w:hAnsi="宋体" w:cs="宋体" w:eastAsia="宋体" w:hint="default"/>
                <w:sz w:val="21"/>
                <w:szCs w:val="21"/>
              </w:rPr>
              <w:t>个月未满</w:t>
            </w:r>
          </w:p>
          <w:p>
            <w:pPr>
              <w:pStyle w:val="TableParagraph"/>
              <w:spacing w:line="286" w:lineRule="exact"/>
              <w:ind w:left="21" w:right="0"/>
              <w:jc w:val="left"/>
              <w:rPr>
                <w:rFonts w:ascii="宋体" w:hAnsi="宋体" w:cs="宋体" w:eastAsia="宋体" w:hint="default"/>
                <w:sz w:val="21"/>
                <w:szCs w:val="21"/>
              </w:rPr>
            </w:pPr>
            <w:r>
              <w:rPr>
                <w:rFonts w:ascii="Calibri" w:hAnsi="Calibri" w:cs="Calibri" w:eastAsia="Calibri" w:hint="default"/>
                <w:sz w:val="21"/>
                <w:szCs w:val="21"/>
              </w:rPr>
              <w:t>18</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1" w:right="29"/>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解限</w:t>
            </w:r>
            <w:r>
              <w:rPr>
                <w:rFonts w:ascii="宋体" w:hAnsi="宋体" w:cs="宋体" w:eastAsia="宋体" w:hint="default"/>
                <w:spacing w:val="-56"/>
                <w:sz w:val="21"/>
                <w:szCs w:val="21"/>
              </w:rPr>
              <w:t> </w:t>
            </w:r>
            <w:r>
              <w:rPr>
                <w:rFonts w:ascii="Calibri" w:hAnsi="Calibri" w:cs="Calibri" w:eastAsia="Calibri" w:hint="default"/>
                <w:sz w:val="21"/>
                <w:szCs w:val="21"/>
              </w:rPr>
              <w:t>50%</w:t>
            </w:r>
            <w:r>
              <w:rPr>
                <w:rFonts w:ascii="宋体" w:hAnsi="宋体" w:cs="宋体" w:eastAsia="宋体" w:hint="default"/>
                <w:sz w:val="21"/>
                <w:szCs w:val="21"/>
              </w:rPr>
              <w:t>、</w:t>
            </w:r>
            <w:r>
              <w:rPr>
                <w:rFonts w:ascii="Calibri" w:hAnsi="Calibri" w:cs="Calibri" w:eastAsia="Calibri" w:hint="default"/>
                <w:sz w:val="21"/>
                <w:szCs w:val="21"/>
              </w:rPr>
              <w:t>2012</w:t>
            </w:r>
            <w:r>
              <w:rPr>
                <w:rFonts w:ascii="Calibri" w:hAnsi="Calibri" w:cs="Calibri" w:eastAsia="Calibri"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日全部</w:t>
            </w:r>
            <w:r>
              <w:rPr>
                <w:rFonts w:ascii="宋体" w:hAnsi="宋体" w:cs="宋体" w:eastAsia="宋体" w:hint="default"/>
                <w:w w:val="100"/>
                <w:sz w:val="21"/>
                <w:szCs w:val="21"/>
              </w:rPr>
              <w:t> </w:t>
            </w:r>
            <w:r>
              <w:rPr>
                <w:rFonts w:ascii="宋体" w:hAnsi="宋体" w:cs="宋体" w:eastAsia="宋体" w:hint="default"/>
                <w:sz w:val="21"/>
                <w:szCs w:val="21"/>
              </w:rPr>
              <w:t>解限</w:t>
            </w:r>
          </w:p>
        </w:tc>
      </w:tr>
      <w:tr>
        <w:trPr>
          <w:trHeight w:val="82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秦劳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12,134,400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12,134,400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1" w:right="24"/>
              <w:jc w:val="both"/>
              <w:rPr>
                <w:rFonts w:ascii="宋体" w:hAnsi="宋体" w:cs="宋体" w:eastAsia="宋体" w:hint="default"/>
                <w:sz w:val="21"/>
                <w:szCs w:val="21"/>
              </w:rPr>
            </w:pPr>
            <w:r>
              <w:rPr>
                <w:rFonts w:ascii="宋体" w:hAnsi="宋体" w:cs="宋体" w:eastAsia="宋体" w:hint="default"/>
                <w:sz w:val="21"/>
                <w:szCs w:val="21"/>
              </w:rPr>
              <w:t>定向发行股份</w:t>
            </w:r>
            <w:r>
              <w:rPr>
                <w:rFonts w:ascii="Calibri" w:hAnsi="Calibri" w:cs="Calibri" w:eastAsia="Calibri" w:hint="default"/>
                <w:sz w:val="21"/>
                <w:szCs w:val="21"/>
              </w:rPr>
              <w:t>,</w:t>
            </w:r>
            <w:r>
              <w:rPr>
                <w:rFonts w:ascii="宋体" w:hAnsi="宋体" w:cs="宋体" w:eastAsia="宋体" w:hint="default"/>
                <w:sz w:val="21"/>
                <w:szCs w:val="21"/>
              </w:rPr>
              <w:t>自发行结</w:t>
            </w:r>
            <w:r>
              <w:rPr>
                <w:rFonts w:ascii="宋体" w:hAnsi="宋体" w:cs="宋体" w:eastAsia="宋体" w:hint="default"/>
                <w:w w:val="100"/>
                <w:sz w:val="21"/>
                <w:szCs w:val="21"/>
              </w:rPr>
              <w:t> </w:t>
            </w:r>
            <w:r>
              <w:rPr>
                <w:rFonts w:ascii="宋体" w:hAnsi="宋体" w:cs="宋体" w:eastAsia="宋体" w:hint="default"/>
                <w:sz w:val="21"/>
                <w:szCs w:val="21"/>
              </w:rPr>
              <w:t>束之日起</w:t>
            </w:r>
            <w:r>
              <w:rPr>
                <w:rFonts w:ascii="宋体" w:hAnsi="宋体" w:cs="宋体" w:eastAsia="宋体" w:hint="default"/>
                <w:spacing w:val="-55"/>
                <w:sz w:val="21"/>
                <w:szCs w:val="21"/>
              </w:rPr>
              <w:t> </w:t>
            </w: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个月内不转</w:t>
            </w:r>
            <w:r>
              <w:rPr>
                <w:rFonts w:ascii="宋体" w:hAnsi="宋体" w:cs="宋体" w:eastAsia="宋体" w:hint="default"/>
                <w:w w:val="100"/>
                <w:sz w:val="21"/>
                <w:szCs w:val="21"/>
              </w:rPr>
              <w:t> </w:t>
            </w:r>
            <w:r>
              <w:rPr>
                <w:rFonts w:ascii="宋体" w:hAnsi="宋体" w:cs="宋体" w:eastAsia="宋体" w:hint="default"/>
                <w:sz w:val="21"/>
                <w:szCs w:val="21"/>
              </w:rPr>
              <w:t>让或上市交易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柏红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10,238,400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10,238,400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胡明炜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2,275,200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2,275,200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谢坤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2,275,200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2,275,200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张秀珍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16,189,228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16,189,228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张建华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2,688,782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2,688,782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江海标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301,644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301,644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王佺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215,571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215,571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吕兴海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166,667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166,667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92,873,010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39,985,647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30,139,365</w:t>
            </w:r>
          </w:p>
        </w:tc>
        <w:tc>
          <w:tcPr>
            <w:tcW w:w="1419"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6"/>
              <w:ind w:right="12"/>
              <w:jc w:val="right"/>
              <w:rPr>
                <w:rFonts w:ascii="Calibri" w:hAnsi="Calibri" w:cs="Calibri" w:eastAsia="Calibri" w:hint="default"/>
                <w:sz w:val="21"/>
                <w:szCs w:val="21"/>
              </w:rPr>
            </w:pPr>
            <w:r>
              <w:rPr>
                <w:rFonts w:ascii="Calibri"/>
                <w:spacing w:val="-2"/>
                <w:sz w:val="21"/>
              </w:rPr>
              <w:t>83,026,728</w:t>
            </w:r>
          </w:p>
        </w:tc>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1" w:lineRule="exact"/>
        <w:jc w:val="center"/>
        <w:rPr>
          <w:rFonts w:ascii="宋体" w:hAnsi="宋体" w:cs="宋体" w:eastAsia="宋体" w:hint="default"/>
          <w:sz w:val="21"/>
          <w:szCs w:val="21"/>
        </w:rPr>
        <w:sectPr>
          <w:type w:val="continuous"/>
          <w:pgSz w:w="12240" w:h="15840"/>
          <w:pgMar w:top="1500" w:bottom="0" w:left="820" w:right="0"/>
        </w:sectPr>
      </w:pPr>
    </w:p>
    <w:p>
      <w:pPr>
        <w:spacing w:before="17"/>
        <w:ind w:left="144" w:right="1697" w:firstLine="0"/>
        <w:jc w:val="left"/>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5360"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z w:val="21"/>
          <w:szCs w:val="21"/>
        </w:rPr>
        <w:t>注：</w:t>
      </w:r>
    </w:p>
    <w:p>
      <w:pPr>
        <w:spacing w:line="223" w:lineRule="auto" w:before="134"/>
        <w:ind w:left="504" w:right="1531" w:hanging="36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pacing w:val="-6"/>
          <w:sz w:val="21"/>
          <w:szCs w:val="21"/>
        </w:rPr>
        <w:t>报告期内，公司向自然人张秀珍、张建华、江海标、王佺、吕兴海合计发行</w:t>
      </w:r>
      <w:r>
        <w:rPr>
          <w:rFonts w:ascii="宋体" w:hAnsi="宋体" w:cs="宋体" w:eastAsia="宋体" w:hint="default"/>
          <w:spacing w:val="-39"/>
          <w:sz w:val="21"/>
          <w:szCs w:val="21"/>
        </w:rPr>
        <w:t> </w:t>
      </w:r>
      <w:r>
        <w:rPr>
          <w:rFonts w:ascii="Calibri" w:hAnsi="Calibri" w:cs="Calibri" w:eastAsia="Calibri" w:hint="default"/>
          <w:sz w:val="21"/>
          <w:szCs w:val="21"/>
        </w:rPr>
        <w:t>16,301,577</w:t>
      </w:r>
      <w:r>
        <w:rPr>
          <w:rFonts w:ascii="Calibri" w:hAnsi="Calibri" w:cs="Calibri" w:eastAsia="Calibri" w:hint="default"/>
          <w:spacing w:val="21"/>
          <w:sz w:val="21"/>
          <w:szCs w:val="21"/>
        </w:rPr>
        <w:t> </w:t>
      </w:r>
      <w:r>
        <w:rPr>
          <w:rFonts w:ascii="宋体" w:hAnsi="宋体" w:cs="宋体" w:eastAsia="宋体" w:hint="default"/>
          <w:sz w:val="21"/>
          <w:szCs w:val="21"/>
        </w:rPr>
        <w:t>股股份，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详见</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pacing w:val="-3"/>
          <w:sz w:val="21"/>
          <w:szCs w:val="21"/>
        </w:rPr>
        <w:t>日《中国证券报》、《证券时报》和巨潮资讯网（</w:t>
      </w:r>
      <w:hyperlink r:id="rId17">
        <w:r>
          <w:rPr>
            <w:rFonts w:ascii="Times New Roman" w:hAnsi="Times New Roman" w:cs="Times New Roman" w:eastAsia="Times New Roman" w:hint="default"/>
            <w:spacing w:val="-3"/>
            <w:sz w:val="21"/>
            <w:szCs w:val="21"/>
          </w:rPr>
          <w:t>www.cninfo.com.cn</w:t>
        </w:r>
      </w:hyperlink>
      <w:r>
        <w:rPr>
          <w:rFonts w:ascii="宋体" w:hAnsi="宋体" w:cs="宋体" w:eastAsia="宋体" w:hint="default"/>
          <w:spacing w:val="-3"/>
          <w:sz w:val="21"/>
          <w:szCs w:val="21"/>
        </w:rPr>
        <w:t>）刊</w:t>
      </w:r>
      <w:r>
        <w:rPr>
          <w:rFonts w:ascii="宋体" w:hAnsi="宋体" w:cs="宋体" w:eastAsia="宋体" w:hint="default"/>
          <w:spacing w:val="-8"/>
          <w:w w:val="100"/>
          <w:sz w:val="21"/>
          <w:szCs w:val="21"/>
        </w:rPr>
        <w:t> </w:t>
      </w:r>
      <w:r>
        <w:rPr>
          <w:rFonts w:ascii="宋体" w:hAnsi="宋体" w:cs="宋体" w:eastAsia="宋体" w:hint="default"/>
          <w:sz w:val="21"/>
          <w:szCs w:val="21"/>
        </w:rPr>
        <w:t>登的《东华软件股份公司发行股份购买资产实施情况暨新增股份上市报告书（摘要）》（公告</w:t>
      </w:r>
      <w:r>
        <w:rPr>
          <w:rFonts w:ascii="宋体" w:hAnsi="宋体" w:cs="宋体" w:eastAsia="宋体" w:hint="default"/>
          <w:w w:val="100"/>
          <w:sz w:val="21"/>
          <w:szCs w:val="21"/>
        </w:rPr>
        <w:t> </w:t>
      </w:r>
      <w:r>
        <w:rPr>
          <w:rFonts w:ascii="宋体" w:hAnsi="宋体" w:cs="宋体" w:eastAsia="宋体" w:hint="default"/>
          <w:sz w:val="21"/>
          <w:szCs w:val="21"/>
        </w:rPr>
        <w:t>号：</w:t>
      </w:r>
      <w:r>
        <w:rPr>
          <w:rFonts w:ascii="Calibri" w:hAnsi="Calibri" w:cs="Calibri" w:eastAsia="Calibri" w:hint="default"/>
          <w:sz w:val="21"/>
          <w:szCs w:val="21"/>
        </w:rPr>
        <w:t>2011-004</w:t>
      </w:r>
      <w:r>
        <w:rPr>
          <w:rFonts w:ascii="宋体" w:hAnsi="宋体" w:cs="宋体" w:eastAsia="宋体" w:hint="default"/>
          <w:sz w:val="21"/>
          <w:szCs w:val="21"/>
        </w:rPr>
        <w:t>）以及巨潮资讯网（</w:t>
      </w:r>
      <w:hyperlink r:id="rId17">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）刊登的《东华软件股份公司发行股份购</w:t>
      </w:r>
      <w:r>
        <w:rPr>
          <w:rFonts w:ascii="宋体" w:hAnsi="宋体" w:cs="宋体" w:eastAsia="宋体" w:hint="default"/>
          <w:w w:val="100"/>
          <w:sz w:val="21"/>
          <w:szCs w:val="21"/>
        </w:rPr>
        <w:t> </w:t>
      </w:r>
      <w:r>
        <w:rPr>
          <w:rFonts w:ascii="宋体" w:hAnsi="宋体" w:cs="宋体" w:eastAsia="宋体" w:hint="default"/>
          <w:sz w:val="21"/>
          <w:szCs w:val="21"/>
        </w:rPr>
        <w:t>买资产实施情况暨新增股份上市报告书》。</w:t>
      </w:r>
    </w:p>
    <w:p>
      <w:pPr>
        <w:spacing w:line="220" w:lineRule="auto" w:before="140"/>
        <w:ind w:left="504" w:right="1531" w:hanging="36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6"/>
          <w:sz w:val="21"/>
          <w:szCs w:val="21"/>
        </w:rPr>
        <w:t>报告期内，自然人秦劳、翟曙春、柏红、胡明炜、谢坤合计持有的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37,920,000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股股份解除限售，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详见</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日《中国证券报》、《证券时报》和巨潮资讯网（</w:t>
      </w:r>
      <w:hyperlink r:id="rId17">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）刊</w:t>
      </w:r>
      <w:r>
        <w:rPr>
          <w:rFonts w:ascii="宋体" w:hAnsi="宋体" w:cs="宋体" w:eastAsia="宋体" w:hint="default"/>
          <w:w w:val="100"/>
          <w:sz w:val="21"/>
          <w:szCs w:val="21"/>
        </w:rPr>
        <w:t> </w:t>
      </w:r>
      <w:r>
        <w:rPr>
          <w:rFonts w:ascii="宋体" w:hAnsi="宋体" w:cs="宋体" w:eastAsia="宋体" w:hint="default"/>
          <w:sz w:val="21"/>
          <w:szCs w:val="21"/>
        </w:rPr>
        <w:t>登的《东华软件股份公司关于限售股份上市流通的提示性公告》（公告号：</w:t>
      </w:r>
      <w:r>
        <w:rPr>
          <w:rFonts w:ascii="Calibri" w:hAnsi="Calibri" w:cs="Calibri" w:eastAsia="Calibri" w:hint="default"/>
          <w:sz w:val="21"/>
          <w:szCs w:val="21"/>
        </w:rPr>
        <w:t>2011-006</w:t>
      </w:r>
      <w:r>
        <w:rPr>
          <w:rFonts w:ascii="宋体" w:hAnsi="宋体" w:cs="宋体" w:eastAsia="宋体" w:hint="default"/>
          <w:sz w:val="21"/>
          <w:szCs w:val="21"/>
        </w:rPr>
        <w:t>）。</w:t>
      </w:r>
    </w:p>
    <w:p>
      <w:pPr>
        <w:spacing w:line="288" w:lineRule="exact" w:before="94"/>
        <w:ind w:left="144" w:right="1557" w:firstLine="0"/>
        <w:jc w:val="left"/>
        <w:rPr>
          <w:rFonts w:ascii="Times New Roman" w:hAnsi="Times New Roman" w:cs="Times New Roman" w:eastAsia="Times New Roman"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报告期内，公司实施了</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年度权益分派方案，公司总股本变为</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530,744,000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股，详见</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2011</w:t>
      </w:r>
    </w:p>
    <w:p>
      <w:pPr>
        <w:spacing w:line="267" w:lineRule="exact" w:before="0"/>
        <w:ind w:left="0" w:right="1133" w:firstLine="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日《中国证券报》、《证券时报》和巨潮资讯网（</w:t>
      </w:r>
      <w:hyperlink r:id="rId17">
        <w:r>
          <w:rPr>
            <w:rFonts w:ascii="Times New Roman" w:hAnsi="Times New Roman" w:cs="Times New Roman" w:eastAsia="Times New Roman" w:hint="default"/>
            <w:spacing w:val="-3"/>
            <w:sz w:val="21"/>
            <w:szCs w:val="21"/>
          </w:rPr>
          <w:t>www.cninfo.com.cn</w:t>
        </w:r>
      </w:hyperlink>
      <w:r>
        <w:rPr>
          <w:rFonts w:ascii="宋体" w:hAnsi="宋体" w:cs="宋体" w:eastAsia="宋体" w:hint="default"/>
          <w:spacing w:val="-3"/>
          <w:sz w:val="21"/>
          <w:szCs w:val="21"/>
        </w:rPr>
        <w:t>）刊登的《东华</w:t>
      </w:r>
    </w:p>
    <w:p>
      <w:pPr>
        <w:spacing w:line="292" w:lineRule="exact" w:before="0"/>
        <w:ind w:left="504" w:right="1697" w:firstLine="0"/>
        <w:jc w:val="left"/>
        <w:rPr>
          <w:rFonts w:ascii="宋体" w:hAnsi="宋体" w:cs="宋体" w:eastAsia="宋体" w:hint="default"/>
          <w:sz w:val="21"/>
          <w:szCs w:val="21"/>
        </w:rPr>
      </w:pPr>
      <w:r>
        <w:rPr>
          <w:rFonts w:ascii="宋体" w:hAnsi="宋体" w:cs="宋体" w:eastAsia="宋体" w:hint="default"/>
          <w:sz w:val="21"/>
          <w:szCs w:val="21"/>
        </w:rPr>
        <w:t>软件股份公司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年度权益分派实施公告》（公告号：</w:t>
      </w:r>
      <w:r>
        <w:rPr>
          <w:rFonts w:ascii="Calibri" w:hAnsi="Calibri" w:cs="Calibri" w:eastAsia="Calibri" w:hint="default"/>
          <w:sz w:val="21"/>
          <w:szCs w:val="21"/>
        </w:rPr>
        <w:t>2011-025</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pStyle w:val="Heading2"/>
        <w:spacing w:line="240" w:lineRule="auto" w:before="191"/>
        <w:ind w:right="1697"/>
        <w:jc w:val="left"/>
        <w:rPr>
          <w:b w:val="0"/>
          <w:bCs w:val="0"/>
        </w:rPr>
      </w:pPr>
      <w:r>
        <w:rPr/>
        <w:t>二、证券发行与上市情况</w:t>
      </w:r>
      <w:r>
        <w:rPr>
          <w:b w:val="0"/>
          <w:bCs w:val="0"/>
        </w:rPr>
      </w:r>
    </w:p>
    <w:p>
      <w:pPr>
        <w:spacing w:line="240" w:lineRule="auto" w:before="7"/>
        <w:rPr>
          <w:rFonts w:ascii="黑体" w:hAnsi="黑体" w:cs="黑体" w:eastAsia="黑体" w:hint="default"/>
          <w:b/>
          <w:bCs/>
          <w:sz w:val="22"/>
          <w:szCs w:val="22"/>
        </w:rPr>
      </w:pPr>
    </w:p>
    <w:p>
      <w:pPr>
        <w:pStyle w:val="Heading3"/>
        <w:spacing w:line="240" w:lineRule="auto"/>
        <w:ind w:right="1697"/>
        <w:jc w:val="left"/>
        <w:rPr>
          <w:b w:val="0"/>
          <w:bCs w:val="0"/>
        </w:rPr>
      </w:pPr>
      <w:r>
        <w:rPr/>
        <w:t>（一）截止本报告期末公司前三年证券发行情况</w:t>
      </w:r>
      <w:r>
        <w:rPr>
          <w:b w:val="0"/>
          <w:bCs w:val="0"/>
        </w:rPr>
      </w:r>
    </w:p>
    <w:p>
      <w:pPr>
        <w:pStyle w:val="BodyText"/>
        <w:spacing w:line="240" w:lineRule="auto" w:before="124"/>
        <w:ind w:left="624" w:right="155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日，根据中国证券监督管理委员会《关于核准北京东华合创数</w:t>
      </w:r>
    </w:p>
    <w:p>
      <w:pPr>
        <w:pStyle w:val="BodyText"/>
        <w:spacing w:line="338" w:lineRule="auto" w:before="133"/>
        <w:ind w:right="1542"/>
        <w:jc w:val="left"/>
      </w:pPr>
      <w:r>
        <w:rPr/>
        <w:t>码科技股份有限公司向秦劳、翟曙春、柏红、胡明炜、谢坤等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人发行新股购买资产 的批复》（证监许可</w:t>
      </w:r>
      <w:r>
        <w:rPr>
          <w:rFonts w:ascii="Times New Roman" w:hAnsi="Times New Roman" w:cs="Times New Roman" w:eastAsia="Times New Roman" w:hint="default"/>
        </w:rPr>
        <w:t>[2008]78</w:t>
      </w:r>
      <w:r>
        <w:rPr>
          <w:rFonts w:ascii="Times New Roman" w:hAnsi="Times New Roman" w:cs="Times New Roman" w:eastAsia="Times New Roman" w:hint="default"/>
          <w:spacing w:val="-2"/>
        </w:rPr>
        <w:t> </w:t>
      </w:r>
      <w:r>
        <w:rPr/>
        <w:t>号），公司按每股</w:t>
      </w:r>
      <w:r>
        <w:rPr>
          <w:spacing w:val="-62"/>
        </w:rPr>
        <w:t> </w:t>
      </w:r>
      <w:r>
        <w:rPr>
          <w:rFonts w:ascii="Times New Roman" w:hAnsi="Times New Roman" w:cs="Times New Roman" w:eastAsia="Times New Roman" w:hint="default"/>
        </w:rPr>
        <w:t>22.86</w:t>
      </w:r>
      <w:r>
        <w:rPr>
          <w:rFonts w:ascii="Times New Roman" w:hAnsi="Times New Roman" w:cs="Times New Roman" w:eastAsia="Times New Roman" w:hint="default"/>
          <w:spacing w:val="-2"/>
        </w:rPr>
        <w:t> </w:t>
      </w:r>
      <w:r>
        <w:rPr/>
        <w:t>元的发行价格，向自然人秦劳、 翟曙春、柏红、胡明炜、谢坤定向发行 </w:t>
      </w:r>
      <w:r>
        <w:rPr>
          <w:rFonts w:ascii="Times New Roman" w:hAnsi="Times New Roman" w:cs="Times New Roman" w:eastAsia="Times New Roman" w:hint="default"/>
        </w:rPr>
        <w:t>12,640,000</w:t>
      </w:r>
      <w:r>
        <w:rPr>
          <w:rFonts w:ascii="Times New Roman" w:hAnsi="Times New Roman" w:cs="Times New Roman" w:eastAsia="Times New Roman" w:hint="default"/>
          <w:spacing w:val="12"/>
        </w:rPr>
        <w:t> </w:t>
      </w:r>
      <w:r>
        <w:rPr/>
        <w:t>股普通股股份，收购其持有的北京</w:t>
      </w:r>
    </w:p>
    <w:p>
      <w:pPr>
        <w:pStyle w:val="BodyText"/>
        <w:spacing w:line="338" w:lineRule="auto" w:before="27"/>
        <w:ind w:right="1629"/>
        <w:jc w:val="left"/>
      </w:pPr>
      <w:r>
        <w:rPr/>
        <w:t>联银通科技有限公司</w:t>
      </w:r>
      <w:r>
        <w:rPr>
          <w:spacing w:val="-59"/>
        </w:rPr>
        <w:t> </w:t>
      </w:r>
      <w:r>
        <w:rPr>
          <w:rFonts w:ascii="Times New Roman" w:hAnsi="Times New Roman" w:cs="Times New Roman" w:eastAsia="Times New Roman" w:hint="default"/>
          <w:spacing w:val="-4"/>
        </w:rPr>
        <w:t>100%</w:t>
      </w:r>
      <w:r>
        <w:rPr>
          <w:spacing w:val="-4"/>
        </w:rPr>
        <w:t>股权，公司定向发行的这部分股份于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日在深 圳交易所上市。</w:t>
      </w:r>
    </w:p>
    <w:p>
      <w:pPr>
        <w:pStyle w:val="BodyText"/>
        <w:spacing w:line="240" w:lineRule="auto" w:before="173"/>
        <w:ind w:left="624" w:right="155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日，公司实施</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年度利润分配方案，每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股送</w:t>
      </w:r>
      <w:r>
        <w:rPr>
          <w:spacing w:val="-54"/>
        </w:rPr>
        <w:t> </w:t>
      </w:r>
      <w:r>
        <w:rPr>
          <w:rFonts w:ascii="Times New Roman" w:hAnsi="Times New Roman" w:cs="Times New Roman" w:eastAsia="Times New Roman" w:hint="default"/>
        </w:rPr>
        <w:t>2</w:t>
      </w:r>
    </w:p>
    <w:p>
      <w:pPr>
        <w:pStyle w:val="BodyText"/>
        <w:spacing w:line="240" w:lineRule="auto" w:before="135"/>
        <w:ind w:right="1697"/>
        <w:jc w:val="left"/>
      </w:pPr>
      <w:r>
        <w:rPr/>
        <w:t>股派现金</w:t>
      </w:r>
      <w:r>
        <w:rPr>
          <w:spacing w:val="-61"/>
        </w:rPr>
        <w:t> </w:t>
      </w:r>
      <w:r>
        <w:rPr>
          <w:rFonts w:ascii="Times New Roman" w:hAnsi="Times New Roman" w:cs="Times New Roman" w:eastAsia="Times New Roman" w:hint="default"/>
        </w:rPr>
        <w:t>1 </w:t>
      </w:r>
      <w:r>
        <w:rPr/>
        <w:t>元（含税），总股本增加到</w:t>
      </w:r>
      <w:r>
        <w:rPr>
          <w:spacing w:val="-60"/>
        </w:rPr>
        <w:t> </w:t>
      </w:r>
      <w:r>
        <w:rPr>
          <w:rFonts w:ascii="Times New Roman" w:hAnsi="Times New Roman" w:cs="Times New Roman" w:eastAsia="Times New Roman" w:hint="default"/>
        </w:rPr>
        <w:t>425,985,090 </w:t>
      </w:r>
      <w:r>
        <w:rPr/>
        <w:t>股。</w:t>
      </w:r>
    </w:p>
    <w:p>
      <w:pPr>
        <w:spacing w:line="240" w:lineRule="auto" w:before="5"/>
        <w:rPr>
          <w:rFonts w:ascii="宋体" w:hAnsi="宋体" w:cs="宋体" w:eastAsia="宋体" w:hint="default"/>
          <w:sz w:val="19"/>
          <w:szCs w:val="19"/>
        </w:rPr>
      </w:pPr>
    </w:p>
    <w:p>
      <w:pPr>
        <w:pStyle w:val="BodyText"/>
        <w:spacing w:line="343" w:lineRule="auto"/>
        <w:ind w:right="1506" w:firstLine="479"/>
        <w:jc w:val="left"/>
      </w:pPr>
      <w:r>
        <w:rPr>
          <w:rFonts w:ascii="Times New Roman" w:hAnsi="Times New Roman" w:cs="Times New Roman" w:eastAsia="Times New Roman" w:hint="default"/>
        </w:rPr>
        <w:t>3</w:t>
      </w:r>
      <w:r>
        <w:rPr/>
        <w:t>、根据中国证券监督管理委员会《关于核准东华软件股份公司发行股份购买资产 </w:t>
      </w:r>
      <w:r>
        <w:rPr>
          <w:spacing w:val="-3"/>
        </w:rPr>
        <w:t>的批复》（证监许可〔</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96</w:t>
      </w:r>
      <w:r>
        <w:rPr>
          <w:rFonts w:ascii="Times New Roman" w:hAnsi="Times New Roman" w:cs="Times New Roman" w:eastAsia="Times New Roman" w:hint="default"/>
          <w:spacing w:val="13"/>
        </w:rPr>
        <w:t> </w:t>
      </w:r>
      <w:r>
        <w:rPr>
          <w:spacing w:val="-3"/>
        </w:rPr>
        <w:t>号），核准本公司向张秀珍、张建华、江海标、王佺、</w:t>
      </w:r>
      <w:r>
        <w:rPr/>
        <w:t> 吕兴海合计发行</w:t>
      </w:r>
      <w:r>
        <w:rPr>
          <w:spacing w:val="-61"/>
        </w:rPr>
        <w:t> </w:t>
      </w:r>
      <w:r>
        <w:rPr>
          <w:rFonts w:ascii="Times New Roman" w:hAnsi="Times New Roman" w:cs="Times New Roman" w:eastAsia="Times New Roman" w:hint="default"/>
        </w:rPr>
        <w:t>16,301,577 </w:t>
      </w:r>
      <w:r>
        <w:rPr>
          <w:spacing w:val="-4"/>
        </w:rPr>
        <w:t>股股份购买相关资产，</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17 </w:t>
      </w:r>
      <w:r>
        <w:rPr>
          <w:spacing w:val="-6"/>
        </w:rPr>
        <w:t>日，本公司在中国证</w:t>
      </w:r>
      <w:r>
        <w:rPr/>
        <w:t> </w:t>
      </w:r>
      <w:r>
        <w:rPr>
          <w:spacing w:val="-2"/>
        </w:rPr>
        <w:t>券登记结算有限责任公司深圳分公司办理了向自然人张秀珍、张建华、江海标、王佺、</w:t>
      </w:r>
      <w:r>
        <w:rPr>
          <w:spacing w:val="-95"/>
        </w:rPr>
        <w:t> </w:t>
      </w:r>
      <w:r>
        <w:rPr>
          <w:spacing w:val="-95"/>
        </w:rPr>
      </w:r>
      <w:r>
        <w:rPr>
          <w:spacing w:val="12"/>
        </w:rPr>
        <w:t>吕兴海合计发行发行 </w:t>
      </w:r>
      <w:r>
        <w:rPr>
          <w:rFonts w:ascii="Times New Roman" w:hAnsi="Times New Roman" w:cs="Times New Roman" w:eastAsia="Times New Roman" w:hint="default"/>
        </w:rPr>
        <w:t>16,301,577 </w:t>
      </w:r>
      <w:r>
        <w:rPr>
          <w:rFonts w:ascii="Times New Roman" w:hAnsi="Times New Roman" w:cs="Times New Roman" w:eastAsia="Times New Roman" w:hint="default"/>
          <w:spacing w:val="28"/>
        </w:rPr>
        <w:t> </w:t>
      </w:r>
      <w:r>
        <w:rPr>
          <w:spacing w:val="13"/>
        </w:rPr>
        <w:t>股的股份登记手续，办理完毕后，公司总股本由</w:t>
      </w:r>
    </w:p>
    <w:p>
      <w:pPr>
        <w:pStyle w:val="BodyText"/>
        <w:spacing w:line="240" w:lineRule="auto" w:before="21"/>
        <w:ind w:right="1557"/>
        <w:jc w:val="left"/>
      </w:pPr>
      <w:r>
        <w:rPr>
          <w:rFonts w:ascii="Times New Roman" w:hAnsi="Times New Roman" w:cs="Times New Roman" w:eastAsia="Times New Roman" w:hint="default"/>
        </w:rPr>
        <w:t>425,985,090</w:t>
      </w:r>
      <w:r>
        <w:rPr>
          <w:rFonts w:ascii="Times New Roman" w:hAnsi="Times New Roman" w:cs="Times New Roman" w:eastAsia="Times New Roman" w:hint="default"/>
          <w:spacing w:val="2"/>
        </w:rPr>
        <w:t> </w:t>
      </w:r>
      <w:r>
        <w:rPr/>
        <w:t>股增至</w:t>
      </w:r>
      <w:r>
        <w:rPr>
          <w:spacing w:val="-57"/>
        </w:rPr>
        <w:t> </w:t>
      </w:r>
      <w:r>
        <w:rPr>
          <w:rFonts w:ascii="Times New Roman" w:hAnsi="Times New Roman" w:cs="Times New Roman" w:eastAsia="Times New Roman" w:hint="default"/>
        </w:rPr>
        <w:t>442,286,667</w:t>
      </w:r>
      <w:r>
        <w:rPr>
          <w:rFonts w:ascii="Times New Roman" w:hAnsi="Times New Roman" w:cs="Times New Roman" w:eastAsia="Times New Roman" w:hint="default"/>
          <w:spacing w:val="2"/>
        </w:rPr>
        <w:t> </w:t>
      </w:r>
      <w:r>
        <w:rPr/>
        <w:t>股，其中有限售条件的流通股</w:t>
      </w:r>
      <w:r>
        <w:rPr>
          <w:spacing w:val="-58"/>
        </w:rPr>
        <w:t> </w:t>
      </w:r>
      <w:r>
        <w:rPr>
          <w:rFonts w:ascii="Times New Roman" w:hAnsi="Times New Roman" w:cs="Times New Roman" w:eastAsia="Times New Roman" w:hint="default"/>
        </w:rPr>
        <w:t>101,610,540</w:t>
      </w:r>
      <w:r>
        <w:rPr>
          <w:rFonts w:ascii="Times New Roman" w:hAnsi="Times New Roman" w:cs="Times New Roman" w:eastAsia="Times New Roman" w:hint="default"/>
          <w:spacing w:val="3"/>
        </w:rPr>
        <w:t> </w:t>
      </w:r>
      <w:r>
        <w:rPr/>
        <w:t>股，无限售</w:t>
      </w:r>
    </w:p>
    <w:p>
      <w:pPr>
        <w:pStyle w:val="BodyText"/>
        <w:spacing w:line="240" w:lineRule="auto" w:before="133"/>
        <w:ind w:right="1697"/>
        <w:jc w:val="left"/>
      </w:pPr>
      <w:r>
        <w:rPr/>
        <w:t>条件的流通股</w:t>
      </w:r>
      <w:r>
        <w:rPr>
          <w:spacing w:val="-61"/>
        </w:rPr>
        <w:t> </w:t>
      </w:r>
      <w:r>
        <w:rPr>
          <w:rFonts w:ascii="Times New Roman" w:hAnsi="Times New Roman" w:cs="Times New Roman" w:eastAsia="Times New Roman" w:hint="default"/>
        </w:rPr>
        <w:t>340,676,127 </w:t>
      </w:r>
      <w:r>
        <w:rPr/>
        <w:t>股。</w:t>
      </w:r>
    </w:p>
    <w:p>
      <w:pPr>
        <w:spacing w:after="0" w:line="240" w:lineRule="auto"/>
        <w:jc w:val="left"/>
        <w:sectPr>
          <w:footerReference w:type="even" r:id="rId20"/>
          <w:footerReference w:type="default" r:id="rId21"/>
          <w:pgSz w:w="12240" w:h="15840"/>
          <w:pgMar w:footer="987" w:header="847" w:top="1360" w:bottom="1180" w:left="1500" w:right="0"/>
          <w:pgNumType w:start="12"/>
        </w:sectPr>
      </w:pPr>
    </w:p>
    <w:p>
      <w:pPr>
        <w:pStyle w:val="BodyText"/>
        <w:spacing w:line="240" w:lineRule="auto" w:before="11"/>
        <w:ind w:left="624" w:right="1557"/>
        <w:jc w:val="left"/>
      </w:pPr>
      <w:r>
        <w:rPr/>
        <w:pict>
          <v:group style="position:absolute;margin-left:80.783997pt;margin-top:1.845647pt;width:450.6pt;height:.1pt;mso-position-horizontal-relative:page;mso-position-vertical-relative:paragraph;z-index:-865336"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Times New Roman" w:hAnsi="Times New Roman" w:cs="Times New Roman" w:eastAsia="Times New Roman" w:hint="default"/>
        </w:rPr>
        <w:t>4</w:t>
      </w:r>
      <w:r>
        <w:rPr/>
        <w:t>、根据公司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年度股东大会的决议，</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日，公司实施</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pStyle w:val="BodyText"/>
        <w:spacing w:line="240" w:lineRule="auto" w:before="133"/>
        <w:ind w:right="1557"/>
        <w:jc w:val="left"/>
      </w:pPr>
      <w:r>
        <w:rPr/>
        <w:t>利润分配方案，每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股送</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股红股派现金</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元（含税），总股本由</w:t>
      </w:r>
      <w:r>
        <w:rPr>
          <w:spacing w:val="-51"/>
        </w:rPr>
        <w:t> </w:t>
      </w:r>
      <w:r>
        <w:rPr>
          <w:rFonts w:ascii="Times New Roman" w:hAnsi="Times New Roman" w:cs="Times New Roman" w:eastAsia="Times New Roman" w:hint="default"/>
        </w:rPr>
        <w:t>425,985,090</w:t>
      </w:r>
      <w:r>
        <w:rPr>
          <w:rFonts w:ascii="Times New Roman" w:hAnsi="Times New Roman" w:cs="Times New Roman" w:eastAsia="Times New Roman" w:hint="default"/>
          <w:spacing w:val="9"/>
        </w:rPr>
        <w:t> </w:t>
      </w:r>
      <w:r>
        <w:rPr/>
        <w:t>股增</w:t>
      </w:r>
    </w:p>
    <w:p>
      <w:pPr>
        <w:pStyle w:val="BodyText"/>
        <w:spacing w:line="240" w:lineRule="auto" w:before="135"/>
        <w:ind w:right="1557"/>
        <w:jc w:val="left"/>
        <w:rPr>
          <w:rFonts w:ascii="Times New Roman" w:hAnsi="Times New Roman" w:cs="Times New Roman" w:eastAsia="Times New Roman" w:hint="default"/>
        </w:rPr>
      </w:pPr>
      <w:r>
        <w:rPr/>
        <w:t>至</w:t>
      </w:r>
      <w:r>
        <w:rPr>
          <w:spacing w:val="-82"/>
        </w:rPr>
        <w:t> </w:t>
      </w:r>
      <w:r>
        <w:rPr>
          <w:rFonts w:ascii="Times New Roman" w:hAnsi="Times New Roman" w:cs="Times New Roman" w:eastAsia="Times New Roman" w:hint="default"/>
        </w:rPr>
        <w:t>530,744,000</w:t>
      </w:r>
      <w:r>
        <w:rPr>
          <w:rFonts w:ascii="Times New Roman" w:hAnsi="Times New Roman" w:cs="Times New Roman" w:eastAsia="Times New Roman" w:hint="default"/>
          <w:spacing w:val="-22"/>
        </w:rPr>
        <w:t> </w:t>
      </w:r>
      <w:r>
        <w:rPr/>
        <w:t>股</w:t>
      </w:r>
      <w:r>
        <w:rPr>
          <w:spacing w:val="-120"/>
        </w:rPr>
        <w:t>，</w:t>
      </w:r>
      <w:r>
        <w:rPr/>
        <w:t>其中有限售条件流通股</w:t>
      </w:r>
      <w:r>
        <w:rPr>
          <w:spacing w:val="-81"/>
        </w:rPr>
        <w:t> </w:t>
      </w:r>
      <w:r>
        <w:rPr>
          <w:rFonts w:ascii="Times New Roman" w:hAnsi="Times New Roman" w:cs="Times New Roman" w:eastAsia="Times New Roman" w:hint="default"/>
        </w:rPr>
        <w:t>83,026,728</w:t>
      </w:r>
      <w:r>
        <w:rPr>
          <w:rFonts w:ascii="Times New Roman" w:hAnsi="Times New Roman" w:cs="Times New Roman" w:eastAsia="Times New Roman" w:hint="default"/>
          <w:spacing w:val="-22"/>
        </w:rPr>
        <w:t> </w:t>
      </w:r>
      <w:r>
        <w:rPr/>
        <w:t>股</w:t>
      </w:r>
      <w:r>
        <w:rPr>
          <w:spacing w:val="-120"/>
        </w:rPr>
        <w:t>，</w:t>
      </w:r>
      <w:r>
        <w:rPr/>
        <w:t>无限售条件流通股</w:t>
      </w:r>
      <w:r>
        <w:rPr>
          <w:spacing w:val="-81"/>
        </w:rPr>
        <w:t> </w:t>
      </w:r>
      <w:r>
        <w:rPr>
          <w:rFonts w:ascii="Times New Roman" w:hAnsi="Times New Roman" w:cs="Times New Roman" w:eastAsia="Times New Roman" w:hint="default"/>
        </w:rPr>
        <w:t>447,717,272</w:t>
      </w:r>
    </w:p>
    <w:p>
      <w:pPr>
        <w:pStyle w:val="BodyText"/>
        <w:spacing w:line="240" w:lineRule="auto" w:before="133"/>
        <w:ind w:right="1697"/>
        <w:jc w:val="left"/>
      </w:pPr>
      <w:r>
        <w:rPr/>
        <w:t>股。</w:t>
      </w:r>
    </w:p>
    <w:p>
      <w:pPr>
        <w:spacing w:line="240" w:lineRule="auto" w:before="5"/>
        <w:rPr>
          <w:rFonts w:ascii="宋体" w:hAnsi="宋体" w:cs="宋体" w:eastAsia="宋体" w:hint="default"/>
          <w:sz w:val="34"/>
          <w:szCs w:val="34"/>
        </w:rPr>
      </w:pPr>
    </w:p>
    <w:p>
      <w:pPr>
        <w:pStyle w:val="Heading3"/>
        <w:spacing w:line="240" w:lineRule="auto"/>
        <w:ind w:right="1697"/>
        <w:jc w:val="left"/>
        <w:rPr>
          <w:b w:val="0"/>
          <w:bCs w:val="0"/>
        </w:rPr>
      </w:pPr>
      <w:r>
        <w:rPr/>
        <w:t>（二）公司无内部职工股。</w:t>
      </w:r>
      <w:r>
        <w:rPr>
          <w:b w:val="0"/>
          <w:bCs w:val="0"/>
        </w:rPr>
      </w:r>
    </w:p>
    <w:p>
      <w:pPr>
        <w:spacing w:line="240" w:lineRule="auto" w:before="0"/>
        <w:rPr>
          <w:rFonts w:ascii="黑体" w:hAnsi="黑体" w:cs="黑体" w:eastAsia="黑体" w:hint="default"/>
          <w:b/>
          <w:bCs/>
          <w:sz w:val="26"/>
          <w:szCs w:val="26"/>
        </w:rPr>
      </w:pPr>
    </w:p>
    <w:p>
      <w:pPr>
        <w:pStyle w:val="Heading2"/>
        <w:spacing w:line="240" w:lineRule="auto" w:before="177"/>
        <w:ind w:right="1697"/>
        <w:jc w:val="left"/>
        <w:rPr>
          <w:b w:val="0"/>
          <w:bCs w:val="0"/>
        </w:rPr>
      </w:pPr>
      <w:r>
        <w:rPr/>
        <w:t>三、股东和实际控制人情况</w:t>
      </w:r>
      <w:r>
        <w:rPr>
          <w:b w:val="0"/>
          <w:bCs w:val="0"/>
        </w:rPr>
      </w:r>
    </w:p>
    <w:p>
      <w:pPr>
        <w:spacing w:line="240" w:lineRule="auto" w:before="2"/>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2240" w:h="15840"/>
          <w:pgMar w:header="847" w:footer="987" w:top="1360" w:bottom="1180" w:left="1500" w:right="0"/>
        </w:sectPr>
      </w:pPr>
    </w:p>
    <w:p>
      <w:pPr>
        <w:pStyle w:val="Heading3"/>
        <w:spacing w:line="240" w:lineRule="auto" w:before="19"/>
        <w:ind w:right="0"/>
        <w:jc w:val="left"/>
        <w:rPr>
          <w:b w:val="0"/>
          <w:bCs w:val="0"/>
        </w:rPr>
      </w:pPr>
      <w:r>
        <w:rPr>
          <w:w w:val="95"/>
        </w:rPr>
        <w:t>（一）股东总数及前</w:t>
      </w:r>
      <w:r>
        <w:rPr>
          <w:rFonts w:ascii="Calibri" w:hAnsi="Calibri" w:cs="Calibri" w:eastAsia="Calibri" w:hint="default"/>
          <w:w w:val="95"/>
        </w:rPr>
        <w:t>10</w:t>
      </w:r>
      <w:r>
        <w:rPr>
          <w:w w:val="95"/>
        </w:rPr>
        <w:t>名股东、前</w:t>
      </w:r>
      <w:r>
        <w:rPr>
          <w:rFonts w:ascii="Calibri" w:hAnsi="Calibri" w:cs="Calibri" w:eastAsia="Calibri" w:hint="default"/>
          <w:w w:val="95"/>
        </w:rPr>
        <w:t>10</w:t>
      </w:r>
      <w:r>
        <w:rPr>
          <w:w w:val="95"/>
        </w:rPr>
        <w:t>名无限售条件股东持股情况</w:t>
      </w:r>
      <w:r>
        <w:rPr>
          <w:b w:val="0"/>
          <w:bCs w:val="0"/>
        </w:rPr>
      </w:r>
    </w:p>
    <w:p>
      <w:pPr>
        <w:spacing w:line="240" w:lineRule="auto" w:before="0"/>
        <w:rPr>
          <w:rFonts w:ascii="黑体" w:hAnsi="黑体" w:cs="黑体" w:eastAsia="黑体" w:hint="default"/>
          <w:b/>
          <w:bCs/>
          <w:sz w:val="24"/>
          <w:szCs w:val="24"/>
        </w:rPr>
      </w:pPr>
      <w:r>
        <w:rPr/>
        <w:br w:type="column"/>
      </w:r>
      <w:r>
        <w:rPr>
          <w:rFonts w:ascii="黑体"/>
          <w:b/>
          <w:sz w:val="24"/>
        </w:rPr>
      </w:r>
    </w:p>
    <w:p>
      <w:pPr>
        <w:pStyle w:val="BodyText"/>
        <w:spacing w:line="240" w:lineRule="auto" w:before="170"/>
        <w:ind w:right="0"/>
        <w:jc w:val="left"/>
      </w:pPr>
      <w:r>
        <w:rPr/>
        <w:t>单位：股</w:t>
      </w:r>
    </w:p>
    <w:p>
      <w:pPr>
        <w:spacing w:after="0" w:line="240" w:lineRule="auto"/>
        <w:jc w:val="left"/>
        <w:sectPr>
          <w:type w:val="continuous"/>
          <w:pgSz w:w="12240" w:h="15840"/>
          <w:pgMar w:top="1500" w:bottom="0" w:left="1500" w:right="0"/>
          <w:cols w:num="2" w:equalWidth="0">
            <w:col w:w="7458" w:space="535"/>
            <w:col w:w="2747"/>
          </w:cols>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83"/>
        <w:gridCol w:w="1010"/>
        <w:gridCol w:w="1412"/>
        <w:gridCol w:w="852"/>
        <w:gridCol w:w="1133"/>
        <w:gridCol w:w="971"/>
        <w:gridCol w:w="306"/>
        <w:gridCol w:w="1044"/>
      </w:tblGrid>
      <w:tr>
        <w:trPr>
          <w:trHeight w:val="247" w:hRule="exact"/>
        </w:trPr>
        <w:tc>
          <w:tcPr>
            <w:tcW w:w="22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8"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年末股东总数</w:t>
            </w:r>
          </w:p>
        </w:tc>
        <w:tc>
          <w:tcPr>
            <w:tcW w:w="1010"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6"/>
              <w:ind w:left="549" w:right="0"/>
              <w:jc w:val="left"/>
              <w:rPr>
                <w:rFonts w:ascii="Calibri" w:hAnsi="Calibri" w:cs="Calibri" w:eastAsia="Calibri" w:hint="default"/>
                <w:sz w:val="18"/>
                <w:szCs w:val="18"/>
              </w:rPr>
            </w:pPr>
            <w:r>
              <w:rPr>
                <w:rFonts w:ascii="Calibri"/>
                <w:sz w:val="18"/>
              </w:rPr>
              <w:t>9,174</w:t>
            </w:r>
          </w:p>
        </w:tc>
        <w:tc>
          <w:tcPr>
            <w:tcW w:w="436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35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left="802" w:right="0"/>
              <w:jc w:val="left"/>
              <w:rPr>
                <w:rFonts w:ascii="Calibri" w:hAnsi="Calibri" w:cs="Calibri" w:eastAsia="Calibri" w:hint="default"/>
                <w:sz w:val="18"/>
                <w:szCs w:val="18"/>
              </w:rPr>
            </w:pPr>
            <w:r>
              <w:rPr>
                <w:rFonts w:ascii="Calibri"/>
                <w:sz w:val="18"/>
              </w:rPr>
              <w:t>10,051</w:t>
            </w:r>
          </w:p>
        </w:tc>
      </w:tr>
      <w:tr>
        <w:trPr>
          <w:trHeight w:val="235" w:hRule="exact"/>
        </w:trPr>
        <w:tc>
          <w:tcPr>
            <w:tcW w:w="901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名股东持股情况</w:t>
            </w:r>
          </w:p>
        </w:tc>
      </w:tr>
      <w:tr>
        <w:trPr>
          <w:trHeight w:val="125" w:hRule="exact"/>
        </w:trPr>
        <w:tc>
          <w:tcPr>
            <w:tcW w:w="329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12" w:type="dxa"/>
            <w:tcBorders>
              <w:top w:val="single" w:sz="4" w:space="0" w:color="000000"/>
              <w:left w:val="single" w:sz="4" w:space="0" w:color="000000"/>
              <w:bottom w:val="nil" w:sz="6" w:space="0" w:color="auto"/>
              <w:right w:val="single" w:sz="4" w:space="0" w:color="000000"/>
            </w:tcBorders>
            <w:shd w:val="clear" w:color="auto" w:fill="DCDCDC"/>
          </w:tcPr>
          <w:p>
            <w:pPr/>
          </w:p>
        </w:tc>
        <w:tc>
          <w:tcPr>
            <w:tcW w:w="852"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5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182" w:right="0" w:hanging="89"/>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044"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64"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4" w:lineRule="exact"/>
              <w:ind w:left="64"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55" w:hRule="exact"/>
        </w:trPr>
        <w:tc>
          <w:tcPr>
            <w:tcW w:w="3293"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tcBorders>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77" w:type="dxa"/>
            <w:gridSpan w:val="2"/>
            <w:vMerge/>
            <w:tcBorders>
              <w:left w:val="single" w:sz="4" w:space="0" w:color="000000"/>
              <w:bottom w:val="single" w:sz="4" w:space="0" w:color="000000"/>
              <w:right w:val="single" w:sz="4" w:space="0" w:color="000000"/>
            </w:tcBorders>
            <w:shd w:val="clear" w:color="auto" w:fill="DCDCDC"/>
          </w:tcPr>
          <w:p>
            <w:pPr/>
          </w:p>
        </w:tc>
        <w:tc>
          <w:tcPr>
            <w:tcW w:w="1044" w:type="dxa"/>
            <w:vMerge/>
            <w:tcBorders>
              <w:left w:val="single" w:sz="4" w:space="0" w:color="000000"/>
              <w:bottom w:val="single" w:sz="4" w:space="0" w:color="000000"/>
              <w:right w:val="single" w:sz="4" w:space="0" w:color="000000"/>
            </w:tcBorders>
            <w:shd w:val="clear" w:color="auto" w:fill="DCDCDC"/>
          </w:tcPr>
          <w:p>
            <w:pPr/>
          </w:p>
        </w:tc>
      </w:tr>
      <w:tr>
        <w:trPr>
          <w:trHeight w:val="245" w:hRule="exact"/>
        </w:trPr>
        <w:tc>
          <w:tcPr>
            <w:tcW w:w="3293" w:type="dxa"/>
            <w:gridSpan w:val="2"/>
            <w:tcBorders>
              <w:top w:val="single" w:sz="46" w:space="0" w:color="DCDCDC"/>
              <w:left w:val="single" w:sz="4" w:space="0" w:color="000000"/>
              <w:bottom w:val="single" w:sz="4" w:space="0" w:color="000000"/>
              <w:right w:val="single" w:sz="4" w:space="0" w:color="000000"/>
            </w:tcBorders>
          </w:tcPr>
          <w:p>
            <w:pPr>
              <w:pStyle w:val="TableParagraph"/>
              <w:spacing w:line="153"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412" w:type="dxa"/>
            <w:tcBorders>
              <w:top w:val="single" w:sz="46" w:space="0" w:color="DCDCDC"/>
              <w:left w:val="single" w:sz="4" w:space="0" w:color="000000"/>
              <w:bottom w:val="single" w:sz="4" w:space="0" w:color="000000"/>
              <w:right w:val="single" w:sz="4" w:space="0" w:color="000000"/>
            </w:tcBorders>
          </w:tcPr>
          <w:p>
            <w:pPr>
              <w:pStyle w:val="TableParagraph"/>
              <w:spacing w:line="153"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23.04%</w:t>
            </w:r>
          </w:p>
        </w:tc>
        <w:tc>
          <w:tcPr>
            <w:tcW w:w="1133" w:type="dxa"/>
            <w:tcBorders>
              <w:top w:val="single" w:sz="46" w:space="0" w:color="DCDCDC"/>
              <w:left w:val="single" w:sz="4" w:space="0" w:color="000000"/>
              <w:bottom w:val="single" w:sz="4" w:space="0" w:color="000000"/>
              <w:right w:val="single" w:sz="4" w:space="0" w:color="000000"/>
            </w:tcBorders>
          </w:tcPr>
          <w:p>
            <w:pPr>
              <w:pStyle w:val="TableParagraph"/>
              <w:spacing w:line="173" w:lineRule="exact"/>
              <w:ind w:right="20"/>
              <w:jc w:val="right"/>
              <w:rPr>
                <w:rFonts w:ascii="Calibri" w:hAnsi="Calibri" w:cs="Calibri" w:eastAsia="Calibri" w:hint="default"/>
                <w:sz w:val="18"/>
                <w:szCs w:val="18"/>
              </w:rPr>
            </w:pPr>
            <w:r>
              <w:rPr>
                <w:rFonts w:ascii="Calibri"/>
                <w:sz w:val="18"/>
              </w:rPr>
              <w:t>122,301,938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13.86%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73,548,727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2" w:right="0"/>
              <w:jc w:val="left"/>
              <w:rPr>
                <w:rFonts w:ascii="Calibri" w:hAnsi="Calibri" w:cs="Calibri" w:eastAsia="Calibri" w:hint="default"/>
                <w:sz w:val="18"/>
                <w:szCs w:val="18"/>
              </w:rPr>
            </w:pPr>
            <w:r>
              <w:rPr>
                <w:rFonts w:ascii="Calibri"/>
                <w:sz w:val="18"/>
              </w:rPr>
              <w:t>55,161,545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24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12.84%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68,143,662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5.27%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27,945,335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中国工商银行－中银持续增长股票型证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Calibri" w:hAnsi="Calibri" w:cs="Calibri" w:eastAsia="Calibri" w:hint="default"/>
                <w:sz w:val="18"/>
                <w:szCs w:val="18"/>
              </w:rPr>
            </w:pPr>
            <w:r>
              <w:rPr>
                <w:rFonts w:ascii="Calibri"/>
                <w:sz w:val="18"/>
              </w:rPr>
              <w:t>3.29%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Calibri" w:hAnsi="Calibri" w:cs="Calibri" w:eastAsia="Calibri" w:hint="default"/>
                <w:sz w:val="18"/>
                <w:szCs w:val="18"/>
              </w:rPr>
            </w:pPr>
            <w:r>
              <w:rPr>
                <w:rFonts w:ascii="Calibri"/>
                <w:sz w:val="18"/>
              </w:rPr>
              <w:t>17,468,713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r>
      <w:tr>
        <w:trPr>
          <w:trHeight w:val="243"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张秀珍</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16,189,228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2" w:right="0"/>
              <w:jc w:val="left"/>
              <w:rPr>
                <w:rFonts w:ascii="Calibri" w:hAnsi="Calibri" w:cs="Calibri" w:eastAsia="Calibri" w:hint="default"/>
                <w:sz w:val="18"/>
                <w:szCs w:val="18"/>
              </w:rPr>
            </w:pPr>
            <w:r>
              <w:rPr>
                <w:rFonts w:ascii="Calibri"/>
                <w:sz w:val="18"/>
              </w:rPr>
              <w:t>16,189,228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中国工商银行－上投摩根内需动力股票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Calibri" w:hAnsi="Calibri" w:cs="Calibri" w:eastAsia="Calibri" w:hint="default"/>
                <w:sz w:val="18"/>
                <w:szCs w:val="18"/>
              </w:rPr>
            </w:pPr>
            <w:r>
              <w:rPr>
                <w:rFonts w:ascii="Calibri"/>
                <w:sz w:val="18"/>
              </w:rPr>
              <w:t>2.43%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Calibri" w:hAnsi="Calibri" w:cs="Calibri" w:eastAsia="Calibri" w:hint="default"/>
                <w:sz w:val="18"/>
                <w:szCs w:val="18"/>
              </w:rPr>
            </w:pPr>
            <w:r>
              <w:rPr>
                <w:rFonts w:ascii="Calibri"/>
                <w:sz w:val="18"/>
              </w:rPr>
              <w:t>12,898,294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r>
      <w:tr>
        <w:trPr>
          <w:trHeight w:val="47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w:t>
            </w:r>
          </w:p>
          <w:p>
            <w:pPr>
              <w:pStyle w:val="TableParagraph"/>
              <w:spacing w:line="257" w:lineRule="exact"/>
              <w:ind w:left="24" w:right="0"/>
              <w:jc w:val="left"/>
              <w:rPr>
                <w:rFonts w:ascii="宋体" w:hAnsi="宋体" w:cs="宋体" w:eastAsia="宋体" w:hint="default"/>
                <w:sz w:val="18"/>
                <w:szCs w:val="18"/>
              </w:rPr>
            </w:pPr>
            <w:r>
              <w:rPr>
                <w:rFonts w:ascii="宋体" w:hAnsi="宋体" w:cs="宋体" w:eastAsia="宋体" w:hint="default"/>
                <w:sz w:val="18"/>
                <w:szCs w:val="18"/>
              </w:rPr>
              <w:t>人分红</w:t>
            </w:r>
            <w:r>
              <w:rPr>
                <w:rFonts w:ascii="Calibri" w:hAnsi="Calibri" w:cs="Calibri" w:eastAsia="Calibri" w:hint="default"/>
                <w:sz w:val="18"/>
                <w:szCs w:val="18"/>
              </w:rPr>
              <w:t>-005L-FH002</w:t>
            </w:r>
            <w:r>
              <w:rPr>
                <w:rFonts w:ascii="Calibri" w:hAnsi="Calibri" w:cs="Calibri" w:eastAsia="Calibri" w:hint="default"/>
                <w:spacing w:val="-1"/>
                <w:sz w:val="18"/>
                <w:szCs w:val="18"/>
              </w:rPr>
              <w:t> </w:t>
            </w:r>
            <w:r>
              <w:rPr>
                <w:rFonts w:ascii="宋体" w:hAnsi="宋体" w:cs="宋体" w:eastAsia="宋体" w:hint="default"/>
                <w:sz w:val="18"/>
                <w:szCs w:val="18"/>
              </w:rPr>
              <w:t>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2"/>
              <w:jc w:val="right"/>
              <w:rPr>
                <w:rFonts w:ascii="Calibri" w:hAnsi="Calibri" w:cs="Calibri" w:eastAsia="Calibri" w:hint="default"/>
                <w:sz w:val="18"/>
                <w:szCs w:val="18"/>
              </w:rPr>
            </w:pPr>
            <w:r>
              <w:rPr>
                <w:rFonts w:ascii="Calibri"/>
                <w:sz w:val="18"/>
              </w:rPr>
              <w:t>2.33%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Calibri" w:hAnsi="Calibri" w:cs="Calibri" w:eastAsia="Calibri" w:hint="default"/>
                <w:sz w:val="18"/>
                <w:szCs w:val="18"/>
              </w:rPr>
            </w:pPr>
            <w:r>
              <w:rPr>
                <w:rFonts w:ascii="Calibri"/>
                <w:sz w:val="18"/>
              </w:rPr>
              <w:t>12,355,822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Calibri" w:hAnsi="Calibri" w:cs="Calibri" w:eastAsia="Calibri" w:hint="default"/>
                <w:sz w:val="18"/>
                <w:szCs w:val="18"/>
              </w:rPr>
            </w:pPr>
            <w:r>
              <w:rPr>
                <w:rFonts w:ascii="Calibri"/>
                <w:sz w:val="18"/>
              </w:rPr>
              <w:t>0</w:t>
            </w:r>
          </w:p>
        </w:tc>
      </w:tr>
      <w:tr>
        <w:trPr>
          <w:trHeight w:val="24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翟曙春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8"/>
                <w:szCs w:val="18"/>
              </w:rPr>
            </w:pPr>
            <w:r>
              <w:rPr>
                <w:rFonts w:ascii="Calibri"/>
                <w:sz w:val="18"/>
              </w:rPr>
              <w:t>9,348,632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13" w:right="0"/>
              <w:jc w:val="left"/>
              <w:rPr>
                <w:rFonts w:ascii="Calibri" w:hAnsi="Calibri" w:cs="Calibri" w:eastAsia="Calibri" w:hint="default"/>
                <w:sz w:val="18"/>
                <w:szCs w:val="18"/>
              </w:rPr>
            </w:pPr>
            <w:r>
              <w:rPr>
                <w:rFonts w:ascii="Calibri"/>
                <w:sz w:val="18"/>
              </w:rPr>
              <w:t>6,598,080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交通银行－博时新兴成长股票型证券投</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Calibri" w:hAnsi="Calibri" w:cs="Calibri" w:eastAsia="Calibri" w:hint="default"/>
                <w:sz w:val="18"/>
                <w:szCs w:val="18"/>
              </w:rPr>
            </w:pPr>
            <w:r>
              <w:rPr>
                <w:rFonts w:ascii="Calibri"/>
                <w:sz w:val="18"/>
              </w:rPr>
              <w:t>1.72%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Calibri" w:hAnsi="Calibri" w:cs="Calibri" w:eastAsia="Calibri" w:hint="default"/>
                <w:sz w:val="18"/>
                <w:szCs w:val="18"/>
              </w:rPr>
            </w:pPr>
            <w:r>
              <w:rPr>
                <w:rFonts w:ascii="Calibri"/>
                <w:sz w:val="18"/>
              </w:rPr>
              <w:t>9,105,536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Calibri" w:hAnsi="Calibri" w:cs="Calibri" w:eastAsia="Calibri" w:hint="default"/>
                <w:sz w:val="18"/>
                <w:szCs w:val="18"/>
              </w:rPr>
            </w:pPr>
            <w:r>
              <w:rPr>
                <w:rFonts w:ascii="Calibri"/>
                <w:sz w:val="18"/>
              </w:rPr>
              <w:t>0</w:t>
            </w:r>
          </w:p>
        </w:tc>
      </w:tr>
      <w:tr>
        <w:trPr>
          <w:trHeight w:val="242" w:hRule="exact"/>
        </w:trPr>
        <w:tc>
          <w:tcPr>
            <w:tcW w:w="901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名无限售条件股东持股情况</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6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8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5"/>
              <w:jc w:val="right"/>
              <w:rPr>
                <w:rFonts w:ascii="Calibri" w:hAnsi="Calibri" w:cs="Calibri" w:eastAsia="Calibri" w:hint="default"/>
                <w:sz w:val="18"/>
                <w:szCs w:val="18"/>
              </w:rPr>
            </w:pPr>
            <w:r>
              <w:rPr>
                <w:rFonts w:ascii="Calibri"/>
                <w:sz w:val="18"/>
              </w:rPr>
              <w:t>122,301,938</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18"/>
                <w:szCs w:val="18"/>
              </w:rPr>
            </w:pPr>
            <w:r>
              <w:rPr>
                <w:rFonts w:ascii="Calibri"/>
                <w:sz w:val="18"/>
              </w:rPr>
              <w:t>68,143,662</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18"/>
                <w:szCs w:val="18"/>
              </w:rPr>
            </w:pPr>
            <w:r>
              <w:rPr>
                <w:rFonts w:ascii="Calibri"/>
                <w:sz w:val="18"/>
              </w:rPr>
              <w:t>27,945,335</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18"/>
                <w:szCs w:val="18"/>
              </w:rPr>
            </w:pPr>
            <w:r>
              <w:rPr>
                <w:rFonts w:ascii="Calibri"/>
                <w:sz w:val="18"/>
              </w:rPr>
              <w:t>18,387,182</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中国工商银行－中银持续增长股票型证</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Calibri" w:hAnsi="Calibri" w:cs="Calibri" w:eastAsia="Calibri" w:hint="default"/>
                <w:sz w:val="18"/>
                <w:szCs w:val="18"/>
              </w:rPr>
            </w:pPr>
            <w:r>
              <w:rPr>
                <w:rFonts w:ascii="Calibri"/>
                <w:sz w:val="18"/>
              </w:rPr>
              <w:t>17,468,713</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中国工商银行－上投摩根内需动力股票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Calibri" w:hAnsi="Calibri" w:cs="Calibri" w:eastAsia="Calibri" w:hint="default"/>
                <w:sz w:val="18"/>
                <w:szCs w:val="18"/>
              </w:rPr>
            </w:pPr>
            <w:r>
              <w:rPr>
                <w:rFonts w:ascii="Calibri"/>
                <w:sz w:val="18"/>
              </w:rPr>
              <w:t>12,898,294</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w:t>
            </w:r>
          </w:p>
          <w:p>
            <w:pPr>
              <w:pStyle w:val="TableParagraph"/>
              <w:spacing w:line="257" w:lineRule="exact"/>
              <w:ind w:left="24" w:right="0"/>
              <w:jc w:val="left"/>
              <w:rPr>
                <w:rFonts w:ascii="宋体" w:hAnsi="宋体" w:cs="宋体" w:eastAsia="宋体" w:hint="default"/>
                <w:sz w:val="18"/>
                <w:szCs w:val="18"/>
              </w:rPr>
            </w:pPr>
            <w:r>
              <w:rPr>
                <w:rFonts w:ascii="宋体" w:hAnsi="宋体" w:cs="宋体" w:eastAsia="宋体" w:hint="default"/>
                <w:sz w:val="18"/>
                <w:szCs w:val="18"/>
              </w:rPr>
              <w:t>人分红</w:t>
            </w:r>
            <w:r>
              <w:rPr>
                <w:rFonts w:ascii="Calibri" w:hAnsi="Calibri" w:cs="Calibri" w:eastAsia="Calibri" w:hint="default"/>
                <w:sz w:val="18"/>
                <w:szCs w:val="18"/>
              </w:rPr>
              <w:t>-005L-FH002</w:t>
            </w:r>
            <w:r>
              <w:rPr>
                <w:rFonts w:ascii="Calibri" w:hAnsi="Calibri" w:cs="Calibri" w:eastAsia="Calibri" w:hint="default"/>
                <w:spacing w:val="-1"/>
                <w:sz w:val="18"/>
                <w:szCs w:val="18"/>
              </w:rPr>
              <w:t> </w:t>
            </w:r>
            <w:r>
              <w:rPr>
                <w:rFonts w:ascii="宋体" w:hAnsi="宋体" w:cs="宋体" w:eastAsia="宋体" w:hint="default"/>
                <w:sz w:val="18"/>
                <w:szCs w:val="18"/>
              </w:rPr>
              <w:t>深</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Calibri" w:hAnsi="Calibri" w:cs="Calibri" w:eastAsia="Calibri" w:hint="default"/>
                <w:sz w:val="18"/>
                <w:szCs w:val="18"/>
              </w:rPr>
            </w:pPr>
            <w:r>
              <w:rPr>
                <w:rFonts w:ascii="Calibri"/>
                <w:sz w:val="18"/>
              </w:rPr>
              <w:t>12,355,822</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交通银行－博时新兴成长股票型证券投</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Calibri" w:hAnsi="Calibri" w:cs="Calibri" w:eastAsia="Calibri" w:hint="default"/>
                <w:sz w:val="18"/>
                <w:szCs w:val="18"/>
              </w:rPr>
            </w:pPr>
            <w:r>
              <w:rPr>
                <w:rFonts w:ascii="Calibri"/>
                <w:sz w:val="18"/>
              </w:rPr>
              <w:t>9,105,536</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秦劳</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
              <w:jc w:val="right"/>
              <w:rPr>
                <w:rFonts w:ascii="Calibri" w:hAnsi="Calibri" w:cs="Calibri" w:eastAsia="Calibri" w:hint="default"/>
                <w:sz w:val="18"/>
                <w:szCs w:val="18"/>
              </w:rPr>
            </w:pPr>
            <w:r>
              <w:rPr>
                <w:rFonts w:ascii="Calibri"/>
                <w:sz w:val="18"/>
              </w:rPr>
              <w:t>9,027,302</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
              <w:jc w:val="right"/>
              <w:rPr>
                <w:rFonts w:ascii="Calibri" w:hAnsi="Calibri" w:cs="Calibri" w:eastAsia="Calibri" w:hint="default"/>
                <w:sz w:val="18"/>
                <w:szCs w:val="18"/>
              </w:rPr>
            </w:pPr>
            <w:r>
              <w:rPr>
                <w:rFonts w:ascii="Calibri"/>
                <w:sz w:val="18"/>
              </w:rPr>
              <w:t>8,150,000</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22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tc>
        <w:tc>
          <w:tcPr>
            <w:tcW w:w="6728" w:type="dxa"/>
            <w:gridSpan w:val="7"/>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公司前十名股东中，北京东华诚信电脑科技发展有限公司、薛向东、北京东华诚信工</w:t>
            </w:r>
          </w:p>
        </w:tc>
      </w:tr>
    </w:tbl>
    <w:p>
      <w:pPr>
        <w:spacing w:after="0" w:line="205" w:lineRule="exact"/>
        <w:jc w:val="left"/>
        <w:rPr>
          <w:rFonts w:ascii="宋体" w:hAnsi="宋体" w:cs="宋体" w:eastAsia="宋体" w:hint="default"/>
          <w:sz w:val="18"/>
          <w:szCs w:val="18"/>
        </w:rPr>
        <w:sectPr>
          <w:type w:val="continuous"/>
          <w:pgSz w:w="12240" w:h="15840"/>
          <w:pgMar w:top="1500" w:bottom="0" w:left="1500" w:right="0"/>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95"/>
        <w:gridCol w:w="6716"/>
      </w:tblGrid>
      <w:tr>
        <w:trPr>
          <w:trHeight w:val="489" w:hRule="exact"/>
        </w:trPr>
        <w:tc>
          <w:tcPr>
            <w:tcW w:w="2295"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6716"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业设备有限公司和北京合创电商投资顾问有限公司存在关联关系；前十名无限售条件</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股东中，未知其他股东之间是否存在关联关系，也不知是否属于一致行动人。</w:t>
            </w:r>
          </w:p>
        </w:tc>
      </w:tr>
    </w:tbl>
    <w:p>
      <w:pPr>
        <w:spacing w:line="240" w:lineRule="auto" w:before="1"/>
        <w:rPr>
          <w:rFonts w:ascii="宋体" w:hAnsi="宋体" w:cs="宋体" w:eastAsia="宋体" w:hint="default"/>
          <w:sz w:val="18"/>
          <w:szCs w:val="18"/>
        </w:rPr>
      </w:pPr>
    </w:p>
    <w:p>
      <w:pPr>
        <w:spacing w:line="340" w:lineRule="auto" w:before="19"/>
        <w:ind w:left="624" w:right="4576" w:hanging="480"/>
        <w:jc w:val="left"/>
        <w:rPr>
          <w:rFonts w:ascii="宋体" w:hAnsi="宋体" w:cs="宋体" w:eastAsia="宋体" w:hint="default"/>
          <w:sz w:val="24"/>
          <w:szCs w:val="24"/>
        </w:rPr>
      </w:pPr>
      <w:r>
        <w:rPr>
          <w:rFonts w:ascii="黑体" w:hAnsi="黑体" w:cs="黑体" w:eastAsia="黑体" w:hint="default"/>
          <w:b/>
          <w:bCs/>
          <w:sz w:val="26"/>
          <w:szCs w:val="26"/>
        </w:rPr>
        <w:t>（二）公司控股股东情况</w:t>
      </w:r>
      <w:r>
        <w:rPr>
          <w:rFonts w:ascii="黑体" w:hAnsi="黑体" w:cs="黑体" w:eastAsia="黑体" w:hint="default"/>
          <w:b/>
          <w:bCs/>
          <w:w w:val="99"/>
          <w:sz w:val="26"/>
          <w:szCs w:val="26"/>
        </w:rPr>
        <w:t> </w:t>
      </w:r>
      <w:r>
        <w:rPr>
          <w:rFonts w:ascii="宋体" w:hAnsi="宋体" w:cs="宋体" w:eastAsia="宋体" w:hint="default"/>
          <w:sz w:val="24"/>
          <w:szCs w:val="24"/>
        </w:rPr>
        <w:t>控股股东名称：北京东华诚信电脑科技发展有限公司 法定代表人：郭玉梅</w:t>
      </w:r>
    </w:p>
    <w:p>
      <w:pPr>
        <w:pStyle w:val="BodyText"/>
        <w:spacing w:line="357" w:lineRule="auto" w:before="50"/>
        <w:ind w:left="624" w:right="5312"/>
        <w:jc w:val="left"/>
      </w:pPr>
      <w:r>
        <w:rPr/>
        <w:t>成立日期：</w:t>
      </w:r>
      <w:r>
        <w:rPr>
          <w:rFonts w:ascii="宋体" w:hAnsi="宋体" w:cs="宋体" w:eastAsia="宋体" w:hint="default"/>
        </w:rPr>
        <w:t>1993</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 组织机构代码：</w:t>
      </w:r>
      <w:r>
        <w:rPr>
          <w:rFonts w:ascii="宋体" w:hAnsi="宋体" w:cs="宋体" w:eastAsia="宋体" w:hint="default"/>
        </w:rPr>
        <w:t>10204779-0 </w:t>
      </w:r>
      <w:r>
        <w:rPr/>
        <w:t>注册资本：人民币</w:t>
      </w:r>
      <w:r>
        <w:rPr>
          <w:spacing w:val="-60"/>
        </w:rPr>
        <w:t> </w:t>
      </w:r>
      <w:r>
        <w:rPr>
          <w:rFonts w:ascii="宋体" w:hAnsi="宋体" w:cs="宋体" w:eastAsia="宋体" w:hint="default"/>
        </w:rPr>
        <w:t>3,000</w:t>
      </w:r>
      <w:r>
        <w:rPr>
          <w:rFonts w:ascii="宋体" w:hAnsi="宋体" w:cs="宋体" w:eastAsia="宋体" w:hint="default"/>
          <w:spacing w:val="-60"/>
        </w:rPr>
        <w:t> </w:t>
      </w:r>
      <w:r>
        <w:rPr/>
        <w:t>万元 企业类型：有限责任公司 法定住所：北京市海淀区知春路</w:t>
      </w:r>
      <w:r>
        <w:rPr>
          <w:spacing w:val="-60"/>
        </w:rPr>
        <w:t> </w:t>
      </w:r>
      <w:r>
        <w:rPr>
          <w:rFonts w:ascii="宋体" w:hAnsi="宋体" w:cs="宋体" w:eastAsia="宋体" w:hint="default"/>
        </w:rPr>
        <w:t>128</w:t>
      </w:r>
      <w:r>
        <w:rPr>
          <w:rFonts w:ascii="宋体" w:hAnsi="宋体" w:cs="宋体" w:eastAsia="宋体" w:hint="default"/>
          <w:spacing w:val="-60"/>
        </w:rPr>
        <w:t> </w:t>
      </w:r>
      <w:r>
        <w:rPr/>
        <w:t>号</w:t>
      </w:r>
      <w:r>
        <w:rPr>
          <w:spacing w:val="-60"/>
        </w:rPr>
        <w:t> </w:t>
      </w:r>
      <w:r>
        <w:rPr>
          <w:rFonts w:ascii="宋体" w:hAnsi="宋体" w:cs="宋体" w:eastAsia="宋体" w:hint="default"/>
        </w:rPr>
        <w:t>302</w:t>
      </w:r>
      <w:r>
        <w:rPr>
          <w:rFonts w:ascii="宋体" w:hAnsi="宋体" w:cs="宋体" w:eastAsia="宋体" w:hint="default"/>
          <w:spacing w:val="-60"/>
        </w:rPr>
        <w:t> </w:t>
      </w:r>
      <w:r>
        <w:rPr/>
        <w:t>室</w:t>
      </w:r>
    </w:p>
    <w:p>
      <w:pPr>
        <w:pStyle w:val="BodyText"/>
        <w:spacing w:line="357" w:lineRule="auto" w:before="34"/>
        <w:ind w:right="1697" w:firstLine="479"/>
        <w:jc w:val="left"/>
      </w:pPr>
      <w:r>
        <w:rPr/>
        <w:t>经营范围：销售五金变电、计算机零配件、电子元件等产品以及管理对外投资的 股权等。</w:t>
      </w:r>
    </w:p>
    <w:p>
      <w:pPr>
        <w:pStyle w:val="BodyText"/>
        <w:spacing w:line="240" w:lineRule="auto" w:before="34"/>
        <w:ind w:left="624" w:right="1697"/>
        <w:jc w:val="left"/>
      </w:pPr>
      <w:r>
        <w:rPr/>
        <w:t>报告期内公司控股股东未发生变更。</w:t>
      </w:r>
    </w:p>
    <w:p>
      <w:pPr>
        <w:spacing w:line="240" w:lineRule="auto" w:before="5"/>
        <w:rPr>
          <w:rFonts w:ascii="宋体" w:hAnsi="宋体" w:cs="宋体" w:eastAsia="宋体" w:hint="default"/>
          <w:sz w:val="34"/>
          <w:szCs w:val="34"/>
        </w:rPr>
      </w:pPr>
    </w:p>
    <w:p>
      <w:pPr>
        <w:pStyle w:val="Heading3"/>
        <w:spacing w:line="240" w:lineRule="auto"/>
        <w:ind w:right="1697"/>
        <w:jc w:val="left"/>
        <w:rPr>
          <w:b w:val="0"/>
          <w:bCs w:val="0"/>
        </w:rPr>
      </w:pPr>
      <w:r>
        <w:rPr/>
        <w:t>（三）公司实际控制人情况</w:t>
      </w:r>
      <w:r>
        <w:rPr>
          <w:b w:val="0"/>
          <w:bCs w:val="0"/>
        </w:rPr>
      </w:r>
    </w:p>
    <w:p>
      <w:pPr>
        <w:pStyle w:val="BodyText"/>
        <w:spacing w:line="240" w:lineRule="auto" w:before="122"/>
        <w:ind w:left="624" w:right="1697"/>
        <w:jc w:val="left"/>
      </w:pPr>
      <w:r>
        <w:rPr/>
        <w:t>公司的实际控制人名称：自然人薛向东及其家族成员。</w:t>
      </w:r>
    </w:p>
    <w:p>
      <w:pPr>
        <w:spacing w:line="240" w:lineRule="auto" w:before="13"/>
        <w:rPr>
          <w:rFonts w:ascii="宋体" w:hAnsi="宋体" w:cs="宋体" w:eastAsia="宋体" w:hint="default"/>
          <w:sz w:val="20"/>
          <w:szCs w:val="20"/>
        </w:rPr>
      </w:pPr>
    </w:p>
    <w:p>
      <w:pPr>
        <w:pStyle w:val="BodyText"/>
        <w:spacing w:line="408" w:lineRule="auto"/>
        <w:ind w:left="624" w:right="1696"/>
        <w:jc w:val="left"/>
      </w:pPr>
      <w:r>
        <w:rPr>
          <w:rFonts w:ascii="Calibri" w:hAnsi="Calibri" w:cs="Calibri" w:eastAsia="Calibri" w:hint="default"/>
        </w:rPr>
        <w:t>1</w:t>
      </w:r>
      <w:r>
        <w:rPr/>
        <w:t>、薛向东 薛向东，中国籍，无其他国家或地区居留权，最近五年一直担任本公司董事长，</w:t>
      </w:r>
    </w:p>
    <w:p>
      <w:pPr>
        <w:pStyle w:val="BodyText"/>
        <w:spacing w:line="357" w:lineRule="auto"/>
        <w:ind w:right="1713"/>
        <w:jc w:val="both"/>
      </w:pPr>
      <w:r>
        <w:rPr/>
        <w:t>除此之外现任本公司控股股东北京东华诚信电脑科技发展有限公司董事，本公司全资 子公司北京东华合创科技有限公司、北京联银通科技有限公司、北京东华合创香港有 限公司、东华软件工程有限公司、东华合创软件有限公司、北京东方易维软件有限公 司董事长，全资子公司泰安东华合创软件有限公司、北京厚盾科技有限公司、北京东 华厚盾软件有限公司、东华软件技术有限公司、东华合创科技有限公司、北京东华易 时科技有限公司、北京东华软件开发有限公司、南昌东华软件有限公司、山西东华软 件有限公司执行董事，控股子公司广州东华合创数码科技有限公司执行董事，全资子 公司哈尔滨东华软件有限公司董事。</w:t>
      </w:r>
    </w:p>
    <w:p>
      <w:pPr>
        <w:pStyle w:val="BodyText"/>
        <w:spacing w:line="240" w:lineRule="auto" w:before="154"/>
        <w:ind w:left="624" w:right="1697"/>
        <w:jc w:val="left"/>
      </w:pPr>
      <w:r>
        <w:rPr>
          <w:rFonts w:ascii="Calibri" w:hAnsi="Calibri" w:cs="Calibri" w:eastAsia="Calibri" w:hint="default"/>
        </w:rPr>
        <w:t>2</w:t>
      </w:r>
      <w:r>
        <w:rPr/>
        <w:t>、薛向东的家族成员</w:t>
      </w:r>
    </w:p>
    <w:p>
      <w:pPr>
        <w:spacing w:after="0" w:line="240" w:lineRule="auto"/>
        <w:jc w:val="left"/>
        <w:sectPr>
          <w:pgSz w:w="12240" w:h="15840"/>
          <w:pgMar w:header="847" w:footer="987" w:top="1360" w:bottom="1180" w:left="1500" w:right="0"/>
        </w:sectPr>
      </w:pPr>
    </w:p>
    <w:p>
      <w:pPr>
        <w:pStyle w:val="BodyText"/>
        <w:spacing w:line="357" w:lineRule="auto" w:before="11"/>
        <w:ind w:right="1513" w:firstLine="479"/>
        <w:jc w:val="left"/>
      </w:pPr>
      <w:r>
        <w:rPr/>
        <w:pict>
          <v:group style="position:absolute;margin-left:80.783997pt;margin-top:1.845647pt;width:450.6pt;height:.1pt;mso-position-horizontal-relative:page;mso-position-vertical-relative:paragraph;z-index:-865264"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8"/>
        </w:rPr>
        <w:t>薛向东的家族成员包括郭玉梅（妻）、薛荣文（父）、邵会兰（母）、薛坤（儿）、</w:t>
      </w:r>
      <w:r>
        <w:rPr/>
        <w:t> 陈竹桂（岳母）、薛向辉（弟）、郭玉杰（妻弟）、邵会深（舅）。除北京东华诚信 电脑科技发展有限公司（以下简称“诚信电脑”）、北京东华诚信工业设备有限公司</w:t>
      </w:r>
    </w:p>
    <w:p>
      <w:pPr>
        <w:pStyle w:val="BodyText"/>
        <w:spacing w:line="357" w:lineRule="auto" w:before="34"/>
        <w:ind w:right="1506"/>
        <w:jc w:val="left"/>
      </w:pPr>
      <w:r>
        <w:rPr>
          <w:spacing w:val="-8"/>
        </w:rPr>
        <w:t>（以下简称“诚信设备”）和北京合创电商投资顾问有限公司（以下简称“合创投资”）</w:t>
      </w:r>
      <w:r>
        <w:rPr>
          <w:spacing w:val="-96"/>
        </w:rPr>
        <w:t> </w:t>
      </w:r>
      <w:r>
        <w:rPr>
          <w:spacing w:val="-96"/>
        </w:rPr>
      </w:r>
      <w:r>
        <w:rPr/>
        <w:t>外，薛向东的家族成员未持有其他公司股权。</w:t>
      </w:r>
    </w:p>
    <w:p>
      <w:pPr>
        <w:pStyle w:val="BodyText"/>
        <w:spacing w:line="240" w:lineRule="auto" w:before="154"/>
        <w:ind w:left="624" w:right="1697"/>
        <w:jc w:val="left"/>
      </w:pPr>
      <w:r>
        <w:rPr/>
        <w:pict>
          <v:shape style="position:absolute;margin-left:183.475006pt;margin-top:103.710609pt;width:100.8pt;height:24.1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9"/>
                    <w:gridCol w:w="809"/>
                  </w:tblGrid>
                  <w:tr>
                    <w:trPr>
                      <w:trHeight w:val="311"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33"/>
                          <w:ind w:left="230" w:right="0"/>
                          <w:jc w:val="left"/>
                          <w:rPr>
                            <w:rFonts w:ascii="宋体" w:hAnsi="宋体" w:cs="宋体" w:eastAsia="宋体" w:hint="default"/>
                            <w:sz w:val="24"/>
                            <w:szCs w:val="24"/>
                          </w:rPr>
                        </w:pPr>
                        <w:r>
                          <w:rPr>
                            <w:rFonts w:ascii="宋体" w:hAnsi="宋体" w:cs="宋体" w:eastAsia="宋体" w:hint="default"/>
                            <w:sz w:val="24"/>
                            <w:szCs w:val="24"/>
                          </w:rPr>
                          <w:t>郭玉梅</w:t>
                        </w:r>
                      </w:p>
                    </w:tc>
                    <w:tc>
                      <w:tcPr>
                        <w:tcW w:w="809" w:type="dxa"/>
                        <w:tcBorders>
                          <w:top w:val="nil" w:sz="6" w:space="0" w:color="auto"/>
                          <w:left w:val="single" w:sz="6" w:space="0" w:color="000000"/>
                          <w:bottom w:val="single" w:sz="6" w:space="0" w:color="000000"/>
                          <w:right w:val="nil" w:sz="6" w:space="0" w:color="auto"/>
                        </w:tcBorders>
                      </w:tcPr>
                      <w:p>
                        <w:pPr>
                          <w:pStyle w:val="TableParagraph"/>
                          <w:spacing w:line="240" w:lineRule="auto" w:before="32"/>
                          <w:ind w:left="73" w:right="0"/>
                          <w:jc w:val="left"/>
                          <w:rPr>
                            <w:rFonts w:ascii="Calibri" w:hAnsi="Calibri" w:cs="Calibri" w:eastAsia="Calibri" w:hint="default"/>
                            <w:sz w:val="24"/>
                            <w:szCs w:val="24"/>
                          </w:rPr>
                        </w:pPr>
                        <w:r>
                          <w:rPr>
                            <w:rFonts w:ascii="Calibri"/>
                            <w:sz w:val="24"/>
                          </w:rPr>
                          <w:t>30%</w:t>
                        </w:r>
                      </w:p>
                    </w:tc>
                  </w:tr>
                  <w:tr>
                    <w:trPr>
                      <w:trHeight w:val="157" w:hRule="exact"/>
                    </w:trPr>
                    <w:tc>
                      <w:tcPr>
                        <w:tcW w:w="1199" w:type="dxa"/>
                        <w:vMerge/>
                        <w:tcBorders>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Calibri" w:hAnsi="Calibri" w:cs="Calibri" w:eastAsia="Calibri" w:hint="default"/>
        </w:rPr>
        <w:t>3</w:t>
      </w:r>
      <w:r>
        <w:rPr/>
        <w:t>、公司与实际控制人之间的产权及控制关系图</w:t>
      </w:r>
    </w:p>
    <w:p>
      <w:pPr>
        <w:spacing w:line="240" w:lineRule="auto" w:before="8"/>
        <w:rPr>
          <w:rFonts w:ascii="宋体" w:hAnsi="宋体" w:cs="宋体" w:eastAsia="宋体" w:hint="default"/>
          <w:sz w:val="25"/>
          <w:szCs w:val="25"/>
        </w:rPr>
      </w:pPr>
    </w:p>
    <w:p>
      <w:pPr>
        <w:spacing w:line="1099" w:lineRule="exact"/>
        <w:ind w:left="777" w:right="0" w:firstLine="0"/>
        <w:rPr>
          <w:rFonts w:ascii="宋体" w:hAnsi="宋体" w:cs="宋体" w:eastAsia="宋体" w:hint="default"/>
          <w:sz w:val="20"/>
          <w:szCs w:val="20"/>
        </w:rPr>
      </w:pPr>
      <w:r>
        <w:rPr>
          <w:rFonts w:ascii="宋体"/>
          <w:position w:val="41"/>
          <w:sz w:val="20"/>
        </w:rPr>
        <w:pict>
          <v:shape style="width:59.95pt;height:23.4pt;mso-position-horizontal-relative:char;mso-position-vertical-relative:line" type="#_x0000_t202" filled="false" stroked="true" strokeweight=".75pt" strokecolor="#000000">
            <w10:anchorlock/>
            <v:textbox inset="0,0,0,0">
              <w:txbxContent>
                <w:p>
                  <w:pPr>
                    <w:pStyle w:val="BodyText"/>
                    <w:spacing w:line="240" w:lineRule="auto" w:before="32"/>
                    <w:ind w:left="231" w:right="0"/>
                    <w:jc w:val="left"/>
                  </w:pPr>
                  <w:r>
                    <w:rPr/>
                    <w:t>薛向东</w:t>
                  </w:r>
                </w:p>
              </w:txbxContent>
            </v:textbox>
          </v:shape>
        </w:pict>
      </w:r>
      <w:r>
        <w:rPr>
          <w:rFonts w:ascii="宋体"/>
          <w:position w:val="41"/>
          <w:sz w:val="20"/>
        </w:rPr>
      </w:r>
      <w:r>
        <w:rPr>
          <w:rFonts w:ascii="Times New Roman"/>
          <w:spacing w:val="138"/>
          <w:position w:val="41"/>
          <w:sz w:val="20"/>
        </w:rPr>
        <w:t> </w:t>
      </w:r>
      <w:r>
        <w:rPr>
          <w:rFonts w:ascii="宋体"/>
          <w:spacing w:val="138"/>
          <w:position w:val="-21"/>
          <w:sz w:val="20"/>
        </w:rPr>
        <w:pict>
          <v:shape style="width:100.8pt;height:24.1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199"/>
                    <w:gridCol w:w="809"/>
                  </w:tblGrid>
                  <w:tr>
                    <w:trPr>
                      <w:trHeight w:val="313"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33"/>
                          <w:ind w:left="350" w:right="0"/>
                          <w:jc w:val="left"/>
                          <w:rPr>
                            <w:rFonts w:ascii="宋体" w:hAnsi="宋体" w:cs="宋体" w:eastAsia="宋体" w:hint="default"/>
                            <w:sz w:val="24"/>
                            <w:szCs w:val="24"/>
                          </w:rPr>
                        </w:pPr>
                        <w:r>
                          <w:rPr>
                            <w:rFonts w:ascii="宋体" w:hAnsi="宋体" w:cs="宋体" w:eastAsia="宋体" w:hint="default"/>
                            <w:sz w:val="24"/>
                            <w:szCs w:val="24"/>
                          </w:rPr>
                          <w:t>薛坤</w:t>
                        </w:r>
                      </w:p>
                    </w:tc>
                    <w:tc>
                      <w:tcPr>
                        <w:tcW w:w="809" w:type="dxa"/>
                        <w:tcBorders>
                          <w:top w:val="nil" w:sz="6" w:space="0" w:color="auto"/>
                          <w:left w:val="single" w:sz="6" w:space="0" w:color="000000"/>
                          <w:bottom w:val="single" w:sz="6" w:space="0" w:color="000000"/>
                          <w:right w:val="nil" w:sz="6" w:space="0" w:color="auto"/>
                        </w:tcBorders>
                      </w:tcPr>
                      <w:p>
                        <w:pPr>
                          <w:pStyle w:val="TableParagraph"/>
                          <w:spacing w:line="240" w:lineRule="auto" w:before="32"/>
                          <w:ind w:left="73" w:right="0"/>
                          <w:jc w:val="left"/>
                          <w:rPr>
                            <w:rFonts w:ascii="Calibri" w:hAnsi="Calibri" w:cs="Calibri" w:eastAsia="Calibri" w:hint="default"/>
                            <w:sz w:val="24"/>
                            <w:szCs w:val="24"/>
                          </w:rPr>
                        </w:pPr>
                        <w:r>
                          <w:rPr>
                            <w:rFonts w:ascii="Calibri"/>
                            <w:sz w:val="24"/>
                          </w:rPr>
                          <w:t>30%</w:t>
                        </w:r>
                      </w:p>
                    </w:tc>
                  </w:tr>
                  <w:tr>
                    <w:trPr>
                      <w:trHeight w:val="155" w:hRule="exact"/>
                    </w:trPr>
                    <w:tc>
                      <w:tcPr>
                        <w:tcW w:w="1199" w:type="dxa"/>
                        <w:vMerge/>
                        <w:tcBorders>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nil" w:sz="6" w:space="0" w:color="auto"/>
                          <w:right w:val="nil" w:sz="6" w:space="0" w:color="auto"/>
                        </w:tcBorders>
                      </w:tcPr>
                      <w:p>
                        <w:pPr/>
                      </w:p>
                    </w:tc>
                  </w:tr>
                </w:tbl>
                <w:p>
                  <w:pPr/>
                </w:p>
              </w:txbxContent>
            </v:textbox>
          </v:shape>
        </w:pict>
      </w:r>
      <w:r>
        <w:rPr>
          <w:rFonts w:ascii="宋体"/>
          <w:spacing w:val="138"/>
          <w:position w:val="-21"/>
          <w:sz w:val="20"/>
        </w:rPr>
      </w:r>
      <w:r>
        <w:rPr>
          <w:rFonts w:ascii="Times New Roman"/>
          <w:spacing w:val="135"/>
          <w:position w:val="-21"/>
          <w:sz w:val="20"/>
        </w:rPr>
        <w:t> </w:t>
      </w:r>
      <w:r>
        <w:rPr>
          <w:rFonts w:ascii="宋体"/>
          <w:spacing w:val="135"/>
          <w:position w:val="-21"/>
          <w:sz w:val="20"/>
        </w:rPr>
        <w:pict>
          <v:shape style="width:100.7pt;height:24.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198"/>
                    <w:gridCol w:w="809"/>
                  </w:tblGrid>
                  <w:tr>
                    <w:trPr>
                      <w:trHeight w:val="312" w:hRule="exact"/>
                    </w:trPr>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32"/>
                          <w:ind w:left="233" w:right="0"/>
                          <w:jc w:val="left"/>
                          <w:rPr>
                            <w:rFonts w:ascii="宋体" w:hAnsi="宋体" w:cs="宋体" w:eastAsia="宋体" w:hint="default"/>
                            <w:sz w:val="24"/>
                            <w:szCs w:val="24"/>
                          </w:rPr>
                        </w:pPr>
                        <w:r>
                          <w:rPr>
                            <w:rFonts w:ascii="宋体" w:hAnsi="宋体" w:cs="宋体" w:eastAsia="宋体" w:hint="default"/>
                            <w:sz w:val="24"/>
                            <w:szCs w:val="24"/>
                          </w:rPr>
                          <w:t>邵会兰</w:t>
                        </w:r>
                      </w:p>
                    </w:tc>
                    <w:tc>
                      <w:tcPr>
                        <w:tcW w:w="809" w:type="dxa"/>
                        <w:tcBorders>
                          <w:top w:val="nil" w:sz="6" w:space="0" w:color="auto"/>
                          <w:left w:val="single" w:sz="6" w:space="0" w:color="000000"/>
                          <w:bottom w:val="single" w:sz="6" w:space="0" w:color="000000"/>
                          <w:right w:val="nil" w:sz="6" w:space="0" w:color="auto"/>
                        </w:tcBorders>
                      </w:tcPr>
                      <w:p>
                        <w:pPr>
                          <w:pStyle w:val="TableParagraph"/>
                          <w:spacing w:line="240" w:lineRule="auto" w:before="31"/>
                          <w:ind w:left="139" w:right="0"/>
                          <w:jc w:val="left"/>
                          <w:rPr>
                            <w:rFonts w:ascii="Calibri" w:hAnsi="Calibri" w:cs="Calibri" w:eastAsia="Calibri" w:hint="default"/>
                            <w:sz w:val="24"/>
                            <w:szCs w:val="24"/>
                          </w:rPr>
                        </w:pPr>
                        <w:r>
                          <w:rPr>
                            <w:rFonts w:ascii="Calibri"/>
                            <w:sz w:val="24"/>
                          </w:rPr>
                          <w:t>25%</w:t>
                        </w:r>
                      </w:p>
                    </w:tc>
                  </w:tr>
                  <w:tr>
                    <w:trPr>
                      <w:trHeight w:val="155" w:hRule="exact"/>
                    </w:trPr>
                    <w:tc>
                      <w:tcPr>
                        <w:tcW w:w="1198" w:type="dxa"/>
                        <w:vMerge/>
                        <w:tcBorders>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nil" w:sz="6" w:space="0" w:color="auto"/>
                          <w:right w:val="nil" w:sz="6" w:space="0" w:color="auto"/>
                        </w:tcBorders>
                      </w:tcPr>
                      <w:p>
                        <w:pPr/>
                      </w:p>
                    </w:tc>
                  </w:tr>
                </w:tbl>
                <w:p>
                  <w:pPr/>
                </w:p>
              </w:txbxContent>
            </v:textbox>
          </v:shape>
        </w:pict>
      </w:r>
      <w:r>
        <w:rPr>
          <w:rFonts w:ascii="宋体"/>
          <w:spacing w:val="135"/>
          <w:position w:val="-21"/>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2240" w:h="15840"/>
          <w:pgMar w:header="847" w:footer="987" w:top="1360" w:bottom="1180" w:left="1500" w:right="0"/>
        </w:sectPr>
      </w:pPr>
    </w:p>
    <w:p>
      <w:pPr>
        <w:pStyle w:val="BodyText"/>
        <w:spacing w:line="240" w:lineRule="auto" w:before="51"/>
        <w:ind w:left="0" w:right="0"/>
        <w:jc w:val="right"/>
        <w:rPr>
          <w:rFonts w:ascii="Calibri" w:hAnsi="Calibri" w:cs="Calibri" w:eastAsia="Calibri" w:hint="default"/>
        </w:rPr>
      </w:pPr>
      <w:r>
        <w:rPr/>
        <w:pict>
          <v:group style="position:absolute;margin-left:183.475006pt;margin-top:-178.859222pt;width:104.6pt;height:179.8pt;mso-position-horizontal-relative:page;mso-position-vertical-relative:paragraph;z-index:-865168" coordorigin="3670,-3577" coordsize="2092,3596">
            <v:group style="position:absolute;left:3677;top:-3570;width:1199;height:468" coordorigin="3677,-3570" coordsize="1199,468">
              <v:shape style="position:absolute;left:3677;top:-3570;width:1199;height:468" coordorigin="3677,-3570" coordsize="1199,468" path="m3677,-3102l4876,-3102,4876,-3570,3677,-3570,3677,-3102xe" filled="false" stroked="true" strokeweight=".75pt" strokecolor="#000000">
                <v:path arrowok="t"/>
              </v:shape>
            </v:group>
            <v:group style="position:absolute;left:5619;top:-3268;width:120;height:2818" coordorigin="5619,-3268" coordsize="120,2818">
              <v:shape style="position:absolute;left:5619;top:-3268;width:120;height:2818" coordorigin="5619,-3268" coordsize="120,2818" path="m5669,-570l5619,-570,5679,-450,5724,-540,5673,-540,5669,-544,5669,-570xe" filled="true" fillcolor="#000000" stroked="false">
                <v:path arrowok="t"/>
                <v:fill type="solid"/>
              </v:shape>
              <v:shape style="position:absolute;left:5619;top:-3268;width:120;height:2818" coordorigin="5619,-3268" coordsize="120,2818" path="m5684,-3268l5672,-3268,5668,-3263,5669,-544,5673,-540,5684,-540,5689,-544,5688,-3258,5688,-3263,5684,-3268xe" filled="true" fillcolor="#000000" stroked="false">
                <v:path arrowok="t"/>
                <v:fill type="solid"/>
              </v:shape>
              <v:shape style="position:absolute;left:5619;top:-3268;width:120;height:2818" coordorigin="5619,-3268" coordsize="120,2818" path="m5739,-570l5689,-570,5689,-544,5684,-540,5724,-540,5739,-570xe" filled="true" fillcolor="#000000" stroked="false">
                <v:path arrowok="t"/>
                <v:fill type="solid"/>
              </v:shape>
            </v:group>
            <v:group style="position:absolute;left:4877;top:-3259;width:801;height:2" coordorigin="4877,-3259" coordsize="801,2">
              <v:shape style="position:absolute;left:4877;top:-3259;width:801;height:2" coordorigin="4877,-3259" coordsize="801,1" path="m4877,-3259l5678,-3258e" filled="false" stroked="true" strokeweight=".75pt" strokecolor="#000000">
                <v:path arrowok="t"/>
              </v:shape>
              <v:shape style="position:absolute;left:3677;top:-3570;width:1199;height:468" type="#_x0000_t202" filled="false" stroked="false">
                <v:textbox inset="0,0,0,0">
                  <w:txbxContent>
                    <w:p>
                      <w:pPr>
                        <w:spacing w:before="40"/>
                        <w:ind w:left="238" w:right="0" w:firstLine="0"/>
                        <w:jc w:val="left"/>
                        <w:rPr>
                          <w:rFonts w:ascii="宋体" w:hAnsi="宋体" w:cs="宋体" w:eastAsia="宋体" w:hint="default"/>
                          <w:sz w:val="24"/>
                          <w:szCs w:val="24"/>
                        </w:rPr>
                      </w:pPr>
                      <w:r>
                        <w:rPr>
                          <w:rFonts w:ascii="宋体" w:hAnsi="宋体" w:cs="宋体" w:eastAsia="宋体" w:hint="default"/>
                          <w:sz w:val="24"/>
                          <w:szCs w:val="24"/>
                        </w:rPr>
                        <w:t>薛向东</w:t>
                      </w:r>
                    </w:p>
                  </w:txbxContent>
                </v:textbox>
                <w10:wrap type="none"/>
              </v:shape>
              <v:shape style="position:absolute;left:4957;top:-3448;width:418;height:240" type="#_x0000_t202" filled="false" stroked="false">
                <v:textbox inset="0,0,0,0">
                  <w:txbxContent>
                    <w:p>
                      <w:pPr>
                        <w:spacing w:line="240" w:lineRule="exact" w:before="0"/>
                        <w:ind w:left="0" w:right="0" w:firstLine="0"/>
                        <w:jc w:val="left"/>
                        <w:rPr>
                          <w:rFonts w:ascii="Calibri" w:hAnsi="Calibri" w:cs="Calibri" w:eastAsia="Calibri" w:hint="default"/>
                          <w:sz w:val="24"/>
                          <w:szCs w:val="24"/>
                        </w:rPr>
                      </w:pPr>
                      <w:r>
                        <w:rPr>
                          <w:rFonts w:ascii="Calibri"/>
                          <w:sz w:val="24"/>
                        </w:rPr>
                        <w:t>40%</w:t>
                      </w:r>
                    </w:p>
                  </w:txbxContent>
                </v:textbox>
                <w10:wrap type="none"/>
              </v:shape>
              <v:shape style="position:absolute;left:3677;top:-450;width:2084;height:468" type="#_x0000_t202" filled="false" stroked="true" strokeweight=".75pt" strokecolor="#000000">
                <v:textbox inset="0,0,0,0">
                  <w:txbxContent>
                    <w:p>
                      <w:pPr>
                        <w:spacing w:before="33"/>
                        <w:ind w:left="554" w:right="0" w:firstLine="0"/>
                        <w:jc w:val="left"/>
                        <w:rPr>
                          <w:rFonts w:ascii="宋体" w:hAnsi="宋体" w:cs="宋体" w:eastAsia="宋体" w:hint="default"/>
                          <w:sz w:val="24"/>
                          <w:szCs w:val="24"/>
                        </w:rPr>
                      </w:pPr>
                      <w:r>
                        <w:rPr>
                          <w:rFonts w:ascii="宋体" w:hAnsi="宋体" w:cs="宋体" w:eastAsia="宋体" w:hint="default"/>
                          <w:sz w:val="24"/>
                          <w:szCs w:val="24"/>
                        </w:rPr>
                        <w:t>诚信电脑</w:t>
                      </w:r>
                    </w:p>
                  </w:txbxContent>
                </v:textbox>
                <w10:wrap type="none"/>
              </v:shape>
            </v:group>
            <w10:wrap type="none"/>
          </v:group>
        </w:pict>
      </w:r>
      <w:r>
        <w:rPr/>
        <w:pict>
          <v:group style="position:absolute;margin-left:293.524994pt;margin-top:-178.859222pt;width:110.4pt;height:179.8pt;mso-position-horizontal-relative:page;mso-position-vertical-relative:paragraph;z-index:-864976" coordorigin="5870,-3577" coordsize="2208,3596">
            <v:group style="position:absolute;left:5878;top:-2322;width:1198;height:467" coordorigin="5878,-2322" coordsize="1198,467">
              <v:shape style="position:absolute;left:5878;top:-2322;width:1198;height:467" coordorigin="5878,-2322" coordsize="1198,467" path="m5878,-1855l7076,-1855,7076,-2322,5878,-2322,5878,-1855xe" filled="false" stroked="true" strokeweight=".75pt" strokecolor="#000000">
                <v:path arrowok="t"/>
              </v:shape>
            </v:group>
            <v:group style="position:absolute;left:5878;top:-3570;width:1199;height:468" coordorigin="5878,-3570" coordsize="1199,468">
              <v:shape style="position:absolute;left:5878;top:-3570;width:1199;height:468" coordorigin="5878,-3570" coordsize="1199,468" path="m5878,-3102l7077,-3102,7077,-3570,5878,-3570,5878,-3102xe" filled="false" stroked="true" strokeweight=".75pt" strokecolor="#000000">
                <v:path arrowok="t"/>
              </v:shape>
            </v:group>
            <v:group style="position:absolute;left:7819;top:-3268;width:120;height:2818" coordorigin="7819,-3268" coordsize="120,2818">
              <v:shape style="position:absolute;left:7819;top:-3268;width:120;height:2818" coordorigin="7819,-3268" coordsize="120,2818" path="m7869,-570l7819,-570,7879,-450,7924,-540,7873,-540,7869,-544,7869,-570xe" filled="true" fillcolor="#000000" stroked="false">
                <v:path arrowok="t"/>
                <v:fill type="solid"/>
              </v:shape>
              <v:shape style="position:absolute;left:7819;top:-3268;width:120;height:2818" coordorigin="7819,-3268" coordsize="120,2818" path="m7884,-3268l7872,-3268,7868,-3263,7869,-544,7873,-540,7884,-540,7889,-544,7888,-3258,7888,-3263,7884,-3268xe" filled="true" fillcolor="#000000" stroked="false">
                <v:path arrowok="t"/>
                <v:fill type="solid"/>
              </v:shape>
              <v:shape style="position:absolute;left:7819;top:-3268;width:120;height:2818" coordorigin="7819,-3268" coordsize="120,2818" path="m7939,-570l7889,-570,7889,-544,7884,-540,7924,-540,7939,-570xe" filled="true" fillcolor="#000000" stroked="false">
                <v:path arrowok="t"/>
                <v:fill type="solid"/>
              </v:shape>
            </v:group>
            <v:group style="position:absolute;left:7077;top:-3259;width:800;height:2" coordorigin="7077,-3259" coordsize="800,2">
              <v:shape style="position:absolute;left:7077;top:-3259;width:800;height:2" coordorigin="7077,-3259" coordsize="800,1" path="m7077,-3259l7877,-3258e" filled="false" stroked="true" strokeweight=".75pt" strokecolor="#000000">
                <v:path arrowok="t"/>
              </v:shape>
            </v:group>
            <v:group style="position:absolute;left:7077;top:-2010;width:800;height:2" coordorigin="7077,-2010" coordsize="800,2">
              <v:shape style="position:absolute;left:7077;top:-2010;width:800;height:2" coordorigin="7077,-2010" coordsize="800,1" path="m7077,-2010l7877,-2009e" filled="false" stroked="true" strokeweight=".75pt" strokecolor="#000000">
                <v:path arrowok="t"/>
              </v:shape>
            </v:group>
            <v:group style="position:absolute;left:5878;top:-1698;width:1198;height:467" coordorigin="5878,-1698" coordsize="1198,467">
              <v:shape style="position:absolute;left:5878;top:-1698;width:1198;height:467" coordorigin="5878,-1698" coordsize="1198,467" path="m5878,-1231l7076,-1231,7076,-1698,5878,-1698,5878,-1231xe" filled="false" stroked="true" strokeweight=".75pt" strokecolor="#000000">
                <v:path arrowok="t"/>
              </v:shape>
            </v:group>
            <v:group style="position:absolute;left:7078;top:-1386;width:800;height:2" coordorigin="7078,-1386" coordsize="800,2">
              <v:shape style="position:absolute;left:7078;top:-1386;width:800;height:2" coordorigin="7078,-1386" coordsize="800,0" path="m7078,-1386l7878,-1386e" filled="false" stroked="true" strokeweight=".75pt" strokecolor="#000000">
                <v:path arrowok="t"/>
              </v:shape>
            </v:group>
            <v:group style="position:absolute;left:5878;top:-1074;width:1198;height:467" coordorigin="5878,-1074" coordsize="1198,467">
              <v:shape style="position:absolute;left:5878;top:-1074;width:1198;height:467" coordorigin="5878,-1074" coordsize="1198,467" path="m5878,-607l7076,-607,7076,-1074,5878,-1074,5878,-607xe" filled="false" stroked="true" strokeweight=".75pt" strokecolor="#000000">
                <v:path arrowok="t"/>
              </v:shape>
            </v:group>
            <v:group style="position:absolute;left:7078;top:-762;width:800;height:2" coordorigin="7078,-762" coordsize="800,2">
              <v:shape style="position:absolute;left:7078;top:-762;width:800;height:2" coordorigin="7078,-762" coordsize="800,0" path="m7078,-762l7878,-762e" filled="false" stroked="true" strokeweight=".75pt" strokecolor="#000000">
                <v:path arrowok="t"/>
              </v:shape>
              <v:shape style="position:absolute;left:5878;top:-3570;width:1199;height:468" type="#_x0000_t202" filled="false" stroked="false">
                <v:textbox inset="0,0,0,0">
                  <w:txbxContent>
                    <w:p>
                      <w:pPr>
                        <w:spacing w:before="40"/>
                        <w:ind w:left="241" w:right="0" w:firstLine="0"/>
                        <w:jc w:val="left"/>
                        <w:rPr>
                          <w:rFonts w:ascii="宋体" w:hAnsi="宋体" w:cs="宋体" w:eastAsia="宋体" w:hint="default"/>
                          <w:sz w:val="24"/>
                          <w:szCs w:val="24"/>
                        </w:rPr>
                      </w:pPr>
                      <w:r>
                        <w:rPr>
                          <w:rFonts w:ascii="宋体" w:hAnsi="宋体" w:cs="宋体" w:eastAsia="宋体" w:hint="default"/>
                          <w:sz w:val="24"/>
                          <w:szCs w:val="24"/>
                        </w:rPr>
                        <w:t>郭玉梅</w:t>
                      </w:r>
                    </w:p>
                  </w:txbxContent>
                </v:textbox>
                <w10:wrap type="none"/>
              </v:shape>
              <v:shape style="position:absolute;left:5878;top:-2322;width:1198;height:467" type="#_x0000_t202" filled="false" stroked="false">
                <v:textbox inset="0,0,0,0">
                  <w:txbxContent>
                    <w:p>
                      <w:pPr>
                        <w:spacing w:before="41"/>
                        <w:ind w:left="241" w:right="0" w:firstLine="0"/>
                        <w:jc w:val="left"/>
                        <w:rPr>
                          <w:rFonts w:ascii="宋体" w:hAnsi="宋体" w:cs="宋体" w:eastAsia="宋体" w:hint="default"/>
                          <w:sz w:val="24"/>
                          <w:szCs w:val="24"/>
                        </w:rPr>
                      </w:pPr>
                      <w:r>
                        <w:rPr>
                          <w:rFonts w:ascii="宋体" w:hAnsi="宋体" w:cs="宋体" w:eastAsia="宋体" w:hint="default"/>
                          <w:sz w:val="24"/>
                          <w:szCs w:val="24"/>
                        </w:rPr>
                        <w:t>陈竹桂</w:t>
                      </w:r>
                    </w:p>
                  </w:txbxContent>
                </v:textbox>
                <w10:wrap type="none"/>
              </v:shape>
              <v:shape style="position:absolute;left:5878;top:-1698;width:1198;height:467" type="#_x0000_t202" filled="false" stroked="false">
                <v:textbox inset="0,0,0,0">
                  <w:txbxContent>
                    <w:p>
                      <w:pPr>
                        <w:spacing w:before="41"/>
                        <w:ind w:left="241" w:right="0" w:firstLine="0"/>
                        <w:jc w:val="left"/>
                        <w:rPr>
                          <w:rFonts w:ascii="宋体" w:hAnsi="宋体" w:cs="宋体" w:eastAsia="宋体" w:hint="default"/>
                          <w:sz w:val="24"/>
                          <w:szCs w:val="24"/>
                        </w:rPr>
                      </w:pPr>
                      <w:r>
                        <w:rPr>
                          <w:rFonts w:ascii="宋体" w:hAnsi="宋体" w:cs="宋体" w:eastAsia="宋体" w:hint="default"/>
                          <w:sz w:val="24"/>
                          <w:szCs w:val="24"/>
                        </w:rPr>
                        <w:t>薛荣文</w:t>
                      </w:r>
                    </w:p>
                  </w:txbxContent>
                </v:textbox>
                <w10:wrap type="none"/>
              </v:shape>
              <v:shape style="position:absolute;left:5878;top:-1074;width:1198;height:467" type="#_x0000_t202" filled="false" stroked="false">
                <v:textbox inset="0,0,0,0">
                  <w:txbxContent>
                    <w:p>
                      <w:pPr>
                        <w:spacing w:before="41"/>
                        <w:ind w:left="241" w:right="0" w:firstLine="0"/>
                        <w:jc w:val="left"/>
                        <w:rPr>
                          <w:rFonts w:ascii="宋体" w:hAnsi="宋体" w:cs="宋体" w:eastAsia="宋体" w:hint="default"/>
                          <w:sz w:val="24"/>
                          <w:szCs w:val="24"/>
                        </w:rPr>
                      </w:pPr>
                      <w:r>
                        <w:rPr>
                          <w:rFonts w:ascii="宋体" w:hAnsi="宋体" w:cs="宋体" w:eastAsia="宋体" w:hint="default"/>
                          <w:sz w:val="24"/>
                          <w:szCs w:val="24"/>
                        </w:rPr>
                        <w:t>薛向辉</w:t>
                      </w:r>
                    </w:p>
                  </w:txbxContent>
                </v:textbox>
                <w10:wrap type="none"/>
              </v:shape>
              <v:shape style="position:absolute;left:7223;top:-3448;width:418;height:240" type="#_x0000_t202" filled="false" stroked="false">
                <v:textbox inset="0,0,0,0">
                  <w:txbxContent>
                    <w:p>
                      <w:pPr>
                        <w:spacing w:line="240" w:lineRule="exact" w:before="0"/>
                        <w:ind w:left="0" w:right="0" w:firstLine="0"/>
                        <w:jc w:val="left"/>
                        <w:rPr>
                          <w:rFonts w:ascii="Calibri" w:hAnsi="Calibri" w:cs="Calibri" w:eastAsia="Calibri" w:hint="default"/>
                          <w:sz w:val="24"/>
                          <w:szCs w:val="24"/>
                        </w:rPr>
                      </w:pPr>
                      <w:r>
                        <w:rPr>
                          <w:rFonts w:ascii="Calibri"/>
                          <w:sz w:val="24"/>
                        </w:rPr>
                        <w:t>40%</w:t>
                      </w:r>
                    </w:p>
                  </w:txbxContent>
                </v:textbox>
                <w10:wrap type="none"/>
              </v:shape>
              <v:shape style="position:absolute;left:7223;top:-2200;width:417;height:1488" type="#_x0000_t202" filled="false" stroked="false">
                <v:textbox inset="0,0,0,0">
                  <w:txbxContent>
                    <w:p>
                      <w:pPr>
                        <w:spacing w:line="244" w:lineRule="exact" w:before="0"/>
                        <w:ind w:left="0" w:right="0" w:firstLine="0"/>
                        <w:jc w:val="left"/>
                        <w:rPr>
                          <w:rFonts w:ascii="Calibri" w:hAnsi="Calibri" w:cs="Calibri" w:eastAsia="Calibri" w:hint="default"/>
                          <w:sz w:val="24"/>
                          <w:szCs w:val="24"/>
                        </w:rPr>
                      </w:pPr>
                      <w:r>
                        <w:rPr>
                          <w:rFonts w:ascii="Calibri"/>
                          <w:sz w:val="24"/>
                        </w:rPr>
                        <w:t>20%</w:t>
                      </w:r>
                    </w:p>
                    <w:p>
                      <w:pPr>
                        <w:spacing w:line="240" w:lineRule="auto" w:before="4"/>
                        <w:rPr>
                          <w:rFonts w:ascii="宋体" w:hAnsi="宋体" w:cs="宋体" w:eastAsia="宋体" w:hint="default"/>
                          <w:sz w:val="25"/>
                          <w:szCs w:val="25"/>
                        </w:rPr>
                      </w:pPr>
                    </w:p>
                    <w:p>
                      <w:pPr>
                        <w:spacing w:before="0"/>
                        <w:ind w:left="0" w:right="0" w:firstLine="0"/>
                        <w:jc w:val="left"/>
                        <w:rPr>
                          <w:rFonts w:ascii="Calibri" w:hAnsi="Calibri" w:cs="Calibri" w:eastAsia="Calibri" w:hint="default"/>
                          <w:sz w:val="24"/>
                          <w:szCs w:val="24"/>
                        </w:rPr>
                      </w:pPr>
                      <w:r>
                        <w:rPr>
                          <w:rFonts w:ascii="Calibri"/>
                          <w:sz w:val="24"/>
                        </w:rPr>
                        <w:t>14%</w:t>
                      </w:r>
                    </w:p>
                    <w:p>
                      <w:pPr>
                        <w:spacing w:line="240" w:lineRule="auto" w:before="4"/>
                        <w:rPr>
                          <w:rFonts w:ascii="宋体" w:hAnsi="宋体" w:cs="宋体" w:eastAsia="宋体" w:hint="default"/>
                          <w:sz w:val="25"/>
                          <w:szCs w:val="25"/>
                        </w:rPr>
                      </w:pPr>
                    </w:p>
                    <w:p>
                      <w:pPr>
                        <w:spacing w:line="289" w:lineRule="exact" w:before="0"/>
                        <w:ind w:left="0" w:right="0" w:firstLine="0"/>
                        <w:jc w:val="left"/>
                        <w:rPr>
                          <w:rFonts w:ascii="Calibri" w:hAnsi="Calibri" w:cs="Calibri" w:eastAsia="Calibri" w:hint="default"/>
                          <w:sz w:val="24"/>
                          <w:szCs w:val="24"/>
                        </w:rPr>
                      </w:pPr>
                      <w:r>
                        <w:rPr>
                          <w:rFonts w:ascii="Calibri"/>
                          <w:sz w:val="24"/>
                        </w:rPr>
                        <w:t>1%</w:t>
                      </w:r>
                    </w:p>
                  </w:txbxContent>
                </v:textbox>
                <w10:wrap type="none"/>
              </v:shape>
              <v:shape style="position:absolute;left:5878;top:-450;width:2200;height:468" type="#_x0000_t202" filled="false" stroked="true" strokeweight=".75pt" strokecolor="#000000">
                <v:textbox inset="0,0,0,0">
                  <w:txbxContent>
                    <w:p>
                      <w:pPr>
                        <w:spacing w:before="33"/>
                        <w:ind w:left="615" w:right="0" w:firstLine="0"/>
                        <w:jc w:val="left"/>
                        <w:rPr>
                          <w:rFonts w:ascii="宋体" w:hAnsi="宋体" w:cs="宋体" w:eastAsia="宋体" w:hint="default"/>
                          <w:sz w:val="24"/>
                          <w:szCs w:val="24"/>
                        </w:rPr>
                      </w:pPr>
                      <w:r>
                        <w:rPr>
                          <w:rFonts w:ascii="宋体" w:hAnsi="宋体" w:cs="宋体" w:eastAsia="宋体" w:hint="default"/>
                          <w:sz w:val="24"/>
                          <w:szCs w:val="24"/>
                        </w:rPr>
                        <w:t>诚信设备</w:t>
                      </w:r>
                    </w:p>
                  </w:txbxContent>
                </v:textbox>
                <w10:wrap type="none"/>
              </v:shape>
            </v:group>
            <w10:wrap type="none"/>
          </v:group>
        </w:pict>
      </w:r>
      <w:r>
        <w:rPr/>
        <w:pict>
          <v:group style="position:absolute;margin-left:413.524994pt;margin-top:-178.859222pt;width:104.6pt;height:179.8pt;mso-position-horizontal-relative:page;mso-position-vertical-relative:paragraph;z-index:-864832" coordorigin="8270,-3577" coordsize="2092,3596">
            <v:group style="position:absolute;left:8278;top:-2946;width:1198;height:467" coordorigin="8278,-2946" coordsize="1198,467">
              <v:shape style="position:absolute;left:8278;top:-2946;width:1198;height:467" coordorigin="8278,-2946" coordsize="1198,467" path="m8278,-2479l9476,-2479,9476,-2946,8278,-2946,8278,-2479xe" filled="false" stroked="true" strokeweight=".75pt" strokecolor="#000000">
                <v:path arrowok="t"/>
              </v:shape>
            </v:group>
            <v:group style="position:absolute;left:8280;top:-3570;width:1198;height:467" coordorigin="8280,-3570" coordsize="1198,467">
              <v:shape style="position:absolute;left:8280;top:-3570;width:1198;height:467" coordorigin="8280,-3570" coordsize="1198,467" path="m8280,-3103l9478,-3103,9478,-3570,8280,-3570,8280,-3103xe" filled="false" stroked="true" strokeweight=".75pt" strokecolor="#000000">
                <v:path arrowok="t"/>
              </v:shape>
            </v:group>
            <v:group style="position:absolute;left:10219;top:-3268;width:120;height:2818" coordorigin="10219,-3268" coordsize="120,2818">
              <v:shape style="position:absolute;left:10219;top:-3268;width:120;height:2818" coordorigin="10219,-3268" coordsize="120,2818" path="m10269,-570l10219,-570,10279,-450,10324,-540,10273,-540,10269,-544,10269,-570xe" filled="true" fillcolor="#000000" stroked="false">
                <v:path arrowok="t"/>
                <v:fill type="solid"/>
              </v:shape>
              <v:shape style="position:absolute;left:10219;top:-3268;width:120;height:2818" coordorigin="10219,-3268" coordsize="120,2818" path="m10284,-3268l10272,-3268,10268,-3263,10269,-544,10273,-540,10284,-540,10289,-544,10288,-3258,10288,-3263,10284,-3268xe" filled="true" fillcolor="#000000" stroked="false">
                <v:path arrowok="t"/>
                <v:fill type="solid"/>
              </v:shape>
              <v:shape style="position:absolute;left:10219;top:-3268;width:120;height:2818" coordorigin="10219,-3268" coordsize="120,2818" path="m10339,-570l10289,-570,10289,-544,10284,-540,10324,-540,10339,-570xe" filled="true" fillcolor="#000000" stroked="false">
                <v:path arrowok="t"/>
                <v:fill type="solid"/>
              </v:shape>
            </v:group>
            <v:group style="position:absolute;left:9477;top:-3259;width:800;height:2" coordorigin="9477,-3259" coordsize="800,2">
              <v:shape style="position:absolute;left:9477;top:-3259;width:800;height:2" coordorigin="9477,-3259" coordsize="800,1" path="m9477,-3259l10277,-3258e" filled="false" stroked="true" strokeweight=".75pt" strokecolor="#000000">
                <v:path arrowok="t"/>
              </v:shape>
            </v:group>
            <v:group style="position:absolute;left:9477;top:-2634;width:800;height:2" coordorigin="9477,-2634" coordsize="800,2">
              <v:shape style="position:absolute;left:9477;top:-2634;width:800;height:2" coordorigin="9477,-2634" coordsize="800,1" path="m9477,-2634l10277,-2633e" filled="false" stroked="true" strokeweight=".75pt" strokecolor="#000000">
                <v:path arrowok="t"/>
              </v:shape>
            </v:group>
            <v:group style="position:absolute;left:8278;top:-2322;width:1198;height:467" coordorigin="8278,-2322" coordsize="1198,467">
              <v:shape style="position:absolute;left:8278;top:-2322;width:1198;height:467" coordorigin="8278,-2322" coordsize="1198,467" path="m8278,-1855l9476,-1855,9476,-2322,8278,-2322,8278,-1855xe" filled="false" stroked="true" strokeweight=".75pt" strokecolor="#000000">
                <v:path arrowok="t"/>
              </v:shape>
            </v:group>
            <v:group style="position:absolute;left:9477;top:-2010;width:800;height:2" coordorigin="9477,-2010" coordsize="800,2">
              <v:shape style="position:absolute;left:9477;top:-2010;width:800;height:2" coordorigin="9477,-2010" coordsize="800,1" path="m9477,-2010l10277,-2009e" filled="false" stroked="true" strokeweight=".75pt" strokecolor="#000000">
                <v:path arrowok="t"/>
              </v:shape>
              <v:shape style="position:absolute;left:8280;top:-3570;width:1198;height:467" type="#_x0000_t202" filled="false" stroked="false">
                <v:textbox inset="0,0,0,0">
                  <w:txbxContent>
                    <w:p>
                      <w:pPr>
                        <w:spacing w:before="40"/>
                        <w:ind w:left="239" w:right="0" w:firstLine="0"/>
                        <w:jc w:val="left"/>
                        <w:rPr>
                          <w:rFonts w:ascii="宋体" w:hAnsi="宋体" w:cs="宋体" w:eastAsia="宋体" w:hint="default"/>
                          <w:sz w:val="24"/>
                          <w:szCs w:val="24"/>
                        </w:rPr>
                      </w:pPr>
                      <w:r>
                        <w:rPr>
                          <w:rFonts w:ascii="宋体" w:hAnsi="宋体" w:cs="宋体" w:eastAsia="宋体" w:hint="default"/>
                          <w:sz w:val="24"/>
                          <w:szCs w:val="24"/>
                        </w:rPr>
                        <w:t>薛向辉</w:t>
                      </w:r>
                    </w:p>
                  </w:txbxContent>
                </v:textbox>
                <w10:wrap type="none"/>
              </v:shape>
              <v:shape style="position:absolute;left:8278;top:-2946;width:1198;height:467" type="#_x0000_t202" filled="false" stroked="false">
                <v:textbox inset="0,0,0,0">
                  <w:txbxContent>
                    <w:p>
                      <w:pPr>
                        <w:spacing w:before="41"/>
                        <w:ind w:left="241" w:right="0" w:firstLine="0"/>
                        <w:jc w:val="left"/>
                        <w:rPr>
                          <w:rFonts w:ascii="宋体" w:hAnsi="宋体" w:cs="宋体" w:eastAsia="宋体" w:hint="default"/>
                          <w:sz w:val="24"/>
                          <w:szCs w:val="24"/>
                        </w:rPr>
                      </w:pPr>
                      <w:r>
                        <w:rPr>
                          <w:rFonts w:ascii="宋体" w:hAnsi="宋体" w:cs="宋体" w:eastAsia="宋体" w:hint="default"/>
                          <w:sz w:val="24"/>
                          <w:szCs w:val="24"/>
                        </w:rPr>
                        <w:t>郭玉杰</w:t>
                      </w:r>
                    </w:p>
                  </w:txbxContent>
                </v:textbox>
                <w10:wrap type="none"/>
              </v:shape>
              <v:shape style="position:absolute;left:8278;top:-2322;width:1198;height:467" type="#_x0000_t202" filled="false" stroked="false">
                <v:textbox inset="0,0,0,0">
                  <w:txbxContent>
                    <w:p>
                      <w:pPr>
                        <w:spacing w:before="41"/>
                        <w:ind w:left="241" w:right="0" w:firstLine="0"/>
                        <w:jc w:val="left"/>
                        <w:rPr>
                          <w:rFonts w:ascii="宋体" w:hAnsi="宋体" w:cs="宋体" w:eastAsia="宋体" w:hint="default"/>
                          <w:sz w:val="24"/>
                          <w:szCs w:val="24"/>
                        </w:rPr>
                      </w:pPr>
                      <w:r>
                        <w:rPr>
                          <w:rFonts w:ascii="宋体" w:hAnsi="宋体" w:cs="宋体" w:eastAsia="宋体" w:hint="default"/>
                          <w:sz w:val="24"/>
                          <w:szCs w:val="24"/>
                        </w:rPr>
                        <w:t>邵会深</w:t>
                      </w:r>
                    </w:p>
                  </w:txbxContent>
                </v:textbox>
                <w10:wrap type="none"/>
              </v:shape>
              <v:shape style="position:absolute;left:8270;top:-3577;width:2069;height:3128" type="#_x0000_t202" filled="false" stroked="false">
                <v:textbox inset="0,0,0,0">
                  <w:txbxContent>
                    <w:p>
                      <w:pPr>
                        <w:spacing w:before="80"/>
                        <w:ind w:left="1285" w:right="0" w:firstLine="0"/>
                        <w:jc w:val="left"/>
                        <w:rPr>
                          <w:rFonts w:ascii="Calibri" w:hAnsi="Calibri" w:cs="Calibri" w:eastAsia="Calibri" w:hint="default"/>
                          <w:sz w:val="24"/>
                          <w:szCs w:val="24"/>
                        </w:rPr>
                      </w:pPr>
                      <w:r>
                        <w:rPr>
                          <w:rFonts w:ascii="Calibri"/>
                          <w:sz w:val="24"/>
                        </w:rPr>
                        <w:t>47%</w:t>
                      </w:r>
                    </w:p>
                    <w:p>
                      <w:pPr>
                        <w:spacing w:line="240" w:lineRule="auto" w:before="4"/>
                        <w:rPr>
                          <w:rFonts w:ascii="宋体" w:hAnsi="宋体" w:cs="宋体" w:eastAsia="宋体" w:hint="default"/>
                          <w:sz w:val="25"/>
                          <w:szCs w:val="25"/>
                        </w:rPr>
                      </w:pPr>
                    </w:p>
                    <w:p>
                      <w:pPr>
                        <w:spacing w:before="0"/>
                        <w:ind w:left="1353" w:right="0" w:firstLine="0"/>
                        <w:jc w:val="left"/>
                        <w:rPr>
                          <w:rFonts w:ascii="Calibri" w:hAnsi="Calibri" w:cs="Calibri" w:eastAsia="Calibri" w:hint="default"/>
                          <w:sz w:val="24"/>
                          <w:szCs w:val="24"/>
                        </w:rPr>
                      </w:pPr>
                      <w:r>
                        <w:rPr>
                          <w:rFonts w:ascii="Calibri"/>
                          <w:sz w:val="24"/>
                        </w:rPr>
                        <w:t>40%</w:t>
                      </w:r>
                    </w:p>
                    <w:p>
                      <w:pPr>
                        <w:spacing w:line="240" w:lineRule="auto" w:before="4"/>
                        <w:rPr>
                          <w:rFonts w:ascii="宋体" w:hAnsi="宋体" w:cs="宋体" w:eastAsia="宋体" w:hint="default"/>
                          <w:sz w:val="25"/>
                          <w:szCs w:val="25"/>
                        </w:rPr>
                      </w:pPr>
                    </w:p>
                    <w:p>
                      <w:pPr>
                        <w:spacing w:before="0"/>
                        <w:ind w:left="1353" w:right="0" w:firstLine="0"/>
                        <w:jc w:val="left"/>
                        <w:rPr>
                          <w:rFonts w:ascii="Calibri" w:hAnsi="Calibri" w:cs="Calibri" w:eastAsia="Calibri" w:hint="default"/>
                          <w:sz w:val="24"/>
                          <w:szCs w:val="24"/>
                        </w:rPr>
                      </w:pPr>
                      <w:r>
                        <w:rPr>
                          <w:rFonts w:ascii="Calibri"/>
                          <w:sz w:val="24"/>
                        </w:rPr>
                        <w:t>13%</w:t>
                      </w:r>
                    </w:p>
                  </w:txbxContent>
                </v:textbox>
                <w10:wrap type="none"/>
              </v:shape>
              <v:shape style="position:absolute;left:8278;top:-450;width:2084;height:468" type="#_x0000_t202" filled="false" stroked="true" strokeweight=".75pt" strokecolor="#000000">
                <v:textbox inset="0,0,0,0">
                  <w:txbxContent>
                    <w:p>
                      <w:pPr>
                        <w:spacing w:before="33"/>
                        <w:ind w:left="558" w:right="0" w:firstLine="0"/>
                        <w:jc w:val="left"/>
                        <w:rPr>
                          <w:rFonts w:ascii="宋体" w:hAnsi="宋体" w:cs="宋体" w:eastAsia="宋体" w:hint="default"/>
                          <w:sz w:val="24"/>
                          <w:szCs w:val="24"/>
                        </w:rPr>
                      </w:pPr>
                      <w:r>
                        <w:rPr>
                          <w:rFonts w:ascii="宋体" w:hAnsi="宋体" w:cs="宋体" w:eastAsia="宋体" w:hint="default"/>
                          <w:sz w:val="24"/>
                          <w:szCs w:val="24"/>
                        </w:rPr>
                        <w:t>合创投资</w:t>
                      </w:r>
                    </w:p>
                  </w:txbxContent>
                </v:textbox>
                <w10:wrap type="none"/>
              </v:shape>
            </v:group>
            <w10:wrap type="none"/>
          </v:group>
        </w:pict>
      </w:r>
      <w:r>
        <w:rPr/>
        <w:pict>
          <v:group style="position:absolute;margin-left:140.850006pt;margin-top:-155.584229pt;width:6pt;height:179.9pt;mso-position-horizontal-relative:page;mso-position-vertical-relative:paragraph;z-index:-864808" coordorigin="2817,-3112" coordsize="120,3598">
            <v:shape style="position:absolute;left:2817;top:-3112;width:120;height:3598" coordorigin="2817,-3112" coordsize="120,3598" path="m2867,366l2817,366,2877,486,2922,396,2871,396,2867,392,2867,366xe" filled="true" fillcolor="#000000" stroked="false">
              <v:path arrowok="t"/>
              <v:fill type="solid"/>
            </v:shape>
            <v:shape style="position:absolute;left:2817;top:-3112;width:120;height:3598" coordorigin="2817,-3112" coordsize="120,3598" path="m2883,-3112l2871,-3112,2867,-3107,2867,392,2871,396,2883,396,2887,392,2887,-3107,2883,-3112xe" filled="true" fillcolor="#000000" stroked="false">
              <v:path arrowok="t"/>
              <v:fill type="solid"/>
            </v:shape>
            <v:shape style="position:absolute;left:2817;top:-3112;width:120;height:3598" coordorigin="2817,-3112" coordsize="120,3598" path="m2937,366l2887,366,2887,392,2883,396,2922,396,2937,366xe" filled="true" fillcolor="#000000" stroked="false">
              <v:path arrowok="t"/>
              <v:fill type="solid"/>
            </v:shape>
            <w10:wrap type="none"/>
          </v:group>
        </w:pict>
      </w:r>
      <w:r>
        <w:rPr/>
        <w:pict>
          <v:group style="position:absolute;margin-left:220.889999pt;margin-top:.415771pt;width:6pt;height:23.9pt;mso-position-horizontal-relative:page;mso-position-vertical-relative:paragraph;z-index:-864784" coordorigin="4418,8" coordsize="120,478">
            <v:shape style="position:absolute;left:4418;top:8;width:120;height:478" coordorigin="4418,8" coordsize="120,478" path="m4468,366l4418,367,4478,486,4523,396,4472,396,4468,392,4468,366xe" filled="true" fillcolor="#000000" stroked="false">
              <v:path arrowok="t"/>
              <v:fill type="solid"/>
            </v:shape>
            <v:shape style="position:absolute;left:4418;top:8;width:120;height:478" coordorigin="4418,8" coordsize="120,478" path="m4488,366l4468,366,4468,392,4472,396,4483,396,4488,392,4488,366xe" filled="true" fillcolor="#000000" stroked="false">
              <v:path arrowok="t"/>
              <v:fill type="solid"/>
            </v:shape>
            <v:shape style="position:absolute;left:4418;top:8;width:120;height:478" coordorigin="4418,8" coordsize="120,478" path="m4538,366l4488,366,4488,392,4483,396,4523,396,4538,366xe" filled="true" fillcolor="#000000" stroked="false">
              <v:path arrowok="t"/>
              <v:fill type="solid"/>
            </v:shape>
            <v:shape style="position:absolute;left:4418;top:8;width:120;height:478" coordorigin="4418,8" coordsize="120,478" path="m4483,8l4471,8,4467,13,4468,366,4488,366,4487,18,4487,13,4483,8xe" filled="true" fillcolor="#000000" stroked="false">
              <v:path arrowok="t"/>
              <v:fill type="solid"/>
            </v:shape>
            <w10:wrap type="none"/>
          </v:group>
        </w:pict>
      </w:r>
      <w:r>
        <w:rPr>
          <w:rFonts w:ascii="Calibri"/>
        </w:rPr>
        <w:t>13.86%</w:t>
      </w:r>
    </w:p>
    <w:p>
      <w:pPr>
        <w:pStyle w:val="BodyText"/>
        <w:tabs>
          <w:tab w:pos="3239" w:val="left" w:leader="none"/>
          <w:tab w:pos="5640" w:val="left" w:leader="none"/>
        </w:tabs>
        <w:spacing w:line="240" w:lineRule="auto" w:before="92"/>
        <w:ind w:left="837" w:right="0"/>
        <w:jc w:val="left"/>
        <w:rPr>
          <w:rFonts w:ascii="Calibri" w:hAnsi="Calibri" w:cs="Calibri" w:eastAsia="Calibri" w:hint="default"/>
        </w:rPr>
      </w:pPr>
      <w:r>
        <w:rPr>
          <w:spacing w:val="-1"/>
        </w:rPr>
        <w:br w:type="column"/>
      </w:r>
      <w:r>
        <w:rPr>
          <w:rFonts w:ascii="Calibri"/>
          <w:spacing w:val="-1"/>
        </w:rPr>
        <w:t>23.04%</w:t>
        <w:tab/>
      </w:r>
      <w:r>
        <w:rPr>
          <w:rFonts w:ascii="Calibri"/>
        </w:rPr>
        <w:t>12.84%</w:t>
        <w:tab/>
      </w:r>
      <w:r>
        <w:rPr>
          <w:rFonts w:ascii="Calibri"/>
          <w:spacing w:val="-1"/>
        </w:rPr>
        <w:t>5.27%</w:t>
      </w:r>
    </w:p>
    <w:p>
      <w:pPr>
        <w:spacing w:after="0" w:line="240" w:lineRule="auto"/>
        <w:jc w:val="left"/>
        <w:rPr>
          <w:rFonts w:ascii="Calibri" w:hAnsi="Calibri" w:cs="Calibri" w:eastAsia="Calibri" w:hint="default"/>
        </w:rPr>
        <w:sectPr>
          <w:type w:val="continuous"/>
          <w:pgSz w:w="12240" w:h="15840"/>
          <w:pgMar w:top="1500" w:bottom="0" w:left="1500" w:right="0"/>
          <w:cols w:num="2" w:equalWidth="0">
            <w:col w:w="2244" w:space="40"/>
            <w:col w:w="8456"/>
          </w:cols>
        </w:sectPr>
      </w:pPr>
    </w:p>
    <w:p>
      <w:pPr>
        <w:spacing w:line="240" w:lineRule="auto" w:before="3"/>
        <w:rPr>
          <w:rFonts w:ascii="Calibri" w:hAnsi="Calibri" w:cs="Calibri" w:eastAsia="Calibri" w:hint="default"/>
          <w:sz w:val="8"/>
          <w:szCs w:val="8"/>
        </w:rPr>
      </w:pPr>
    </w:p>
    <w:p>
      <w:pPr>
        <w:spacing w:line="468" w:lineRule="exact"/>
        <w:ind w:left="777" w:right="0" w:firstLine="0"/>
        <w:rPr>
          <w:rFonts w:ascii="Calibri" w:hAnsi="Calibri" w:cs="Calibri" w:eastAsia="Calibri" w:hint="default"/>
          <w:sz w:val="20"/>
          <w:szCs w:val="20"/>
        </w:rPr>
      </w:pPr>
      <w:r>
        <w:rPr>
          <w:rFonts w:ascii="Calibri" w:hAnsi="Calibri" w:cs="Calibri" w:eastAsia="Calibri" w:hint="default"/>
          <w:position w:val="-8"/>
          <w:sz w:val="20"/>
          <w:szCs w:val="20"/>
        </w:rPr>
        <w:pict>
          <v:shape style="width:400.05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0" w:right="0"/>
                    <w:jc w:val="center"/>
                  </w:pPr>
                  <w:r>
                    <w:rPr/>
                    <w:t>东华软件股份公司</w:t>
                  </w:r>
                </w:p>
              </w:txbxContent>
            </v:textbox>
          </v:shape>
        </w:pict>
      </w:r>
      <w:r>
        <w:rPr>
          <w:rFonts w:ascii="Calibri" w:hAnsi="Calibri" w:cs="Calibri" w:eastAsia="Calibri" w:hint="default"/>
          <w:position w:val="-8"/>
          <w:sz w:val="20"/>
          <w:szCs w:val="20"/>
        </w:rPr>
      </w: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24"/>
          <w:szCs w:val="24"/>
        </w:rPr>
      </w:pPr>
    </w:p>
    <w:p>
      <w:pPr>
        <w:pStyle w:val="Heading3"/>
        <w:spacing w:line="240" w:lineRule="auto" w:before="19"/>
        <w:ind w:right="1697"/>
        <w:jc w:val="left"/>
        <w:rPr>
          <w:b w:val="0"/>
          <w:bCs w:val="0"/>
        </w:rPr>
      </w:pPr>
      <w:r>
        <w:rPr/>
        <w:pict>
          <v:group style="position:absolute;margin-left:340.940002pt;margin-top:-74.726402pt;width:6pt;height:23.9pt;mso-position-horizontal-relative:page;mso-position-vertical-relative:paragraph;z-index:-864760" coordorigin="6819,-1495" coordsize="120,478">
            <v:shape style="position:absolute;left:6819;top:-1495;width:120;height:478" coordorigin="6819,-1495" coordsize="120,478" path="m6869,-1136l6819,-1136,6879,-1017,6924,-1107,6873,-1107,6869,-1111,6869,-1136xe" filled="true" fillcolor="#000000" stroked="false">
              <v:path arrowok="t"/>
              <v:fill type="solid"/>
            </v:shape>
            <v:shape style="position:absolute;left:6819;top:-1495;width:120;height:478" coordorigin="6819,-1495" coordsize="120,478" path="m6889,-1137l6869,-1136,6869,-1111,6873,-1107,6884,-1107,6889,-1111,6889,-1137xe" filled="true" fillcolor="#000000" stroked="false">
              <v:path arrowok="t"/>
              <v:fill type="solid"/>
            </v:shape>
            <v:shape style="position:absolute;left:6819;top:-1495;width:120;height:478" coordorigin="6819,-1495" coordsize="120,478" path="m6939,-1137l6889,-1137,6889,-1111,6884,-1107,6924,-1107,6939,-1137xe" filled="true" fillcolor="#000000" stroked="false">
              <v:path arrowok="t"/>
              <v:fill type="solid"/>
            </v:shape>
            <v:shape style="position:absolute;left:6819;top:-1495;width:120;height:478" coordorigin="6819,-1495" coordsize="120,478" path="m6884,-1495l6872,-1495,6868,-1490,6869,-1136,6889,-1137,6888,-1485,6888,-1490,6884,-1495xe" filled="true" fillcolor="#000000" stroked="false">
              <v:path arrowok="t"/>
              <v:fill type="solid"/>
            </v:shape>
            <w10:wrap type="none"/>
          </v:group>
        </w:pict>
      </w:r>
      <w:r>
        <w:rPr/>
        <w:pict>
          <v:group style="position:absolute;margin-left:460.890015pt;margin-top:-74.726402pt;width:6pt;height:23.9pt;mso-position-horizontal-relative:page;mso-position-vertical-relative:paragraph;z-index:-864736" coordorigin="9218,-1495" coordsize="120,478">
            <v:shape style="position:absolute;left:9218;top:-1495;width:120;height:478" coordorigin="9218,-1495" coordsize="120,478" path="m9268,-1136l9218,-1136,9278,-1017,9323,-1107,9272,-1107,9268,-1111,9268,-1136xe" filled="true" fillcolor="#000000" stroked="false">
              <v:path arrowok="t"/>
              <v:fill type="solid"/>
            </v:shape>
            <v:shape style="position:absolute;left:9218;top:-1495;width:120;height:478" coordorigin="9218,-1495" coordsize="120,478" path="m9288,-1137l9268,-1136,9268,-1111,9272,-1107,9283,-1107,9288,-1111,9288,-1137xe" filled="true" fillcolor="#000000" stroked="false">
              <v:path arrowok="t"/>
              <v:fill type="solid"/>
            </v:shape>
            <v:shape style="position:absolute;left:9218;top:-1495;width:120;height:478" coordorigin="9218,-1495" coordsize="120,478" path="m9338,-1137l9288,-1137,9288,-1111,9283,-1107,9323,-1107,9338,-1137xe" filled="true" fillcolor="#000000" stroked="false">
              <v:path arrowok="t"/>
              <v:fill type="solid"/>
            </v:shape>
            <v:shape style="position:absolute;left:9218;top:-1495;width:120;height:478" coordorigin="9218,-1495" coordsize="120,478" path="m9283,-1495l9271,-1495,9267,-1490,9268,-1136,9288,-1137,9287,-1485,9287,-1490,9283,-1495xe" filled="true" fillcolor="#000000" stroked="false">
              <v:path arrowok="t"/>
              <v:fill type="solid"/>
            </v:shape>
            <w10:wrap type="none"/>
          </v:group>
        </w:pict>
      </w:r>
      <w:r>
        <w:rPr/>
        <w:t>（四）其他持股</w:t>
      </w:r>
      <w:r>
        <w:rPr>
          <w:rFonts w:ascii="Calibri" w:hAnsi="Calibri" w:cs="Calibri" w:eastAsia="Calibri" w:hint="default"/>
        </w:rPr>
        <w:t>10</w:t>
      </w:r>
      <w:r>
        <w:rPr/>
        <w:t>％以上（含</w:t>
      </w:r>
      <w:r>
        <w:rPr>
          <w:rFonts w:ascii="Calibri" w:hAnsi="Calibri" w:cs="Calibri" w:eastAsia="Calibri" w:hint="default"/>
        </w:rPr>
        <w:t>10</w:t>
      </w:r>
      <w:r>
        <w:rPr/>
        <w:t>％）的法人股股东情况</w:t>
      </w:r>
      <w:r>
        <w:rPr>
          <w:b w:val="0"/>
          <w:bCs w:val="0"/>
        </w:rPr>
      </w:r>
    </w:p>
    <w:p>
      <w:pPr>
        <w:pStyle w:val="BodyText"/>
        <w:spacing w:line="240" w:lineRule="auto" w:before="91"/>
        <w:ind w:left="624" w:right="1557"/>
        <w:jc w:val="left"/>
      </w:pPr>
      <w:r>
        <w:rPr/>
        <w:t>其他持股</w:t>
      </w:r>
      <w:r>
        <w:rPr>
          <w:spacing w:val="-79"/>
        </w:rPr>
        <w:t> </w:t>
      </w:r>
      <w:r>
        <w:rPr>
          <w:rFonts w:ascii="Calibri" w:hAnsi="Calibri" w:cs="Calibri" w:eastAsia="Calibri" w:hint="default"/>
          <w:spacing w:val="-3"/>
        </w:rPr>
        <w:t>10</w:t>
      </w:r>
      <w:r>
        <w:rPr>
          <w:spacing w:val="-3"/>
        </w:rPr>
        <w:t>％以上（含</w:t>
      </w:r>
      <w:r>
        <w:rPr>
          <w:spacing w:val="-79"/>
        </w:rPr>
        <w:t> </w:t>
      </w:r>
      <w:r>
        <w:rPr>
          <w:rFonts w:ascii="Calibri" w:hAnsi="Calibri" w:cs="Calibri" w:eastAsia="Calibri" w:hint="default"/>
        </w:rPr>
        <w:t>10</w:t>
      </w:r>
      <w:r>
        <w:rPr/>
        <w:t>％）的法人股股东名称：北京东华诚信工业设备有限公</w:t>
      </w:r>
    </w:p>
    <w:p>
      <w:pPr>
        <w:pStyle w:val="BodyText"/>
        <w:spacing w:line="240" w:lineRule="auto" w:before="121"/>
        <w:ind w:right="1697"/>
        <w:jc w:val="left"/>
      </w:pPr>
      <w:r>
        <w:rPr/>
        <w:t>司</w:t>
      </w:r>
    </w:p>
    <w:p>
      <w:pPr>
        <w:spacing w:line="240" w:lineRule="auto" w:before="12"/>
        <w:rPr>
          <w:rFonts w:ascii="宋体" w:hAnsi="宋体" w:cs="宋体" w:eastAsia="宋体" w:hint="default"/>
          <w:sz w:val="18"/>
          <w:szCs w:val="18"/>
        </w:rPr>
      </w:pPr>
    </w:p>
    <w:p>
      <w:pPr>
        <w:pStyle w:val="BodyText"/>
        <w:spacing w:line="429" w:lineRule="auto" w:before="26"/>
        <w:ind w:left="624" w:right="7027"/>
        <w:jc w:val="left"/>
      </w:pPr>
      <w:r>
        <w:rPr/>
        <w:t>法定代表人：郭玉梅 成立日期：</w:t>
      </w:r>
      <w:r>
        <w:rPr>
          <w:rFonts w:ascii="Calibri" w:hAnsi="Calibri" w:cs="Calibri" w:eastAsia="Calibri" w:hint="default"/>
        </w:rPr>
        <w:t>2000</w:t>
      </w:r>
      <w:r>
        <w:rPr>
          <w:rFonts w:ascii="Calibri" w:hAnsi="Calibri" w:cs="Calibri" w:eastAsia="Calibri" w:hint="default"/>
          <w:spacing w:val="7"/>
        </w:rPr>
        <w:t> </w:t>
      </w:r>
      <w:r>
        <w:rPr/>
        <w:t>年</w:t>
      </w:r>
      <w:r>
        <w:rPr>
          <w:spacing w:val="-63"/>
        </w:rPr>
        <w:t> </w:t>
      </w:r>
      <w:r>
        <w:rPr>
          <w:rFonts w:ascii="Calibri" w:hAnsi="Calibri" w:cs="Calibri" w:eastAsia="Calibri" w:hint="default"/>
        </w:rPr>
        <w:t>9</w:t>
      </w:r>
      <w:r>
        <w:rPr>
          <w:rFonts w:ascii="Calibri" w:hAnsi="Calibri" w:cs="Calibri" w:eastAsia="Calibri" w:hint="default"/>
          <w:spacing w:val="4"/>
        </w:rPr>
        <w:t> </w:t>
      </w:r>
      <w:r>
        <w:rPr/>
        <w:t>月</w:t>
      </w:r>
      <w:r>
        <w:rPr>
          <w:spacing w:val="-60"/>
        </w:rPr>
        <w:t> </w:t>
      </w:r>
      <w:r>
        <w:rPr>
          <w:rFonts w:ascii="Calibri" w:hAnsi="Calibri" w:cs="Calibri" w:eastAsia="Calibri" w:hint="default"/>
        </w:rPr>
        <w:t>11</w:t>
      </w:r>
      <w:r>
        <w:rPr>
          <w:rFonts w:ascii="Calibri" w:hAnsi="Calibri" w:cs="Calibri" w:eastAsia="Calibri" w:hint="default"/>
          <w:spacing w:val="6"/>
        </w:rPr>
        <w:t> </w:t>
      </w:r>
      <w:r>
        <w:rPr/>
        <w:t>日 注册资本：</w:t>
      </w:r>
      <w:r>
        <w:rPr>
          <w:rFonts w:ascii="Calibri" w:hAnsi="Calibri" w:cs="Calibri" w:eastAsia="Calibri" w:hint="default"/>
        </w:rPr>
        <w:t>1,500</w:t>
      </w:r>
      <w:r>
        <w:rPr>
          <w:rFonts w:ascii="Calibri" w:hAnsi="Calibri" w:cs="Calibri" w:eastAsia="Calibri" w:hint="default"/>
          <w:spacing w:val="9"/>
        </w:rPr>
        <w:t> </w:t>
      </w:r>
      <w:r>
        <w:rPr/>
        <w:t>万元</w:t>
      </w:r>
    </w:p>
    <w:p>
      <w:pPr>
        <w:pStyle w:val="BodyText"/>
        <w:spacing w:line="357" w:lineRule="auto" w:before="9"/>
        <w:ind w:right="1714" w:firstLine="479"/>
        <w:jc w:val="both"/>
      </w:pPr>
      <w:r>
        <w:rPr/>
        <w:t>主要经营业务：经营本企业和成员企业自产产品及相关技术的出口业务：经营本 企业和本企业成员企业生产、科研所需的原辅材料、机械设备、仪器仪表、零配件及 技术的进口业务（国家限定公司经营或者禁止出口的商品除外）；经营本企业的进料</w:t>
      </w:r>
    </w:p>
    <w:p>
      <w:pPr>
        <w:spacing w:after="0" w:line="357" w:lineRule="auto"/>
        <w:jc w:val="both"/>
        <w:sectPr>
          <w:type w:val="continuous"/>
          <w:pgSz w:w="12240" w:h="15840"/>
          <w:pgMar w:top="1500" w:bottom="0" w:left="1500" w:right="0"/>
        </w:sectPr>
      </w:pPr>
    </w:p>
    <w:p>
      <w:pPr>
        <w:pStyle w:val="BodyText"/>
        <w:spacing w:line="345" w:lineRule="auto" w:before="11"/>
        <w:ind w:left="484" w:right="1713"/>
        <w:jc w:val="both"/>
      </w:pPr>
      <w:r>
        <w:rPr/>
        <w:pict>
          <v:group style="position:absolute;margin-left:80.783997pt;margin-top:1.845647pt;width:450.6pt;height:.1pt;mso-position-horizontal-relative:page;mso-position-vertical-relative:paragraph;z-index:-864688" coordorigin="1616,37" coordsize="9012,2">
            <v:shape style="position:absolute;left:1616;top:37;width:9012;height:2" coordorigin="1616,37" coordsize="9012,0" path="m1616,37l10627,37e" filled="false" stroked="true" strokeweight=".71999pt" strokecolor="#000000">
              <v:path arrowok="t"/>
            </v:shape>
            <w10:wrap type="none"/>
          </v:group>
        </w:pict>
      </w:r>
      <w:r>
        <w:rPr/>
        <w:t>加工和</w:t>
      </w:r>
      <w:r>
        <w:rPr>
          <w:rFonts w:ascii="Calibri" w:hAnsi="Calibri" w:cs="Calibri" w:eastAsia="Calibri" w:hint="default"/>
        </w:rPr>
        <w:t>“</w:t>
      </w:r>
      <w:r>
        <w:rPr/>
        <w:t>三来一补</w:t>
      </w:r>
      <w:r>
        <w:rPr>
          <w:rFonts w:ascii="Calibri" w:hAnsi="Calibri" w:cs="Calibri" w:eastAsia="Calibri" w:hint="default"/>
        </w:rPr>
        <w:t>”</w:t>
      </w:r>
      <w:r>
        <w:rPr/>
        <w:t>业务；法律、行政法规、国务院决定禁止的，不得经营；法律、行 政法规、国务院决定规定应经许可的，经审批机关批准并经工商行政管理机关登记注 册后方可经营；法律、行政法规、国务院决定规定许可的自主选择经营项目展开经营 活动。</w:t>
      </w:r>
    </w:p>
    <w:p>
      <w:pPr>
        <w:spacing w:line="240" w:lineRule="auto" w:before="0"/>
        <w:rPr>
          <w:rFonts w:ascii="宋体" w:hAnsi="宋体" w:cs="宋体" w:eastAsia="宋体" w:hint="default"/>
          <w:sz w:val="24"/>
          <w:szCs w:val="24"/>
        </w:rPr>
      </w:pPr>
    </w:p>
    <w:p>
      <w:pPr>
        <w:pStyle w:val="Heading1"/>
        <w:spacing w:line="240" w:lineRule="auto" w:before="200"/>
        <w:ind w:left="1667" w:right="0"/>
        <w:jc w:val="left"/>
        <w:rPr>
          <w:b w:val="0"/>
          <w:bCs w:val="0"/>
        </w:rPr>
      </w:pPr>
      <w:bookmarkStart w:name="_TOC_250008" w:id="5"/>
      <w:r>
        <w:rPr/>
        <w:t>第五节</w:t>
      </w:r>
      <w:r>
        <w:rPr>
          <w:spacing w:val="-8"/>
        </w:rPr>
        <w:t> </w:t>
      </w:r>
      <w:r>
        <w:rPr/>
        <w:t>董事、监事、高级管理人员和员工情况</w:t>
      </w:r>
      <w:bookmarkEnd w:id="5"/>
      <w:r>
        <w:rPr>
          <w:b w:val="0"/>
          <w:bCs w:val="0"/>
        </w:rPr>
      </w:r>
    </w:p>
    <w:p>
      <w:pPr>
        <w:spacing w:line="240" w:lineRule="auto" w:before="13"/>
        <w:rPr>
          <w:rFonts w:ascii="黑体" w:hAnsi="黑体" w:cs="黑体" w:eastAsia="黑体" w:hint="default"/>
          <w:b/>
          <w:bCs/>
          <w:sz w:val="39"/>
          <w:szCs w:val="39"/>
        </w:rPr>
      </w:pPr>
    </w:p>
    <w:p>
      <w:pPr>
        <w:pStyle w:val="Heading2"/>
        <w:spacing w:line="240" w:lineRule="auto"/>
        <w:ind w:left="484" w:right="0"/>
        <w:jc w:val="both"/>
        <w:rPr>
          <w:b w:val="0"/>
          <w:bCs w:val="0"/>
        </w:rPr>
      </w:pPr>
      <w:r>
        <w:rPr/>
        <w:t>一、公司董事、监事和高级管理人员情况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484" w:right="0"/>
        <w:jc w:val="both"/>
        <w:rPr>
          <w:b w:val="0"/>
          <w:bCs w:val="0"/>
        </w:rPr>
      </w:pPr>
      <w:r>
        <w:rPr/>
        <w:t>（一）基本情况</w:t>
      </w:r>
      <w:r>
        <w:rPr>
          <w:b w:val="0"/>
          <w:bCs w:val="0"/>
        </w:rPr>
      </w:r>
    </w:p>
    <w:p>
      <w:pPr>
        <w:spacing w:line="240" w:lineRule="auto" w:before="6"/>
        <w:rPr>
          <w:rFonts w:ascii="黑体" w:hAnsi="黑体" w:cs="黑体" w:eastAsia="黑体" w:hint="default"/>
          <w:b/>
          <w:bCs/>
          <w:sz w:val="12"/>
          <w:szCs w:val="12"/>
        </w:rPr>
      </w:pPr>
    </w:p>
    <w:tbl>
      <w:tblPr>
        <w:tblW w:w="0" w:type="auto"/>
        <w:jc w:val="left"/>
        <w:tblInd w:w="114" w:type="dxa"/>
        <w:tblLayout w:type="fixed"/>
        <w:tblCellMar>
          <w:top w:w="0" w:type="dxa"/>
          <w:left w:w="0" w:type="dxa"/>
          <w:bottom w:w="0" w:type="dxa"/>
          <w:right w:w="0" w:type="dxa"/>
        </w:tblCellMar>
        <w:tblLook w:val="01E0"/>
      </w:tblPr>
      <w:tblGrid>
        <w:gridCol w:w="744"/>
        <w:gridCol w:w="1272"/>
        <w:gridCol w:w="560"/>
        <w:gridCol w:w="562"/>
        <w:gridCol w:w="1551"/>
        <w:gridCol w:w="1642"/>
        <w:gridCol w:w="1085"/>
        <w:gridCol w:w="1289"/>
        <w:gridCol w:w="980"/>
      </w:tblGrid>
      <w:tr>
        <w:trPr>
          <w:trHeight w:val="370" w:hRule="exact"/>
        </w:trPr>
        <w:tc>
          <w:tcPr>
            <w:tcW w:w="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87"/>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89"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61,290,605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73,548,727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884,443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1,061,331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夏金崇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398,014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477,617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李建国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459,951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551,942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tc>
      </w:tr>
      <w:tr>
        <w:trPr>
          <w:trHeight w:val="47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董事、董事会秘</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书、财务总监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Calibri" w:hAnsi="Calibri" w:cs="Calibri" w:eastAsia="Calibri" w:hint="default"/>
                <w:sz w:val="18"/>
                <w:szCs w:val="18"/>
              </w:rPr>
            </w:pPr>
            <w:r>
              <w:rPr>
                <w:rFonts w:ascii="Calibri"/>
                <w:sz w:val="18"/>
              </w:rPr>
              <w:t>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Calibri" w:hAnsi="Calibri" w:cs="Calibri" w:eastAsia="Calibri" w:hint="default"/>
                <w:sz w:val="18"/>
                <w:szCs w:val="18"/>
              </w:rPr>
            </w:pPr>
            <w:r>
              <w:rPr>
                <w:rFonts w:ascii="Calibri"/>
                <w:sz w:val="18"/>
              </w:rPr>
              <w:t>132,698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Calibri" w:hAnsi="Calibri" w:cs="Calibri" w:eastAsia="Calibri" w:hint="default"/>
                <w:sz w:val="18"/>
                <w:szCs w:val="18"/>
              </w:rPr>
            </w:pPr>
            <w:r>
              <w:rPr>
                <w:rFonts w:ascii="Calibri"/>
                <w:sz w:val="18"/>
              </w:rPr>
              <w:t>119,428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市场交易</w:t>
            </w: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郑晓清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甄秀欣</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蒋 </w:t>
            </w:r>
            <w:r>
              <w:rPr>
                <w:rFonts w:ascii="宋体" w:hAnsi="宋体" w:cs="宋体" w:eastAsia="宋体" w:hint="default"/>
                <w:spacing w:val="2"/>
                <w:sz w:val="18"/>
                <w:szCs w:val="18"/>
              </w:rPr>
              <w:t> </w:t>
            </w:r>
            <w:r>
              <w:rPr>
                <w:rFonts w:ascii="宋体" w:hAnsi="宋体" w:cs="宋体" w:eastAsia="宋体" w:hint="default"/>
                <w:sz w:val="18"/>
                <w:szCs w:val="18"/>
              </w:rPr>
              <w:t>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郭庆旺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淼</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54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张守文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苏根继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蒋恕慧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郭玉杰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19,576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23,491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股利分配</w:t>
            </w: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高书敬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黄杏国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林文平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刘志华</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42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8"/>
                <w:szCs w:val="18"/>
              </w:rPr>
            </w:pPr>
            <w:r>
              <w:rPr>
                <w:rFonts w:ascii="Calibri"/>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18"/>
                <w:szCs w:val="18"/>
              </w:rPr>
            </w:pPr>
            <w:r>
              <w:rPr>
                <w:rFonts w:ascii="Calibri"/>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18"/>
                <w:szCs w:val="18"/>
              </w:rPr>
            </w:pPr>
            <w:r>
              <w:rPr>
                <w:rFonts w:ascii="Calibri"/>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18"/>
                <w:szCs w:val="18"/>
              </w:rPr>
            </w:pPr>
            <w:r>
              <w:rPr>
                <w:rFonts w:ascii="Calibri"/>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63,185,287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8"/>
                <w:szCs w:val="18"/>
              </w:rPr>
            </w:pPr>
            <w:r>
              <w:rPr>
                <w:rFonts w:ascii="Calibri"/>
                <w:sz w:val="18"/>
              </w:rPr>
              <w:t>75,782,536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w:t>
            </w:r>
          </w:p>
        </w:tc>
      </w:tr>
    </w:tbl>
    <w:p>
      <w:pPr>
        <w:spacing w:line="241" w:lineRule="exact" w:before="0"/>
        <w:ind w:left="904"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before="133"/>
        <w:ind w:left="904" w:right="0" w:firstLine="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pacing w:val="-2"/>
          <w:sz w:val="21"/>
          <w:szCs w:val="21"/>
        </w:rPr>
        <w:t>报告期内持股变动原因：公司</w:t>
      </w:r>
      <w:r>
        <w:rPr>
          <w:rFonts w:ascii="Calibri" w:hAnsi="Calibri" w:cs="Calibri" w:eastAsia="Calibri" w:hint="default"/>
          <w:spacing w:val="-2"/>
          <w:sz w:val="21"/>
          <w:szCs w:val="21"/>
        </w:rPr>
        <w:t>2011</w:t>
      </w:r>
      <w:r>
        <w:rPr>
          <w:rFonts w:ascii="宋体" w:hAnsi="宋体" w:cs="宋体" w:eastAsia="宋体" w:hint="default"/>
          <w:spacing w:val="-2"/>
          <w:sz w:val="21"/>
          <w:szCs w:val="21"/>
        </w:rPr>
        <w:t>年</w:t>
      </w:r>
      <w:r>
        <w:rPr>
          <w:rFonts w:ascii="Calibri" w:hAnsi="Calibri" w:cs="Calibri" w:eastAsia="Calibri" w:hint="default"/>
          <w:spacing w:val="-2"/>
          <w:sz w:val="21"/>
          <w:szCs w:val="21"/>
        </w:rPr>
        <w:t>7</w:t>
      </w:r>
      <w:r>
        <w:rPr>
          <w:rFonts w:ascii="宋体" w:hAnsi="宋体" w:cs="宋体" w:eastAsia="宋体" w:hint="default"/>
          <w:spacing w:val="-2"/>
          <w:sz w:val="21"/>
          <w:szCs w:val="21"/>
        </w:rPr>
        <w:t>月</w:t>
      </w:r>
      <w:r>
        <w:rPr>
          <w:rFonts w:ascii="Calibri" w:hAnsi="Calibri" w:cs="Calibri" w:eastAsia="Calibri" w:hint="default"/>
          <w:spacing w:val="-2"/>
          <w:sz w:val="21"/>
          <w:szCs w:val="21"/>
        </w:rPr>
        <w:t>13</w:t>
      </w:r>
      <w:r>
        <w:rPr>
          <w:rFonts w:ascii="宋体" w:hAnsi="宋体" w:cs="宋体" w:eastAsia="宋体" w:hint="default"/>
          <w:spacing w:val="-2"/>
          <w:sz w:val="21"/>
          <w:szCs w:val="21"/>
        </w:rPr>
        <w:t>日实施</w:t>
      </w:r>
      <w:r>
        <w:rPr>
          <w:rFonts w:ascii="Calibri" w:hAnsi="Calibri" w:cs="Calibri" w:eastAsia="Calibri" w:hint="default"/>
          <w:spacing w:val="-2"/>
          <w:sz w:val="21"/>
          <w:szCs w:val="21"/>
        </w:rPr>
        <w:t>2010</w:t>
      </w:r>
      <w:r>
        <w:rPr>
          <w:rFonts w:ascii="宋体" w:hAnsi="宋体" w:cs="宋体" w:eastAsia="宋体" w:hint="default"/>
          <w:spacing w:val="-2"/>
          <w:sz w:val="21"/>
          <w:szCs w:val="21"/>
        </w:rPr>
        <w:t>年度权益分派方案，向全体股东每</w:t>
      </w:r>
    </w:p>
    <w:p>
      <w:pPr>
        <w:spacing w:before="106"/>
        <w:ind w:left="1264" w:right="0" w:firstLine="0"/>
        <w:jc w:val="left"/>
        <w:rPr>
          <w:rFonts w:ascii="宋体" w:hAnsi="宋体" w:cs="宋体" w:eastAsia="宋体" w:hint="default"/>
          <w:sz w:val="21"/>
          <w:szCs w:val="21"/>
        </w:rPr>
      </w:pPr>
      <w:r>
        <w:rPr>
          <w:rFonts w:ascii="Calibri" w:hAnsi="Calibri" w:cs="Calibri" w:eastAsia="Calibri" w:hint="default"/>
          <w:sz w:val="21"/>
          <w:szCs w:val="21"/>
        </w:rPr>
        <w:t>10</w:t>
      </w:r>
      <w:r>
        <w:rPr>
          <w:rFonts w:ascii="宋体" w:hAnsi="宋体" w:cs="宋体" w:eastAsia="宋体" w:hint="default"/>
          <w:sz w:val="21"/>
          <w:szCs w:val="21"/>
        </w:rPr>
        <w:t>股送</w:t>
      </w:r>
      <w:r>
        <w:rPr>
          <w:rFonts w:ascii="Calibri" w:hAnsi="Calibri" w:cs="Calibri" w:eastAsia="Calibri" w:hint="default"/>
          <w:sz w:val="21"/>
          <w:szCs w:val="21"/>
        </w:rPr>
        <w:t>2</w:t>
      </w:r>
      <w:r>
        <w:rPr>
          <w:rFonts w:ascii="宋体" w:hAnsi="宋体" w:cs="宋体" w:eastAsia="宋体" w:hint="default"/>
          <w:sz w:val="21"/>
          <w:szCs w:val="21"/>
        </w:rPr>
        <w:t>股红股。</w:t>
      </w:r>
    </w:p>
    <w:p>
      <w:pPr>
        <w:spacing w:line="324" w:lineRule="auto" w:before="108"/>
        <w:ind w:left="1264" w:right="0" w:hanging="36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pacing w:val="-3"/>
          <w:sz w:val="21"/>
          <w:szCs w:val="21"/>
        </w:rPr>
        <w:t>报告期内独立董事甄秀欣女士因个人原因辞去独董一职，</w:t>
      </w:r>
      <w:r>
        <w:rPr>
          <w:rFonts w:ascii="Calibri" w:hAnsi="Calibri" w:cs="Calibri" w:eastAsia="Calibri" w:hint="default"/>
          <w:spacing w:val="-3"/>
          <w:sz w:val="21"/>
          <w:szCs w:val="21"/>
        </w:rPr>
        <w:t>2011</w:t>
      </w:r>
      <w:r>
        <w:rPr>
          <w:rFonts w:ascii="宋体" w:hAnsi="宋体" w:cs="宋体" w:eastAsia="宋体" w:hint="default"/>
          <w:spacing w:val="-3"/>
          <w:sz w:val="21"/>
          <w:szCs w:val="21"/>
        </w:rPr>
        <w:t>年</w:t>
      </w:r>
      <w:r>
        <w:rPr>
          <w:rFonts w:ascii="Calibri" w:hAnsi="Calibri" w:cs="Calibri" w:eastAsia="Calibri" w:hint="default"/>
          <w:spacing w:val="-3"/>
          <w:sz w:val="21"/>
          <w:szCs w:val="21"/>
        </w:rPr>
        <w:t>11</w:t>
      </w:r>
      <w:r>
        <w:rPr>
          <w:rFonts w:ascii="宋体" w:hAnsi="宋体" w:cs="宋体" w:eastAsia="宋体" w:hint="default"/>
          <w:spacing w:val="-3"/>
          <w:sz w:val="21"/>
          <w:szCs w:val="21"/>
        </w:rPr>
        <w:t>月</w:t>
      </w:r>
      <w:r>
        <w:rPr>
          <w:rFonts w:ascii="Calibri" w:hAnsi="Calibri" w:cs="Calibri" w:eastAsia="Calibri" w:hint="default"/>
          <w:spacing w:val="-3"/>
          <w:sz w:val="21"/>
          <w:szCs w:val="21"/>
        </w:rPr>
        <w:t>21</w:t>
      </w:r>
      <w:r>
        <w:rPr>
          <w:rFonts w:ascii="宋体" w:hAnsi="宋体" w:cs="宋体" w:eastAsia="宋体" w:hint="default"/>
          <w:spacing w:val="-3"/>
          <w:sz w:val="21"/>
          <w:szCs w:val="21"/>
        </w:rPr>
        <w:t>日，经公司</w:t>
      </w:r>
      <w:r>
        <w:rPr>
          <w:rFonts w:ascii="Calibri" w:hAnsi="Calibri" w:cs="Calibri" w:eastAsia="Calibri" w:hint="default"/>
          <w:spacing w:val="-3"/>
          <w:sz w:val="21"/>
          <w:szCs w:val="21"/>
        </w:rPr>
        <w:t>2011</w:t>
      </w:r>
      <w:r>
        <w:rPr>
          <w:rFonts w:ascii="宋体" w:hAnsi="宋体" w:cs="宋体" w:eastAsia="宋体" w:hint="default"/>
          <w:spacing w:val="-3"/>
          <w:sz w:val="21"/>
          <w:szCs w:val="21"/>
        </w:rPr>
        <w:t>年</w:t>
      </w:r>
      <w:r>
        <w:rPr>
          <w:rFonts w:ascii="宋体" w:hAnsi="宋体" w:cs="宋体" w:eastAsia="宋体" w:hint="default"/>
          <w:spacing w:val="-88"/>
          <w:sz w:val="21"/>
          <w:szCs w:val="21"/>
        </w:rPr>
        <w:t> </w:t>
      </w:r>
      <w:r>
        <w:rPr>
          <w:rFonts w:ascii="宋体" w:hAnsi="宋体" w:cs="宋体" w:eastAsia="宋体" w:hint="default"/>
          <w:sz w:val="21"/>
          <w:szCs w:val="21"/>
        </w:rPr>
        <w:t>第一次临时股东大会审议通过，选举张守文先生为独立董事</w:t>
      </w:r>
      <w:r>
        <w:rPr>
          <w:rFonts w:ascii="宋体" w:hAnsi="宋体" w:cs="宋体" w:eastAsia="宋体" w:hint="default"/>
          <w:sz w:val="18"/>
          <w:szCs w:val="18"/>
        </w:rPr>
        <w:t>。</w:t>
      </w:r>
    </w:p>
    <w:p>
      <w:pPr>
        <w:spacing w:line="240" w:lineRule="auto" w:before="9"/>
        <w:rPr>
          <w:rFonts w:ascii="宋体" w:hAnsi="宋体" w:cs="宋体" w:eastAsia="宋体" w:hint="default"/>
          <w:sz w:val="26"/>
          <w:szCs w:val="26"/>
        </w:rPr>
      </w:pPr>
    </w:p>
    <w:p>
      <w:pPr>
        <w:pStyle w:val="Heading3"/>
        <w:spacing w:line="240" w:lineRule="auto"/>
        <w:ind w:left="484" w:right="0"/>
        <w:jc w:val="left"/>
        <w:rPr>
          <w:b w:val="0"/>
          <w:bCs w:val="0"/>
        </w:rPr>
      </w:pPr>
      <w:r>
        <w:rPr/>
        <w:t>（二）现任董事、监事、高级管理人员最近</w:t>
      </w:r>
      <w:r>
        <w:rPr>
          <w:rFonts w:ascii="Calibri" w:hAnsi="Calibri" w:cs="Calibri" w:eastAsia="Calibri" w:hint="default"/>
        </w:rPr>
        <w:t>5</w:t>
      </w:r>
      <w:r>
        <w:rPr/>
        <w:t>年的主要工作经历</w:t>
      </w:r>
      <w:r>
        <w:rPr>
          <w:b w:val="0"/>
          <w:bCs w:val="0"/>
        </w:rPr>
      </w:r>
    </w:p>
    <w:p>
      <w:pPr>
        <w:spacing w:after="0" w:line="240" w:lineRule="auto"/>
        <w:jc w:val="left"/>
        <w:sectPr>
          <w:pgSz w:w="12240" w:h="15840"/>
          <w:pgMar w:header="847" w:footer="987" w:top="1360" w:bottom="1180" w:left="1160" w:right="0"/>
        </w:sectPr>
      </w:pPr>
    </w:p>
    <w:p>
      <w:pPr>
        <w:spacing w:line="240" w:lineRule="auto" w:before="4"/>
        <w:rPr>
          <w:rFonts w:ascii="黑体" w:hAnsi="黑体" w:cs="黑体" w:eastAsia="黑体" w:hint="default"/>
          <w:b/>
          <w:bCs/>
          <w:sz w:val="2"/>
          <w:szCs w:val="2"/>
        </w:rPr>
      </w:pPr>
    </w:p>
    <w:p>
      <w:pPr>
        <w:spacing w:line="20" w:lineRule="exact"/>
        <w:ind w:left="108" w:right="0" w:firstLine="0"/>
        <w:rPr>
          <w:rFonts w:ascii="黑体" w:hAnsi="黑体" w:cs="黑体" w:eastAsia="黑体" w:hint="default"/>
          <w:sz w:val="2"/>
          <w:szCs w:val="2"/>
        </w:rPr>
      </w:pPr>
      <w:r>
        <w:rPr>
          <w:rFonts w:ascii="黑体" w:hAnsi="黑体" w:cs="黑体" w:eastAsia="黑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黑体" w:hAnsi="黑体" w:cs="黑体" w:eastAsia="黑体" w:hint="default"/>
          <w:sz w:val="2"/>
          <w:szCs w:val="2"/>
        </w:rPr>
      </w:r>
    </w:p>
    <w:p>
      <w:pPr>
        <w:pStyle w:val="Heading4"/>
        <w:spacing w:line="240" w:lineRule="auto" w:before="41"/>
        <w:ind w:right="1697"/>
        <w:jc w:val="left"/>
        <w:rPr>
          <w:b w:val="0"/>
          <w:bCs w:val="0"/>
        </w:rPr>
      </w:pPr>
      <w:r>
        <w:rPr>
          <w:rFonts w:ascii="Calibri" w:hAnsi="Calibri" w:cs="Calibri" w:eastAsia="Calibri" w:hint="default"/>
        </w:rPr>
        <w:t>1</w:t>
      </w:r>
      <w:r>
        <w:rPr/>
        <w:t>、董事、监事、高管简历</w:t>
      </w:r>
      <w:r>
        <w:rPr>
          <w:b w:val="0"/>
          <w:bCs w:val="0"/>
        </w:rPr>
      </w:r>
    </w:p>
    <w:p>
      <w:pPr>
        <w:pStyle w:val="BodyText"/>
        <w:spacing w:line="240" w:lineRule="auto" w:before="94"/>
        <w:ind w:left="624" w:right="1557"/>
        <w:jc w:val="left"/>
      </w:pPr>
      <w:r>
        <w:rPr/>
        <w:t>薛向东先生：中国国籍，现年</w:t>
      </w:r>
      <w:r>
        <w:rPr>
          <w:spacing w:val="-87"/>
        </w:rPr>
        <w:t> </w:t>
      </w:r>
      <w:r>
        <w:rPr>
          <w:rFonts w:ascii="Calibri" w:hAnsi="Calibri" w:cs="Calibri" w:eastAsia="Calibri" w:hint="default"/>
        </w:rPr>
        <w:t>53</w:t>
      </w:r>
      <w:r>
        <w:rPr>
          <w:rFonts w:ascii="Calibri" w:hAnsi="Calibri" w:cs="Calibri" w:eastAsia="Calibri" w:hint="default"/>
          <w:spacing w:val="-21"/>
        </w:rPr>
        <w:t> </w:t>
      </w:r>
      <w:r>
        <w:rPr/>
        <w:t>岁，大学本科，高级工程师，长期从事行业应用</w:t>
      </w:r>
    </w:p>
    <w:p>
      <w:pPr>
        <w:pStyle w:val="BodyText"/>
        <w:spacing w:line="326" w:lineRule="auto" w:before="123"/>
        <w:ind w:right="1693"/>
        <w:jc w:val="left"/>
      </w:pPr>
      <w:r>
        <w:rPr/>
        <w:t>软件开发及计算机信息系统集成工作，公司实际控制人，最近</w:t>
      </w:r>
      <w:r>
        <w:rPr>
          <w:spacing w:val="-60"/>
        </w:rPr>
        <w:t> </w:t>
      </w:r>
      <w:r>
        <w:rPr>
          <w:rFonts w:ascii="Calibri" w:hAnsi="Calibri" w:cs="Calibri" w:eastAsia="Calibri" w:hint="default"/>
        </w:rPr>
        <w:t>5</w:t>
      </w:r>
      <w:r>
        <w:rPr>
          <w:rFonts w:ascii="Calibri" w:hAnsi="Calibri" w:cs="Calibri" w:eastAsia="Calibri" w:hint="default"/>
          <w:spacing w:val="7"/>
        </w:rPr>
        <w:t> </w:t>
      </w:r>
      <w:r>
        <w:rPr/>
        <w:t>年一直担任本公司董 事长。</w:t>
      </w:r>
    </w:p>
    <w:p>
      <w:pPr>
        <w:pStyle w:val="BodyText"/>
        <w:spacing w:line="240" w:lineRule="auto" w:before="185"/>
        <w:ind w:left="624" w:right="1557"/>
        <w:jc w:val="left"/>
      </w:pPr>
      <w:r>
        <w:rPr/>
        <w:t>吕波先生：中国国籍，现年</w:t>
      </w:r>
      <w:r>
        <w:rPr>
          <w:spacing w:val="-87"/>
        </w:rPr>
        <w:t> </w:t>
      </w:r>
      <w:r>
        <w:rPr>
          <w:rFonts w:ascii="Calibri" w:hAnsi="Calibri" w:cs="Calibri" w:eastAsia="Calibri" w:hint="default"/>
        </w:rPr>
        <w:t>49</w:t>
      </w:r>
      <w:r>
        <w:rPr>
          <w:rFonts w:ascii="Calibri" w:hAnsi="Calibri" w:cs="Calibri" w:eastAsia="Calibri" w:hint="default"/>
          <w:spacing w:val="-21"/>
        </w:rPr>
        <w:t> </w:t>
      </w:r>
      <w:r>
        <w:rPr/>
        <w:t>岁，硕士研究生，讲师，长期从事行业应用软件开</w:t>
      </w:r>
    </w:p>
    <w:p>
      <w:pPr>
        <w:pStyle w:val="BodyText"/>
        <w:spacing w:line="240" w:lineRule="auto" w:before="123"/>
        <w:ind w:right="1697"/>
        <w:jc w:val="left"/>
      </w:pPr>
      <w:r>
        <w:rPr/>
        <w:t>发及计算机信息系统集成工作，最近</w:t>
      </w:r>
      <w:r>
        <w:rPr>
          <w:spacing w:val="-60"/>
        </w:rPr>
        <w:t> </w:t>
      </w:r>
      <w:r>
        <w:rPr>
          <w:rFonts w:ascii="Calibri" w:hAnsi="Calibri" w:cs="Calibri" w:eastAsia="Calibri" w:hint="default"/>
        </w:rPr>
        <w:t>5</w:t>
      </w:r>
      <w:r>
        <w:rPr>
          <w:rFonts w:ascii="Calibri" w:hAnsi="Calibri" w:cs="Calibri" w:eastAsia="Calibri" w:hint="default"/>
          <w:spacing w:val="6"/>
        </w:rPr>
        <w:t> </w:t>
      </w:r>
      <w:r>
        <w:rPr/>
        <w:t>年一直担任本公司副董事长、总经理。</w:t>
      </w:r>
    </w:p>
    <w:p>
      <w:pPr>
        <w:spacing w:line="240" w:lineRule="auto" w:before="5"/>
        <w:rPr>
          <w:rFonts w:ascii="宋体" w:hAnsi="宋体" w:cs="宋体" w:eastAsia="宋体" w:hint="default"/>
          <w:sz w:val="18"/>
          <w:szCs w:val="18"/>
        </w:rPr>
      </w:pPr>
    </w:p>
    <w:p>
      <w:pPr>
        <w:pStyle w:val="BodyText"/>
        <w:spacing w:line="240" w:lineRule="auto"/>
        <w:ind w:left="624" w:right="1557"/>
        <w:jc w:val="left"/>
      </w:pPr>
      <w:r>
        <w:rPr/>
        <w:t>夏金崇先生：中国国籍，现年</w:t>
      </w:r>
      <w:r>
        <w:rPr>
          <w:spacing w:val="-87"/>
        </w:rPr>
        <w:t> </w:t>
      </w:r>
      <w:r>
        <w:rPr>
          <w:rFonts w:ascii="Calibri" w:hAnsi="Calibri" w:cs="Calibri" w:eastAsia="Calibri" w:hint="default"/>
        </w:rPr>
        <w:t>48</w:t>
      </w:r>
      <w:r>
        <w:rPr>
          <w:rFonts w:ascii="Calibri" w:hAnsi="Calibri" w:cs="Calibri" w:eastAsia="Calibri" w:hint="default"/>
          <w:spacing w:val="-21"/>
        </w:rPr>
        <w:t> </w:t>
      </w:r>
      <w:r>
        <w:rPr/>
        <w:t>岁，大学本科，工程师，长期从事行业应用软件</w:t>
      </w:r>
    </w:p>
    <w:p>
      <w:pPr>
        <w:pStyle w:val="BodyText"/>
        <w:spacing w:line="240" w:lineRule="auto" w:before="124"/>
        <w:ind w:right="1697"/>
        <w:jc w:val="left"/>
      </w:pPr>
      <w:r>
        <w:rPr/>
        <w:t>开发及计算机信息系统集成工作，最近</w:t>
      </w:r>
      <w:r>
        <w:rPr>
          <w:spacing w:val="-60"/>
        </w:rPr>
        <w:t> </w:t>
      </w:r>
      <w:r>
        <w:rPr>
          <w:rFonts w:ascii="Calibri" w:hAnsi="Calibri" w:cs="Calibri" w:eastAsia="Calibri" w:hint="default"/>
        </w:rPr>
        <w:t>5</w:t>
      </w:r>
      <w:r>
        <w:rPr>
          <w:rFonts w:ascii="Calibri" w:hAnsi="Calibri" w:cs="Calibri" w:eastAsia="Calibri" w:hint="default"/>
          <w:spacing w:val="6"/>
        </w:rPr>
        <w:t> </w:t>
      </w:r>
      <w:r>
        <w:rPr/>
        <w:t>年一直担任本公司董事、副总经理。</w:t>
      </w:r>
    </w:p>
    <w:p>
      <w:pPr>
        <w:spacing w:line="240" w:lineRule="auto" w:before="5"/>
        <w:rPr>
          <w:rFonts w:ascii="宋体" w:hAnsi="宋体" w:cs="宋体" w:eastAsia="宋体" w:hint="default"/>
          <w:sz w:val="18"/>
          <w:szCs w:val="18"/>
        </w:rPr>
      </w:pPr>
    </w:p>
    <w:p>
      <w:pPr>
        <w:pStyle w:val="BodyText"/>
        <w:spacing w:line="240" w:lineRule="auto"/>
        <w:ind w:left="624" w:right="1557"/>
        <w:jc w:val="left"/>
      </w:pPr>
      <w:r>
        <w:rPr/>
        <w:t>李建国先生：中国国籍，现年</w:t>
      </w:r>
      <w:r>
        <w:rPr>
          <w:spacing w:val="-86"/>
        </w:rPr>
        <w:t> </w:t>
      </w:r>
      <w:r>
        <w:rPr>
          <w:rFonts w:ascii="Calibri" w:hAnsi="Calibri" w:cs="Calibri" w:eastAsia="Calibri" w:hint="default"/>
        </w:rPr>
        <w:t>43</w:t>
      </w:r>
      <w:r>
        <w:rPr>
          <w:rFonts w:ascii="Calibri" w:hAnsi="Calibri" w:cs="Calibri" w:eastAsia="Calibri" w:hint="default"/>
          <w:spacing w:val="-20"/>
        </w:rPr>
        <w:t> </w:t>
      </w:r>
      <w:r>
        <w:rPr/>
        <w:t>岁，硕士研究生，长期从事行业应用软件开发及</w:t>
      </w:r>
    </w:p>
    <w:p>
      <w:pPr>
        <w:pStyle w:val="BodyText"/>
        <w:spacing w:line="240" w:lineRule="auto" w:before="123"/>
        <w:ind w:right="1697"/>
        <w:jc w:val="left"/>
      </w:pPr>
      <w:r>
        <w:rPr/>
        <w:t>计算机信息系统集成工作，最近</w:t>
      </w:r>
      <w:r>
        <w:rPr>
          <w:spacing w:val="-60"/>
        </w:rPr>
        <w:t> </w:t>
      </w:r>
      <w:r>
        <w:rPr>
          <w:rFonts w:ascii="Calibri" w:hAnsi="Calibri" w:cs="Calibri" w:eastAsia="Calibri" w:hint="default"/>
        </w:rPr>
        <w:t>5</w:t>
      </w:r>
      <w:r>
        <w:rPr>
          <w:rFonts w:ascii="Calibri" w:hAnsi="Calibri" w:cs="Calibri" w:eastAsia="Calibri" w:hint="default"/>
          <w:spacing w:val="6"/>
        </w:rPr>
        <w:t> </w:t>
      </w:r>
      <w:r>
        <w:rPr/>
        <w:t>年一直担任本公司董事、副总经理。</w:t>
      </w:r>
    </w:p>
    <w:p>
      <w:pPr>
        <w:spacing w:line="240" w:lineRule="auto" w:before="5"/>
        <w:rPr>
          <w:rFonts w:ascii="宋体" w:hAnsi="宋体" w:cs="宋体" w:eastAsia="宋体" w:hint="default"/>
          <w:sz w:val="18"/>
          <w:szCs w:val="18"/>
        </w:rPr>
      </w:pPr>
    </w:p>
    <w:p>
      <w:pPr>
        <w:pStyle w:val="BodyText"/>
        <w:spacing w:line="326" w:lineRule="auto"/>
        <w:ind w:right="1628" w:firstLine="479"/>
        <w:jc w:val="left"/>
      </w:pPr>
      <w:r>
        <w:rPr/>
        <w:t>杨健先生：中国国籍，现年</w:t>
      </w:r>
      <w:r>
        <w:rPr>
          <w:spacing w:val="-64"/>
        </w:rPr>
        <w:t> </w:t>
      </w:r>
      <w:r>
        <w:rPr>
          <w:rFonts w:ascii="Calibri" w:hAnsi="Calibri" w:cs="Calibri" w:eastAsia="Calibri" w:hint="default"/>
        </w:rPr>
        <w:t>44</w:t>
      </w:r>
      <w:r>
        <w:rPr>
          <w:rFonts w:ascii="Calibri" w:hAnsi="Calibri" w:cs="Calibri" w:eastAsia="Calibri" w:hint="default"/>
          <w:spacing w:val="2"/>
        </w:rPr>
        <w:t> </w:t>
      </w:r>
      <w:r>
        <w:rPr>
          <w:spacing w:val="-3"/>
        </w:rPr>
        <w:t>岁，硕士研究生，会计师，最近</w:t>
      </w:r>
      <w:r>
        <w:rPr>
          <w:spacing w:val="-63"/>
        </w:rPr>
        <w:t> </w:t>
      </w:r>
      <w:r>
        <w:rPr>
          <w:rFonts w:ascii="Calibri" w:hAnsi="Calibri" w:cs="Calibri" w:eastAsia="Calibri" w:hint="default"/>
        </w:rPr>
        <w:t>5</w:t>
      </w:r>
      <w:r>
        <w:rPr>
          <w:rFonts w:ascii="Calibri" w:hAnsi="Calibri" w:cs="Calibri" w:eastAsia="Calibri" w:hint="default"/>
          <w:spacing w:val="2"/>
        </w:rPr>
        <w:t> </w:t>
      </w:r>
      <w:r>
        <w:rPr/>
        <w:t>年一直担任本公 司董事、财务总监、董事会秘书。</w:t>
      </w:r>
    </w:p>
    <w:p>
      <w:pPr>
        <w:pStyle w:val="BodyText"/>
        <w:spacing w:line="240" w:lineRule="auto" w:before="185"/>
        <w:ind w:left="624" w:right="0"/>
        <w:jc w:val="left"/>
      </w:pPr>
      <w:r>
        <w:rPr>
          <w:spacing w:val="-7"/>
        </w:rPr>
        <w:t>郑晓清女士：中国国籍，现年</w:t>
      </w:r>
      <w:r>
        <w:rPr>
          <w:spacing w:val="-57"/>
        </w:rPr>
        <w:t> </w:t>
      </w:r>
      <w:r>
        <w:rPr>
          <w:rFonts w:ascii="Calibri" w:hAnsi="Calibri" w:cs="Calibri" w:eastAsia="Calibri" w:hint="default"/>
        </w:rPr>
        <w:t>41</w:t>
      </w:r>
      <w:r>
        <w:rPr>
          <w:rFonts w:ascii="Calibri" w:hAnsi="Calibri" w:cs="Calibri" w:eastAsia="Calibri" w:hint="default"/>
          <w:spacing w:val="9"/>
        </w:rPr>
        <w:t> </w:t>
      </w:r>
      <w:r>
        <w:rPr>
          <w:spacing w:val="-10"/>
        </w:rPr>
        <w:t>岁，硕士研究生，最近</w:t>
      </w:r>
      <w:r>
        <w:rPr>
          <w:spacing w:val="-57"/>
        </w:rPr>
        <w:t> </w:t>
      </w:r>
      <w:r>
        <w:rPr>
          <w:rFonts w:ascii="Calibri" w:hAnsi="Calibri" w:cs="Calibri" w:eastAsia="Calibri" w:hint="default"/>
        </w:rPr>
        <w:t>5</w:t>
      </w:r>
      <w:r>
        <w:rPr>
          <w:rFonts w:ascii="Calibri" w:hAnsi="Calibri" w:cs="Calibri" w:eastAsia="Calibri" w:hint="default"/>
          <w:spacing w:val="9"/>
        </w:rPr>
        <w:t> </w:t>
      </w:r>
      <w:r>
        <w:rPr/>
        <w:t>年一直担任本公司董事。</w:t>
      </w:r>
    </w:p>
    <w:p>
      <w:pPr>
        <w:spacing w:line="240" w:lineRule="auto" w:before="8"/>
        <w:rPr>
          <w:rFonts w:ascii="宋体" w:hAnsi="宋体" w:cs="宋体" w:eastAsia="宋体" w:hint="default"/>
          <w:sz w:val="18"/>
          <w:szCs w:val="18"/>
        </w:rPr>
      </w:pPr>
    </w:p>
    <w:p>
      <w:pPr>
        <w:pStyle w:val="BodyText"/>
        <w:spacing w:line="240" w:lineRule="auto"/>
        <w:ind w:left="614" w:right="1557"/>
        <w:jc w:val="left"/>
      </w:pPr>
      <w:r>
        <w:rPr/>
        <w:t>蒋力先生：中国国籍，现年</w:t>
      </w:r>
      <w:r>
        <w:rPr>
          <w:spacing w:val="-84"/>
        </w:rPr>
        <w:t> </w:t>
      </w:r>
      <w:r>
        <w:rPr>
          <w:rFonts w:ascii="Calibri" w:hAnsi="Calibri" w:cs="Calibri" w:eastAsia="Calibri" w:hint="default"/>
        </w:rPr>
        <w:t>59</w:t>
      </w:r>
      <w:r>
        <w:rPr>
          <w:rFonts w:ascii="Calibri" w:hAnsi="Calibri" w:cs="Calibri" w:eastAsia="Calibri" w:hint="default"/>
          <w:spacing w:val="-18"/>
        </w:rPr>
        <w:t> </w:t>
      </w:r>
      <w:r>
        <w:rPr/>
        <w:t>岁，硕士研究生，高级审计师、高级会计师、高级</w:t>
      </w:r>
    </w:p>
    <w:p>
      <w:pPr>
        <w:pStyle w:val="BodyText"/>
        <w:spacing w:line="326" w:lineRule="auto" w:before="121"/>
        <w:ind w:right="1694"/>
        <w:jc w:val="left"/>
      </w:pPr>
      <w:r>
        <w:rPr/>
        <w:t>企业风险管理师，最近</w:t>
      </w:r>
      <w:r>
        <w:rPr>
          <w:spacing w:val="-60"/>
        </w:rPr>
        <w:t> </w:t>
      </w:r>
      <w:r>
        <w:rPr>
          <w:rFonts w:ascii="Calibri" w:hAnsi="Calibri" w:cs="Calibri" w:eastAsia="Calibri" w:hint="default"/>
        </w:rPr>
        <w:t>5</w:t>
      </w:r>
      <w:r>
        <w:rPr>
          <w:rFonts w:ascii="Calibri" w:hAnsi="Calibri" w:cs="Calibri" w:eastAsia="Calibri" w:hint="default"/>
          <w:spacing w:val="6"/>
        </w:rPr>
        <w:t> </w:t>
      </w:r>
      <w:r>
        <w:rPr/>
        <w:t>年历任国家开发投资公司国投煤炭公司副总经理、国家开发 投资公司国投研究中心主任。</w:t>
      </w:r>
    </w:p>
    <w:p>
      <w:pPr>
        <w:pStyle w:val="BodyText"/>
        <w:spacing w:line="326" w:lineRule="auto" w:before="185"/>
        <w:ind w:right="1626" w:firstLine="470"/>
        <w:jc w:val="left"/>
      </w:pPr>
      <w:r>
        <w:rPr/>
        <w:t>郭庆旺先生：中国国籍，现年</w:t>
      </w:r>
      <w:r>
        <w:rPr>
          <w:spacing w:val="-64"/>
        </w:rPr>
        <w:t> </w:t>
      </w:r>
      <w:r>
        <w:rPr>
          <w:rFonts w:ascii="Calibri" w:hAnsi="Calibri" w:cs="Calibri" w:eastAsia="Calibri" w:hint="default"/>
        </w:rPr>
        <w:t>48</w:t>
      </w:r>
      <w:r>
        <w:rPr>
          <w:rFonts w:ascii="Calibri" w:hAnsi="Calibri" w:cs="Calibri" w:eastAsia="Calibri" w:hint="default"/>
          <w:spacing w:val="2"/>
        </w:rPr>
        <w:t> </w:t>
      </w:r>
      <w:r>
        <w:rPr>
          <w:spacing w:val="-3"/>
        </w:rPr>
        <w:t>岁，博士研究生，最近</w:t>
      </w:r>
      <w:r>
        <w:rPr>
          <w:spacing w:val="-64"/>
        </w:rPr>
        <w:t> </w:t>
      </w:r>
      <w:r>
        <w:rPr>
          <w:rFonts w:ascii="Calibri" w:hAnsi="Calibri" w:cs="Calibri" w:eastAsia="Calibri" w:hint="default"/>
        </w:rPr>
        <w:t>5</w:t>
      </w:r>
      <w:r>
        <w:rPr>
          <w:rFonts w:ascii="Calibri" w:hAnsi="Calibri" w:cs="Calibri" w:eastAsia="Calibri" w:hint="default"/>
          <w:spacing w:val="2"/>
        </w:rPr>
        <w:t> </w:t>
      </w:r>
      <w:r>
        <w:rPr/>
        <w:t>年一直在中国人民大学 财政金融学院任教，现任财政金融学院院长。</w:t>
      </w:r>
    </w:p>
    <w:p>
      <w:pPr>
        <w:pStyle w:val="BodyText"/>
        <w:spacing w:line="324" w:lineRule="auto" w:before="187"/>
        <w:ind w:right="1631" w:firstLine="470"/>
        <w:jc w:val="left"/>
      </w:pPr>
      <w:r>
        <w:rPr/>
        <w:t>吴淼先生：中国国籍，现年</w:t>
      </w:r>
      <w:r>
        <w:rPr>
          <w:spacing w:val="-73"/>
        </w:rPr>
        <w:t> </w:t>
      </w:r>
      <w:r>
        <w:rPr>
          <w:rFonts w:ascii="Calibri" w:hAnsi="Calibri" w:cs="Calibri" w:eastAsia="Calibri" w:hint="default"/>
        </w:rPr>
        <w:t>54</w:t>
      </w:r>
      <w:r>
        <w:rPr>
          <w:rFonts w:ascii="Calibri" w:hAnsi="Calibri" w:cs="Calibri" w:eastAsia="Calibri" w:hint="default"/>
          <w:spacing w:val="-7"/>
        </w:rPr>
        <w:t> </w:t>
      </w:r>
      <w:r>
        <w:rPr/>
        <w:t>岁，博士研究生，教授、博士生导师，最近</w:t>
      </w:r>
      <w:r>
        <w:rPr>
          <w:spacing w:val="-72"/>
        </w:rPr>
        <w:t> </w:t>
      </w:r>
      <w:r>
        <w:rPr>
          <w:rFonts w:ascii="Calibri" w:hAnsi="Calibri" w:cs="Calibri" w:eastAsia="Calibri" w:hint="default"/>
        </w:rPr>
        <w:t>5</w:t>
      </w:r>
      <w:r>
        <w:rPr>
          <w:rFonts w:ascii="Calibri" w:hAnsi="Calibri" w:cs="Calibri" w:eastAsia="Calibri" w:hint="default"/>
          <w:spacing w:val="-7"/>
        </w:rPr>
        <w:t> </w:t>
      </w:r>
      <w:r>
        <w:rPr/>
        <w:t>年一 直担任中国矿业大学（北京）机电学院院长。</w:t>
      </w:r>
    </w:p>
    <w:p>
      <w:pPr>
        <w:pStyle w:val="BodyText"/>
        <w:spacing w:line="324" w:lineRule="auto" w:before="190"/>
        <w:ind w:right="1626" w:firstLine="479"/>
        <w:jc w:val="left"/>
      </w:pPr>
      <w:r>
        <w:rPr/>
        <w:t>苏根继先生：中国国籍，现年</w:t>
      </w:r>
      <w:r>
        <w:rPr>
          <w:spacing w:val="-65"/>
        </w:rPr>
        <w:t> </w:t>
      </w:r>
      <w:r>
        <w:rPr>
          <w:rFonts w:ascii="Calibri" w:hAnsi="Calibri" w:cs="Calibri" w:eastAsia="Calibri" w:hint="default"/>
        </w:rPr>
        <w:t>48</w:t>
      </w:r>
      <w:r>
        <w:rPr>
          <w:rFonts w:ascii="Calibri" w:hAnsi="Calibri" w:cs="Calibri" w:eastAsia="Calibri" w:hint="default"/>
          <w:spacing w:val="1"/>
        </w:rPr>
        <w:t> </w:t>
      </w:r>
      <w:r>
        <w:rPr>
          <w:spacing w:val="-3"/>
        </w:rPr>
        <w:t>岁，大学本科，讲师，最近</w:t>
      </w:r>
      <w:r>
        <w:rPr>
          <w:spacing w:val="-64"/>
        </w:rPr>
        <w:t> </w:t>
      </w:r>
      <w:r>
        <w:rPr>
          <w:rFonts w:ascii="Calibri" w:hAnsi="Calibri" w:cs="Calibri" w:eastAsia="Calibri" w:hint="default"/>
        </w:rPr>
        <w:t>5</w:t>
      </w:r>
      <w:r>
        <w:rPr>
          <w:rFonts w:ascii="Calibri" w:hAnsi="Calibri" w:cs="Calibri" w:eastAsia="Calibri" w:hint="default"/>
          <w:spacing w:val="1"/>
        </w:rPr>
        <w:t> </w:t>
      </w:r>
      <w:r>
        <w:rPr/>
        <w:t>年一直担任本公司 监事会主席、法律部负责人。</w:t>
      </w:r>
    </w:p>
    <w:p>
      <w:pPr>
        <w:pStyle w:val="BodyText"/>
        <w:spacing w:line="324" w:lineRule="auto" w:before="190"/>
        <w:ind w:right="1629" w:firstLine="479"/>
        <w:jc w:val="left"/>
      </w:pPr>
      <w:r>
        <w:rPr/>
        <w:t>蒋恕慧女士：中国国籍，现年</w:t>
      </w:r>
      <w:r>
        <w:rPr>
          <w:spacing w:val="-65"/>
        </w:rPr>
        <w:t> </w:t>
      </w:r>
      <w:r>
        <w:rPr>
          <w:rFonts w:ascii="Calibri" w:hAnsi="Calibri" w:cs="Calibri" w:eastAsia="Calibri" w:hint="default"/>
        </w:rPr>
        <w:t>48</w:t>
      </w:r>
      <w:r>
        <w:rPr>
          <w:rFonts w:ascii="Calibri" w:hAnsi="Calibri" w:cs="Calibri" w:eastAsia="Calibri" w:hint="default"/>
          <w:spacing w:val="1"/>
        </w:rPr>
        <w:t> </w:t>
      </w:r>
      <w:r>
        <w:rPr>
          <w:spacing w:val="-3"/>
        </w:rPr>
        <w:t>岁，大学本科，工程师，最近</w:t>
      </w:r>
      <w:r>
        <w:rPr>
          <w:spacing w:val="-64"/>
        </w:rPr>
        <w:t> </w:t>
      </w:r>
      <w:r>
        <w:rPr>
          <w:rFonts w:ascii="Calibri" w:hAnsi="Calibri" w:cs="Calibri" w:eastAsia="Calibri" w:hint="default"/>
        </w:rPr>
        <w:t>5</w:t>
      </w:r>
      <w:r>
        <w:rPr>
          <w:rFonts w:ascii="Calibri" w:hAnsi="Calibri" w:cs="Calibri" w:eastAsia="Calibri" w:hint="default"/>
          <w:spacing w:val="1"/>
        </w:rPr>
        <w:t> </w:t>
      </w:r>
      <w:r>
        <w:rPr/>
        <w:t>年一直担任本公 司监事、商务部经理。</w:t>
      </w:r>
    </w:p>
    <w:p>
      <w:pPr>
        <w:spacing w:after="0" w:line="324" w:lineRule="auto"/>
        <w:jc w:val="left"/>
        <w:sectPr>
          <w:pgSz w:w="12240" w:h="15840"/>
          <w:pgMar w:header="847" w:footer="987" w:top="1360" w:bottom="1180" w:left="1500" w:right="0"/>
        </w:sectPr>
      </w:pPr>
    </w:p>
    <w:p>
      <w:pPr>
        <w:pStyle w:val="BodyText"/>
        <w:spacing w:line="324" w:lineRule="auto" w:before="11"/>
        <w:ind w:left="224" w:right="1575" w:firstLine="479"/>
        <w:jc w:val="left"/>
      </w:pPr>
      <w:r>
        <w:rPr/>
        <w:pict>
          <v:group style="position:absolute;margin-left:80.783997pt;margin-top:1.845647pt;width:450.6pt;height:.1pt;mso-position-horizontal-relative:page;mso-position-vertical-relative:paragraph;z-index:-864640" coordorigin="1616,37" coordsize="9012,2">
            <v:shape style="position:absolute;left:1616;top:37;width:9012;height:2" coordorigin="1616,37" coordsize="9012,0" path="m1616,37l10627,37e" filled="false" stroked="true" strokeweight=".71999pt" strokecolor="#000000">
              <v:path arrowok="t"/>
            </v:shape>
            <w10:wrap type="none"/>
          </v:group>
        </w:pict>
      </w:r>
      <w:r>
        <w:rPr/>
        <w:t>郭玉杰先生：中国国籍，现年</w:t>
      </w:r>
      <w:r>
        <w:rPr>
          <w:spacing w:val="-61"/>
        </w:rPr>
        <w:t> </w:t>
      </w:r>
      <w:r>
        <w:rPr>
          <w:rFonts w:ascii="Calibri" w:hAnsi="Calibri" w:cs="Calibri" w:eastAsia="Calibri" w:hint="default"/>
        </w:rPr>
        <w:t>48</w:t>
      </w:r>
      <w:r>
        <w:rPr>
          <w:rFonts w:ascii="Calibri" w:hAnsi="Calibri" w:cs="Calibri" w:eastAsia="Calibri" w:hint="default"/>
          <w:spacing w:val="5"/>
        </w:rPr>
        <w:t> </w:t>
      </w:r>
      <w:r>
        <w:rPr/>
        <w:t>岁，大学专科，最近</w:t>
      </w:r>
      <w:r>
        <w:rPr>
          <w:spacing w:val="-61"/>
        </w:rPr>
        <w:t> </w:t>
      </w:r>
      <w:r>
        <w:rPr>
          <w:rFonts w:ascii="Calibri" w:hAnsi="Calibri" w:cs="Calibri" w:eastAsia="Calibri" w:hint="default"/>
        </w:rPr>
        <w:t>5</w:t>
      </w:r>
      <w:r>
        <w:rPr>
          <w:rFonts w:ascii="Calibri" w:hAnsi="Calibri" w:cs="Calibri" w:eastAsia="Calibri" w:hint="default"/>
          <w:spacing w:val="5"/>
        </w:rPr>
        <w:t> </w:t>
      </w:r>
      <w:r>
        <w:rPr/>
        <w:t>年一直担任本公司监事、 北京合创电商投资顾问有限公司执行董事、总经理。</w:t>
      </w:r>
    </w:p>
    <w:p>
      <w:pPr>
        <w:pStyle w:val="BodyText"/>
        <w:spacing w:line="324" w:lineRule="auto" w:before="190"/>
        <w:ind w:left="224" w:right="1628" w:firstLine="479"/>
        <w:jc w:val="left"/>
      </w:pPr>
      <w:r>
        <w:rPr/>
        <w:t>金伟先生：中国国籍，现年</w:t>
      </w:r>
      <w:r>
        <w:rPr>
          <w:spacing w:val="-64"/>
        </w:rPr>
        <w:t> </w:t>
      </w:r>
      <w:r>
        <w:rPr>
          <w:rFonts w:ascii="Calibri" w:hAnsi="Calibri" w:cs="Calibri" w:eastAsia="Calibri" w:hint="default"/>
        </w:rPr>
        <w:t>55</w:t>
      </w:r>
      <w:r>
        <w:rPr>
          <w:rFonts w:ascii="Calibri" w:hAnsi="Calibri" w:cs="Calibri" w:eastAsia="Calibri" w:hint="default"/>
          <w:spacing w:val="2"/>
        </w:rPr>
        <w:t> </w:t>
      </w:r>
      <w:r>
        <w:rPr>
          <w:spacing w:val="-3"/>
        </w:rPr>
        <w:t>岁，硕士研究生，工程师，最近</w:t>
      </w:r>
      <w:r>
        <w:rPr>
          <w:spacing w:val="-63"/>
        </w:rPr>
        <w:t> </w:t>
      </w:r>
      <w:r>
        <w:rPr>
          <w:rFonts w:ascii="Calibri" w:hAnsi="Calibri" w:cs="Calibri" w:eastAsia="Calibri" w:hint="default"/>
        </w:rPr>
        <w:t>5</w:t>
      </w:r>
      <w:r>
        <w:rPr>
          <w:rFonts w:ascii="Calibri" w:hAnsi="Calibri" w:cs="Calibri" w:eastAsia="Calibri" w:hint="default"/>
          <w:spacing w:val="2"/>
        </w:rPr>
        <w:t> </w:t>
      </w:r>
      <w:r>
        <w:rPr/>
        <w:t>年一直担任本公 司副总经理。</w:t>
      </w:r>
    </w:p>
    <w:p>
      <w:pPr>
        <w:pStyle w:val="BodyText"/>
        <w:spacing w:line="324" w:lineRule="auto" w:before="190"/>
        <w:ind w:left="224" w:right="1626" w:firstLine="479"/>
        <w:jc w:val="left"/>
      </w:pPr>
      <w:r>
        <w:rPr/>
        <w:t>高书敬先生：中国国籍，现年</w:t>
      </w:r>
      <w:r>
        <w:rPr>
          <w:spacing w:val="-63"/>
        </w:rPr>
        <w:t> </w:t>
      </w:r>
      <w:r>
        <w:rPr>
          <w:rFonts w:ascii="Calibri" w:hAnsi="Calibri" w:cs="Calibri" w:eastAsia="Calibri" w:hint="default"/>
        </w:rPr>
        <w:t>45</w:t>
      </w:r>
      <w:r>
        <w:rPr>
          <w:rFonts w:ascii="Calibri" w:hAnsi="Calibri" w:cs="Calibri" w:eastAsia="Calibri" w:hint="default"/>
          <w:spacing w:val="3"/>
        </w:rPr>
        <w:t> </w:t>
      </w:r>
      <w:r>
        <w:rPr>
          <w:spacing w:val="-3"/>
        </w:rPr>
        <w:t>岁，硕士研究生，经济师，最近</w:t>
      </w:r>
      <w:r>
        <w:rPr>
          <w:spacing w:val="-62"/>
        </w:rPr>
        <w:t> </w:t>
      </w:r>
      <w:r>
        <w:rPr>
          <w:rFonts w:ascii="Calibri" w:hAnsi="Calibri" w:cs="Calibri" w:eastAsia="Calibri" w:hint="default"/>
        </w:rPr>
        <w:t>5</w:t>
      </w:r>
      <w:r>
        <w:rPr>
          <w:rFonts w:ascii="Calibri" w:hAnsi="Calibri" w:cs="Calibri" w:eastAsia="Calibri" w:hint="default"/>
          <w:spacing w:val="1"/>
        </w:rPr>
        <w:t> </w:t>
      </w:r>
      <w:r>
        <w:rPr/>
        <w:t>年一直担任本 公司副总经理。</w:t>
      </w:r>
    </w:p>
    <w:p>
      <w:pPr>
        <w:pStyle w:val="BodyText"/>
        <w:spacing w:line="410" w:lineRule="auto" w:before="190"/>
        <w:ind w:left="704" w:right="1507"/>
        <w:jc w:val="left"/>
      </w:pPr>
      <w:r>
        <w:rPr>
          <w:spacing w:val="-5"/>
        </w:rPr>
        <w:t>黄杏国先生：中国国籍，</w:t>
      </w:r>
      <w:r>
        <w:rPr>
          <w:rFonts w:ascii="Calibri" w:hAnsi="Calibri" w:cs="Calibri" w:eastAsia="Calibri" w:hint="default"/>
          <w:spacing w:val="-5"/>
        </w:rPr>
        <w:t>46 </w:t>
      </w:r>
      <w:r>
        <w:rPr>
          <w:spacing w:val="-6"/>
        </w:rPr>
        <w:t>岁，硕士研究生，最近 </w:t>
      </w:r>
      <w:r>
        <w:rPr>
          <w:rFonts w:ascii="Calibri" w:hAnsi="Calibri" w:cs="Calibri" w:eastAsia="Calibri" w:hint="default"/>
        </w:rPr>
        <w:t>5</w:t>
      </w:r>
      <w:r>
        <w:rPr>
          <w:rFonts w:ascii="Calibri" w:hAnsi="Calibri" w:cs="Calibri" w:eastAsia="Calibri" w:hint="default"/>
          <w:spacing w:val="-29"/>
        </w:rPr>
        <w:t> </w:t>
      </w:r>
      <w:r>
        <w:rPr/>
        <w:t>年一直担任本公司副总经理。 林文平先生：中国国籍，</w:t>
      </w:r>
      <w:r>
        <w:rPr>
          <w:rFonts w:ascii="Calibri" w:hAnsi="Calibri" w:cs="Calibri" w:eastAsia="Calibri" w:hint="default"/>
        </w:rPr>
        <w:t>46</w:t>
      </w:r>
      <w:r>
        <w:rPr>
          <w:rFonts w:ascii="Calibri" w:hAnsi="Calibri" w:cs="Calibri" w:eastAsia="Calibri" w:hint="default"/>
          <w:spacing w:val="5"/>
        </w:rPr>
        <w:t> </w:t>
      </w:r>
      <w:r>
        <w:rPr/>
        <w:t>岁，硕士研究生，工程师，最近</w:t>
      </w:r>
      <w:r>
        <w:rPr>
          <w:spacing w:val="-60"/>
        </w:rPr>
        <w:t> </w:t>
      </w:r>
      <w:r>
        <w:rPr>
          <w:rFonts w:ascii="Calibri" w:hAnsi="Calibri" w:cs="Calibri" w:eastAsia="Calibri" w:hint="default"/>
        </w:rPr>
        <w:t>5</w:t>
      </w:r>
      <w:r>
        <w:rPr>
          <w:rFonts w:ascii="Calibri" w:hAnsi="Calibri" w:cs="Calibri" w:eastAsia="Calibri" w:hint="default"/>
          <w:spacing w:val="5"/>
        </w:rPr>
        <w:t> </w:t>
      </w:r>
      <w:r>
        <w:rPr/>
        <w:t>年一直在本公司工</w:t>
      </w:r>
    </w:p>
    <w:p>
      <w:pPr>
        <w:pStyle w:val="BodyText"/>
        <w:spacing w:line="227" w:lineRule="exact"/>
        <w:ind w:left="224" w:right="1575"/>
        <w:jc w:val="left"/>
      </w:pPr>
      <w:r>
        <w:rPr/>
        <w:t>作，现任本公司副总经理。</w:t>
      </w:r>
    </w:p>
    <w:p>
      <w:pPr>
        <w:spacing w:line="240" w:lineRule="auto" w:before="12"/>
        <w:rPr>
          <w:rFonts w:ascii="宋体" w:hAnsi="宋体" w:cs="宋体" w:eastAsia="宋体" w:hint="default"/>
          <w:sz w:val="20"/>
          <w:szCs w:val="20"/>
        </w:rPr>
      </w:pPr>
    </w:p>
    <w:p>
      <w:pPr>
        <w:pStyle w:val="BodyText"/>
        <w:spacing w:line="324" w:lineRule="auto"/>
        <w:ind w:left="224" w:right="1633" w:firstLine="479"/>
        <w:jc w:val="left"/>
      </w:pPr>
      <w:r>
        <w:rPr/>
        <w:t>刘志华先生：中国国籍，</w:t>
      </w:r>
      <w:r>
        <w:rPr>
          <w:rFonts w:ascii="Calibri" w:hAnsi="Calibri" w:cs="Calibri" w:eastAsia="Calibri" w:hint="default"/>
        </w:rPr>
        <w:t>42</w:t>
      </w:r>
      <w:r>
        <w:rPr>
          <w:rFonts w:ascii="Calibri" w:hAnsi="Calibri" w:cs="Calibri" w:eastAsia="Calibri" w:hint="default"/>
          <w:spacing w:val="5"/>
        </w:rPr>
        <w:t> </w:t>
      </w:r>
      <w:r>
        <w:rPr/>
        <w:t>岁，硕士研究生，工程师，最近</w:t>
      </w:r>
      <w:r>
        <w:rPr>
          <w:spacing w:val="-60"/>
        </w:rPr>
        <w:t> </w:t>
      </w:r>
      <w:r>
        <w:rPr>
          <w:rFonts w:ascii="Calibri" w:hAnsi="Calibri" w:cs="Calibri" w:eastAsia="Calibri" w:hint="default"/>
        </w:rPr>
        <w:t>5</w:t>
      </w:r>
      <w:r>
        <w:rPr>
          <w:rFonts w:ascii="Calibri" w:hAnsi="Calibri" w:cs="Calibri" w:eastAsia="Calibri" w:hint="default"/>
          <w:spacing w:val="5"/>
        </w:rPr>
        <w:t> </w:t>
      </w:r>
      <w:r>
        <w:rPr/>
        <w:t>年一直在本公司工 作，现任本公司副总经理。</w:t>
      </w:r>
    </w:p>
    <w:p>
      <w:pPr>
        <w:pStyle w:val="BodyText"/>
        <w:spacing w:line="324" w:lineRule="auto" w:before="190"/>
        <w:ind w:left="224" w:right="1634" w:firstLine="479"/>
        <w:jc w:val="left"/>
      </w:pPr>
      <w:r>
        <w:rPr/>
        <w:t>李强先生：中国国籍，</w:t>
      </w:r>
      <w:r>
        <w:rPr>
          <w:rFonts w:ascii="Calibri" w:hAnsi="Calibri" w:cs="Calibri" w:eastAsia="Calibri" w:hint="default"/>
        </w:rPr>
        <w:t>38</w:t>
      </w:r>
      <w:r>
        <w:rPr>
          <w:rFonts w:ascii="Calibri" w:hAnsi="Calibri" w:cs="Calibri" w:eastAsia="Calibri" w:hint="default"/>
          <w:spacing w:val="5"/>
        </w:rPr>
        <w:t> </w:t>
      </w:r>
      <w:r>
        <w:rPr/>
        <w:t>岁，大学本科，最近</w:t>
      </w:r>
      <w:r>
        <w:rPr>
          <w:spacing w:val="-61"/>
        </w:rPr>
        <w:t> </w:t>
      </w:r>
      <w:r>
        <w:rPr>
          <w:rFonts w:ascii="Calibri" w:hAnsi="Calibri" w:cs="Calibri" w:eastAsia="Calibri" w:hint="default"/>
        </w:rPr>
        <w:t>5</w:t>
      </w:r>
      <w:r>
        <w:rPr>
          <w:rFonts w:ascii="Calibri" w:hAnsi="Calibri" w:cs="Calibri" w:eastAsia="Calibri" w:hint="default"/>
          <w:spacing w:val="5"/>
        </w:rPr>
        <w:t> </w:t>
      </w:r>
      <w:r>
        <w:rPr/>
        <w:t>年一直担任北京联银通科技有限 公司副总经理，</w:t>
      </w:r>
      <w:r>
        <w:rPr>
          <w:spacing w:val="-2"/>
        </w:rPr>
        <w:t> </w:t>
      </w:r>
      <w:r>
        <w:rPr>
          <w:rFonts w:ascii="Calibri" w:hAnsi="Calibri" w:cs="Calibri" w:eastAsia="Calibri" w:hint="default"/>
        </w:rPr>
        <w:t>2010</w:t>
      </w:r>
      <w:r>
        <w:rPr>
          <w:rFonts w:ascii="Calibri" w:hAnsi="Calibri" w:cs="Calibri" w:eastAsia="Calibri" w:hint="default"/>
          <w:spacing w:val="3"/>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10</w:t>
      </w:r>
      <w:r>
        <w:rPr>
          <w:rFonts w:ascii="Calibri" w:hAnsi="Calibri" w:cs="Calibri" w:eastAsia="Calibri" w:hint="default"/>
          <w:spacing w:val="5"/>
        </w:rPr>
        <w:t> </w:t>
      </w:r>
      <w:r>
        <w:rPr/>
        <w:t>日起任本公司副总经理。</w:t>
      </w:r>
    </w:p>
    <w:p>
      <w:pPr>
        <w:spacing w:line="240" w:lineRule="auto" w:before="0"/>
        <w:rPr>
          <w:rFonts w:ascii="宋体" w:hAnsi="宋体" w:cs="宋体" w:eastAsia="宋体" w:hint="default"/>
          <w:sz w:val="26"/>
          <w:szCs w:val="26"/>
        </w:rPr>
      </w:pPr>
    </w:p>
    <w:p>
      <w:pPr>
        <w:pStyle w:val="Heading4"/>
        <w:spacing w:line="240" w:lineRule="auto"/>
        <w:ind w:left="224" w:right="1575"/>
        <w:jc w:val="left"/>
        <w:rPr>
          <w:b w:val="0"/>
          <w:bCs w:val="0"/>
        </w:rPr>
      </w:pPr>
      <w:r>
        <w:rPr>
          <w:rFonts w:ascii="Calibri" w:hAnsi="Calibri" w:cs="Calibri" w:eastAsia="Calibri" w:hint="default"/>
        </w:rPr>
        <w:t>2</w:t>
      </w:r>
      <w:r>
        <w:rPr/>
        <w:t>、董事、监事、高管在股东单位任职情况</w:t>
      </w:r>
      <w:r>
        <w:rPr>
          <w:b w:val="0"/>
          <w:bCs w:val="0"/>
        </w:rPr>
      </w:r>
    </w:p>
    <w:p>
      <w:pPr>
        <w:spacing w:line="240" w:lineRule="auto" w:before="4"/>
        <w:rPr>
          <w:rFonts w:ascii="黑体" w:hAnsi="黑体" w:cs="黑体" w:eastAsia="黑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1006"/>
        <w:gridCol w:w="1006"/>
        <w:gridCol w:w="4352"/>
        <w:gridCol w:w="2807"/>
      </w:tblGrid>
      <w:tr>
        <w:trPr>
          <w:trHeight w:val="545" w:hRule="exact"/>
        </w:trPr>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4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股东单位名称</w:t>
            </w:r>
          </w:p>
        </w:tc>
        <w:tc>
          <w:tcPr>
            <w:tcW w:w="2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1"/>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r>
      <w:tr>
        <w:trPr>
          <w:trHeight w:val="547" w:hRule="exact"/>
        </w:trPr>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薛向东</w:t>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4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北京东华诚信电脑科技发展有限公司</w:t>
            </w:r>
          </w:p>
        </w:tc>
        <w:tc>
          <w:tcPr>
            <w:tcW w:w="2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sz w:val="24"/>
                <w:szCs w:val="24"/>
              </w:rPr>
              <w:t>董事</w:t>
            </w:r>
          </w:p>
        </w:tc>
      </w:tr>
      <w:tr>
        <w:trPr>
          <w:trHeight w:val="545" w:hRule="exact"/>
        </w:trPr>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郭玉杰</w:t>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4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北京合创电商投资顾问有限公司</w:t>
            </w:r>
          </w:p>
        </w:tc>
        <w:tc>
          <w:tcPr>
            <w:tcW w:w="2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执行董事</w:t>
            </w:r>
          </w:p>
        </w:tc>
      </w:tr>
    </w:tbl>
    <w:p>
      <w:pPr>
        <w:spacing w:line="240" w:lineRule="auto" w:before="4"/>
        <w:rPr>
          <w:rFonts w:ascii="黑体" w:hAnsi="黑体" w:cs="黑体" w:eastAsia="黑体" w:hint="default"/>
          <w:b/>
          <w:bCs/>
          <w:sz w:val="19"/>
          <w:szCs w:val="19"/>
        </w:rPr>
      </w:pPr>
    </w:p>
    <w:p>
      <w:pPr>
        <w:pStyle w:val="Heading4"/>
        <w:spacing w:line="240" w:lineRule="auto" w:before="26"/>
        <w:ind w:left="224" w:right="1575"/>
        <w:jc w:val="left"/>
        <w:rPr>
          <w:b w:val="0"/>
          <w:bCs w:val="0"/>
        </w:rPr>
      </w:pPr>
      <w:r>
        <w:rPr>
          <w:rFonts w:ascii="Calibri" w:hAnsi="Calibri" w:cs="Calibri" w:eastAsia="Calibri" w:hint="default"/>
        </w:rPr>
        <w:t>3</w:t>
      </w:r>
      <w:r>
        <w:rPr/>
        <w:t>、董事、监事、高管在其他单位任职、兼职情况</w:t>
      </w:r>
      <w:r>
        <w:rPr>
          <w:b w:val="0"/>
          <w:bCs w:val="0"/>
        </w:rPr>
      </w:r>
    </w:p>
    <w:p>
      <w:pPr>
        <w:spacing w:line="240" w:lineRule="auto" w:before="6"/>
        <w:rPr>
          <w:rFonts w:ascii="黑体" w:hAnsi="黑体" w:cs="黑体" w:eastAsia="黑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1075"/>
        <w:gridCol w:w="1594"/>
        <w:gridCol w:w="3672"/>
        <w:gridCol w:w="1419"/>
        <w:gridCol w:w="1409"/>
      </w:tblGrid>
      <w:tr>
        <w:trPr>
          <w:trHeight w:val="953"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288"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职务</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1106" w:right="0"/>
              <w:jc w:val="left"/>
              <w:rPr>
                <w:rFonts w:ascii="宋体" w:hAnsi="宋体" w:cs="宋体" w:eastAsia="宋体" w:hint="default"/>
                <w:sz w:val="24"/>
                <w:szCs w:val="24"/>
              </w:rPr>
            </w:pPr>
            <w:r>
              <w:rPr>
                <w:rFonts w:ascii="宋体" w:hAnsi="宋体" w:cs="宋体" w:eastAsia="宋体" w:hint="default"/>
                <w:sz w:val="24"/>
                <w:szCs w:val="24"/>
              </w:rPr>
              <w:t>其他单位名称</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7"/>
              <w:ind w:left="98" w:right="99"/>
              <w:jc w:val="left"/>
              <w:rPr>
                <w:rFonts w:ascii="宋体" w:hAnsi="宋体" w:cs="宋体" w:eastAsia="宋体" w:hint="default"/>
                <w:sz w:val="24"/>
                <w:szCs w:val="24"/>
              </w:rPr>
            </w:pPr>
            <w:r>
              <w:rPr>
                <w:rFonts w:ascii="宋体" w:hAnsi="宋体" w:cs="宋体" w:eastAsia="宋体" w:hint="default"/>
                <w:sz w:val="24"/>
                <w:szCs w:val="24"/>
              </w:rPr>
              <w:t>在其他单位 担任的职务</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hAnsi="宋体" w:cs="宋体" w:eastAsia="宋体" w:hint="default"/>
                <w:sz w:val="24"/>
                <w:szCs w:val="24"/>
              </w:rPr>
              <w:t>兼职单位</w:t>
            </w:r>
          </w:p>
          <w:p>
            <w:pPr>
              <w:pStyle w:val="TableParagraph"/>
              <w:spacing w:line="310" w:lineRule="exact" w:before="31"/>
              <w:ind w:left="331" w:right="216" w:hanging="120"/>
              <w:jc w:val="left"/>
              <w:rPr>
                <w:rFonts w:ascii="宋体" w:hAnsi="宋体" w:cs="宋体" w:eastAsia="宋体" w:hint="default"/>
                <w:sz w:val="24"/>
                <w:szCs w:val="24"/>
              </w:rPr>
            </w:pPr>
            <w:r>
              <w:rPr>
                <w:rFonts w:ascii="宋体" w:hAnsi="宋体" w:cs="宋体" w:eastAsia="宋体" w:hint="default"/>
                <w:sz w:val="24"/>
                <w:szCs w:val="24"/>
              </w:rPr>
              <w:t>与本公司 的关系</w:t>
            </w:r>
          </w:p>
        </w:tc>
      </w:tr>
      <w:tr>
        <w:trPr>
          <w:trHeight w:val="293" w:hRule="exact"/>
        </w:trPr>
        <w:tc>
          <w:tcPr>
            <w:tcW w:w="107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5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北京东华合创科技有限公司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北京联银通科技有限公司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0"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北京东华合创香港有限公司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泰安东华合创软件有限公司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北京厚盾科技有限公司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北京东华厚盾软件有限公司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bottom w:val="nil" w:sz="6" w:space="0" w:color="auto"/>
              <w:right w:val="single" w:sz="8" w:space="0" w:color="000000"/>
            </w:tcBorders>
          </w:tcPr>
          <w:p>
            <w:pPr/>
          </w:p>
        </w:tc>
        <w:tc>
          <w:tcPr>
            <w:tcW w:w="1594" w:type="dxa"/>
            <w:vMerge/>
            <w:tcBorders>
              <w:left w:val="single" w:sz="8" w:space="0" w:color="000000"/>
              <w:bottom w:val="nil" w:sz="6" w:space="0" w:color="auto"/>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东华软件工程有限公司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after="0" w:line="241" w:lineRule="exact"/>
        <w:jc w:val="left"/>
        <w:rPr>
          <w:rFonts w:ascii="宋体" w:hAnsi="宋体" w:cs="宋体" w:eastAsia="宋体" w:hint="default"/>
          <w:sz w:val="21"/>
          <w:szCs w:val="21"/>
        </w:rPr>
        <w:sectPr>
          <w:pgSz w:w="12240" w:h="15840"/>
          <w:pgMar w:header="847" w:footer="987" w:top="1360" w:bottom="1180" w:left="1420" w:right="0"/>
        </w:sectPr>
      </w:pPr>
    </w:p>
    <w:tbl>
      <w:tblPr>
        <w:tblW w:w="0" w:type="auto"/>
        <w:jc w:val="left"/>
        <w:tblInd w:w="106" w:type="dxa"/>
        <w:tblLayout w:type="fixed"/>
        <w:tblCellMar>
          <w:top w:w="0" w:type="dxa"/>
          <w:left w:w="0" w:type="dxa"/>
          <w:bottom w:w="0" w:type="dxa"/>
          <w:right w:w="0" w:type="dxa"/>
        </w:tblCellMar>
        <w:tblLook w:val="01E0"/>
      </w:tblPr>
      <w:tblGrid>
        <w:gridCol w:w="1075"/>
        <w:gridCol w:w="1594"/>
        <w:gridCol w:w="3672"/>
        <w:gridCol w:w="1419"/>
        <w:gridCol w:w="1409"/>
      </w:tblGrid>
      <w:tr>
        <w:trPr>
          <w:trHeight w:val="304" w:hRule="exact"/>
        </w:trPr>
        <w:tc>
          <w:tcPr>
            <w:tcW w:w="1075" w:type="dxa"/>
            <w:vMerge w:val="restart"/>
            <w:tcBorders>
              <w:top w:val="single" w:sz="6" w:space="0" w:color="000000"/>
              <w:left w:val="single" w:sz="8" w:space="0" w:color="000000"/>
              <w:right w:val="single" w:sz="8" w:space="0" w:color="000000"/>
            </w:tcBorders>
          </w:tcPr>
          <w:p>
            <w:pPr/>
          </w:p>
        </w:tc>
        <w:tc>
          <w:tcPr>
            <w:tcW w:w="1594" w:type="dxa"/>
            <w:vMerge w:val="restart"/>
            <w:tcBorders>
              <w:top w:val="single" w:sz="6" w:space="0" w:color="000000"/>
              <w:left w:val="single" w:sz="8" w:space="0" w:color="000000"/>
              <w:right w:val="single" w:sz="8" w:space="0" w:color="000000"/>
            </w:tcBorders>
          </w:tcPr>
          <w:p>
            <w:pPr/>
          </w:p>
        </w:tc>
        <w:tc>
          <w:tcPr>
            <w:tcW w:w="3672" w:type="dxa"/>
            <w:tcBorders>
              <w:top w:val="single" w:sz="16"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东华合创软件有限公司</w:t>
            </w:r>
          </w:p>
        </w:tc>
        <w:tc>
          <w:tcPr>
            <w:tcW w:w="1419" w:type="dxa"/>
            <w:tcBorders>
              <w:top w:val="single" w:sz="16"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16"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东华软件技术有限公司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东华合创科技有限公司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北京东华易时科技有限公司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北京东华软件开发有限公司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哈尔滨东华软件有限公司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广州东华合创数码科技有限公司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南昌东华软件有限公司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山西东华软件有限公司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13" w:hRule="exact"/>
        </w:trPr>
        <w:tc>
          <w:tcPr>
            <w:tcW w:w="1075" w:type="dxa"/>
            <w:vMerge/>
            <w:tcBorders>
              <w:left w:val="single" w:sz="8" w:space="0" w:color="000000"/>
              <w:bottom w:val="single" w:sz="8" w:space="0" w:color="000000"/>
              <w:right w:val="single" w:sz="8" w:space="0" w:color="000000"/>
            </w:tcBorders>
          </w:tcPr>
          <w:p>
            <w:pPr/>
          </w:p>
        </w:tc>
        <w:tc>
          <w:tcPr>
            <w:tcW w:w="1594" w:type="dxa"/>
            <w:vMerge/>
            <w:tcBorders>
              <w:left w:val="single" w:sz="8" w:space="0" w:color="000000"/>
              <w:bottom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北京东方易维软件有限公司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93" w:hRule="exact"/>
        </w:trPr>
        <w:tc>
          <w:tcPr>
            <w:tcW w:w="1075" w:type="dxa"/>
            <w:vMerge w:val="restart"/>
            <w:tcBorders>
              <w:top w:val="single" w:sz="8" w:space="0" w:color="000000"/>
              <w:left w:val="single" w:sz="8" w:space="0" w:color="000000"/>
              <w:right w:val="single" w:sz="8" w:space="0" w:color="000000"/>
            </w:tcBorders>
          </w:tcPr>
          <w:p>
            <w:pPr>
              <w:pStyle w:val="TableParagraph"/>
              <w:spacing w:line="240" w:lineRule="auto" w:before="139"/>
              <w:ind w:left="98" w:right="0"/>
              <w:jc w:val="left"/>
              <w:rPr>
                <w:rFonts w:ascii="宋体" w:hAnsi="宋体" w:cs="宋体" w:eastAsia="宋体" w:hint="default"/>
                <w:sz w:val="21"/>
                <w:szCs w:val="21"/>
              </w:rPr>
            </w:pPr>
            <w:r>
              <w:rPr>
                <w:rFonts w:ascii="宋体" w:hAnsi="宋体" w:cs="宋体" w:eastAsia="宋体" w:hint="default"/>
                <w:sz w:val="21"/>
                <w:szCs w:val="21"/>
              </w:rPr>
              <w:t>吕波</w:t>
            </w:r>
          </w:p>
        </w:tc>
        <w:tc>
          <w:tcPr>
            <w:tcW w:w="1594" w:type="dxa"/>
            <w:vMerge w:val="restart"/>
            <w:tcBorders>
              <w:top w:val="single" w:sz="8" w:space="0" w:color="000000"/>
              <w:left w:val="single" w:sz="8" w:space="0" w:color="000000"/>
              <w:right w:val="single" w:sz="8" w:space="0" w:color="000000"/>
            </w:tcBorders>
          </w:tcPr>
          <w:p>
            <w:pPr>
              <w:pStyle w:val="TableParagraph"/>
              <w:spacing w:line="240" w:lineRule="auto" w:before="139"/>
              <w:ind w:left="98"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哈尔滨东华软件有限公司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1075" w:type="dxa"/>
            <w:vMerge/>
            <w:tcBorders>
              <w:left w:val="single" w:sz="8" w:space="0" w:color="000000"/>
              <w:bottom w:val="single" w:sz="8" w:space="0" w:color="000000"/>
              <w:right w:val="single" w:sz="8" w:space="0" w:color="000000"/>
            </w:tcBorders>
          </w:tcPr>
          <w:p>
            <w:pPr/>
          </w:p>
        </w:tc>
        <w:tc>
          <w:tcPr>
            <w:tcW w:w="1594" w:type="dxa"/>
            <w:vMerge/>
            <w:tcBorders>
              <w:left w:val="single" w:sz="8" w:space="0" w:color="000000"/>
              <w:bottom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沈阳东华合创科技有限公司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564"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负</w:t>
            </w:r>
            <w:r>
              <w:rPr>
                <w:rFonts w:ascii="宋体" w:hAnsi="宋体" w:cs="宋体" w:eastAsia="宋体" w:hint="default"/>
                <w:w w:val="100"/>
                <w:sz w:val="21"/>
                <w:szCs w:val="21"/>
              </w:rPr>
              <w:t>责</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人</w:t>
            </w:r>
            <w:r>
              <w:rPr>
                <w:rFonts w:ascii="宋体" w:hAnsi="宋体" w:cs="宋体" w:eastAsia="宋体" w:hint="default"/>
                <w:spacing w:val="-97"/>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秘</w:t>
            </w:r>
            <w:r>
              <w:rPr>
                <w:rFonts w:ascii="宋体" w:hAnsi="宋体" w:cs="宋体" w:eastAsia="宋体" w:hint="default"/>
                <w:w w:val="100"/>
                <w:sz w:val="21"/>
                <w:szCs w:val="21"/>
              </w:rPr>
              <w:t>书</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北京联银通科技有限公司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545"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高书敬</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东华合创软件有限公司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545"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金伟</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西安东华软件有限公司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05" w:hRule="exact"/>
        </w:trPr>
        <w:tc>
          <w:tcPr>
            <w:tcW w:w="1075" w:type="dxa"/>
            <w:vMerge w:val="restart"/>
            <w:tcBorders>
              <w:top w:val="single" w:sz="8" w:space="0" w:color="000000"/>
              <w:left w:val="single" w:sz="8" w:space="0" w:color="000000"/>
              <w:right w:val="single" w:sz="8"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蒋力</w:t>
            </w:r>
          </w:p>
        </w:tc>
        <w:tc>
          <w:tcPr>
            <w:tcW w:w="1594" w:type="dxa"/>
            <w:vMerge w:val="restart"/>
            <w:tcBorders>
              <w:top w:val="single" w:sz="8" w:space="0" w:color="000000"/>
              <w:left w:val="single" w:sz="8" w:space="0" w:color="000000"/>
              <w:right w:val="single" w:sz="8"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国家开发投资公司国投研究中心</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5" w:hRule="exact"/>
        </w:trPr>
        <w:tc>
          <w:tcPr>
            <w:tcW w:w="1075" w:type="dxa"/>
            <w:vMerge/>
            <w:tcBorders>
              <w:left w:val="single" w:sz="8" w:space="0" w:color="000000"/>
              <w:bottom w:val="single" w:sz="8" w:space="0" w:color="000000"/>
              <w:right w:val="single" w:sz="8" w:space="0" w:color="000000"/>
            </w:tcBorders>
          </w:tcPr>
          <w:p>
            <w:pPr/>
          </w:p>
        </w:tc>
        <w:tc>
          <w:tcPr>
            <w:tcW w:w="1594" w:type="dxa"/>
            <w:vMerge/>
            <w:tcBorders>
              <w:left w:val="single" w:sz="8" w:space="0" w:color="000000"/>
              <w:bottom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北京东方园林股份有限公司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2" w:hRule="exact"/>
        </w:trPr>
        <w:tc>
          <w:tcPr>
            <w:tcW w:w="1075" w:type="dxa"/>
            <w:vMerge w:val="restart"/>
            <w:tcBorders>
              <w:top w:val="single" w:sz="8" w:space="0" w:color="000000"/>
              <w:left w:val="single" w:sz="8" w:space="0" w:color="000000"/>
              <w:right w:val="single" w:sz="8" w:space="0" w:color="000000"/>
            </w:tcBorders>
          </w:tcPr>
          <w:p>
            <w:pPr>
              <w:pStyle w:val="TableParagraph"/>
              <w:spacing w:line="240" w:lineRule="auto" w:before="158"/>
              <w:ind w:left="98" w:right="0"/>
              <w:jc w:val="left"/>
              <w:rPr>
                <w:rFonts w:ascii="宋体" w:hAnsi="宋体" w:cs="宋体" w:eastAsia="宋体" w:hint="default"/>
                <w:sz w:val="21"/>
                <w:szCs w:val="21"/>
              </w:rPr>
            </w:pPr>
            <w:r>
              <w:rPr>
                <w:rFonts w:ascii="宋体" w:hAnsi="宋体" w:cs="宋体" w:eastAsia="宋体" w:hint="default"/>
                <w:sz w:val="21"/>
                <w:szCs w:val="21"/>
              </w:rPr>
              <w:t>郭庆旺</w:t>
            </w:r>
          </w:p>
        </w:tc>
        <w:tc>
          <w:tcPr>
            <w:tcW w:w="1594" w:type="dxa"/>
            <w:vMerge w:val="restart"/>
            <w:tcBorders>
              <w:top w:val="single" w:sz="8" w:space="0" w:color="000000"/>
              <w:left w:val="single" w:sz="8" w:space="0" w:color="000000"/>
              <w:right w:val="single" w:sz="8" w:space="0" w:color="000000"/>
            </w:tcBorders>
          </w:tcPr>
          <w:p>
            <w:pPr>
              <w:pStyle w:val="TableParagraph"/>
              <w:spacing w:line="240" w:lineRule="auto" w:before="158"/>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中国人民大学财政金融学院</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5" w:hRule="exact"/>
        </w:trPr>
        <w:tc>
          <w:tcPr>
            <w:tcW w:w="1075" w:type="dxa"/>
            <w:vMerge/>
            <w:tcBorders>
              <w:left w:val="single" w:sz="8" w:space="0" w:color="000000"/>
              <w:bottom w:val="single" w:sz="8" w:space="0" w:color="000000"/>
              <w:right w:val="single" w:sz="8" w:space="0" w:color="000000"/>
            </w:tcBorders>
          </w:tcPr>
          <w:p>
            <w:pPr/>
          </w:p>
        </w:tc>
        <w:tc>
          <w:tcPr>
            <w:tcW w:w="1594" w:type="dxa"/>
            <w:vMerge/>
            <w:tcBorders>
              <w:left w:val="single" w:sz="8" w:space="0" w:color="000000"/>
              <w:bottom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64"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吴淼</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中国矿业大学（北京）机电与信息工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程学院</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93" w:hRule="exact"/>
        </w:trPr>
        <w:tc>
          <w:tcPr>
            <w:tcW w:w="107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张守文</w:t>
            </w:r>
          </w:p>
        </w:tc>
        <w:tc>
          <w:tcPr>
            <w:tcW w:w="15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北京大学法学院</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教授、博导</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93"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九阳股份有限公司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90" w:hRule="exact"/>
        </w:trPr>
        <w:tc>
          <w:tcPr>
            <w:tcW w:w="1075" w:type="dxa"/>
            <w:vMerge/>
            <w:tcBorders>
              <w:left w:val="single" w:sz="8" w:space="0" w:color="000000"/>
              <w:right w:val="single" w:sz="8" w:space="0" w:color="000000"/>
            </w:tcBorders>
          </w:tcPr>
          <w:p>
            <w:pPr/>
          </w:p>
        </w:tc>
        <w:tc>
          <w:tcPr>
            <w:tcW w:w="1594" w:type="dxa"/>
            <w:vMerge/>
            <w:tcBorders>
              <w:left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华能国际电力股份有限公司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93" w:hRule="exact"/>
        </w:trPr>
        <w:tc>
          <w:tcPr>
            <w:tcW w:w="1075" w:type="dxa"/>
            <w:vMerge/>
            <w:tcBorders>
              <w:left w:val="single" w:sz="8" w:space="0" w:color="000000"/>
              <w:bottom w:val="single" w:sz="8" w:space="0" w:color="000000"/>
              <w:right w:val="single" w:sz="8" w:space="0" w:color="000000"/>
            </w:tcBorders>
          </w:tcPr>
          <w:p>
            <w:pPr/>
          </w:p>
        </w:tc>
        <w:tc>
          <w:tcPr>
            <w:tcW w:w="1594" w:type="dxa"/>
            <w:vMerge/>
            <w:tcBorders>
              <w:left w:val="single" w:sz="8" w:space="0" w:color="000000"/>
              <w:bottom w:val="single" w:sz="8" w:space="0" w:color="000000"/>
              <w:right w:val="single" w:sz="8" w:space="0" w:color="000000"/>
            </w:tcBorders>
          </w:tcPr>
          <w:p>
            <w:pP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7" w:hRule="exact"/>
        </w:trPr>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北京联银通科技有限公司</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line="240" w:lineRule="auto" w:before="1"/>
        <w:rPr>
          <w:rFonts w:ascii="黑体" w:hAnsi="黑体" w:cs="黑体" w:eastAsia="黑体" w:hint="default"/>
          <w:b/>
          <w:bCs/>
          <w:sz w:val="18"/>
          <w:szCs w:val="18"/>
        </w:rPr>
      </w:pPr>
    </w:p>
    <w:p>
      <w:pPr>
        <w:pStyle w:val="Heading3"/>
        <w:spacing w:line="240" w:lineRule="auto" w:before="19"/>
        <w:ind w:left="224" w:right="1575"/>
        <w:jc w:val="left"/>
        <w:rPr>
          <w:b w:val="0"/>
          <w:bCs w:val="0"/>
        </w:rPr>
      </w:pPr>
      <w:r>
        <w:rPr/>
        <w:t>（三）董事、监事和高级管理人员年度报酬情况</w:t>
      </w:r>
      <w:r>
        <w:rPr>
          <w:b w:val="0"/>
          <w:bCs w:val="0"/>
        </w:rPr>
      </w:r>
    </w:p>
    <w:p>
      <w:pPr>
        <w:pStyle w:val="BodyText"/>
        <w:spacing w:line="348" w:lineRule="auto" w:before="122"/>
        <w:ind w:left="224" w:right="1507" w:firstLine="479"/>
        <w:jc w:val="left"/>
      </w:pPr>
      <w:r>
        <w:rPr>
          <w:rFonts w:ascii="Calibri" w:hAnsi="Calibri" w:cs="Calibri" w:eastAsia="Calibri" w:hint="default"/>
        </w:rPr>
        <w:t>1</w:t>
      </w:r>
      <w:r>
        <w:rPr/>
        <w:t>、报酬的决策程序和报酬确定依据：董事、监事的津贴根据股东大会决议确定。 薪酬与考核委员会是董事会按照股东大会决议设立的专门工作机构，负责对董事与高 级管理人员的考核和薪酬进行审查，并提出意见和建议。在公司任职的董事、监事、 </w:t>
      </w:r>
      <w:r>
        <w:rPr>
          <w:spacing w:val="-2"/>
        </w:rPr>
        <w:t>高级管理人员按照其行政职务根据公司现行的工资制度领取报酬，年底根据经营业绩，</w:t>
      </w:r>
      <w:r>
        <w:rPr>
          <w:spacing w:val="-92"/>
        </w:rPr>
        <w:t> </w:t>
      </w:r>
      <w:r>
        <w:rPr>
          <w:spacing w:val="-92"/>
        </w:rPr>
      </w:r>
      <w:r>
        <w:rPr/>
        <w:t>按照绩效考核体系对高级管理人员进行考评，根据考评结果确定其年终奖金。</w:t>
      </w:r>
    </w:p>
    <w:p>
      <w:pPr>
        <w:pStyle w:val="BodyText"/>
        <w:spacing w:line="240" w:lineRule="auto" w:before="166"/>
        <w:ind w:left="704" w:right="1575"/>
        <w:jc w:val="left"/>
      </w:pPr>
      <w:r>
        <w:rPr>
          <w:rFonts w:ascii="Calibri" w:hAnsi="Calibri" w:cs="Calibri" w:eastAsia="Calibri" w:hint="default"/>
          <w:spacing w:val="-3"/>
        </w:rPr>
        <w:t>2</w:t>
      </w:r>
      <w:r>
        <w:rPr>
          <w:spacing w:val="-3"/>
        </w:rPr>
        <w:t>、根据</w:t>
      </w:r>
      <w:r>
        <w:rPr>
          <w:spacing w:val="-66"/>
        </w:rPr>
        <w:t> </w:t>
      </w:r>
      <w:r>
        <w:rPr>
          <w:rFonts w:ascii="Calibri" w:hAnsi="Calibri" w:cs="Calibri" w:eastAsia="Calibri" w:hint="default"/>
        </w:rPr>
        <w:t>2006</w:t>
      </w:r>
      <w:r>
        <w:rPr>
          <w:rFonts w:ascii="Calibri" w:hAnsi="Calibri" w:cs="Calibri" w:eastAsia="Calibri" w:hint="default"/>
          <w:spacing w:val="1"/>
        </w:rPr>
        <w:t> </w:t>
      </w:r>
      <w:r>
        <w:rPr/>
        <w:t>年度股东大会决议，公司董事会成员年度董事津贴为</w:t>
      </w:r>
      <w:r>
        <w:rPr>
          <w:spacing w:val="-65"/>
        </w:rPr>
        <w:t> </w:t>
      </w:r>
      <w:r>
        <w:rPr>
          <w:rFonts w:ascii="Calibri" w:hAnsi="Calibri" w:cs="Calibri" w:eastAsia="Calibri" w:hint="default"/>
        </w:rPr>
        <w:t>5 </w:t>
      </w:r>
      <w:r>
        <w:rPr/>
        <w:t>万元</w:t>
      </w:r>
      <w:r>
        <w:rPr>
          <w:rFonts w:ascii="Calibri" w:hAnsi="Calibri" w:cs="Calibri" w:eastAsia="Calibri" w:hint="default"/>
        </w:rPr>
        <w:t>/</w:t>
      </w:r>
      <w:r>
        <w:rPr/>
        <w:t>年；根</w:t>
      </w:r>
    </w:p>
    <w:p>
      <w:pPr>
        <w:pStyle w:val="BodyText"/>
        <w:spacing w:line="240" w:lineRule="auto" w:before="121"/>
        <w:ind w:left="224" w:right="0"/>
        <w:jc w:val="left"/>
      </w:pPr>
      <w:r>
        <w:rPr/>
        <w:t>据公司</w:t>
      </w:r>
      <w:r>
        <w:rPr>
          <w:spacing w:val="-69"/>
        </w:rPr>
        <w:t> </w:t>
      </w:r>
      <w:r>
        <w:rPr>
          <w:rFonts w:ascii="Calibri" w:hAnsi="Calibri" w:cs="Calibri" w:eastAsia="Calibri" w:hint="default"/>
        </w:rPr>
        <w:t>2007</w:t>
      </w:r>
      <w:r>
        <w:rPr>
          <w:rFonts w:ascii="Calibri" w:hAnsi="Calibri" w:cs="Calibri" w:eastAsia="Calibri" w:hint="default"/>
          <w:spacing w:val="-2"/>
        </w:rPr>
        <w:t> </w:t>
      </w:r>
      <w:r>
        <w:rPr/>
        <w:t>年第一次临时股东大会决议，公司监事会成员年度监事津贴为</w:t>
      </w:r>
      <w:r>
        <w:rPr>
          <w:spacing w:val="-68"/>
        </w:rPr>
        <w:t> </w:t>
      </w:r>
      <w:r>
        <w:rPr>
          <w:rFonts w:ascii="Calibri" w:hAnsi="Calibri" w:cs="Calibri" w:eastAsia="Calibri" w:hint="default"/>
        </w:rPr>
        <w:t>3</w:t>
      </w:r>
      <w:r>
        <w:rPr>
          <w:rFonts w:ascii="Calibri" w:hAnsi="Calibri" w:cs="Calibri" w:eastAsia="Calibri" w:hint="default"/>
          <w:spacing w:val="-2"/>
        </w:rPr>
        <w:t> </w:t>
      </w:r>
      <w:r>
        <w:rPr/>
        <w:t>万元</w:t>
      </w:r>
      <w:r>
        <w:rPr>
          <w:rFonts w:ascii="Calibri" w:hAnsi="Calibri" w:cs="Calibri" w:eastAsia="Calibri" w:hint="default"/>
        </w:rPr>
        <w:t>/</w:t>
      </w:r>
      <w:r>
        <w:rPr/>
        <w:t>年，</w:t>
      </w:r>
    </w:p>
    <w:p>
      <w:pPr>
        <w:spacing w:after="0" w:line="240" w:lineRule="auto"/>
        <w:jc w:val="left"/>
        <w:sectPr>
          <w:pgSz w:w="12240" w:h="15840"/>
          <w:pgMar w:header="847" w:footer="987" w:top="1380" w:bottom="1180" w:left="1420" w:right="0"/>
        </w:sectPr>
      </w:pPr>
    </w:p>
    <w:p>
      <w:pPr>
        <w:pStyle w:val="BodyText"/>
        <w:spacing w:line="355" w:lineRule="auto" w:before="11"/>
        <w:ind w:right="1696"/>
        <w:jc w:val="left"/>
      </w:pPr>
      <w:r>
        <w:rPr/>
        <w:pict>
          <v:group style="position:absolute;margin-left:80.783997pt;margin-top:1.845647pt;width:450.6pt;height:.1pt;mso-position-horizontal-relative:page;mso-position-vertical-relative:paragraph;z-index:-864616" coordorigin="1616,37" coordsize="9012,2">
            <v:shape style="position:absolute;left:1616;top:37;width:9012;height:2" coordorigin="1616,37" coordsize="9012,0" path="m1616,37l10627,37e" filled="false" stroked="true" strokeweight=".71999pt" strokecolor="#000000">
              <v:path arrowok="t"/>
            </v:shape>
            <w10:wrap type="none"/>
          </v:group>
        </w:pict>
      </w:r>
      <w:r>
        <w:rPr/>
        <w:t>股东监事在股东单位领薪，在本公司领取监事津贴。此外，公司负责支付董事、监事 参加公司活动的差旅及食宿费用。</w:t>
      </w:r>
    </w:p>
    <w:p>
      <w:pPr>
        <w:pStyle w:val="BodyText"/>
        <w:spacing w:line="240" w:lineRule="auto" w:before="158"/>
        <w:ind w:left="624" w:right="1697"/>
        <w:jc w:val="left"/>
      </w:pPr>
      <w:r>
        <w:rPr>
          <w:rFonts w:ascii="Calibri" w:hAnsi="Calibri" w:cs="Calibri" w:eastAsia="Calibri" w:hint="default"/>
        </w:rPr>
        <w:t>3</w:t>
      </w:r>
      <w:r>
        <w:rPr/>
        <w:t>、公司董事、监事和高级管理人员领取报酬或津贴情况</w:t>
      </w:r>
    </w:p>
    <w:p>
      <w:pPr>
        <w:spacing w:line="240" w:lineRule="auto" w:before="8"/>
        <w:rPr>
          <w:rFonts w:ascii="宋体" w:hAnsi="宋体" w:cs="宋体" w:eastAsia="宋体" w:hint="default"/>
          <w:sz w:val="21"/>
          <w:szCs w:val="21"/>
        </w:rPr>
      </w:pPr>
    </w:p>
    <w:tbl>
      <w:tblPr>
        <w:tblW w:w="0" w:type="auto"/>
        <w:jc w:val="left"/>
        <w:tblInd w:w="161" w:type="dxa"/>
        <w:tblLayout w:type="fixed"/>
        <w:tblCellMar>
          <w:top w:w="0" w:type="dxa"/>
          <w:left w:w="0" w:type="dxa"/>
          <w:bottom w:w="0" w:type="dxa"/>
          <w:right w:w="0" w:type="dxa"/>
        </w:tblCellMar>
        <w:tblLook w:val="01E0"/>
      </w:tblPr>
      <w:tblGrid>
        <w:gridCol w:w="972"/>
        <w:gridCol w:w="3217"/>
        <w:gridCol w:w="2232"/>
        <w:gridCol w:w="2494"/>
      </w:tblGrid>
      <w:tr>
        <w:trPr>
          <w:trHeight w:val="1086"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21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57"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223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6" w:lineRule="auto" w:before="9"/>
              <w:ind w:left="33" w:right="33"/>
              <w:jc w:val="center"/>
              <w:rPr>
                <w:rFonts w:ascii="宋体" w:hAnsi="宋体" w:cs="宋体" w:eastAsia="宋体" w:hint="default"/>
                <w:sz w:val="24"/>
                <w:szCs w:val="24"/>
              </w:rPr>
            </w:pPr>
            <w:r>
              <w:rPr>
                <w:rFonts w:ascii="宋体" w:hAnsi="宋体" w:cs="宋体" w:eastAsia="宋体" w:hint="default"/>
                <w:sz w:val="24"/>
                <w:szCs w:val="24"/>
              </w:rPr>
              <w:t>报告期内从公司领取 的报酬总额（万元）</w:t>
            </w:r>
          </w:p>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（税前）</w:t>
            </w:r>
          </w:p>
        </w:tc>
        <w:tc>
          <w:tcPr>
            <w:tcW w:w="24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6" w:lineRule="auto" w:before="9"/>
              <w:ind w:left="43" w:right="44"/>
              <w:jc w:val="center"/>
              <w:rPr>
                <w:rFonts w:ascii="宋体" w:hAnsi="宋体" w:cs="宋体" w:eastAsia="宋体" w:hint="default"/>
                <w:sz w:val="24"/>
                <w:szCs w:val="24"/>
              </w:rPr>
            </w:pPr>
            <w:r>
              <w:rPr>
                <w:rFonts w:ascii="宋体" w:hAnsi="宋体" w:cs="宋体" w:eastAsia="宋体" w:hint="default"/>
                <w:sz w:val="24"/>
                <w:szCs w:val="24"/>
              </w:rPr>
              <w:t>是否在股东单位或其他 关联单位领取报酬、津 贴</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薛向东</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18.00</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79" w:val="left" w:leader="none"/>
              </w:tabs>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吕</w:t>
              <w:tab/>
              <w:t>波</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85" w:right="0"/>
              <w:jc w:val="left"/>
              <w:rPr>
                <w:rFonts w:ascii="宋体" w:hAnsi="宋体" w:cs="宋体" w:eastAsia="宋体" w:hint="default"/>
                <w:sz w:val="24"/>
                <w:szCs w:val="24"/>
              </w:rPr>
            </w:pPr>
            <w:r>
              <w:rPr>
                <w:rFonts w:ascii="宋体" w:hAnsi="宋体" w:cs="宋体" w:eastAsia="宋体" w:hint="default"/>
                <w:sz w:val="24"/>
                <w:szCs w:val="24"/>
              </w:rPr>
              <w:t>董事、总经理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16.80</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
              <w:ind w:right="0"/>
              <w:jc w:val="center"/>
              <w:rPr>
                <w:rFonts w:ascii="宋体" w:hAnsi="宋体" w:cs="宋体" w:eastAsia="宋体" w:hint="default"/>
                <w:sz w:val="24"/>
                <w:szCs w:val="24"/>
              </w:rPr>
            </w:pPr>
            <w:r>
              <w:rPr>
                <w:rFonts w:ascii="宋体" w:hAnsi="宋体" w:cs="宋体" w:eastAsia="宋体" w:hint="default"/>
                <w:sz w:val="24"/>
                <w:szCs w:val="24"/>
              </w:rPr>
              <w:t>夏金崇</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16.05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李建国</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16.05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79" w:val="left" w:leader="none"/>
              </w:tabs>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杨</w:t>
              <w:tab/>
              <w:t>健</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5" w:right="0"/>
              <w:jc w:val="left"/>
              <w:rPr>
                <w:rFonts w:ascii="宋体" w:hAnsi="宋体" w:cs="宋体" w:eastAsia="宋体" w:hint="default"/>
                <w:sz w:val="24"/>
                <w:szCs w:val="24"/>
              </w:rPr>
            </w:pPr>
            <w:r>
              <w:rPr>
                <w:rFonts w:ascii="宋体" w:hAnsi="宋体" w:cs="宋体" w:eastAsia="宋体" w:hint="default"/>
                <w:sz w:val="24"/>
                <w:szCs w:val="24"/>
              </w:rPr>
              <w:t>董事、财务总监、董事会秘书</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15.35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郑晓清</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14.05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甄秀欣</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4.20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蒋力</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5.00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郭庆旺</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5.00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吴淼</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5.00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张守文</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0.80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8"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苏根继</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12.50</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蒋恕慧</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12.50</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2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87"/>
              <w:ind w:right="0"/>
              <w:jc w:val="center"/>
              <w:rPr>
                <w:rFonts w:ascii="宋体" w:hAnsi="宋体" w:cs="宋体" w:eastAsia="宋体" w:hint="default"/>
                <w:sz w:val="24"/>
                <w:szCs w:val="24"/>
              </w:rPr>
            </w:pPr>
            <w:r>
              <w:rPr>
                <w:rFonts w:ascii="宋体" w:hAnsi="宋体" w:cs="宋体" w:eastAsia="宋体" w:hint="default"/>
                <w:sz w:val="24"/>
                <w:szCs w:val="24"/>
              </w:rPr>
              <w:t>郭玉杰</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7"/>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3"/>
              <w:ind w:right="-2"/>
              <w:jc w:val="right"/>
              <w:rPr>
                <w:rFonts w:ascii="Calibri" w:hAnsi="Calibri" w:cs="Calibri" w:eastAsia="Calibri" w:hint="default"/>
                <w:sz w:val="24"/>
                <w:szCs w:val="24"/>
              </w:rPr>
            </w:pPr>
            <w:r>
              <w:rPr>
                <w:rFonts w:ascii="Calibri"/>
                <w:sz w:val="24"/>
              </w:rPr>
              <w:t>3.00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163" w:right="44" w:hanging="120"/>
              <w:jc w:val="left"/>
              <w:rPr>
                <w:rFonts w:ascii="宋体" w:hAnsi="宋体" w:cs="宋体" w:eastAsia="宋体" w:hint="default"/>
                <w:sz w:val="24"/>
                <w:szCs w:val="24"/>
              </w:rPr>
            </w:pPr>
            <w:r>
              <w:rPr>
                <w:rFonts w:ascii="宋体" w:hAnsi="宋体" w:cs="宋体" w:eastAsia="宋体" w:hint="default"/>
                <w:sz w:val="24"/>
                <w:szCs w:val="24"/>
              </w:rPr>
              <w:t>是，在股东单位领薪， 在公司领取监事津贴</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79" w:val="left" w:leader="none"/>
              </w:tabs>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金</w:t>
              <w:tab/>
              <w:t>伟</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11.05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高书敬</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9.50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黄杏国</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10.20</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林文平</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11.35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刘志华</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
              <w:jc w:val="right"/>
              <w:rPr>
                <w:rFonts w:ascii="Calibri" w:hAnsi="Calibri" w:cs="Calibri" w:eastAsia="Calibri" w:hint="default"/>
                <w:sz w:val="24"/>
                <w:szCs w:val="24"/>
              </w:rPr>
            </w:pPr>
            <w:r>
              <w:rPr>
                <w:rFonts w:ascii="Calibri"/>
                <w:spacing w:val="-1"/>
                <w:sz w:val="24"/>
              </w:rPr>
              <w:t>11.45</w:t>
            </w:r>
            <w:r>
              <w:rPr>
                <w:rFonts w:ascii="Calibri"/>
                <w:sz w:val="24"/>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李强</w:t>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0.00</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是，在联银通领薪</w:t>
            </w:r>
          </w:p>
        </w:tc>
      </w:tr>
      <w:tr>
        <w:trPr>
          <w:trHeight w:val="365" w:hRule="exact"/>
        </w:trPr>
        <w:tc>
          <w:tcPr>
            <w:tcW w:w="9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7"/>
              <w:ind w:left="2"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hAnsi="Arial" w:cs="Arial" w:eastAsia="Arial" w:hint="default"/>
                <w:b/>
                <w:bCs/>
                <w:sz w:val="24"/>
                <w:szCs w:val="24"/>
              </w:rPr>
              <w:t>—</w:t>
            </w:r>
            <w:r>
              <w:rPr>
                <w:rFonts w:ascii="Arial" w:hAnsi="Arial" w:cs="Arial" w:eastAsia="Arial" w:hint="default"/>
                <w:sz w:val="24"/>
                <w:szCs w:val="24"/>
              </w:rPr>
            </w:r>
          </w:p>
        </w:tc>
        <w:tc>
          <w:tcPr>
            <w:tcW w:w="2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2"/>
              <w:jc w:val="right"/>
              <w:rPr>
                <w:rFonts w:ascii="Calibri" w:hAnsi="Calibri" w:cs="Calibri" w:eastAsia="Calibri" w:hint="default"/>
                <w:sz w:val="24"/>
                <w:szCs w:val="24"/>
              </w:rPr>
            </w:pPr>
            <w:r>
              <w:rPr>
                <w:rFonts w:ascii="Calibri"/>
                <w:sz w:val="24"/>
              </w:rPr>
              <w:t>197.85</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w:t>
            </w:r>
          </w:p>
        </w:tc>
      </w:tr>
    </w:tbl>
    <w:p>
      <w:pPr>
        <w:pStyle w:val="BodyText"/>
        <w:spacing w:line="410" w:lineRule="auto" w:before="79"/>
        <w:ind w:left="624" w:right="1696"/>
        <w:jc w:val="left"/>
      </w:pPr>
      <w:r>
        <w:rPr>
          <w:rFonts w:ascii="Calibri" w:hAnsi="Calibri" w:cs="Calibri" w:eastAsia="Calibri" w:hint="default"/>
        </w:rPr>
        <w:t>4</w:t>
      </w:r>
      <w:r>
        <w:rPr/>
        <w:t>、董事、监事、高级管理人员持有股票期权和被授予限制性股票情况 报告期内公司不存在董事、监事、高级管理人员持有股票期权和被授予限制性股</w:t>
      </w:r>
    </w:p>
    <w:p>
      <w:pPr>
        <w:pStyle w:val="BodyText"/>
        <w:spacing w:line="295" w:lineRule="exact"/>
        <w:ind w:right="1697"/>
        <w:jc w:val="left"/>
      </w:pPr>
      <w:r>
        <w:rPr/>
        <w:t>票情况。</w:t>
      </w:r>
    </w:p>
    <w:p>
      <w:pPr>
        <w:spacing w:after="0" w:line="295" w:lineRule="exact"/>
        <w:jc w:val="left"/>
        <w:sectPr>
          <w:footerReference w:type="even" r:id="rId22"/>
          <w:footerReference w:type="default" r:id="rId23"/>
          <w:pgSz w:w="12240" w:h="15840"/>
          <w:pgMar w:footer="987" w:header="847" w:top="1360" w:bottom="1180" w:left="1500" w:right="0"/>
        </w:sectPr>
      </w:pPr>
    </w:p>
    <w:p>
      <w:pPr>
        <w:spacing w:line="240" w:lineRule="auto" w:before="4"/>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3"/>
        <w:spacing w:line="240" w:lineRule="auto" w:before="17"/>
        <w:ind w:left="224" w:right="1575"/>
        <w:jc w:val="left"/>
        <w:rPr>
          <w:b w:val="0"/>
          <w:bCs w:val="0"/>
        </w:rPr>
      </w:pPr>
      <w:r>
        <w:rPr/>
        <w:t>（四）董事、监事和高级管理人员的变动情况</w:t>
      </w:r>
      <w:r>
        <w:rPr>
          <w:b w:val="0"/>
          <w:bCs w:val="0"/>
        </w:rPr>
      </w:r>
    </w:p>
    <w:p>
      <w:pPr>
        <w:pStyle w:val="BodyText"/>
        <w:spacing w:line="336" w:lineRule="auto" w:before="122"/>
        <w:ind w:left="224" w:right="1635" w:firstLine="479"/>
        <w:jc w:val="both"/>
      </w:pPr>
      <w:r>
        <w:rPr>
          <w:rFonts w:ascii="Calibri" w:hAnsi="Calibri" w:cs="Calibri" w:eastAsia="Calibri" w:hint="default"/>
        </w:rPr>
        <w:t>1</w:t>
      </w:r>
      <w:r>
        <w:rPr/>
        <w:t>、</w:t>
      </w:r>
      <w:r>
        <w:rPr>
          <w:rFonts w:ascii="Calibri" w:hAnsi="Calibri" w:cs="Calibri" w:eastAsia="Calibri" w:hint="default"/>
        </w:rPr>
        <w:t>2011</w:t>
      </w:r>
      <w:r>
        <w:rPr/>
        <w:t>年</w:t>
      </w:r>
      <w:r>
        <w:rPr>
          <w:rFonts w:ascii="Calibri" w:hAnsi="Calibri" w:cs="Calibri" w:eastAsia="Calibri" w:hint="default"/>
        </w:rPr>
        <w:t>9</w:t>
      </w:r>
      <w:r>
        <w:rPr/>
        <w:t>月</w:t>
      </w:r>
      <w:r>
        <w:rPr>
          <w:rFonts w:ascii="Calibri" w:hAnsi="Calibri" w:cs="Calibri" w:eastAsia="Calibri" w:hint="default"/>
        </w:rPr>
        <w:t>28</w:t>
      </w:r>
      <w:r>
        <w:rPr/>
        <w:t>日，公司收到独立董事甄秀欣女士的辞职申请，甄秀欣女士因其 任职的中信证券股份有限公司发布了《关于公司员工不得兼任上市公司独立董事的通 </w:t>
      </w:r>
      <w:r>
        <w:rPr>
          <w:spacing w:val="-2"/>
        </w:rPr>
        <w:t>知》申请辞去公司独立董事一职，辞职后不在本公司担任任何职务。详见</w:t>
      </w:r>
      <w:r>
        <w:rPr>
          <w:rFonts w:ascii="Calibri" w:hAnsi="Calibri" w:cs="Calibri" w:eastAsia="Calibri" w:hint="default"/>
          <w:spacing w:val="-2"/>
        </w:rPr>
        <w:t>2011</w:t>
      </w:r>
      <w:r>
        <w:rPr>
          <w:spacing w:val="-2"/>
        </w:rPr>
        <w:t>年</w:t>
      </w:r>
      <w:r>
        <w:rPr>
          <w:rFonts w:ascii="Calibri" w:hAnsi="Calibri" w:cs="Calibri" w:eastAsia="Calibri" w:hint="default"/>
          <w:spacing w:val="-2"/>
        </w:rPr>
        <w:t>9</w:t>
      </w:r>
      <w:r>
        <w:rPr>
          <w:spacing w:val="-2"/>
        </w:rPr>
        <w:t>月</w:t>
      </w:r>
      <w:r>
        <w:rPr>
          <w:rFonts w:ascii="Calibri" w:hAnsi="Calibri" w:cs="Calibri" w:eastAsia="Calibri" w:hint="default"/>
          <w:spacing w:val="-2"/>
        </w:rPr>
        <w:t>30</w:t>
      </w:r>
      <w:r>
        <w:rPr>
          <w:rFonts w:ascii="Calibri" w:hAnsi="Calibri" w:cs="Calibri" w:eastAsia="Calibri" w:hint="default"/>
          <w:spacing w:val="-34"/>
        </w:rPr>
        <w:t> </w:t>
      </w:r>
      <w:r>
        <w:rPr/>
        <w:t>日刊登在《中国证券报》、《证券时报》和巨潮资讯网（</w:t>
      </w:r>
      <w:hyperlink r:id="rId17">
        <w:r>
          <w:rPr>
            <w:rFonts w:ascii="Calibri" w:hAnsi="Calibri" w:cs="Calibri" w:eastAsia="Calibri" w:hint="default"/>
          </w:rPr>
          <w:t>www.cninfo.com.cn</w:t>
        </w:r>
      </w:hyperlink>
      <w:r>
        <w:rPr/>
        <w:t>）的《东</w:t>
      </w:r>
    </w:p>
    <w:p>
      <w:pPr>
        <w:pStyle w:val="BodyText"/>
        <w:spacing w:line="240" w:lineRule="auto" w:before="6"/>
        <w:ind w:left="224" w:right="1575"/>
        <w:jc w:val="left"/>
      </w:pPr>
      <w:r>
        <w:rPr/>
        <w:t>华软件股份公司独立董事辞职公告》（公告号：</w:t>
      </w:r>
      <w:r>
        <w:rPr>
          <w:rFonts w:ascii="Calibri" w:hAnsi="Calibri" w:cs="Calibri" w:eastAsia="Calibri" w:hint="default"/>
        </w:rPr>
        <w:t>2011-034</w:t>
      </w:r>
      <w:r>
        <w:rPr/>
        <w:t>）。</w:t>
      </w:r>
    </w:p>
    <w:p>
      <w:pPr>
        <w:spacing w:line="240" w:lineRule="auto" w:before="5"/>
        <w:rPr>
          <w:rFonts w:ascii="宋体" w:hAnsi="宋体" w:cs="宋体" w:eastAsia="宋体" w:hint="default"/>
          <w:sz w:val="18"/>
          <w:szCs w:val="18"/>
        </w:rPr>
      </w:pPr>
    </w:p>
    <w:p>
      <w:pPr>
        <w:pStyle w:val="BodyText"/>
        <w:spacing w:line="324" w:lineRule="auto"/>
        <w:ind w:left="224" w:right="1522" w:firstLine="479"/>
        <w:jc w:val="both"/>
      </w:pPr>
      <w:r>
        <w:rPr>
          <w:rFonts w:ascii="Calibri" w:hAnsi="Calibri" w:cs="Calibri" w:eastAsia="Calibri" w:hint="default"/>
        </w:rPr>
        <w:t>2</w:t>
      </w:r>
      <w:r>
        <w:rPr/>
        <w:t>、</w:t>
      </w: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21</w:t>
      </w:r>
      <w:r>
        <w:rPr/>
        <w:t>日，公司</w:t>
      </w:r>
      <w:r>
        <w:rPr>
          <w:rFonts w:ascii="Calibri" w:hAnsi="Calibri" w:cs="Calibri" w:eastAsia="Calibri" w:hint="default"/>
        </w:rPr>
        <w:t>2011</w:t>
      </w:r>
      <w:r>
        <w:rPr/>
        <w:t>年第一次临时股东大会选举张守文先生为公司独立 董事。相关信息详见</w:t>
      </w: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w:t>
      </w:r>
      <w:r>
        <w:rPr/>
        <w:t>日刊登在《中国证券报》、《证券时报》和巨潮资讯 </w:t>
      </w:r>
      <w:r>
        <w:rPr>
          <w:spacing w:val="-2"/>
        </w:rPr>
        <w:t>网（</w:t>
      </w:r>
      <w:hyperlink r:id="rId17">
        <w:r>
          <w:rPr>
            <w:rFonts w:ascii="Calibri" w:hAnsi="Calibri" w:cs="Calibri" w:eastAsia="Calibri" w:hint="default"/>
            <w:spacing w:val="-2"/>
          </w:rPr>
          <w:t>www.cninfo.com.cn</w:t>
        </w:r>
      </w:hyperlink>
      <w:r>
        <w:rPr>
          <w:spacing w:val="-2"/>
        </w:rPr>
        <w:t>）的《东华软件股份公司第四届董事会第十二次会议决议公告》</w:t>
      </w:r>
    </w:p>
    <w:p>
      <w:pPr>
        <w:pStyle w:val="BodyText"/>
        <w:spacing w:line="324" w:lineRule="auto" w:before="20"/>
        <w:ind w:left="224" w:right="1507"/>
        <w:jc w:val="left"/>
      </w:pPr>
      <w:r>
        <w:rPr>
          <w:spacing w:val="-6"/>
        </w:rPr>
        <w:t>（公告号：</w:t>
      </w:r>
      <w:r>
        <w:rPr>
          <w:rFonts w:ascii="Calibri" w:hAnsi="Calibri" w:cs="Calibri" w:eastAsia="Calibri" w:hint="default"/>
          <w:spacing w:val="-6"/>
        </w:rPr>
        <w:t>2011-037</w:t>
      </w:r>
      <w:r>
        <w:rPr>
          <w:spacing w:val="-6"/>
        </w:rPr>
        <w:t>）、</w:t>
      </w:r>
      <w:r>
        <w:rPr>
          <w:rFonts w:ascii="Calibri" w:hAnsi="Calibri" w:cs="Calibri" w:eastAsia="Calibri" w:hint="default"/>
          <w:spacing w:val="-6"/>
        </w:rPr>
        <w:t>2011</w:t>
      </w:r>
      <w:r>
        <w:rPr>
          <w:spacing w:val="-6"/>
        </w:rPr>
        <w:t>年</w:t>
      </w:r>
      <w:r>
        <w:rPr>
          <w:rFonts w:ascii="Calibri" w:hAnsi="Calibri" w:cs="Calibri" w:eastAsia="Calibri" w:hint="default"/>
          <w:spacing w:val="-6"/>
        </w:rPr>
        <w:t>11</w:t>
      </w:r>
      <w:r>
        <w:rPr>
          <w:spacing w:val="-6"/>
        </w:rPr>
        <w:t>月</w:t>
      </w:r>
      <w:r>
        <w:rPr>
          <w:rFonts w:ascii="Calibri" w:hAnsi="Calibri" w:cs="Calibri" w:eastAsia="Calibri" w:hint="default"/>
          <w:spacing w:val="-6"/>
        </w:rPr>
        <w:t>2</w:t>
      </w:r>
      <w:r>
        <w:rPr>
          <w:spacing w:val="-6"/>
        </w:rPr>
        <w:t>日刊登在巨潮资讯网（</w:t>
      </w:r>
      <w:hyperlink r:id="rId17">
        <w:r>
          <w:rPr>
            <w:rFonts w:ascii="Calibri" w:hAnsi="Calibri" w:cs="Calibri" w:eastAsia="Calibri" w:hint="default"/>
            <w:spacing w:val="-6"/>
          </w:rPr>
          <w:t>www.cninfo.com.cn</w:t>
        </w:r>
      </w:hyperlink>
      <w:r>
        <w:rPr>
          <w:spacing w:val="-6"/>
        </w:rPr>
        <w:t>）的《独</w:t>
      </w:r>
      <w:r>
        <w:rPr>
          <w:spacing w:val="-110"/>
        </w:rPr>
        <w:t> </w:t>
      </w:r>
      <w:r>
        <w:rPr>
          <w:spacing w:val="-110"/>
        </w:rPr>
      </w:r>
      <w:r>
        <w:rPr>
          <w:spacing w:val="-2"/>
        </w:rPr>
        <w:t>立董事对提名独立董事候选人的独立意见》、</w:t>
      </w:r>
      <w:r>
        <w:rPr>
          <w:rFonts w:ascii="Calibri" w:hAnsi="Calibri" w:cs="Calibri" w:eastAsia="Calibri" w:hint="default"/>
          <w:spacing w:val="-2"/>
        </w:rPr>
        <w:t>2011</w:t>
      </w:r>
      <w:r>
        <w:rPr>
          <w:spacing w:val="-2"/>
        </w:rPr>
        <w:t>年</w:t>
      </w:r>
      <w:r>
        <w:rPr>
          <w:rFonts w:ascii="Calibri" w:hAnsi="Calibri" w:cs="Calibri" w:eastAsia="Calibri" w:hint="default"/>
          <w:spacing w:val="-2"/>
        </w:rPr>
        <w:t>11</w:t>
      </w:r>
      <w:r>
        <w:rPr>
          <w:spacing w:val="-2"/>
        </w:rPr>
        <w:t>月</w:t>
      </w:r>
      <w:r>
        <w:rPr>
          <w:rFonts w:ascii="Calibri" w:hAnsi="Calibri" w:cs="Calibri" w:eastAsia="Calibri" w:hint="default"/>
          <w:spacing w:val="-2"/>
        </w:rPr>
        <w:t>22</w:t>
      </w:r>
      <w:r>
        <w:rPr>
          <w:spacing w:val="-2"/>
        </w:rPr>
        <w:t>日刊登在《中国证券报》、</w:t>
      </w:r>
    </w:p>
    <w:p>
      <w:pPr>
        <w:pStyle w:val="BodyText"/>
        <w:spacing w:line="324" w:lineRule="auto" w:before="20"/>
        <w:ind w:left="224" w:right="1668"/>
        <w:jc w:val="left"/>
      </w:pPr>
      <w:r>
        <w:rPr/>
        <w:t>《证券时报》和巨潮资讯网（</w:t>
      </w:r>
      <w:hyperlink r:id="rId17">
        <w:r>
          <w:rPr>
            <w:rFonts w:ascii="Calibri" w:hAnsi="Calibri" w:cs="Calibri" w:eastAsia="Calibri" w:hint="default"/>
          </w:rPr>
          <w:t>www.cninfo.com.cn</w:t>
        </w:r>
      </w:hyperlink>
      <w:r>
        <w:rPr/>
        <w:t>）的《东华软件股份公司</w:t>
      </w:r>
      <w:r>
        <w:rPr>
          <w:rFonts w:ascii="Calibri" w:hAnsi="Calibri" w:cs="Calibri" w:eastAsia="Calibri" w:hint="default"/>
        </w:rPr>
        <w:t>2011</w:t>
      </w:r>
      <w:r>
        <w:rPr/>
        <w:t>年第一 次临时股东大会决议公告》（公告号：</w:t>
      </w:r>
      <w:r>
        <w:rPr>
          <w:rFonts w:ascii="Calibri" w:hAnsi="Calibri" w:cs="Calibri" w:eastAsia="Calibri" w:hint="default"/>
        </w:rPr>
        <w:t>2011-040</w:t>
      </w:r>
      <w:r>
        <w:rPr/>
        <w:t>）。</w:t>
      </w:r>
    </w:p>
    <w:p>
      <w:pPr>
        <w:spacing w:line="240" w:lineRule="auto" w:before="0"/>
        <w:rPr>
          <w:rFonts w:ascii="宋体" w:hAnsi="宋体" w:cs="宋体" w:eastAsia="宋体" w:hint="default"/>
          <w:sz w:val="26"/>
          <w:szCs w:val="26"/>
        </w:rPr>
      </w:pPr>
    </w:p>
    <w:p>
      <w:pPr>
        <w:pStyle w:val="Heading2"/>
        <w:spacing w:line="240" w:lineRule="auto" w:before="193"/>
        <w:ind w:left="224" w:right="1575"/>
        <w:jc w:val="left"/>
        <w:rPr>
          <w:b w:val="0"/>
          <w:bCs w:val="0"/>
        </w:rPr>
      </w:pPr>
      <w:r>
        <w:rPr/>
        <w:t>二、公司员工情况</w:t>
      </w:r>
      <w:r>
        <w:rPr>
          <w:b w:val="0"/>
          <w:bCs w:val="0"/>
        </w:rPr>
      </w:r>
    </w:p>
    <w:p>
      <w:pPr>
        <w:pStyle w:val="BodyText"/>
        <w:spacing w:line="240" w:lineRule="auto" w:before="122"/>
        <w:ind w:left="687" w:right="5645"/>
        <w:jc w:val="center"/>
      </w:pPr>
      <w:r>
        <w:rPr/>
        <w:t>截至报告期末，公司在职员工为</w:t>
      </w:r>
      <w:r>
        <w:rPr>
          <w:spacing w:val="-60"/>
        </w:rPr>
        <w:t> </w:t>
      </w:r>
      <w:r>
        <w:rPr>
          <w:rFonts w:ascii="Calibri" w:hAnsi="Calibri" w:cs="Calibri" w:eastAsia="Calibri" w:hint="default"/>
        </w:rPr>
        <w:t>2947</w:t>
      </w:r>
      <w:r>
        <w:rPr>
          <w:rFonts w:ascii="Calibri" w:hAnsi="Calibri" w:cs="Calibri" w:eastAsia="Calibri" w:hint="default"/>
          <w:spacing w:val="6"/>
        </w:rPr>
        <w:t> </w:t>
      </w:r>
      <w:r>
        <w:rPr/>
        <w:t>人。</w:t>
      </w:r>
    </w:p>
    <w:p>
      <w:pPr>
        <w:spacing w:line="240" w:lineRule="auto" w:before="11"/>
        <w:rPr>
          <w:rFonts w:ascii="宋体" w:hAnsi="宋体" w:cs="宋体" w:eastAsia="宋体" w:hint="default"/>
          <w:sz w:val="31"/>
          <w:szCs w:val="31"/>
        </w:rPr>
      </w:pPr>
    </w:p>
    <w:p>
      <w:pPr>
        <w:pStyle w:val="Heading3"/>
        <w:spacing w:line="240" w:lineRule="auto"/>
        <w:ind w:left="224" w:right="1575"/>
        <w:jc w:val="left"/>
        <w:rPr>
          <w:b w:val="0"/>
          <w:bCs w:val="0"/>
        </w:rPr>
      </w:pPr>
      <w:r>
        <w:rPr/>
        <w:t>（一）公司员工构成比例</w:t>
      </w:r>
      <w:r>
        <w:rPr>
          <w:b w:val="0"/>
          <w:bCs w:val="0"/>
        </w:rPr>
      </w:r>
    </w:p>
    <w:p>
      <w:pPr>
        <w:spacing w:line="240" w:lineRule="auto" w:before="8"/>
        <w:rPr>
          <w:rFonts w:ascii="黑体" w:hAnsi="黑体" w:cs="黑体" w:eastAsia="黑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375"/>
        <w:gridCol w:w="2945"/>
        <w:gridCol w:w="2850"/>
      </w:tblGrid>
      <w:tr>
        <w:trPr>
          <w:trHeight w:val="370" w:hRule="exact"/>
        </w:trPr>
        <w:tc>
          <w:tcPr>
            <w:tcW w:w="337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1199"/>
              <w:jc w:val="right"/>
              <w:rPr>
                <w:rFonts w:ascii="宋体" w:hAnsi="宋体" w:cs="宋体" w:eastAsia="宋体" w:hint="default"/>
                <w:sz w:val="24"/>
                <w:szCs w:val="24"/>
              </w:rPr>
            </w:pPr>
            <w:r>
              <w:rPr>
                <w:rFonts w:ascii="宋体" w:hAnsi="宋体" w:cs="宋体" w:eastAsia="宋体" w:hint="default"/>
                <w:b/>
                <w:bCs/>
                <w:sz w:val="24"/>
                <w:szCs w:val="24"/>
              </w:rPr>
              <w:t>类别项目</w:t>
            </w:r>
            <w:r>
              <w:rPr>
                <w:rFonts w:ascii="宋体" w:hAnsi="宋体" w:cs="宋体" w:eastAsia="宋体" w:hint="default"/>
                <w:sz w:val="24"/>
                <w:szCs w:val="24"/>
              </w:rPr>
            </w:r>
          </w:p>
        </w:tc>
        <w:tc>
          <w:tcPr>
            <w:tcW w:w="29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left="2" w:right="0"/>
              <w:jc w:val="center"/>
              <w:rPr>
                <w:rFonts w:ascii="宋体" w:hAnsi="宋体" w:cs="宋体" w:eastAsia="宋体" w:hint="default"/>
                <w:sz w:val="24"/>
                <w:szCs w:val="24"/>
              </w:rPr>
            </w:pPr>
            <w:r>
              <w:rPr>
                <w:rFonts w:ascii="宋体" w:hAnsi="宋体" w:cs="宋体" w:eastAsia="宋体" w:hint="default"/>
                <w:b/>
                <w:bCs/>
                <w:sz w:val="24"/>
                <w:szCs w:val="24"/>
              </w:rPr>
              <w:t>占员工总数比例</w:t>
            </w:r>
            <w:r>
              <w:rPr>
                <w:rFonts w:ascii="宋体" w:hAnsi="宋体" w:cs="宋体" w:eastAsia="宋体" w:hint="default"/>
                <w:sz w:val="24"/>
                <w:szCs w:val="24"/>
              </w:rPr>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2441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82.83%</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252</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8.00%</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198</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6.72%</w:t>
            </w:r>
          </w:p>
        </w:tc>
      </w:tr>
      <w:tr>
        <w:trPr>
          <w:trHeight w:val="37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其他人员</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56</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1.90%</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7"/>
              <w:ind w:right="1202"/>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2947</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2240" w:h="15840"/>
          <w:pgMar w:header="847" w:footer="987" w:top="1360" w:bottom="1180" w:left="1420" w:right="0"/>
        </w:sectPr>
      </w:pPr>
    </w:p>
    <w:p>
      <w:pPr>
        <w:spacing w:line="240" w:lineRule="auto" w:before="4"/>
        <w:rPr>
          <w:rFonts w:ascii="黑体" w:hAnsi="黑体" w:cs="黑体" w:eastAsia="黑体" w:hint="default"/>
          <w:b/>
          <w:bCs/>
          <w:sz w:val="2"/>
          <w:szCs w:val="2"/>
        </w:rPr>
      </w:pPr>
    </w:p>
    <w:p>
      <w:pPr>
        <w:spacing w:line="4507" w:lineRule="exact"/>
        <w:ind w:left="188" w:right="0" w:firstLine="0"/>
        <w:rPr>
          <w:rFonts w:ascii="黑体" w:hAnsi="黑体" w:cs="黑体" w:eastAsia="黑体" w:hint="default"/>
          <w:sz w:val="20"/>
          <w:szCs w:val="20"/>
        </w:rPr>
      </w:pPr>
      <w:r>
        <w:rPr>
          <w:rFonts w:ascii="黑体" w:hAnsi="黑体" w:cs="黑体" w:eastAsia="黑体" w:hint="default"/>
          <w:position w:val="-89"/>
          <w:sz w:val="20"/>
          <w:szCs w:val="20"/>
        </w:rPr>
        <w:pict>
          <v:group style="width:451.3pt;height:225.4pt;mso-position-horizontal-relative:char;mso-position-vertical-relative:line" coordorigin="0,0" coordsize="9026,4508">
            <v:group style="position:absolute;left:7;top:7;width:9012;height:2" coordorigin="7,7" coordsize="9012,2">
              <v:shape style="position:absolute;left:7;top:7;width:9012;height:2" coordorigin="7,7" coordsize="9012,0" path="m7,7l9019,7e" filled="false" stroked="true" strokeweight=".71999pt" strokecolor="#000000">
                <v:path arrowok="t"/>
              </v:shape>
              <v:shape style="position:absolute;left:516;top:21;width:7606;height:4486" type="#_x0000_t75" stroked="false">
                <v:imagedata r:id="rId26" o:title=""/>
              </v:shape>
            </v:group>
          </v:group>
        </w:pict>
      </w:r>
      <w:r>
        <w:rPr>
          <w:rFonts w:ascii="黑体" w:hAnsi="黑体" w:cs="黑体" w:eastAsia="黑体" w:hint="default"/>
          <w:position w:val="-89"/>
          <w:sz w:val="20"/>
          <w:szCs w:val="20"/>
        </w:rPr>
      </w:r>
    </w:p>
    <w:p>
      <w:pPr>
        <w:spacing w:line="240" w:lineRule="auto" w:before="5"/>
        <w:rPr>
          <w:rFonts w:ascii="黑体" w:hAnsi="黑体" w:cs="黑体" w:eastAsia="黑体" w:hint="default"/>
          <w:b/>
          <w:bCs/>
          <w:sz w:val="29"/>
          <w:szCs w:val="29"/>
        </w:rPr>
      </w:pPr>
    </w:p>
    <w:p>
      <w:pPr>
        <w:pStyle w:val="Heading3"/>
        <w:spacing w:line="240" w:lineRule="auto" w:before="19"/>
        <w:ind w:left="224" w:right="1575"/>
        <w:jc w:val="left"/>
        <w:rPr>
          <w:b w:val="0"/>
          <w:bCs w:val="0"/>
        </w:rPr>
      </w:pPr>
      <w:r>
        <w:rPr/>
        <w:t>（二）公司员工教育程度</w:t>
      </w:r>
      <w:r>
        <w:rPr>
          <w:b w:val="0"/>
          <w:bCs w:val="0"/>
        </w:rPr>
      </w:r>
    </w:p>
    <w:p>
      <w:pPr>
        <w:spacing w:line="240" w:lineRule="auto" w:before="8"/>
        <w:rPr>
          <w:rFonts w:ascii="黑体" w:hAnsi="黑体" w:cs="黑体" w:eastAsia="黑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375"/>
        <w:gridCol w:w="2945"/>
        <w:gridCol w:w="2850"/>
      </w:tblGrid>
      <w:tr>
        <w:trPr>
          <w:trHeight w:val="370" w:hRule="exact"/>
        </w:trPr>
        <w:tc>
          <w:tcPr>
            <w:tcW w:w="337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b/>
                <w:bCs/>
                <w:sz w:val="24"/>
                <w:szCs w:val="24"/>
              </w:rPr>
              <w:t>类别项目</w:t>
            </w:r>
            <w:r>
              <w:rPr>
                <w:rFonts w:ascii="宋体" w:hAnsi="宋体" w:cs="宋体" w:eastAsia="宋体" w:hint="default"/>
                <w:sz w:val="24"/>
                <w:szCs w:val="24"/>
              </w:rPr>
            </w:r>
          </w:p>
        </w:tc>
        <w:tc>
          <w:tcPr>
            <w:tcW w:w="29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left="2" w:right="0"/>
              <w:jc w:val="center"/>
              <w:rPr>
                <w:rFonts w:ascii="宋体" w:hAnsi="宋体" w:cs="宋体" w:eastAsia="宋体" w:hint="default"/>
                <w:sz w:val="24"/>
                <w:szCs w:val="24"/>
              </w:rPr>
            </w:pPr>
            <w:r>
              <w:rPr>
                <w:rFonts w:ascii="宋体" w:hAnsi="宋体" w:cs="宋体" w:eastAsia="宋体" w:hint="default"/>
                <w:b/>
                <w:bCs/>
                <w:sz w:val="24"/>
                <w:szCs w:val="24"/>
              </w:rPr>
              <w:t>占员工总数比例</w:t>
            </w:r>
            <w:r>
              <w:rPr>
                <w:rFonts w:ascii="宋体" w:hAnsi="宋体" w:cs="宋体" w:eastAsia="宋体" w:hint="default"/>
                <w:sz w:val="24"/>
                <w:szCs w:val="24"/>
              </w:rPr>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硕士研究生及以上学历</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259</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8.79%</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大学本科学历</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1945</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66.00%</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大专学历</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666</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22.60%</w:t>
            </w:r>
          </w:p>
        </w:tc>
      </w:tr>
      <w:tr>
        <w:trPr>
          <w:trHeight w:val="37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hAnsi="宋体" w:cs="宋体" w:eastAsia="宋体" w:hint="default"/>
                <w:sz w:val="24"/>
                <w:szCs w:val="24"/>
              </w:rPr>
              <w:t>大专以下学历</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77</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2.61%</w:t>
            </w:r>
          </w:p>
        </w:tc>
      </w:tr>
      <w:tr>
        <w:trPr>
          <w:trHeight w:val="37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2947</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
        <w:rPr>
          <w:rFonts w:ascii="黑体" w:hAnsi="黑体" w:cs="黑体" w:eastAsia="黑体" w:hint="default"/>
          <w:b/>
          <w:bCs/>
          <w:sz w:val="9"/>
          <w:szCs w:val="9"/>
        </w:rPr>
      </w:pPr>
    </w:p>
    <w:p>
      <w:pPr>
        <w:spacing w:line="4532" w:lineRule="exact"/>
        <w:ind w:left="704" w:right="0" w:firstLine="0"/>
        <w:rPr>
          <w:rFonts w:ascii="黑体" w:hAnsi="黑体" w:cs="黑体" w:eastAsia="黑体" w:hint="default"/>
          <w:sz w:val="20"/>
          <w:szCs w:val="20"/>
        </w:rPr>
      </w:pPr>
      <w:r>
        <w:rPr>
          <w:rFonts w:ascii="黑体" w:hAnsi="黑体" w:cs="黑体" w:eastAsia="黑体" w:hint="default"/>
          <w:position w:val="-90"/>
          <w:sz w:val="20"/>
          <w:szCs w:val="20"/>
        </w:rPr>
        <w:drawing>
          <wp:inline distT="0" distB="0" distL="0" distR="0">
            <wp:extent cx="4779178" cy="2878169"/>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27" cstate="print"/>
                    <a:stretch>
                      <a:fillRect/>
                    </a:stretch>
                  </pic:blipFill>
                  <pic:spPr>
                    <a:xfrm>
                      <a:off x="0" y="0"/>
                      <a:ext cx="4779178" cy="2878169"/>
                    </a:xfrm>
                    <a:prstGeom prst="rect">
                      <a:avLst/>
                    </a:prstGeom>
                  </pic:spPr>
                </pic:pic>
              </a:graphicData>
            </a:graphic>
          </wp:inline>
        </w:drawing>
      </w:r>
      <w:r>
        <w:rPr>
          <w:rFonts w:ascii="黑体" w:hAnsi="黑体" w:cs="黑体" w:eastAsia="黑体" w:hint="default"/>
          <w:position w:val="-90"/>
          <w:sz w:val="20"/>
          <w:szCs w:val="20"/>
        </w:rPr>
      </w:r>
    </w:p>
    <w:p>
      <w:pPr>
        <w:spacing w:after="0" w:line="4532" w:lineRule="exact"/>
        <w:rPr>
          <w:rFonts w:ascii="黑体" w:hAnsi="黑体" w:cs="黑体" w:eastAsia="黑体" w:hint="default"/>
          <w:sz w:val="20"/>
          <w:szCs w:val="20"/>
        </w:rPr>
        <w:sectPr>
          <w:footerReference w:type="even" r:id="rId24"/>
          <w:footerReference w:type="default" r:id="rId25"/>
          <w:pgSz w:w="12240" w:h="15840"/>
          <w:pgMar w:footer="987" w:header="847" w:top="1360" w:bottom="1180" w:left="1420" w:right="0"/>
          <w:pgNumType w:start="22"/>
        </w:sectPr>
      </w:pPr>
    </w:p>
    <w:p>
      <w:pPr>
        <w:spacing w:line="240" w:lineRule="auto" w:before="4"/>
        <w:rPr>
          <w:rFonts w:ascii="黑体" w:hAnsi="黑体" w:cs="黑体" w:eastAsia="黑体" w:hint="default"/>
          <w:b/>
          <w:bCs/>
          <w:sz w:val="2"/>
          <w:szCs w:val="2"/>
        </w:rPr>
      </w:pPr>
    </w:p>
    <w:p>
      <w:pPr>
        <w:spacing w:line="20" w:lineRule="exact"/>
        <w:ind w:left="188" w:right="0" w:firstLine="0"/>
        <w:rPr>
          <w:rFonts w:ascii="黑体" w:hAnsi="黑体" w:cs="黑体" w:eastAsia="黑体" w:hint="default"/>
          <w:sz w:val="2"/>
          <w:szCs w:val="2"/>
        </w:rPr>
      </w:pPr>
      <w:r>
        <w:rPr>
          <w:rFonts w:ascii="黑体" w:hAnsi="黑体" w:cs="黑体" w:eastAsia="黑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黑体" w:hAnsi="黑体" w:cs="黑体" w:eastAsia="黑体" w:hint="default"/>
          <w:sz w:val="2"/>
          <w:szCs w:val="2"/>
        </w:rPr>
      </w:r>
    </w:p>
    <w:p>
      <w:pPr>
        <w:pStyle w:val="Heading3"/>
        <w:spacing w:line="240" w:lineRule="auto" w:before="17"/>
        <w:ind w:left="224" w:right="1575"/>
        <w:jc w:val="left"/>
        <w:rPr>
          <w:b w:val="0"/>
          <w:bCs w:val="0"/>
        </w:rPr>
      </w:pPr>
      <w:r>
        <w:rPr/>
        <w:t>（三）公司没有需承担费用的离退休职工。</w:t>
      </w:r>
      <w:r>
        <w:rPr>
          <w:b w:val="0"/>
          <w:bCs w:val="0"/>
        </w:rPr>
      </w:r>
    </w:p>
    <w:p>
      <w:pPr>
        <w:spacing w:line="240" w:lineRule="auto" w:before="10"/>
        <w:rPr>
          <w:rFonts w:ascii="黑体" w:hAnsi="黑体" w:cs="黑体" w:eastAsia="黑体" w:hint="default"/>
          <w:b/>
          <w:bCs/>
          <w:sz w:val="35"/>
          <w:szCs w:val="35"/>
        </w:rPr>
      </w:pPr>
    </w:p>
    <w:p>
      <w:pPr>
        <w:pStyle w:val="Heading1"/>
        <w:spacing w:line="240" w:lineRule="auto"/>
        <w:ind w:left="3496" w:right="1575"/>
        <w:jc w:val="left"/>
        <w:rPr>
          <w:b w:val="0"/>
          <w:bCs w:val="0"/>
        </w:rPr>
      </w:pPr>
      <w:bookmarkStart w:name="_TOC_250007" w:id="6"/>
      <w:r>
        <w:rPr/>
        <w:t>第六节</w:t>
      </w:r>
      <w:r>
        <w:rPr>
          <w:spacing w:val="-1"/>
        </w:rPr>
        <w:t> </w:t>
      </w:r>
      <w:r>
        <w:rPr/>
        <w:t>公司治理</w:t>
      </w:r>
      <w:bookmarkEnd w:id="6"/>
      <w:r>
        <w:rPr>
          <w:b w:val="0"/>
          <w:bCs w:val="0"/>
        </w:rPr>
      </w:r>
    </w:p>
    <w:p>
      <w:pPr>
        <w:spacing w:line="240" w:lineRule="auto" w:before="13"/>
        <w:rPr>
          <w:rFonts w:ascii="黑体" w:hAnsi="黑体" w:cs="黑体" w:eastAsia="黑体" w:hint="default"/>
          <w:b/>
          <w:bCs/>
          <w:sz w:val="39"/>
          <w:szCs w:val="39"/>
        </w:rPr>
      </w:pPr>
    </w:p>
    <w:p>
      <w:pPr>
        <w:pStyle w:val="Heading2"/>
        <w:spacing w:line="240" w:lineRule="auto"/>
        <w:ind w:left="224" w:right="1575"/>
        <w:jc w:val="left"/>
        <w:rPr>
          <w:b w:val="0"/>
          <w:bCs w:val="0"/>
        </w:rPr>
      </w:pPr>
      <w:r>
        <w:rPr/>
        <w:t>一、公司治理情况</w:t>
      </w:r>
      <w:r>
        <w:rPr>
          <w:b w:val="0"/>
          <w:bCs w:val="0"/>
        </w:rPr>
      </w:r>
    </w:p>
    <w:p>
      <w:pPr>
        <w:spacing w:line="357" w:lineRule="auto" w:before="122"/>
        <w:ind w:left="224" w:right="1641" w:firstLine="479"/>
        <w:jc w:val="both"/>
        <w:rPr>
          <w:rFonts w:ascii="宋体" w:hAnsi="宋体" w:cs="宋体" w:eastAsia="宋体" w:hint="default"/>
          <w:sz w:val="24"/>
          <w:szCs w:val="24"/>
        </w:rPr>
      </w:pPr>
      <w:r>
        <w:rPr>
          <w:rFonts w:ascii="宋体" w:hAnsi="宋体" w:cs="宋体" w:eastAsia="宋体" w:hint="default"/>
          <w:sz w:val="24"/>
          <w:szCs w:val="24"/>
        </w:rPr>
        <w:t>公司严格按照《公司法》、《证券法》、《上市公司治理准则》、《深圳证券交 易所股票上市规则》、</w:t>
      </w:r>
      <w:r>
        <w:rPr>
          <w:rFonts w:ascii="宋体" w:hAnsi="宋体" w:cs="宋体" w:eastAsia="宋体" w:hint="default"/>
          <w:sz w:val="23"/>
          <w:szCs w:val="23"/>
        </w:rPr>
        <w:t>《深圳证券交易所中小企业板上市公司规范运作指引》及中国证</w:t>
      </w:r>
      <w:r>
        <w:rPr>
          <w:rFonts w:ascii="宋体" w:hAnsi="宋体" w:cs="宋体" w:eastAsia="宋体" w:hint="default"/>
          <w:w w:val="100"/>
          <w:sz w:val="23"/>
          <w:szCs w:val="23"/>
        </w:rPr>
        <w:t> </w:t>
      </w:r>
      <w:r>
        <w:rPr>
          <w:rFonts w:ascii="宋体" w:hAnsi="宋体" w:cs="宋体" w:eastAsia="宋体" w:hint="default"/>
          <w:spacing w:val="-2"/>
          <w:sz w:val="23"/>
          <w:szCs w:val="23"/>
        </w:rPr>
        <w:t>监会有关法律法规的要求，</w:t>
      </w:r>
      <w:r>
        <w:rPr>
          <w:rFonts w:ascii="宋体" w:hAnsi="宋体" w:cs="宋体" w:eastAsia="宋体" w:hint="default"/>
          <w:spacing w:val="-2"/>
          <w:sz w:val="24"/>
          <w:szCs w:val="24"/>
        </w:rPr>
        <w:t>不断完善公司治理结构，建立健全内部管理和控制制度，持</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续深入开展公司治理活动，规范公司运作，提高公司治理水平。</w:t>
      </w:r>
    </w:p>
    <w:p>
      <w:pPr>
        <w:pStyle w:val="BodyText"/>
        <w:spacing w:line="240" w:lineRule="auto" w:before="154"/>
        <w:ind w:left="704" w:right="1575"/>
        <w:jc w:val="left"/>
      </w:pPr>
      <w:r>
        <w:rPr/>
        <w:t>截至报告期末，公司已建立的各项制度名称及公开披露情况如下：</w:t>
      </w:r>
    </w:p>
    <w:p>
      <w:pPr>
        <w:spacing w:line="240" w:lineRule="auto" w:before="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816"/>
        <w:gridCol w:w="4112"/>
        <w:gridCol w:w="2089"/>
        <w:gridCol w:w="2153"/>
      </w:tblGrid>
      <w:tr>
        <w:trPr>
          <w:trHeight w:val="370"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41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b/>
                <w:bCs/>
                <w:sz w:val="24"/>
                <w:szCs w:val="24"/>
              </w:rPr>
              <w:t>制度名称</w:t>
            </w:r>
            <w:r>
              <w:rPr>
                <w:rFonts w:ascii="宋体" w:hAnsi="宋体" w:cs="宋体" w:eastAsia="宋体" w:hint="default"/>
                <w:sz w:val="24"/>
                <w:szCs w:val="24"/>
              </w:rPr>
            </w:r>
          </w:p>
        </w:tc>
        <w:tc>
          <w:tcPr>
            <w:tcW w:w="208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555"/>
              <w:jc w:val="right"/>
              <w:rPr>
                <w:rFonts w:ascii="宋体" w:hAnsi="宋体" w:cs="宋体" w:eastAsia="宋体" w:hint="default"/>
                <w:sz w:val="24"/>
                <w:szCs w:val="24"/>
              </w:rPr>
            </w:pPr>
            <w:r>
              <w:rPr>
                <w:rFonts w:ascii="宋体" w:hAnsi="宋体" w:cs="宋体" w:eastAsia="宋体" w:hint="default"/>
                <w:b/>
                <w:bCs/>
                <w:sz w:val="24"/>
                <w:szCs w:val="24"/>
              </w:rPr>
              <w:t>披露时间</w:t>
            </w:r>
            <w:r>
              <w:rPr>
                <w:rFonts w:ascii="宋体" w:hAnsi="宋体" w:cs="宋体" w:eastAsia="宋体" w:hint="default"/>
                <w:sz w:val="24"/>
                <w:szCs w:val="24"/>
              </w:rPr>
            </w:r>
          </w:p>
        </w:tc>
        <w:tc>
          <w:tcPr>
            <w:tcW w:w="21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6"/>
              <w:jc w:val="center"/>
              <w:rPr>
                <w:rFonts w:ascii="宋体" w:hAnsi="宋体" w:cs="宋体" w:eastAsia="宋体" w:hint="default"/>
                <w:sz w:val="24"/>
                <w:szCs w:val="24"/>
              </w:rPr>
            </w:pPr>
            <w:r>
              <w:rPr>
                <w:rFonts w:ascii="宋体" w:hAnsi="宋体" w:cs="宋体" w:eastAsia="宋体" w:hint="default"/>
                <w:b/>
                <w:bCs/>
                <w:sz w:val="24"/>
                <w:szCs w:val="24"/>
              </w:rPr>
              <w:t>披露载体</w:t>
            </w:r>
            <w:r>
              <w:rPr>
                <w:rFonts w:ascii="宋体" w:hAnsi="宋体" w:cs="宋体" w:eastAsia="宋体" w:hint="default"/>
                <w:sz w:val="24"/>
                <w:szCs w:val="24"/>
              </w:rPr>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1</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总经理工作细则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2005-2-17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2</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日常生产经营决策制度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2005-2-17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3</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控股子公司管理制度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2005-2-17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w:hAnsi="Arial" w:cs="Arial" w:eastAsia="Arial" w:hint="default"/>
                <w:sz w:val="24"/>
                <w:szCs w:val="24"/>
              </w:rPr>
            </w:pPr>
            <w:r>
              <w:rPr>
                <w:rFonts w:ascii="Arial"/>
                <w:w w:val="99"/>
                <w:sz w:val="24"/>
              </w:rPr>
              <w:t>4</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劳动人事管理制度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42"/>
              <w:jc w:val="right"/>
              <w:rPr>
                <w:rFonts w:ascii="Times New Roman" w:hAnsi="Times New Roman" w:cs="Times New Roman" w:eastAsia="Times New Roman" w:hint="default"/>
                <w:sz w:val="24"/>
                <w:szCs w:val="24"/>
              </w:rPr>
            </w:pPr>
            <w:r>
              <w:rPr>
                <w:rFonts w:ascii="Times New Roman"/>
                <w:spacing w:val="-1"/>
                <w:sz w:val="24"/>
              </w:rPr>
              <w:t>2005-2-17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5</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融资决策制度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2005-3-20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6</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战略委员会实施细则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2005-3-22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7</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薪酬与考核委员会实施细则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2005-3-22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8</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审计委员会实施细则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2005-3-22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9</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提名委员会实施细则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2005-3-22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w:hAnsi="Arial" w:cs="Arial" w:eastAsia="Arial" w:hint="default"/>
                <w:sz w:val="24"/>
                <w:szCs w:val="24"/>
              </w:rPr>
            </w:pPr>
            <w:r>
              <w:rPr>
                <w:rFonts w:ascii="Arial"/>
                <w:sz w:val="24"/>
              </w:rPr>
              <w:t>10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应收账款管理制度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42"/>
              <w:jc w:val="right"/>
              <w:rPr>
                <w:rFonts w:ascii="Times New Roman" w:hAnsi="Times New Roman" w:cs="Times New Roman" w:eastAsia="Times New Roman" w:hint="default"/>
                <w:sz w:val="24"/>
                <w:szCs w:val="24"/>
              </w:rPr>
            </w:pPr>
            <w:r>
              <w:rPr>
                <w:rFonts w:ascii="Times New Roman"/>
                <w:spacing w:val="-1"/>
                <w:sz w:val="24"/>
              </w:rPr>
              <w:t>2005-9-24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监事会议事规则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2006-5-11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12</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关联交易决策制度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2006-5-11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13</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规范与关联方资金往来制度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2006-5-11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14</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非日常经营交易事项决策制度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2006-5-11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无，上市前制定</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15</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董事会议事规则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2007-5-16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w:hAnsi="Arial" w:cs="Arial" w:eastAsia="Arial" w:hint="default"/>
                <w:sz w:val="24"/>
                <w:szCs w:val="24"/>
              </w:rPr>
            </w:pPr>
            <w:r>
              <w:rPr>
                <w:rFonts w:ascii="Arial"/>
                <w:sz w:val="24"/>
              </w:rPr>
              <w:t>16</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投资者关系管理制度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42"/>
              <w:jc w:val="right"/>
              <w:rPr>
                <w:rFonts w:ascii="Times New Roman" w:hAnsi="Times New Roman" w:cs="Times New Roman" w:eastAsia="Times New Roman" w:hint="default"/>
                <w:sz w:val="24"/>
                <w:szCs w:val="24"/>
              </w:rPr>
            </w:pPr>
            <w:r>
              <w:rPr>
                <w:rFonts w:ascii="Times New Roman"/>
                <w:spacing w:val="-1"/>
                <w:sz w:val="24"/>
              </w:rPr>
              <w:t>2007-5-16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17</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信息披露管理办法</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2007-6-19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18</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重大事件信息内部报告制度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2007-8-24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19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募集资金管理及使用制度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2007-9-25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w:hAnsi="Arial" w:cs="Arial" w:eastAsia="Arial" w:hint="default"/>
                <w:sz w:val="24"/>
                <w:szCs w:val="24"/>
              </w:rPr>
            </w:pPr>
            <w:r>
              <w:rPr>
                <w:rFonts w:ascii="Arial"/>
                <w:sz w:val="24"/>
              </w:rPr>
              <w:t>20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82"/>
              <w:jc w:val="right"/>
              <w:rPr>
                <w:rFonts w:ascii="Times New Roman" w:hAnsi="Times New Roman" w:cs="Times New Roman" w:eastAsia="Times New Roman" w:hint="default"/>
                <w:sz w:val="24"/>
                <w:szCs w:val="24"/>
              </w:rPr>
            </w:pPr>
            <w:r>
              <w:rPr>
                <w:rFonts w:ascii="Times New Roman"/>
                <w:spacing w:val="-1"/>
                <w:sz w:val="24"/>
              </w:rPr>
              <w:t>2007-12-13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after="0" w:line="240" w:lineRule="auto"/>
        <w:jc w:val="center"/>
        <w:rPr>
          <w:rFonts w:ascii="宋体" w:hAnsi="宋体" w:cs="宋体" w:eastAsia="宋体" w:hint="default"/>
          <w:sz w:val="24"/>
          <w:szCs w:val="24"/>
        </w:rPr>
        <w:sectPr>
          <w:pgSz w:w="12240" w:h="15840"/>
          <w:pgMar w:header="847" w:footer="987" w:top="1360" w:bottom="1180" w:left="1420" w:right="0"/>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16"/>
        <w:gridCol w:w="4112"/>
        <w:gridCol w:w="2089"/>
        <w:gridCol w:w="2153"/>
      </w:tblGrid>
      <w:tr>
        <w:trPr>
          <w:trHeight w:val="381" w:hRule="exact"/>
        </w:trPr>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21</w:t>
            </w:r>
            <w:r>
              <w:rPr>
                <w:rFonts w:ascii="Arial"/>
                <w:sz w:val="24"/>
              </w:rPr>
            </w:r>
          </w:p>
        </w:tc>
        <w:tc>
          <w:tcPr>
            <w:tcW w:w="411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独立董事工作制度</w:t>
            </w:r>
          </w:p>
        </w:tc>
        <w:tc>
          <w:tcPr>
            <w:tcW w:w="2089" w:type="dxa"/>
            <w:tcBorders>
              <w:top w:val="single" w:sz="12" w:space="0" w:color="000000"/>
              <w:left w:val="single" w:sz="4" w:space="0" w:color="000000"/>
              <w:bottom w:val="single" w:sz="4" w:space="0" w:color="000000"/>
              <w:right w:val="single" w:sz="4" w:space="0" w:color="000000"/>
            </w:tcBorders>
          </w:tcPr>
          <w:p>
            <w:pPr>
              <w:pStyle w:val="TableParagraph"/>
              <w:spacing w:line="268" w:lineRule="exact"/>
              <w:ind w:right="482"/>
              <w:jc w:val="right"/>
              <w:rPr>
                <w:rFonts w:ascii="Times New Roman" w:hAnsi="Times New Roman" w:cs="Times New Roman" w:eastAsia="Times New Roman" w:hint="default"/>
                <w:sz w:val="24"/>
                <w:szCs w:val="24"/>
              </w:rPr>
            </w:pPr>
            <w:r>
              <w:rPr>
                <w:rFonts w:ascii="Times New Roman"/>
                <w:spacing w:val="-1"/>
                <w:sz w:val="24"/>
              </w:rPr>
              <w:t>2007-12-13</w:t>
            </w:r>
          </w:p>
        </w:tc>
        <w:tc>
          <w:tcPr>
            <w:tcW w:w="2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22</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董事会审计委员会年报审议工作规则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2008-3-26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23</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独立董事年报工作制度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2008-3-26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24</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内部审计制度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2008-4-23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66"/>
              <w:jc w:val="right"/>
              <w:rPr>
                <w:rFonts w:ascii="Arial" w:hAnsi="Arial" w:cs="Arial" w:eastAsia="Arial" w:hint="default"/>
                <w:sz w:val="24"/>
                <w:szCs w:val="24"/>
              </w:rPr>
            </w:pPr>
            <w:r>
              <w:rPr>
                <w:rFonts w:ascii="Arial"/>
                <w:w w:val="95"/>
                <w:sz w:val="24"/>
              </w:rPr>
              <w:t>25</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对外担保制度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7" w:right="0"/>
              <w:jc w:val="left"/>
              <w:rPr>
                <w:rFonts w:ascii="Times New Roman" w:hAnsi="Times New Roman" w:cs="Times New Roman" w:eastAsia="Times New Roman" w:hint="default"/>
                <w:sz w:val="24"/>
                <w:szCs w:val="24"/>
              </w:rPr>
            </w:pPr>
            <w:r>
              <w:rPr>
                <w:rFonts w:ascii="Times New Roman"/>
                <w:sz w:val="24"/>
              </w:rPr>
              <w:t>2009-5-7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26</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董事、监事和高级管理人员所持本公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司股份及其变动管理办法</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2009-9-29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27</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2010-4-28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66"/>
              <w:jc w:val="right"/>
              <w:rPr>
                <w:rFonts w:ascii="Arial" w:hAnsi="Arial" w:cs="Arial" w:eastAsia="Arial" w:hint="default"/>
                <w:sz w:val="24"/>
                <w:szCs w:val="24"/>
              </w:rPr>
            </w:pPr>
            <w:r>
              <w:rPr>
                <w:rFonts w:ascii="Arial"/>
                <w:w w:val="95"/>
                <w:sz w:val="24"/>
              </w:rPr>
              <w:t>28</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内幕信息知情人管理制度</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42"/>
              <w:jc w:val="right"/>
              <w:rPr>
                <w:rFonts w:ascii="Times New Roman" w:hAnsi="Times New Roman" w:cs="Times New Roman" w:eastAsia="Times New Roman" w:hint="default"/>
                <w:sz w:val="24"/>
                <w:szCs w:val="24"/>
              </w:rPr>
            </w:pPr>
            <w:r>
              <w:rPr>
                <w:rFonts w:ascii="Times New Roman"/>
                <w:spacing w:val="-1"/>
                <w:sz w:val="24"/>
              </w:rPr>
              <w:t>2010-4-28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29</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董事会秘书工作细则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42"/>
              <w:jc w:val="right"/>
              <w:rPr>
                <w:rFonts w:ascii="Times New Roman" w:hAnsi="Times New Roman" w:cs="Times New Roman" w:eastAsia="Times New Roman" w:hint="default"/>
                <w:sz w:val="24"/>
                <w:szCs w:val="24"/>
              </w:rPr>
            </w:pPr>
            <w:r>
              <w:rPr>
                <w:rFonts w:ascii="Times New Roman"/>
                <w:spacing w:val="-1"/>
                <w:sz w:val="24"/>
              </w:rPr>
              <w:t>2011-3-10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6"/>
              <w:jc w:val="right"/>
              <w:rPr>
                <w:rFonts w:ascii="Arial" w:hAnsi="Arial" w:cs="Arial" w:eastAsia="Arial" w:hint="default"/>
                <w:sz w:val="24"/>
                <w:szCs w:val="24"/>
              </w:rPr>
            </w:pPr>
            <w:r>
              <w:rPr>
                <w:rFonts w:ascii="Arial"/>
                <w:w w:val="95"/>
                <w:sz w:val="24"/>
              </w:rPr>
              <w:t>30</w:t>
            </w:r>
            <w:r>
              <w:rPr>
                <w:rFonts w:ascii="Arial"/>
                <w:sz w:val="24"/>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42"/>
              <w:jc w:val="right"/>
              <w:rPr>
                <w:rFonts w:ascii="Times New Roman" w:hAnsi="Times New Roman" w:cs="Times New Roman" w:eastAsia="Times New Roman" w:hint="default"/>
                <w:sz w:val="24"/>
                <w:szCs w:val="24"/>
              </w:rPr>
            </w:pPr>
            <w:r>
              <w:rPr>
                <w:rFonts w:ascii="Times New Roman"/>
                <w:spacing w:val="-1"/>
                <w:sz w:val="24"/>
              </w:rPr>
              <w:t>2011-9-30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pStyle w:val="BodyText"/>
        <w:spacing w:line="357" w:lineRule="auto" w:before="79"/>
        <w:ind w:left="224" w:right="1713" w:firstLine="479"/>
        <w:jc w:val="both"/>
      </w:pPr>
      <w:r>
        <w:rPr/>
        <w:t>报告期内，公司未收到被监管部门采取行政监管措施的有关文件，没有需要限期 整改的情况发生。</w:t>
      </w:r>
    </w:p>
    <w:p>
      <w:pPr>
        <w:spacing w:line="240" w:lineRule="auto" w:before="3"/>
        <w:rPr>
          <w:rFonts w:ascii="宋体" w:hAnsi="宋体" w:cs="宋体" w:eastAsia="宋体" w:hint="default"/>
          <w:sz w:val="25"/>
          <w:szCs w:val="25"/>
        </w:rPr>
      </w:pPr>
    </w:p>
    <w:p>
      <w:pPr>
        <w:pStyle w:val="Heading3"/>
        <w:spacing w:line="240" w:lineRule="auto"/>
        <w:ind w:left="224" w:right="1575"/>
        <w:jc w:val="left"/>
        <w:rPr>
          <w:b w:val="0"/>
          <w:bCs w:val="0"/>
        </w:rPr>
      </w:pPr>
      <w:r>
        <w:rPr/>
        <w:t>（一）关于股东与股东大会</w:t>
      </w:r>
      <w:r>
        <w:rPr>
          <w:b w:val="0"/>
          <w:bCs w:val="0"/>
        </w:rPr>
      </w:r>
    </w:p>
    <w:p>
      <w:pPr>
        <w:pStyle w:val="BodyText"/>
        <w:spacing w:line="357" w:lineRule="auto" w:before="124"/>
        <w:ind w:left="224" w:right="1712" w:firstLine="479"/>
        <w:jc w:val="both"/>
      </w:pPr>
      <w:r>
        <w:rPr/>
        <w:t>公司严格按照《上市公司股东大会规则》和公司制定的《股东大会议事规则》的 要求召集、召开股东大会，平等对待所有股东，保证股东对公司重大事项的知情权与 参与权，确保股东特别是中小股东能够充分行使股东权利。</w:t>
      </w:r>
    </w:p>
    <w:p>
      <w:pPr>
        <w:spacing w:line="240" w:lineRule="auto" w:before="3"/>
        <w:rPr>
          <w:rFonts w:ascii="宋体" w:hAnsi="宋体" w:cs="宋体" w:eastAsia="宋体" w:hint="default"/>
          <w:sz w:val="25"/>
          <w:szCs w:val="25"/>
        </w:rPr>
      </w:pPr>
    </w:p>
    <w:p>
      <w:pPr>
        <w:pStyle w:val="Heading3"/>
        <w:spacing w:line="240" w:lineRule="auto"/>
        <w:ind w:left="224" w:right="1575"/>
        <w:jc w:val="left"/>
        <w:rPr>
          <w:b w:val="0"/>
          <w:bCs w:val="0"/>
        </w:rPr>
      </w:pPr>
      <w:r>
        <w:rPr/>
        <w:t>（二）关于控股股东与上市公司的关系</w:t>
      </w:r>
      <w:r>
        <w:rPr>
          <w:b w:val="0"/>
          <w:bCs w:val="0"/>
        </w:rPr>
      </w:r>
    </w:p>
    <w:p>
      <w:pPr>
        <w:pStyle w:val="BodyText"/>
        <w:spacing w:line="357" w:lineRule="auto" w:before="124"/>
        <w:ind w:left="224" w:right="1712" w:firstLine="479"/>
        <w:jc w:val="both"/>
      </w:pPr>
      <w:r>
        <w:rPr/>
        <w:t>公司控股股东行为规范，无超越股东权限直接或间接干预公司的决策和经营活动 的行为；公司与控股股东之间做到在人员、资产、财务、机构和业务方面的独立，控 股股东不存在非经营性占用上市公司资金行为。控股股东没有损害公司及其他股东的 权利，公司董事会、监事会和相关内部机构均独立运作。公司也不存在为控股股东提 供担保的情形。</w:t>
      </w:r>
    </w:p>
    <w:p>
      <w:pPr>
        <w:spacing w:line="240" w:lineRule="auto" w:before="6"/>
        <w:rPr>
          <w:rFonts w:ascii="宋体" w:hAnsi="宋体" w:cs="宋体" w:eastAsia="宋体" w:hint="default"/>
          <w:sz w:val="25"/>
          <w:szCs w:val="25"/>
        </w:rPr>
      </w:pPr>
    </w:p>
    <w:p>
      <w:pPr>
        <w:pStyle w:val="Heading3"/>
        <w:spacing w:line="240" w:lineRule="auto"/>
        <w:ind w:left="224" w:right="1575"/>
        <w:jc w:val="left"/>
        <w:rPr>
          <w:b w:val="0"/>
          <w:bCs w:val="0"/>
        </w:rPr>
      </w:pPr>
      <w:r>
        <w:rPr/>
        <w:t>（三）关于董事与董事会</w:t>
      </w:r>
      <w:r>
        <w:rPr>
          <w:b w:val="0"/>
          <w:bCs w:val="0"/>
        </w:rPr>
      </w:r>
    </w:p>
    <w:p>
      <w:pPr>
        <w:pStyle w:val="BodyText"/>
        <w:spacing w:line="357" w:lineRule="auto" w:before="122"/>
        <w:ind w:left="224" w:right="1642" w:firstLine="479"/>
        <w:jc w:val="both"/>
      </w:pPr>
      <w:r>
        <w:rPr/>
        <w:t>公司严格按照《公司法》、《公司章程》规定的选聘程序选举董事；目前董事会 由</w:t>
      </w:r>
      <w:r>
        <w:rPr>
          <w:spacing w:val="-75"/>
        </w:rPr>
        <w:t> </w:t>
      </w:r>
      <w:r>
        <w:rPr>
          <w:rFonts w:ascii="Calibri" w:hAnsi="Calibri" w:cs="Calibri" w:eastAsia="Calibri" w:hint="default"/>
        </w:rPr>
        <w:t>10</w:t>
      </w:r>
      <w:r>
        <w:rPr>
          <w:rFonts w:ascii="Calibri" w:hAnsi="Calibri" w:cs="Calibri" w:eastAsia="Calibri" w:hint="default"/>
          <w:spacing w:val="-9"/>
        </w:rPr>
        <w:t> </w:t>
      </w:r>
      <w:r>
        <w:rPr/>
        <w:t>名董事组成，其中独立董事</w:t>
      </w:r>
      <w:r>
        <w:rPr>
          <w:spacing w:val="-75"/>
        </w:rPr>
        <w:t> </w:t>
      </w:r>
      <w:r>
        <w:rPr>
          <w:rFonts w:ascii="Calibri" w:hAnsi="Calibri" w:cs="Calibri" w:eastAsia="Calibri" w:hint="default"/>
        </w:rPr>
        <w:t>4</w:t>
      </w:r>
      <w:r>
        <w:rPr>
          <w:rFonts w:ascii="Calibri" w:hAnsi="Calibri" w:cs="Calibri" w:eastAsia="Calibri" w:hint="default"/>
          <w:spacing w:val="-9"/>
        </w:rPr>
        <w:t> </w:t>
      </w:r>
      <w:r>
        <w:rPr/>
        <w:t>名，董事会成员的人数、人员构成符合法律法规和</w:t>
      </w:r>
    </w:p>
    <w:p>
      <w:pPr>
        <w:pStyle w:val="BodyText"/>
        <w:spacing w:line="291" w:lineRule="exact"/>
        <w:ind w:left="224" w:right="1575"/>
        <w:jc w:val="left"/>
      </w:pPr>
      <w:r>
        <w:rPr/>
        <w:t>《公司章程》的要求。公司全体董事能够依据《董事会议事规则》、《独立董事工作</w:t>
      </w:r>
    </w:p>
    <w:p>
      <w:pPr>
        <w:pStyle w:val="BodyText"/>
        <w:spacing w:line="240" w:lineRule="auto" w:before="154"/>
        <w:ind w:left="224" w:right="1575"/>
        <w:jc w:val="left"/>
      </w:pPr>
      <w:r>
        <w:rPr/>
        <w:t>制度》、《深圳证券交易所中小企业板上市公司规范运作指引》等开展工作，认真出</w:t>
      </w:r>
    </w:p>
    <w:p>
      <w:pPr>
        <w:spacing w:after="0" w:line="240" w:lineRule="auto"/>
        <w:jc w:val="left"/>
        <w:sectPr>
          <w:pgSz w:w="12240" w:h="15840"/>
          <w:pgMar w:header="847" w:footer="987" w:top="1360" w:bottom="1180" w:left="1420" w:right="0"/>
        </w:sectPr>
      </w:pPr>
    </w:p>
    <w:p>
      <w:pPr>
        <w:pStyle w:val="BodyText"/>
        <w:spacing w:line="357" w:lineRule="auto" w:before="11"/>
        <w:ind w:right="1506"/>
        <w:jc w:val="left"/>
      </w:pPr>
      <w:r>
        <w:rPr/>
        <w:pict>
          <v:group style="position:absolute;margin-left:80.783997pt;margin-top:1.845647pt;width:450.6pt;height:.1pt;mso-position-horizontal-relative:page;mso-position-vertical-relative:paragraph;z-index:-864520"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2"/>
        </w:rPr>
        <w:t>席董事会和股东大会，执行股东大会决议，并依法行使职权。董事会下设战略委员会、</w:t>
      </w:r>
      <w:r>
        <w:rPr>
          <w:spacing w:val="-95"/>
        </w:rPr>
        <w:t> </w:t>
      </w:r>
      <w:r>
        <w:rPr>
          <w:spacing w:val="-95"/>
        </w:rPr>
      </w:r>
      <w:r>
        <w:rPr/>
        <w:t>审计委员会、薪酬与考核委员会、提名委员会四个专门委员会，各尽其责，大大提高 了董事会的办事效率。全体董事积极参加交易所和监管机构组织的相关培训，熟悉新 的法律法规要求，做到勤勉尽责，进一步维护公司和全体股东的利益。</w:t>
      </w:r>
    </w:p>
    <w:p>
      <w:pPr>
        <w:spacing w:line="240" w:lineRule="auto" w:before="5"/>
        <w:rPr>
          <w:rFonts w:ascii="宋体" w:hAnsi="宋体" w:cs="宋体" w:eastAsia="宋体" w:hint="default"/>
          <w:sz w:val="25"/>
          <w:szCs w:val="25"/>
        </w:rPr>
      </w:pPr>
    </w:p>
    <w:p>
      <w:pPr>
        <w:pStyle w:val="Heading3"/>
        <w:spacing w:line="240" w:lineRule="auto"/>
        <w:ind w:right="1697"/>
        <w:jc w:val="left"/>
        <w:rPr>
          <w:b w:val="0"/>
          <w:bCs w:val="0"/>
        </w:rPr>
      </w:pPr>
      <w:r>
        <w:rPr/>
        <w:t>（四）关于监事和监事会</w:t>
      </w:r>
      <w:r>
        <w:rPr>
          <w:b w:val="0"/>
          <w:bCs w:val="0"/>
        </w:rPr>
      </w:r>
    </w:p>
    <w:p>
      <w:pPr>
        <w:pStyle w:val="BodyText"/>
        <w:spacing w:line="348" w:lineRule="auto" w:before="124"/>
        <w:ind w:right="1640" w:firstLine="479"/>
        <w:jc w:val="both"/>
      </w:pPr>
      <w:r>
        <w:rPr/>
        <w:t>公司按照《公司法》、《公司章程》的规定，严格监事的选聘程序，公司监事会 由</w:t>
      </w:r>
      <w:r>
        <w:rPr>
          <w:spacing w:val="-56"/>
        </w:rPr>
        <w:t> </w:t>
      </w:r>
      <w:r>
        <w:rPr>
          <w:rFonts w:ascii="Calibri" w:hAnsi="Calibri" w:cs="Calibri" w:eastAsia="Calibri" w:hint="default"/>
        </w:rPr>
        <w:t>3</w:t>
      </w:r>
      <w:r>
        <w:rPr>
          <w:rFonts w:ascii="Calibri" w:hAnsi="Calibri" w:cs="Calibri" w:eastAsia="Calibri" w:hint="default"/>
          <w:spacing w:val="10"/>
        </w:rPr>
        <w:t> </w:t>
      </w:r>
      <w:r>
        <w:rPr>
          <w:spacing w:val="-5"/>
        </w:rPr>
        <w:t>名监事组成，监事会人数及人员构成均符合法律法规的要求。监事会严格按照《公</w:t>
      </w:r>
      <w:r>
        <w:rPr/>
        <w:t> 司章程》、《监事会议事规则》、《深圳证券交易所中小企业板上市公司规范运作指 引》的要求要求履行职责，认真出席监事会和股东大会，列席董事会，监事会独立的 行使监督职权，各位监事能够认真履行职责，对公司重大事项、财务状况以及董事、</w:t>
      </w:r>
    </w:p>
    <w:p>
      <w:pPr>
        <w:pStyle w:val="BodyText"/>
        <w:spacing w:line="240" w:lineRule="auto" w:before="43"/>
        <w:ind w:right="1697"/>
        <w:jc w:val="left"/>
      </w:pPr>
      <w:r>
        <w:rPr/>
        <w:t>高管人员履行职责情况进行监督，对全体股东负责。</w:t>
      </w:r>
    </w:p>
    <w:p>
      <w:pPr>
        <w:spacing w:line="240" w:lineRule="auto" w:before="5"/>
        <w:rPr>
          <w:rFonts w:ascii="宋体" w:hAnsi="宋体" w:cs="宋体" w:eastAsia="宋体" w:hint="default"/>
          <w:sz w:val="34"/>
          <w:szCs w:val="34"/>
        </w:rPr>
      </w:pPr>
    </w:p>
    <w:p>
      <w:pPr>
        <w:pStyle w:val="Heading3"/>
        <w:spacing w:line="240" w:lineRule="auto"/>
        <w:ind w:right="1697"/>
        <w:jc w:val="left"/>
        <w:rPr>
          <w:b w:val="0"/>
          <w:bCs w:val="0"/>
        </w:rPr>
      </w:pPr>
      <w:r>
        <w:rPr/>
        <w:t>（五）关于绩效评价与激励约束机制</w:t>
      </w:r>
      <w:r>
        <w:rPr>
          <w:b w:val="0"/>
          <w:bCs w:val="0"/>
        </w:rPr>
      </w:r>
    </w:p>
    <w:p>
      <w:pPr>
        <w:pStyle w:val="BodyText"/>
        <w:spacing w:line="357" w:lineRule="auto" w:before="122"/>
        <w:ind w:right="1713" w:firstLine="479"/>
        <w:jc w:val="both"/>
      </w:pPr>
      <w:r>
        <w:rPr/>
        <w:t>公司建立了合理的绩效评价与激励体系，使员工收入与企业经营业绩挂钩，激发 员工的工作积极性。公司按照法律、法规要求，筹备实施股权激励机制。公司人员招 聘公开、透明。</w:t>
      </w:r>
    </w:p>
    <w:p>
      <w:pPr>
        <w:spacing w:line="240" w:lineRule="auto" w:before="3"/>
        <w:rPr>
          <w:rFonts w:ascii="宋体" w:hAnsi="宋体" w:cs="宋体" w:eastAsia="宋体" w:hint="default"/>
          <w:sz w:val="25"/>
          <w:szCs w:val="25"/>
        </w:rPr>
      </w:pPr>
    </w:p>
    <w:p>
      <w:pPr>
        <w:pStyle w:val="Heading3"/>
        <w:spacing w:line="240" w:lineRule="auto"/>
        <w:ind w:right="1697"/>
        <w:jc w:val="left"/>
        <w:rPr>
          <w:b w:val="0"/>
          <w:bCs w:val="0"/>
        </w:rPr>
      </w:pPr>
      <w:r>
        <w:rPr/>
        <w:t>（六）关于信息披露与透明度</w:t>
      </w:r>
      <w:r>
        <w:rPr>
          <w:b w:val="0"/>
          <w:bCs w:val="0"/>
        </w:rPr>
      </w:r>
    </w:p>
    <w:p>
      <w:pPr>
        <w:pStyle w:val="BodyText"/>
        <w:spacing w:line="357" w:lineRule="auto" w:before="124"/>
        <w:ind w:right="1713" w:firstLine="479"/>
        <w:jc w:val="both"/>
      </w:pPr>
      <w:r>
        <w:rPr/>
        <w:t>公司制定了《投资者关系管理制度》、《信息披露管理办法》、《董事会秘书工 作细则》，指定由董事会秘书负责信息披露工作及投资者关系管理工作，协调公司与 投资者的关系，接待投资者来访及咨询，确保投资者平等地享有获取信息的机会。公 司严格按照有关法律法规的要求，真实、准确、完整、及时地披露有关信息。报告期 内，确保所有股东有平等的机会获得信息。</w:t>
      </w:r>
    </w:p>
    <w:p>
      <w:pPr>
        <w:spacing w:line="240" w:lineRule="auto" w:before="3"/>
        <w:rPr>
          <w:rFonts w:ascii="宋体" w:hAnsi="宋体" w:cs="宋体" w:eastAsia="宋体" w:hint="default"/>
          <w:sz w:val="25"/>
          <w:szCs w:val="25"/>
        </w:rPr>
      </w:pPr>
    </w:p>
    <w:p>
      <w:pPr>
        <w:pStyle w:val="Heading3"/>
        <w:spacing w:line="240" w:lineRule="auto"/>
        <w:ind w:right="1697"/>
        <w:jc w:val="left"/>
        <w:rPr>
          <w:b w:val="0"/>
          <w:bCs w:val="0"/>
        </w:rPr>
      </w:pPr>
      <w:r>
        <w:rPr/>
        <w:t>（七）关于相关利益者</w:t>
      </w:r>
      <w:r>
        <w:rPr>
          <w:b w:val="0"/>
          <w:bCs w:val="0"/>
        </w:rPr>
      </w:r>
    </w:p>
    <w:p>
      <w:pPr>
        <w:pStyle w:val="BodyText"/>
        <w:spacing w:line="357" w:lineRule="auto" w:before="124"/>
        <w:ind w:right="1506" w:firstLine="479"/>
        <w:jc w:val="left"/>
      </w:pPr>
      <w:r>
        <w:rPr/>
        <w:t>公司尊重和维护相关利益者的合法权益，加强与各方的沟通和交流，实现股东、 </w:t>
      </w:r>
      <w:r>
        <w:rPr>
          <w:spacing w:val="-2"/>
        </w:rPr>
        <w:t>员工和社会等各方利益的均衡，切实保护投资者利益。公司按照《上市公司治理准则》</w:t>
      </w:r>
    </w:p>
    <w:p>
      <w:pPr>
        <w:spacing w:after="0" w:line="357" w:lineRule="auto"/>
        <w:jc w:val="left"/>
        <w:sectPr>
          <w:pgSz w:w="12240" w:h="15840"/>
          <w:pgMar w:header="847" w:footer="987" w:top="1360" w:bottom="1180" w:left="1500" w:right="0"/>
        </w:sectPr>
      </w:pPr>
    </w:p>
    <w:p>
      <w:pPr>
        <w:pStyle w:val="BodyText"/>
        <w:spacing w:line="355" w:lineRule="auto" w:before="11"/>
        <w:ind w:right="1696"/>
        <w:jc w:val="left"/>
      </w:pPr>
      <w:r>
        <w:rPr/>
        <w:pict>
          <v:group style="position:absolute;margin-left:80.783997pt;margin-top:1.845647pt;width:450.6pt;height:.1pt;mso-position-horizontal-relative:page;mso-position-vertical-relative:paragraph;z-index:-864496" coordorigin="1616,37" coordsize="9012,2">
            <v:shape style="position:absolute;left:1616;top:37;width:9012;height:2" coordorigin="1616,37" coordsize="9012,0" path="m1616,37l10627,37e" filled="false" stroked="true" strokeweight=".71999pt" strokecolor="#000000">
              <v:path arrowok="t"/>
            </v:shape>
            <w10:wrap type="none"/>
          </v:group>
        </w:pict>
      </w:r>
      <w:r>
        <w:rPr/>
        <w:t>和《深圳证券交易所股票上市规则》的要求，不断健全和完善公司治理的各项内部规 章制度，实现科学的决策执行体系、有效的监督制衡机制，促进公司持续稳定发展。</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2"/>
        <w:spacing w:line="240" w:lineRule="auto"/>
        <w:ind w:right="1697"/>
        <w:jc w:val="left"/>
        <w:rPr>
          <w:b w:val="0"/>
          <w:bCs w:val="0"/>
        </w:rPr>
      </w:pPr>
      <w:r>
        <w:rPr/>
        <w:t>二、董事长、独立董事及其他董事履行职责的情况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（一）董事长及其他董事履行职责情况</w:t>
      </w:r>
      <w:r>
        <w:rPr>
          <w:b w:val="0"/>
          <w:bCs w:val="0"/>
        </w:rPr>
      </w:r>
    </w:p>
    <w:p>
      <w:pPr>
        <w:pStyle w:val="BodyText"/>
        <w:spacing w:line="357" w:lineRule="auto" w:before="122"/>
        <w:ind w:right="1712" w:firstLine="479"/>
        <w:jc w:val="both"/>
      </w:pPr>
      <w:r>
        <w:rPr/>
        <w:t>报告期内，公司董事长及其他董事董事严格遵守相关法律、法规及规章制度的规 定，按时出席董事会会议，认真审议各项议案，勤勉尽责地开展各项工作，有效发挥 了董事在公司规范运作中的作用，保护了公司及股东的合法权益。</w:t>
      </w:r>
    </w:p>
    <w:p>
      <w:pPr>
        <w:pStyle w:val="BodyText"/>
        <w:spacing w:line="357" w:lineRule="auto" w:before="156"/>
        <w:ind w:right="1506" w:firstLine="479"/>
        <w:jc w:val="left"/>
      </w:pPr>
      <w:r>
        <w:rPr/>
        <w:t>公司董事长依法召集并主持董事会会议，严格执行董事会集体决策机制，确保董 </w:t>
      </w:r>
      <w:r>
        <w:rPr>
          <w:spacing w:val="-2"/>
        </w:rPr>
        <w:t>事会依法正常运作，推动公司内部治理制度的制定和完善，指导管理层执行经营策略，</w:t>
      </w:r>
      <w:r>
        <w:rPr>
          <w:spacing w:val="-92"/>
        </w:rPr>
        <w:t> </w:t>
      </w:r>
      <w:r>
        <w:rPr>
          <w:spacing w:val="-92"/>
        </w:rPr>
      </w:r>
      <w:r>
        <w:rPr/>
        <w:t>组织完成股东大会授权的事项，执行董事会决议。报告期内，董事长充分保证了独立</w:t>
      </w:r>
      <w:r>
        <w:rPr/>
        <w:t> 董事和董事会秘书的知情权，为其履行职责创造良好的工作条件。</w:t>
      </w:r>
    </w:p>
    <w:p>
      <w:pPr>
        <w:pStyle w:val="BodyText"/>
        <w:spacing w:line="240" w:lineRule="auto" w:before="156"/>
        <w:ind w:left="624" w:right="1697"/>
        <w:jc w:val="left"/>
      </w:pPr>
      <w:r>
        <w:rPr/>
        <w:t>报告期内，公司共召开了</w:t>
      </w:r>
      <w:r>
        <w:rPr>
          <w:spacing w:val="-61"/>
        </w:rPr>
        <w:t> </w:t>
      </w:r>
      <w:r>
        <w:rPr>
          <w:rFonts w:ascii="Calibri" w:hAnsi="Calibri" w:cs="Calibri" w:eastAsia="Calibri" w:hint="default"/>
        </w:rPr>
        <w:t>14</w:t>
      </w:r>
      <w:r>
        <w:rPr>
          <w:rFonts w:ascii="Calibri" w:hAnsi="Calibri" w:cs="Calibri" w:eastAsia="Calibri" w:hint="default"/>
          <w:spacing w:val="5"/>
        </w:rPr>
        <w:t> </w:t>
      </w:r>
      <w:r>
        <w:rPr/>
        <w:t>次董事会会议，董事出席会议情况如下：</w:t>
      </w:r>
    </w:p>
    <w:p>
      <w:pPr>
        <w:spacing w:line="240" w:lineRule="auto" w:before="8"/>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737"/>
        <w:gridCol w:w="2972"/>
        <w:gridCol w:w="620"/>
        <w:gridCol w:w="523"/>
        <w:gridCol w:w="991"/>
        <w:gridCol w:w="706"/>
        <w:gridCol w:w="572"/>
        <w:gridCol w:w="1133"/>
        <w:gridCol w:w="759"/>
      </w:tblGrid>
      <w:tr>
        <w:trPr>
          <w:trHeight w:val="827" w:hRule="exact"/>
        </w:trPr>
        <w:tc>
          <w:tcPr>
            <w:tcW w:w="7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53" w:right="14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应出</w:t>
            </w:r>
          </w:p>
          <w:p>
            <w:pPr>
              <w:pStyle w:val="TableParagraph"/>
              <w:spacing w:line="240" w:lineRule="auto"/>
              <w:ind w:left="199" w:right="93" w:hanging="106"/>
              <w:jc w:val="left"/>
              <w:rPr>
                <w:rFonts w:ascii="宋体" w:hAnsi="宋体" w:cs="宋体" w:eastAsia="宋体" w:hint="default"/>
                <w:sz w:val="21"/>
                <w:szCs w:val="21"/>
              </w:rPr>
            </w:pPr>
            <w:r>
              <w:rPr>
                <w:rFonts w:ascii="宋体" w:hAnsi="宋体" w:cs="宋体" w:eastAsia="宋体" w:hint="default"/>
                <w:sz w:val="21"/>
                <w:szCs w:val="21"/>
              </w:rPr>
              <w:t>席次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5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现场</w:t>
            </w:r>
          </w:p>
          <w:p>
            <w:pPr>
              <w:pStyle w:val="TableParagraph"/>
              <w:spacing w:line="240" w:lineRule="auto"/>
              <w:ind w:left="45" w:right="43"/>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40" w:lineRule="auto"/>
              <w:ind w:left="175" w:right="65" w:hanging="104"/>
              <w:jc w:val="left"/>
              <w:rPr>
                <w:rFonts w:ascii="宋体" w:hAnsi="宋体" w:cs="宋体" w:eastAsia="宋体" w:hint="default"/>
                <w:sz w:val="21"/>
                <w:szCs w:val="21"/>
              </w:rPr>
            </w:pP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3"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71" w:right="65"/>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247" w:right="31"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c>
          <w:tcPr>
            <w:tcW w:w="7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列席股</w:t>
            </w:r>
          </w:p>
          <w:p>
            <w:pPr>
              <w:pStyle w:val="TableParagraph"/>
              <w:spacing w:line="240" w:lineRule="auto"/>
              <w:ind w:left="163" w:right="55" w:hanging="106"/>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次数</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2</w:t>
            </w:r>
          </w:p>
        </w:tc>
      </w:tr>
      <w:tr>
        <w:trPr>
          <w:trHeight w:val="28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吕波</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1</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2</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2</w:t>
            </w:r>
          </w:p>
        </w:tc>
      </w:tr>
      <w:tr>
        <w:trPr>
          <w:trHeight w:val="28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w:t>
              <w:tab/>
              <w:t>健</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董事、财务负责人、董事会秘书</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2</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郑晓清</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2</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甄秀欣</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6" w:right="0"/>
              <w:jc w:val="left"/>
              <w:rPr>
                <w:rFonts w:ascii="Calibri" w:hAnsi="Calibri" w:cs="Calibri" w:eastAsia="Calibri" w:hint="default"/>
                <w:sz w:val="21"/>
                <w:szCs w:val="21"/>
              </w:rPr>
            </w:pPr>
            <w:r>
              <w:rPr>
                <w:rFonts w:ascii="Calibri"/>
                <w:sz w:val="21"/>
              </w:rPr>
              <w:t>11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1" w:right="0"/>
              <w:jc w:val="left"/>
              <w:rPr>
                <w:rFonts w:ascii="Calibri" w:hAnsi="Calibri" w:cs="Calibri" w:eastAsia="Calibri" w:hint="default"/>
                <w:sz w:val="21"/>
                <w:szCs w:val="21"/>
              </w:rPr>
            </w:pPr>
            <w:r>
              <w:rPr>
                <w:rFonts w:ascii="Calibri"/>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0</w:t>
            </w:r>
          </w:p>
        </w:tc>
      </w:tr>
      <w:tr>
        <w:trPr>
          <w:trHeight w:val="28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蒋力</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 w:right="0"/>
              <w:jc w:val="left"/>
              <w:rPr>
                <w:rFonts w:ascii="Calibri" w:hAnsi="Calibri" w:cs="Calibri" w:eastAsia="Calibri" w:hint="default"/>
                <w:sz w:val="21"/>
                <w:szCs w:val="21"/>
              </w:rPr>
            </w:pPr>
            <w:r>
              <w:rPr>
                <w:rFonts w:ascii="Calibri"/>
                <w:sz w:val="21"/>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2</w:t>
            </w:r>
          </w:p>
        </w:tc>
      </w:tr>
      <w:tr>
        <w:trPr>
          <w:trHeight w:val="28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郭庆旺</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8" w:right="0"/>
              <w:jc w:val="left"/>
              <w:rPr>
                <w:rFonts w:ascii="Calibri" w:hAnsi="Calibri" w:cs="Calibri" w:eastAsia="Calibri" w:hint="default"/>
                <w:sz w:val="21"/>
                <w:szCs w:val="21"/>
              </w:rPr>
            </w:pPr>
            <w:r>
              <w:rPr>
                <w:rFonts w:ascii="Calibri"/>
                <w:sz w:val="21"/>
              </w:rPr>
              <w:t>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1</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0</w:t>
            </w:r>
          </w:p>
        </w:tc>
      </w:tr>
      <w:tr>
        <w:trPr>
          <w:trHeight w:val="28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吴淼</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6" w:right="0"/>
              <w:jc w:val="left"/>
              <w:rPr>
                <w:rFonts w:ascii="Calibri" w:hAnsi="Calibri" w:cs="Calibri" w:eastAsia="Calibri" w:hint="default"/>
                <w:sz w:val="21"/>
                <w:szCs w:val="21"/>
              </w:rPr>
            </w:pPr>
            <w:r>
              <w:rPr>
                <w:rFonts w:ascii="Calibri"/>
                <w:sz w:val="21"/>
              </w:rPr>
              <w:t>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 w:right="0"/>
              <w:jc w:val="left"/>
              <w:rPr>
                <w:rFonts w:ascii="Calibri" w:hAnsi="Calibri" w:cs="Calibri" w:eastAsia="Calibri" w:hint="default"/>
                <w:sz w:val="21"/>
                <w:szCs w:val="21"/>
              </w:rPr>
            </w:pPr>
            <w:r>
              <w:rPr>
                <w:rFonts w:ascii="Calibri"/>
                <w:sz w:val="21"/>
              </w:rPr>
              <w:t>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1</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1</w:t>
            </w:r>
          </w:p>
        </w:tc>
      </w:tr>
      <w:tr>
        <w:trPr>
          <w:trHeight w:val="28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张守文</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Calibri" w:hAnsi="Calibri" w:cs="Calibri" w:eastAsia="Calibri" w:hint="default"/>
                <w:sz w:val="21"/>
                <w:szCs w:val="21"/>
              </w:rPr>
            </w:pPr>
            <w:r>
              <w:rPr>
                <w:rFonts w:ascii="Calibri"/>
                <w:w w:val="100"/>
                <w:sz w:val="21"/>
              </w:rPr>
              <w:t>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1" w:right="0"/>
              <w:jc w:val="left"/>
              <w:rPr>
                <w:rFonts w:ascii="Calibri" w:hAnsi="Calibri" w:cs="Calibri" w:eastAsia="Calibri" w:hint="default"/>
                <w:sz w:val="21"/>
                <w:szCs w:val="21"/>
              </w:rPr>
            </w:pPr>
            <w:r>
              <w:rPr>
                <w:rFonts w:ascii="Calibri"/>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0</w:t>
            </w:r>
          </w:p>
        </w:tc>
      </w:tr>
    </w:tbl>
    <w:p>
      <w:pPr>
        <w:spacing w:line="268" w:lineRule="exact" w:before="0"/>
        <w:ind w:left="775" w:right="1557" w:firstLine="0"/>
        <w:jc w:val="left"/>
        <w:rPr>
          <w:rFonts w:ascii="宋体" w:hAnsi="宋体" w:cs="宋体" w:eastAsia="宋体" w:hint="default"/>
          <w:sz w:val="21"/>
          <w:szCs w:val="21"/>
        </w:rPr>
      </w:pPr>
      <w:r>
        <w:rPr>
          <w:rFonts w:ascii="宋体" w:hAnsi="宋体" w:cs="宋体" w:eastAsia="宋体" w:hint="default"/>
          <w:spacing w:val="-4"/>
          <w:sz w:val="21"/>
          <w:szCs w:val="21"/>
        </w:rPr>
        <w:t>注：独立董事甄秀欣女士报告期内辞职，应出席董事会</w:t>
      </w:r>
      <w:r>
        <w:rPr>
          <w:rFonts w:ascii="Calibri" w:hAnsi="Calibri" w:cs="Calibri" w:eastAsia="Calibri" w:hint="default"/>
          <w:spacing w:val="-4"/>
          <w:sz w:val="21"/>
          <w:szCs w:val="21"/>
        </w:rPr>
        <w:t>11</w:t>
      </w:r>
      <w:r>
        <w:rPr>
          <w:rFonts w:ascii="宋体" w:hAnsi="宋体" w:cs="宋体" w:eastAsia="宋体" w:hint="default"/>
          <w:spacing w:val="-4"/>
          <w:sz w:val="21"/>
          <w:szCs w:val="21"/>
        </w:rPr>
        <w:t>次，并全部出席；独立董事张守文</w:t>
      </w:r>
    </w:p>
    <w:p>
      <w:pPr>
        <w:spacing w:before="108"/>
        <w:ind w:left="144" w:right="1697" w:firstLine="0"/>
        <w:jc w:val="left"/>
        <w:rPr>
          <w:rFonts w:ascii="宋体" w:hAnsi="宋体" w:cs="宋体" w:eastAsia="宋体" w:hint="default"/>
          <w:sz w:val="21"/>
          <w:szCs w:val="21"/>
        </w:rPr>
      </w:pPr>
      <w:r>
        <w:rPr>
          <w:rFonts w:ascii="宋体" w:hAnsi="宋体" w:cs="宋体" w:eastAsia="宋体" w:hint="default"/>
          <w:sz w:val="21"/>
          <w:szCs w:val="21"/>
        </w:rPr>
        <w:t>先生于</w:t>
      </w: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r>
        <w:rPr>
          <w:rFonts w:ascii="Calibri" w:hAnsi="Calibri" w:cs="Calibri" w:eastAsia="Calibri" w:hint="default"/>
          <w:sz w:val="21"/>
          <w:szCs w:val="21"/>
        </w:rPr>
        <w:t>21</w:t>
      </w:r>
      <w:r>
        <w:rPr>
          <w:rFonts w:ascii="宋体" w:hAnsi="宋体" w:cs="宋体" w:eastAsia="宋体" w:hint="default"/>
          <w:sz w:val="21"/>
          <w:szCs w:val="21"/>
        </w:rPr>
        <w:t>日当选公司独立董事，报告期内应出席董事会</w:t>
      </w:r>
      <w:r>
        <w:rPr>
          <w:rFonts w:ascii="Calibri" w:hAnsi="Calibri" w:cs="Calibri" w:eastAsia="Calibri" w:hint="default"/>
          <w:sz w:val="21"/>
          <w:szCs w:val="21"/>
        </w:rPr>
        <w:t>3</w:t>
      </w:r>
      <w:r>
        <w:rPr>
          <w:rFonts w:ascii="宋体" w:hAnsi="宋体" w:cs="宋体" w:eastAsia="宋体" w:hint="default"/>
          <w:sz w:val="21"/>
          <w:szCs w:val="21"/>
        </w:rPr>
        <w:t>次，并全部出席。</w:t>
      </w:r>
    </w:p>
    <w:p>
      <w:pPr>
        <w:spacing w:line="240" w:lineRule="auto" w:before="3"/>
        <w:rPr>
          <w:rFonts w:ascii="宋体" w:hAnsi="宋体" w:cs="宋体" w:eastAsia="宋体" w:hint="default"/>
          <w:sz w:val="30"/>
          <w:szCs w:val="30"/>
        </w:rPr>
      </w:pPr>
    </w:p>
    <w:p>
      <w:pPr>
        <w:pStyle w:val="Heading3"/>
        <w:spacing w:line="240" w:lineRule="auto"/>
        <w:ind w:right="1697"/>
        <w:jc w:val="left"/>
        <w:rPr>
          <w:b w:val="0"/>
          <w:bCs w:val="0"/>
        </w:rPr>
      </w:pPr>
      <w:r>
        <w:rPr/>
        <w:t>（二）独立董事履行职责情况</w:t>
      </w:r>
      <w:r>
        <w:rPr>
          <w:b w:val="0"/>
          <w:bCs w:val="0"/>
        </w:rPr>
      </w:r>
    </w:p>
    <w:p>
      <w:pPr>
        <w:pStyle w:val="BodyText"/>
        <w:spacing w:line="326" w:lineRule="auto" w:before="122"/>
        <w:ind w:right="1695" w:firstLine="479"/>
        <w:jc w:val="left"/>
      </w:pPr>
      <w:r>
        <w:rPr/>
        <w:t>公司现有独立董事</w:t>
      </w:r>
      <w:r>
        <w:rPr>
          <w:spacing w:val="-60"/>
        </w:rPr>
        <w:t> </w:t>
      </w:r>
      <w:r>
        <w:rPr>
          <w:rFonts w:ascii="Calibri" w:hAnsi="Calibri" w:cs="Calibri" w:eastAsia="Calibri" w:hint="default"/>
        </w:rPr>
        <w:t>4</w:t>
      </w:r>
      <w:r>
        <w:rPr>
          <w:rFonts w:ascii="Calibri" w:hAnsi="Calibri" w:cs="Calibri" w:eastAsia="Calibri" w:hint="default"/>
          <w:spacing w:val="6"/>
        </w:rPr>
        <w:t> </w:t>
      </w:r>
      <w:r>
        <w:rPr/>
        <w:t>名，符合中国证监会发布的《关于在上市公司建立独立董事 制度的指导意见》的要求。公司独立董事能够严格按照《公司章程》、《独立董事制</w:t>
      </w:r>
    </w:p>
    <w:p>
      <w:pPr>
        <w:spacing w:after="0" w:line="326" w:lineRule="auto"/>
        <w:jc w:val="left"/>
        <w:sectPr>
          <w:pgSz w:w="12240" w:h="15840"/>
          <w:pgMar w:header="847" w:footer="987" w:top="1360" w:bottom="1180" w:left="1500" w:right="0"/>
        </w:sectPr>
      </w:pPr>
    </w:p>
    <w:p>
      <w:pPr>
        <w:pStyle w:val="BodyText"/>
        <w:spacing w:line="357" w:lineRule="auto" w:before="11"/>
        <w:ind w:right="1712"/>
        <w:jc w:val="both"/>
      </w:pPr>
      <w:r>
        <w:rPr/>
        <w:pict>
          <v:group style="position:absolute;margin-left:80.783997pt;margin-top:1.845647pt;width:450.6pt;height:.1pt;mso-position-horizontal-relative:page;mso-position-vertical-relative:paragraph;z-index:-864472" coordorigin="1616,37" coordsize="9012,2">
            <v:shape style="position:absolute;left:1616;top:37;width:9012;height:2" coordorigin="1616,37" coordsize="9012,0" path="m1616,37l10627,37e" filled="false" stroked="true" strokeweight=".71999pt" strokecolor="#000000">
              <v:path arrowok="t"/>
            </v:shape>
            <w10:wrap type="none"/>
          </v:group>
        </w:pict>
      </w:r>
      <w:r>
        <w:rPr/>
        <w:t>度》和《独立董事年报工作制度》等的规定，按时参加参加报告期内的董事会，审议 各项议案，并依据自己的专业知识和能力做出独立、客观、公正的判断，在工作中保 持充分的独立性，切实维护了公司和中小股东的利益。报告期内，公司独立董事未对 公司董事会审议的各项议案及其他相关事项提出异议，未发生独立董事提议召开董事 会、提议聘用或解聘会计师事务所、独立聘请外部审计机构和咨询机构的情况。</w:t>
      </w:r>
    </w:p>
    <w:p>
      <w:pPr>
        <w:spacing w:line="240" w:lineRule="auto" w:before="13"/>
        <w:rPr>
          <w:rFonts w:ascii="宋体" w:hAnsi="宋体" w:cs="宋体" w:eastAsia="宋体" w:hint="default"/>
          <w:sz w:val="26"/>
          <w:szCs w:val="26"/>
        </w:rPr>
      </w:pPr>
    </w:p>
    <w:p>
      <w:pPr>
        <w:pStyle w:val="Heading4"/>
        <w:spacing w:line="240" w:lineRule="auto"/>
        <w:ind w:right="0"/>
        <w:jc w:val="both"/>
        <w:rPr>
          <w:b w:val="0"/>
          <w:bCs w:val="0"/>
        </w:rPr>
      </w:pPr>
      <w:r>
        <w:rPr>
          <w:rFonts w:ascii="Calibri" w:hAnsi="Calibri" w:cs="Calibri" w:eastAsia="Calibri" w:hint="default"/>
        </w:rPr>
        <w:t>1</w:t>
      </w:r>
      <w:r>
        <w:rPr/>
        <w:t>、报告期内独立董事发表独立意见情况</w:t>
      </w:r>
      <w:r>
        <w:rPr>
          <w:b w:val="0"/>
          <w:bCs w:val="0"/>
        </w:rPr>
      </w:r>
    </w:p>
    <w:p>
      <w:pPr>
        <w:spacing w:line="240" w:lineRule="auto" w:before="6"/>
        <w:rPr>
          <w:rFonts w:ascii="黑体" w:hAnsi="黑体" w:cs="黑体" w:eastAsia="黑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866"/>
        <w:gridCol w:w="1037"/>
        <w:gridCol w:w="1102"/>
        <w:gridCol w:w="5245"/>
        <w:gridCol w:w="761"/>
      </w:tblGrid>
      <w:tr>
        <w:trPr>
          <w:trHeight w:val="829" w:hRule="exact"/>
        </w:trPr>
        <w:tc>
          <w:tcPr>
            <w:tcW w:w="8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40" w:lineRule="auto" w:before="136"/>
              <w:ind w:left="24" w:right="0"/>
              <w:jc w:val="left"/>
              <w:rPr>
                <w:rFonts w:ascii="宋体" w:hAnsi="宋体" w:cs="宋体" w:eastAsia="宋体" w:hint="default"/>
                <w:sz w:val="21"/>
                <w:szCs w:val="21"/>
              </w:rPr>
            </w:pPr>
            <w:r>
              <w:rPr>
                <w:rFonts w:ascii="宋体" w:hAnsi="宋体" w:cs="宋体" w:eastAsia="宋体" w:hint="default"/>
                <w:sz w:val="21"/>
                <w:szCs w:val="21"/>
              </w:rPr>
              <w:t>事姓名</w:t>
            </w:r>
          </w:p>
        </w:tc>
        <w:tc>
          <w:tcPr>
            <w:tcW w:w="10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93"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12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52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7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意见类</w:t>
            </w: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型</w:t>
            </w:r>
          </w:p>
        </w:tc>
      </w:tr>
      <w:tr>
        <w:trPr>
          <w:trHeight w:val="164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甄秀欣</w:t>
            </w:r>
          </w:p>
          <w:p>
            <w:pPr>
              <w:pStyle w:val="TableParagraph"/>
              <w:spacing w:line="357" w:lineRule="auto" w:before="133"/>
              <w:ind w:left="24" w:right="197"/>
              <w:jc w:val="left"/>
              <w:rPr>
                <w:rFonts w:ascii="宋体" w:hAnsi="宋体" w:cs="宋体" w:eastAsia="宋体" w:hint="default"/>
                <w:sz w:val="21"/>
                <w:szCs w:val="21"/>
              </w:rPr>
            </w:pPr>
            <w:r>
              <w:rPr>
                <w:rFonts w:ascii="宋体" w:hAnsi="宋体" w:cs="宋体" w:eastAsia="宋体" w:hint="default"/>
                <w:sz w:val="21"/>
                <w:szCs w:val="21"/>
              </w:rPr>
              <w:t>蒋力</w:t>
            </w:r>
            <w:r>
              <w:rPr>
                <w:rFonts w:ascii="宋体" w:hAnsi="宋体" w:cs="宋体" w:eastAsia="宋体" w:hint="default"/>
                <w:spacing w:val="-103"/>
                <w:sz w:val="21"/>
                <w:szCs w:val="21"/>
              </w:rPr>
              <w:t> </w:t>
            </w:r>
            <w:r>
              <w:rPr>
                <w:rFonts w:ascii="宋体" w:hAnsi="宋体" w:cs="宋体" w:eastAsia="宋体" w:hint="default"/>
                <w:sz w:val="21"/>
                <w:szCs w:val="21"/>
              </w:rPr>
              <w:t>郭庆旺</w:t>
            </w:r>
            <w:r>
              <w:rPr>
                <w:rFonts w:ascii="宋体" w:hAnsi="宋体" w:cs="宋体" w:eastAsia="宋体" w:hint="default"/>
                <w:spacing w:val="-102"/>
                <w:sz w:val="21"/>
                <w:szCs w:val="21"/>
              </w:rPr>
              <w:t> </w:t>
            </w:r>
            <w:r>
              <w:rPr>
                <w:rFonts w:ascii="宋体" w:hAnsi="宋体" w:cs="宋体" w:eastAsia="宋体" w:hint="default"/>
                <w:sz w:val="21"/>
                <w:szCs w:val="21"/>
              </w:rPr>
              <w:t>吴淼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7"/>
                <w:szCs w:val="2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2011-4-25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27" w:right="120"/>
              <w:jc w:val="both"/>
              <w:rPr>
                <w:rFonts w:ascii="宋体" w:hAnsi="宋体" w:cs="宋体" w:eastAsia="宋体" w:hint="default"/>
                <w:sz w:val="21"/>
                <w:szCs w:val="21"/>
              </w:rPr>
            </w:pPr>
            <w:r>
              <w:rPr>
                <w:rFonts w:ascii="宋体" w:hAnsi="宋体" w:cs="宋体" w:eastAsia="宋体" w:hint="default"/>
                <w:sz w:val="21"/>
                <w:szCs w:val="21"/>
              </w:rPr>
              <w:t>第四届董</w:t>
            </w:r>
            <w:r>
              <w:rPr>
                <w:rFonts w:ascii="宋体" w:hAnsi="宋体" w:cs="宋体" w:eastAsia="宋体" w:hint="default"/>
                <w:w w:val="100"/>
                <w:sz w:val="21"/>
                <w:szCs w:val="21"/>
              </w:rPr>
              <w:t> </w:t>
            </w:r>
            <w:r>
              <w:rPr>
                <w:rFonts w:ascii="宋体" w:hAnsi="宋体" w:cs="宋体" w:eastAsia="宋体" w:hint="default"/>
                <w:sz w:val="21"/>
                <w:szCs w:val="21"/>
              </w:rPr>
              <w:t>事会第四</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《对公司累计和当期对外担保情况及关联方占用资金情</w:t>
            </w:r>
          </w:p>
          <w:p>
            <w:pPr>
              <w:pStyle w:val="TableParagraph"/>
              <w:spacing w:line="340" w:lineRule="auto" w:before="133"/>
              <w:ind w:left="23" w:right="17"/>
              <w:jc w:val="both"/>
              <w:rPr>
                <w:rFonts w:ascii="宋体" w:hAnsi="宋体" w:cs="宋体" w:eastAsia="宋体" w:hint="default"/>
                <w:sz w:val="21"/>
                <w:szCs w:val="21"/>
              </w:rPr>
            </w:pPr>
            <w:r>
              <w:rPr>
                <w:rFonts w:ascii="宋体" w:hAnsi="宋体" w:cs="宋体" w:eastAsia="宋体" w:hint="default"/>
                <w:spacing w:val="-3"/>
                <w:sz w:val="21"/>
                <w:szCs w:val="21"/>
              </w:rPr>
              <w:t>况的专项说明和独立意见》、《关于公司续聘</w:t>
            </w:r>
            <w:r>
              <w:rPr>
                <w:rFonts w:ascii="宋体" w:hAnsi="宋体" w:cs="宋体" w:eastAsia="宋体" w:hint="default"/>
                <w:spacing w:val="22"/>
                <w:sz w:val="21"/>
                <w:szCs w:val="21"/>
              </w:rPr>
              <w:t> </w:t>
            </w:r>
            <w:r>
              <w:rPr>
                <w:rFonts w:ascii="Calibri" w:hAnsi="Calibri" w:cs="Calibri" w:eastAsia="Calibri" w:hint="default"/>
                <w:sz w:val="21"/>
                <w:szCs w:val="21"/>
              </w:rPr>
              <w:t>2011</w:t>
            </w:r>
            <w:r>
              <w:rPr>
                <w:rFonts w:ascii="Calibri" w:hAnsi="Calibri" w:cs="Calibri" w:eastAsia="Calibri" w:hint="default"/>
                <w:spacing w:val="18"/>
                <w:sz w:val="21"/>
                <w:szCs w:val="21"/>
              </w:rPr>
              <w:t> </w:t>
            </w:r>
            <w:r>
              <w:rPr>
                <w:rFonts w:ascii="宋体" w:hAnsi="宋体" w:cs="宋体" w:eastAsia="宋体" w:hint="default"/>
                <w:spacing w:val="-3"/>
                <w:sz w:val="21"/>
                <w:szCs w:val="21"/>
              </w:rPr>
              <w:t>年度</w:t>
            </w:r>
            <w:r>
              <w:rPr>
                <w:rFonts w:ascii="宋体" w:hAnsi="宋体" w:cs="宋体" w:eastAsia="宋体" w:hint="default"/>
                <w:spacing w:val="-99"/>
                <w:sz w:val="21"/>
                <w:szCs w:val="21"/>
              </w:rPr>
              <w:t> </w:t>
            </w:r>
            <w:r>
              <w:rPr>
                <w:rFonts w:ascii="宋体" w:hAnsi="宋体" w:cs="宋体" w:eastAsia="宋体" w:hint="default"/>
                <w:spacing w:val="-4"/>
                <w:sz w:val="21"/>
                <w:szCs w:val="21"/>
              </w:rPr>
              <w:t>审计机构的独立意见》、《关于公司内部控制自我评估报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告的独立意见》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64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甄秀欣</w:t>
            </w:r>
          </w:p>
          <w:p>
            <w:pPr>
              <w:pStyle w:val="TableParagraph"/>
              <w:spacing w:line="357" w:lineRule="auto" w:before="133"/>
              <w:ind w:left="24" w:right="197"/>
              <w:jc w:val="left"/>
              <w:rPr>
                <w:rFonts w:ascii="宋体" w:hAnsi="宋体" w:cs="宋体" w:eastAsia="宋体" w:hint="default"/>
                <w:sz w:val="21"/>
                <w:szCs w:val="21"/>
              </w:rPr>
            </w:pPr>
            <w:r>
              <w:rPr>
                <w:rFonts w:ascii="宋体" w:hAnsi="宋体" w:cs="宋体" w:eastAsia="宋体" w:hint="default"/>
                <w:sz w:val="21"/>
                <w:szCs w:val="21"/>
              </w:rPr>
              <w:t>蒋力</w:t>
            </w:r>
            <w:r>
              <w:rPr>
                <w:rFonts w:ascii="宋体" w:hAnsi="宋体" w:cs="宋体" w:eastAsia="宋体" w:hint="default"/>
                <w:spacing w:val="-103"/>
                <w:sz w:val="21"/>
                <w:szCs w:val="21"/>
              </w:rPr>
              <w:t> </w:t>
            </w:r>
            <w:r>
              <w:rPr>
                <w:rFonts w:ascii="宋体" w:hAnsi="宋体" w:cs="宋体" w:eastAsia="宋体" w:hint="default"/>
                <w:sz w:val="21"/>
                <w:szCs w:val="21"/>
              </w:rPr>
              <w:t>郭庆旺</w:t>
            </w:r>
            <w:r>
              <w:rPr>
                <w:rFonts w:ascii="宋体" w:hAnsi="宋体" w:cs="宋体" w:eastAsia="宋体" w:hint="default"/>
                <w:spacing w:val="-102"/>
                <w:sz w:val="21"/>
                <w:szCs w:val="21"/>
              </w:rPr>
              <w:t> </w:t>
            </w:r>
            <w:r>
              <w:rPr>
                <w:rFonts w:ascii="宋体" w:hAnsi="宋体" w:cs="宋体" w:eastAsia="宋体" w:hint="default"/>
                <w:sz w:val="21"/>
                <w:szCs w:val="21"/>
              </w:rPr>
              <w:t>吴淼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7"/>
                <w:szCs w:val="2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2011-8-22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27" w:right="120"/>
              <w:jc w:val="both"/>
              <w:rPr>
                <w:rFonts w:ascii="宋体" w:hAnsi="宋体" w:cs="宋体" w:eastAsia="宋体" w:hint="default"/>
                <w:sz w:val="21"/>
                <w:szCs w:val="21"/>
              </w:rPr>
            </w:pPr>
            <w:r>
              <w:rPr>
                <w:rFonts w:ascii="宋体" w:hAnsi="宋体" w:cs="宋体" w:eastAsia="宋体" w:hint="default"/>
                <w:sz w:val="21"/>
                <w:szCs w:val="21"/>
              </w:rPr>
              <w:t>第四届董</w:t>
            </w:r>
            <w:r>
              <w:rPr>
                <w:rFonts w:ascii="宋体" w:hAnsi="宋体" w:cs="宋体" w:eastAsia="宋体" w:hint="default"/>
                <w:w w:val="100"/>
                <w:sz w:val="21"/>
                <w:szCs w:val="21"/>
              </w:rPr>
              <w:t> </w:t>
            </w:r>
            <w:r>
              <w:rPr>
                <w:rFonts w:ascii="宋体" w:hAnsi="宋体" w:cs="宋体" w:eastAsia="宋体" w:hint="default"/>
                <w:sz w:val="21"/>
                <w:szCs w:val="21"/>
              </w:rPr>
              <w:t>事会第八</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28"/>
                <w:szCs w:val="28"/>
              </w:rPr>
            </w:pPr>
          </w:p>
          <w:p>
            <w:pPr>
              <w:pStyle w:val="TableParagraph"/>
              <w:spacing w:line="355" w:lineRule="auto"/>
              <w:ind w:left="1144" w:right="17" w:hanging="1121"/>
              <w:jc w:val="left"/>
              <w:rPr>
                <w:rFonts w:ascii="宋体" w:hAnsi="宋体" w:cs="宋体" w:eastAsia="宋体" w:hint="default"/>
                <w:sz w:val="21"/>
                <w:szCs w:val="21"/>
              </w:rPr>
            </w:pPr>
            <w:r>
              <w:rPr>
                <w:rFonts w:ascii="宋体" w:hAnsi="宋体" w:cs="宋体" w:eastAsia="宋体" w:hint="default"/>
                <w:spacing w:val="-4"/>
                <w:sz w:val="21"/>
                <w:szCs w:val="21"/>
              </w:rPr>
              <w:t>《关于控股股东及其他关联方占用公司资金、公司对外担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保情况的专项说明和独立意见》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64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甄秀欣</w:t>
            </w:r>
          </w:p>
          <w:p>
            <w:pPr>
              <w:pStyle w:val="TableParagraph"/>
              <w:spacing w:line="357" w:lineRule="auto" w:before="133"/>
              <w:ind w:left="24" w:right="197"/>
              <w:jc w:val="left"/>
              <w:rPr>
                <w:rFonts w:ascii="宋体" w:hAnsi="宋体" w:cs="宋体" w:eastAsia="宋体" w:hint="default"/>
                <w:sz w:val="21"/>
                <w:szCs w:val="21"/>
              </w:rPr>
            </w:pPr>
            <w:r>
              <w:rPr>
                <w:rFonts w:ascii="宋体" w:hAnsi="宋体" w:cs="宋体" w:eastAsia="宋体" w:hint="default"/>
                <w:sz w:val="21"/>
                <w:szCs w:val="21"/>
              </w:rPr>
              <w:t>蒋力</w:t>
            </w:r>
            <w:r>
              <w:rPr>
                <w:rFonts w:ascii="宋体" w:hAnsi="宋体" w:cs="宋体" w:eastAsia="宋体" w:hint="default"/>
                <w:spacing w:val="-103"/>
                <w:sz w:val="21"/>
                <w:szCs w:val="21"/>
              </w:rPr>
              <w:t> </w:t>
            </w:r>
            <w:r>
              <w:rPr>
                <w:rFonts w:ascii="宋体" w:hAnsi="宋体" w:cs="宋体" w:eastAsia="宋体" w:hint="default"/>
                <w:sz w:val="21"/>
                <w:szCs w:val="21"/>
              </w:rPr>
              <w:t>郭庆旺</w:t>
            </w:r>
            <w:r>
              <w:rPr>
                <w:rFonts w:ascii="宋体" w:hAnsi="宋体" w:cs="宋体" w:eastAsia="宋体" w:hint="default"/>
                <w:spacing w:val="-102"/>
                <w:sz w:val="21"/>
                <w:szCs w:val="21"/>
              </w:rPr>
              <w:t> </w:t>
            </w:r>
            <w:r>
              <w:rPr>
                <w:rFonts w:ascii="宋体" w:hAnsi="宋体" w:cs="宋体" w:eastAsia="宋体" w:hint="default"/>
                <w:sz w:val="21"/>
                <w:szCs w:val="21"/>
              </w:rPr>
              <w:t>吴淼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7"/>
                <w:szCs w:val="2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2011-11-1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27" w:right="120"/>
              <w:jc w:val="both"/>
              <w:rPr>
                <w:rFonts w:ascii="宋体" w:hAnsi="宋体" w:cs="宋体" w:eastAsia="宋体" w:hint="default"/>
                <w:sz w:val="21"/>
                <w:szCs w:val="21"/>
              </w:rPr>
            </w:pPr>
            <w:r>
              <w:rPr>
                <w:rFonts w:ascii="宋体" w:hAnsi="宋体" w:cs="宋体" w:eastAsia="宋体" w:hint="default"/>
                <w:sz w:val="21"/>
                <w:szCs w:val="21"/>
              </w:rPr>
              <w:t>第四届董</w:t>
            </w:r>
            <w:r>
              <w:rPr>
                <w:rFonts w:ascii="宋体" w:hAnsi="宋体" w:cs="宋体" w:eastAsia="宋体" w:hint="default"/>
                <w:w w:val="100"/>
                <w:sz w:val="21"/>
                <w:szCs w:val="21"/>
              </w:rPr>
              <w:t> </w:t>
            </w:r>
            <w:r>
              <w:rPr>
                <w:rFonts w:ascii="宋体" w:hAnsi="宋体" w:cs="宋体" w:eastAsia="宋体" w:hint="default"/>
                <w:sz w:val="21"/>
                <w:szCs w:val="21"/>
              </w:rPr>
              <w:t>事会第十</w:t>
            </w:r>
            <w:r>
              <w:rPr>
                <w:rFonts w:ascii="宋体" w:hAnsi="宋体" w:cs="宋体" w:eastAsia="宋体" w:hint="default"/>
                <w:w w:val="100"/>
                <w:sz w:val="21"/>
                <w:szCs w:val="21"/>
              </w:rPr>
              <w:t> </w:t>
            </w:r>
            <w:r>
              <w:rPr>
                <w:rFonts w:ascii="宋体" w:hAnsi="宋体" w:cs="宋体" w:eastAsia="宋体" w:hint="default"/>
                <w:sz w:val="21"/>
                <w:szCs w:val="21"/>
              </w:rPr>
              <w:t>二次会议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《对提名独立董事候选人的独立意见》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64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蒋力</w:t>
            </w:r>
          </w:p>
          <w:p>
            <w:pPr>
              <w:pStyle w:val="TableParagraph"/>
              <w:spacing w:line="357" w:lineRule="auto" w:before="133"/>
              <w:ind w:left="24" w:right="197"/>
              <w:jc w:val="left"/>
              <w:rPr>
                <w:rFonts w:ascii="宋体" w:hAnsi="宋体" w:cs="宋体" w:eastAsia="宋体" w:hint="default"/>
                <w:sz w:val="21"/>
                <w:szCs w:val="21"/>
              </w:rPr>
            </w:pPr>
            <w:r>
              <w:rPr>
                <w:rFonts w:ascii="宋体" w:hAnsi="宋体" w:cs="宋体" w:eastAsia="宋体" w:hint="default"/>
                <w:sz w:val="21"/>
                <w:szCs w:val="21"/>
              </w:rPr>
              <w:t>郭庆旺</w:t>
            </w:r>
            <w:r>
              <w:rPr>
                <w:rFonts w:ascii="宋体" w:hAnsi="宋体" w:cs="宋体" w:eastAsia="宋体" w:hint="default"/>
                <w:spacing w:val="-102"/>
                <w:sz w:val="21"/>
                <w:szCs w:val="21"/>
              </w:rPr>
              <w:t> </w:t>
            </w:r>
            <w:r>
              <w:rPr>
                <w:rFonts w:ascii="宋体" w:hAnsi="宋体" w:cs="宋体" w:eastAsia="宋体" w:hint="default"/>
                <w:sz w:val="21"/>
                <w:szCs w:val="21"/>
              </w:rPr>
              <w:t>吴淼</w:t>
            </w:r>
            <w:r>
              <w:rPr>
                <w:rFonts w:ascii="宋体" w:hAnsi="宋体" w:cs="宋体" w:eastAsia="宋体" w:hint="default"/>
                <w:spacing w:val="-103"/>
                <w:sz w:val="21"/>
                <w:szCs w:val="21"/>
              </w:rPr>
              <w:t> </w:t>
            </w:r>
            <w:r>
              <w:rPr>
                <w:rFonts w:ascii="宋体" w:hAnsi="宋体" w:cs="宋体" w:eastAsia="宋体" w:hint="default"/>
                <w:sz w:val="21"/>
                <w:szCs w:val="21"/>
              </w:rPr>
              <w:t>张守文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7"/>
                <w:szCs w:val="2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2011-12-7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27" w:right="120"/>
              <w:jc w:val="both"/>
              <w:rPr>
                <w:rFonts w:ascii="宋体" w:hAnsi="宋体" w:cs="宋体" w:eastAsia="宋体" w:hint="default"/>
                <w:sz w:val="21"/>
                <w:szCs w:val="21"/>
              </w:rPr>
            </w:pPr>
            <w:r>
              <w:rPr>
                <w:rFonts w:ascii="宋体" w:hAnsi="宋体" w:cs="宋体" w:eastAsia="宋体" w:hint="default"/>
                <w:sz w:val="21"/>
                <w:szCs w:val="21"/>
              </w:rPr>
              <w:t>第四届董</w:t>
            </w:r>
            <w:r>
              <w:rPr>
                <w:rFonts w:ascii="宋体" w:hAnsi="宋体" w:cs="宋体" w:eastAsia="宋体" w:hint="default"/>
                <w:w w:val="100"/>
                <w:sz w:val="21"/>
                <w:szCs w:val="21"/>
              </w:rPr>
              <w:t> </w:t>
            </w:r>
            <w:r>
              <w:rPr>
                <w:rFonts w:ascii="宋体" w:hAnsi="宋体" w:cs="宋体" w:eastAsia="宋体" w:hint="default"/>
                <w:sz w:val="21"/>
                <w:szCs w:val="21"/>
              </w:rPr>
              <w:t>事会第十</w:t>
            </w:r>
            <w:r>
              <w:rPr>
                <w:rFonts w:ascii="宋体" w:hAnsi="宋体" w:cs="宋体" w:eastAsia="宋体" w:hint="default"/>
                <w:w w:val="100"/>
                <w:sz w:val="21"/>
                <w:szCs w:val="21"/>
              </w:rPr>
              <w:t> </w:t>
            </w:r>
            <w:r>
              <w:rPr>
                <w:rFonts w:ascii="宋体" w:hAnsi="宋体" w:cs="宋体" w:eastAsia="宋体" w:hint="default"/>
                <w:sz w:val="21"/>
                <w:szCs w:val="21"/>
              </w:rPr>
              <w:t>四次会议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28"/>
                <w:szCs w:val="28"/>
              </w:rPr>
            </w:pPr>
          </w:p>
          <w:p>
            <w:pPr>
              <w:pStyle w:val="TableParagraph"/>
              <w:spacing w:line="355" w:lineRule="auto"/>
              <w:ind w:left="2196" w:right="20" w:hanging="2173"/>
              <w:jc w:val="left"/>
              <w:rPr>
                <w:rFonts w:ascii="宋体" w:hAnsi="宋体" w:cs="宋体" w:eastAsia="宋体" w:hint="default"/>
                <w:sz w:val="21"/>
                <w:szCs w:val="21"/>
              </w:rPr>
            </w:pPr>
            <w:r>
              <w:rPr>
                <w:rFonts w:ascii="宋体" w:hAnsi="宋体" w:cs="宋体" w:eastAsia="宋体" w:hint="default"/>
                <w:spacing w:val="-4"/>
                <w:sz w:val="21"/>
                <w:szCs w:val="21"/>
              </w:rPr>
              <w:t>关于《东华软件股份公司股票期权激励计划（草案）》的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独立意见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64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蒋力</w:t>
            </w:r>
          </w:p>
          <w:p>
            <w:pPr>
              <w:pStyle w:val="TableParagraph"/>
              <w:spacing w:line="357" w:lineRule="auto" w:before="133"/>
              <w:ind w:left="24" w:right="197"/>
              <w:jc w:val="left"/>
              <w:rPr>
                <w:rFonts w:ascii="宋体" w:hAnsi="宋体" w:cs="宋体" w:eastAsia="宋体" w:hint="default"/>
                <w:sz w:val="21"/>
                <w:szCs w:val="21"/>
              </w:rPr>
            </w:pPr>
            <w:r>
              <w:rPr>
                <w:rFonts w:ascii="宋体" w:hAnsi="宋体" w:cs="宋体" w:eastAsia="宋体" w:hint="default"/>
                <w:sz w:val="21"/>
                <w:szCs w:val="21"/>
              </w:rPr>
              <w:t>郭庆旺</w:t>
            </w:r>
            <w:r>
              <w:rPr>
                <w:rFonts w:ascii="宋体" w:hAnsi="宋体" w:cs="宋体" w:eastAsia="宋体" w:hint="default"/>
                <w:spacing w:val="-102"/>
                <w:sz w:val="21"/>
                <w:szCs w:val="21"/>
              </w:rPr>
              <w:t> </w:t>
            </w:r>
            <w:r>
              <w:rPr>
                <w:rFonts w:ascii="宋体" w:hAnsi="宋体" w:cs="宋体" w:eastAsia="宋体" w:hint="default"/>
                <w:sz w:val="21"/>
                <w:szCs w:val="21"/>
              </w:rPr>
              <w:t>吴淼</w:t>
            </w:r>
            <w:r>
              <w:rPr>
                <w:rFonts w:ascii="宋体" w:hAnsi="宋体" w:cs="宋体" w:eastAsia="宋体" w:hint="default"/>
                <w:spacing w:val="-103"/>
                <w:sz w:val="21"/>
                <w:szCs w:val="21"/>
              </w:rPr>
              <w:t> </w:t>
            </w:r>
            <w:r>
              <w:rPr>
                <w:rFonts w:ascii="宋体" w:hAnsi="宋体" w:cs="宋体" w:eastAsia="宋体" w:hint="default"/>
                <w:sz w:val="21"/>
                <w:szCs w:val="21"/>
              </w:rPr>
              <w:t>张守文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7"/>
                <w:szCs w:val="2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2011-12-30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27" w:right="120"/>
              <w:jc w:val="both"/>
              <w:rPr>
                <w:rFonts w:ascii="宋体" w:hAnsi="宋体" w:cs="宋体" w:eastAsia="宋体" w:hint="default"/>
                <w:sz w:val="21"/>
                <w:szCs w:val="21"/>
              </w:rPr>
            </w:pPr>
            <w:r>
              <w:rPr>
                <w:rFonts w:ascii="宋体" w:hAnsi="宋体" w:cs="宋体" w:eastAsia="宋体" w:hint="default"/>
                <w:sz w:val="21"/>
                <w:szCs w:val="21"/>
              </w:rPr>
              <w:t>第四届董</w:t>
            </w:r>
            <w:r>
              <w:rPr>
                <w:rFonts w:ascii="宋体" w:hAnsi="宋体" w:cs="宋体" w:eastAsia="宋体" w:hint="default"/>
                <w:w w:val="100"/>
                <w:sz w:val="21"/>
                <w:szCs w:val="21"/>
              </w:rPr>
              <w:t> </w:t>
            </w:r>
            <w:r>
              <w:rPr>
                <w:rFonts w:ascii="宋体" w:hAnsi="宋体" w:cs="宋体" w:eastAsia="宋体" w:hint="default"/>
                <w:sz w:val="21"/>
                <w:szCs w:val="21"/>
              </w:rPr>
              <w:t>事会第十</w:t>
            </w:r>
            <w:r>
              <w:rPr>
                <w:rFonts w:ascii="宋体" w:hAnsi="宋体" w:cs="宋体" w:eastAsia="宋体" w:hint="default"/>
                <w:w w:val="100"/>
                <w:sz w:val="21"/>
                <w:szCs w:val="21"/>
              </w:rPr>
              <w:t> </w:t>
            </w:r>
            <w:r>
              <w:rPr>
                <w:rFonts w:ascii="宋体" w:hAnsi="宋体" w:cs="宋体" w:eastAsia="宋体" w:hint="default"/>
                <w:sz w:val="21"/>
                <w:szCs w:val="21"/>
              </w:rPr>
              <w:t>五次会议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28"/>
                <w:szCs w:val="28"/>
              </w:rPr>
            </w:pPr>
          </w:p>
          <w:p>
            <w:pPr>
              <w:pStyle w:val="TableParagraph"/>
              <w:spacing w:line="355" w:lineRule="auto"/>
              <w:ind w:left="1881" w:right="17" w:hanging="1858"/>
              <w:jc w:val="left"/>
              <w:rPr>
                <w:rFonts w:ascii="宋体" w:hAnsi="宋体" w:cs="宋体" w:eastAsia="宋体" w:hint="default"/>
                <w:sz w:val="21"/>
                <w:szCs w:val="21"/>
              </w:rPr>
            </w:pPr>
            <w:r>
              <w:rPr>
                <w:rFonts w:ascii="宋体" w:hAnsi="宋体" w:cs="宋体" w:eastAsia="宋体" w:hint="default"/>
                <w:spacing w:val="-4"/>
                <w:sz w:val="21"/>
                <w:szCs w:val="21"/>
              </w:rPr>
              <w:t>关于《东华软件股份公司股票期权激励计划（草案）修订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稿》的独立意见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2"/>
              <w:ind w:right="0"/>
              <w:jc w:val="left"/>
              <w:rPr>
                <w:rFonts w:ascii="黑体" w:hAnsi="黑体" w:cs="黑体" w:eastAsia="黑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4"/>
        <w:rPr>
          <w:rFonts w:ascii="黑体" w:hAnsi="黑体" w:cs="黑体" w:eastAsia="黑体" w:hint="default"/>
          <w:b/>
          <w:bCs/>
          <w:sz w:val="19"/>
          <w:szCs w:val="19"/>
        </w:rPr>
      </w:pPr>
    </w:p>
    <w:p>
      <w:pPr>
        <w:pStyle w:val="Heading4"/>
        <w:spacing w:line="240" w:lineRule="auto" w:before="26"/>
        <w:ind w:right="1697"/>
        <w:jc w:val="left"/>
        <w:rPr>
          <w:b w:val="0"/>
          <w:bCs w:val="0"/>
        </w:rPr>
      </w:pPr>
      <w:r>
        <w:rPr>
          <w:rFonts w:ascii="Calibri" w:hAnsi="Calibri" w:cs="Calibri" w:eastAsia="Calibri" w:hint="default"/>
        </w:rPr>
        <w:t>2</w:t>
      </w:r>
      <w:r>
        <w:rPr/>
        <w:t>、年报编制沟通情况</w:t>
      </w:r>
      <w:r>
        <w:rPr>
          <w:b w:val="0"/>
          <w:bCs w:val="0"/>
        </w:rPr>
      </w:r>
    </w:p>
    <w:p>
      <w:pPr>
        <w:spacing w:after="0" w:line="240" w:lineRule="auto"/>
        <w:jc w:val="left"/>
        <w:sectPr>
          <w:pgSz w:w="12240" w:h="15840"/>
          <w:pgMar w:header="847" w:footer="987" w:top="1360" w:bottom="1180" w:left="1500" w:right="0"/>
        </w:sectPr>
      </w:pPr>
    </w:p>
    <w:p>
      <w:pPr>
        <w:pStyle w:val="BodyText"/>
        <w:spacing w:line="350" w:lineRule="auto" w:before="11"/>
        <w:ind w:right="1506" w:firstLine="479"/>
        <w:jc w:val="left"/>
      </w:pPr>
      <w:r>
        <w:rPr/>
        <w:pict>
          <v:group style="position:absolute;margin-left:80.783997pt;margin-top:1.845647pt;width:450.6pt;height:.1pt;mso-position-horizontal-relative:page;mso-position-vertical-relative:paragraph;z-index:-864448"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2"/>
        </w:rPr>
        <w:t>独立董事在公司</w:t>
      </w:r>
      <w:r>
        <w:rPr>
          <w:rFonts w:ascii="Times New Roman" w:hAnsi="Times New Roman" w:cs="Times New Roman" w:eastAsia="Times New Roman" w:hint="default"/>
          <w:spacing w:val="-2"/>
        </w:rPr>
        <w:t>2011</w:t>
      </w:r>
      <w:r>
        <w:rPr>
          <w:spacing w:val="-2"/>
        </w:rPr>
        <w:t>年年报的编制和披露过程中，按照《独立董事年报工作制度》</w:t>
      </w:r>
      <w:r>
        <w:rPr/>
        <w:t> 的相关规定，认真履行了相关责任和义务，与公司管理层进行了充分的沟通，并与年 审会计师就审计过程中发现的问题进行有效沟通，充分发挥了独立董事在年报中的监 督作用，以确保年度报告全面反映公司真实情况。</w:t>
      </w:r>
    </w:p>
    <w:p>
      <w:pPr>
        <w:spacing w:line="240" w:lineRule="auto" w:before="9"/>
        <w:rPr>
          <w:rFonts w:ascii="宋体" w:hAnsi="宋体" w:cs="宋体" w:eastAsia="宋体" w:hint="default"/>
          <w:sz w:val="27"/>
          <w:szCs w:val="27"/>
        </w:rPr>
      </w:pPr>
    </w:p>
    <w:p>
      <w:pPr>
        <w:pStyle w:val="Heading4"/>
        <w:spacing w:line="240" w:lineRule="auto"/>
        <w:ind w:right="1697"/>
        <w:jc w:val="left"/>
        <w:rPr>
          <w:b w:val="0"/>
          <w:bCs w:val="0"/>
        </w:rPr>
      </w:pPr>
      <w:r>
        <w:rPr>
          <w:rFonts w:ascii="Calibri" w:hAnsi="Calibri" w:cs="Calibri" w:eastAsia="Calibri" w:hint="default"/>
        </w:rPr>
        <w:t>3</w:t>
      </w:r>
      <w:r>
        <w:rPr/>
        <w:t>、现场检查、办公情况</w:t>
      </w:r>
      <w:r>
        <w:rPr>
          <w:b w:val="0"/>
          <w:bCs w:val="0"/>
        </w:rPr>
      </w:r>
    </w:p>
    <w:p>
      <w:pPr>
        <w:pStyle w:val="BodyText"/>
        <w:spacing w:line="345" w:lineRule="auto" w:before="97"/>
        <w:ind w:right="1701" w:firstLine="479"/>
        <w:jc w:val="both"/>
      </w:pPr>
      <w:r>
        <w:rPr>
          <w:rFonts w:ascii="Calibri" w:hAnsi="Calibri" w:cs="Calibri" w:eastAsia="Calibri" w:hint="default"/>
        </w:rPr>
        <w:t>2011</w:t>
      </w:r>
      <w:r>
        <w:rPr/>
        <w:t>年，除参加董事会会议外，独立董事在公司进行现场调查的累计天数超过</w:t>
      </w:r>
      <w:r>
        <w:rPr>
          <w:rFonts w:ascii="Calibri" w:hAnsi="Calibri" w:cs="Calibri" w:eastAsia="Calibri" w:hint="default"/>
        </w:rPr>
        <w:t>10 </w:t>
      </w:r>
      <w:r>
        <w:rPr/>
        <w:t>天，对公司经营状况、管理和内部控制等制度的完善及执行情况、董事会决议执行情 况、财务管理、关联交易等进行了调查和了解，对董事、高管履职情况、信息披露情 况等进行了监督和核查，积极有效地履行了独立董事的职责，认真地维护了公司和广</w:t>
      </w:r>
    </w:p>
    <w:p>
      <w:pPr>
        <w:pStyle w:val="BodyText"/>
        <w:spacing w:line="240" w:lineRule="auto" w:before="48"/>
        <w:ind w:right="1697"/>
        <w:jc w:val="left"/>
      </w:pPr>
      <w:r>
        <w:rPr/>
        <w:t>大社会公众股股东的利益。</w:t>
      </w:r>
    </w:p>
    <w:p>
      <w:pPr>
        <w:spacing w:line="240" w:lineRule="auto" w:before="13"/>
        <w:rPr>
          <w:rFonts w:ascii="宋体" w:hAnsi="宋体" w:cs="宋体" w:eastAsia="宋体" w:hint="default"/>
          <w:sz w:val="35"/>
          <w:szCs w:val="35"/>
        </w:rPr>
      </w:pPr>
    </w:p>
    <w:p>
      <w:pPr>
        <w:pStyle w:val="Heading4"/>
        <w:spacing w:line="240" w:lineRule="auto"/>
        <w:ind w:right="1697"/>
        <w:jc w:val="left"/>
        <w:rPr>
          <w:b w:val="0"/>
          <w:bCs w:val="0"/>
        </w:rPr>
      </w:pPr>
      <w:r>
        <w:rPr>
          <w:rFonts w:ascii="Calibri" w:hAnsi="Calibri" w:cs="Calibri" w:eastAsia="Calibri" w:hint="default"/>
        </w:rPr>
        <w:t>4</w:t>
      </w:r>
      <w:r>
        <w:rPr/>
        <w:t>、各专门委员会履职情况</w:t>
      </w:r>
      <w:r>
        <w:rPr>
          <w:b w:val="0"/>
          <w:bCs w:val="0"/>
        </w:rPr>
      </w:r>
    </w:p>
    <w:p>
      <w:pPr>
        <w:pStyle w:val="BodyText"/>
        <w:spacing w:line="408" w:lineRule="auto" w:before="97"/>
        <w:ind w:left="624" w:right="1557"/>
        <w:jc w:val="left"/>
        <w:rPr>
          <w:rFonts w:ascii="Calibri" w:hAnsi="Calibri" w:cs="Calibri" w:eastAsia="Calibri" w:hint="default"/>
        </w:rPr>
      </w:pPr>
      <w:r>
        <w:rPr/>
        <w:t>（</w:t>
      </w:r>
      <w:r>
        <w:rPr>
          <w:rFonts w:ascii="Calibri" w:hAnsi="Calibri" w:cs="Calibri" w:eastAsia="Calibri" w:hint="default"/>
        </w:rPr>
        <w:t>1</w:t>
      </w:r>
      <w:r>
        <w:rPr/>
        <w:t>）独立董事甄秀欣女士在董事会各专门委员会履职情况 </w:t>
      </w:r>
      <w:r>
        <w:rPr>
          <w:spacing w:val="-5"/>
        </w:rPr>
        <w:t>报告期内，甄秀欣女士担任公司董事会提名委员会及薪酬与考核委员会委员，</w:t>
      </w:r>
      <w:r>
        <w:rPr>
          <w:rFonts w:ascii="Calibri" w:hAnsi="Calibri" w:cs="Calibri" w:eastAsia="Calibri" w:hint="default"/>
          <w:spacing w:val="-5"/>
        </w:rPr>
        <w:t>2011</w:t>
      </w:r>
    </w:p>
    <w:p>
      <w:pPr>
        <w:pStyle w:val="BodyText"/>
        <w:spacing w:line="263" w:lineRule="exact"/>
        <w:ind w:right="1557"/>
        <w:jc w:val="left"/>
        <w:rPr>
          <w:rFonts w:ascii="Calibri" w:hAnsi="Calibri" w:cs="Calibri" w:eastAsia="Calibri" w:hint="default"/>
        </w:rPr>
      </w:pPr>
      <w:r>
        <w:rPr/>
        <w:t>年</w:t>
      </w:r>
      <w:r>
        <w:rPr>
          <w:spacing w:val="-60"/>
        </w:rPr>
        <w:t> </w:t>
      </w:r>
      <w:r>
        <w:rPr>
          <w:rFonts w:ascii="Calibri" w:hAnsi="Calibri" w:cs="Calibri" w:eastAsia="Calibri" w:hint="default"/>
        </w:rPr>
        <w:t>9</w:t>
      </w:r>
      <w:r>
        <w:rPr>
          <w:rFonts w:ascii="Calibri" w:hAnsi="Calibri" w:cs="Calibri" w:eastAsia="Calibri" w:hint="default"/>
          <w:spacing w:val="6"/>
        </w:rPr>
        <w:t> </w:t>
      </w:r>
      <w:r>
        <w:rPr/>
        <w:t>月因其任职的中信证券股份有限公司合规性要求而提出辞职申请，并履职至</w:t>
      </w:r>
      <w:r>
        <w:rPr>
          <w:spacing w:val="-60"/>
        </w:rPr>
        <w:t> </w:t>
      </w:r>
      <w:r>
        <w:rPr>
          <w:rFonts w:ascii="Calibri" w:hAnsi="Calibri" w:cs="Calibri" w:eastAsia="Calibri" w:hint="default"/>
        </w:rPr>
        <w:t>2011</w:t>
      </w:r>
    </w:p>
    <w:p>
      <w:pPr>
        <w:pStyle w:val="BodyText"/>
        <w:spacing w:line="240" w:lineRule="auto" w:before="123"/>
        <w:ind w:right="1697"/>
        <w:jc w:val="left"/>
      </w:pPr>
      <w:r>
        <w:rPr/>
        <w:t>年</w:t>
      </w:r>
      <w:r>
        <w:rPr>
          <w:spacing w:val="-61"/>
        </w:rPr>
        <w:t> </w:t>
      </w:r>
      <w:r>
        <w:rPr>
          <w:rFonts w:ascii="Calibri" w:hAnsi="Calibri" w:cs="Calibri" w:eastAsia="Calibri" w:hint="default"/>
        </w:rPr>
        <w:t>11</w:t>
      </w:r>
      <w:r>
        <w:rPr>
          <w:rFonts w:ascii="Calibri" w:hAnsi="Calibri" w:cs="Calibri" w:eastAsia="Calibri" w:hint="default"/>
          <w:spacing w:val="5"/>
        </w:rPr>
        <w:t> </w:t>
      </w:r>
      <w:r>
        <w:rPr/>
        <w:t>月</w:t>
      </w:r>
      <w:r>
        <w:rPr>
          <w:spacing w:val="-61"/>
        </w:rPr>
        <w:t> </w:t>
      </w:r>
      <w:r>
        <w:rPr>
          <w:rFonts w:ascii="Calibri" w:hAnsi="Calibri" w:cs="Calibri" w:eastAsia="Calibri" w:hint="default"/>
        </w:rPr>
        <w:t>21</w:t>
      </w:r>
      <w:r>
        <w:rPr>
          <w:rFonts w:ascii="Calibri" w:hAnsi="Calibri" w:cs="Calibri" w:eastAsia="Calibri" w:hint="default"/>
          <w:spacing w:val="5"/>
        </w:rPr>
        <w:t> </w:t>
      </w:r>
      <w:r>
        <w:rPr/>
        <w:t>日。</w:t>
      </w:r>
      <w:r>
        <w:rPr>
          <w:rFonts w:ascii="Calibri" w:hAnsi="Calibri" w:cs="Calibri" w:eastAsia="Calibri" w:hint="default"/>
        </w:rPr>
        <w:t>2011</w:t>
      </w:r>
      <w:r>
        <w:rPr>
          <w:rFonts w:ascii="Calibri" w:hAnsi="Calibri" w:cs="Calibri" w:eastAsia="Calibri" w:hint="default"/>
          <w:spacing w:val="3"/>
        </w:rPr>
        <w:t> </w:t>
      </w:r>
      <w:r>
        <w:rPr/>
        <w:t>年度，甄秀欣女士在各委员会主要工作情况如下：</w:t>
      </w:r>
    </w:p>
    <w:p>
      <w:pPr>
        <w:spacing w:line="240" w:lineRule="auto" w:before="5"/>
        <w:rPr>
          <w:rFonts w:ascii="宋体" w:hAnsi="宋体" w:cs="宋体" w:eastAsia="宋体" w:hint="default"/>
          <w:sz w:val="18"/>
          <w:szCs w:val="18"/>
        </w:rPr>
      </w:pPr>
    </w:p>
    <w:p>
      <w:pPr>
        <w:pStyle w:val="BodyText"/>
        <w:spacing w:line="326" w:lineRule="auto"/>
        <w:ind w:right="1710" w:firstLine="479"/>
        <w:jc w:val="both"/>
      </w:pPr>
      <w:r>
        <w:rPr/>
        <w:t>提名委员会：出席了</w:t>
      </w:r>
      <w:r>
        <w:rPr>
          <w:spacing w:val="-60"/>
        </w:rPr>
        <w:t> </w:t>
      </w:r>
      <w:r>
        <w:rPr>
          <w:rFonts w:ascii="Calibri" w:hAnsi="Calibri" w:cs="Calibri" w:eastAsia="Calibri" w:hint="default"/>
        </w:rPr>
        <w:t>1</w:t>
      </w:r>
      <w:r>
        <w:rPr>
          <w:rFonts w:ascii="Calibri" w:hAnsi="Calibri" w:cs="Calibri" w:eastAsia="Calibri" w:hint="default"/>
          <w:spacing w:val="6"/>
        </w:rPr>
        <w:t> </w:t>
      </w:r>
      <w:r>
        <w:rPr/>
        <w:t>次提名委员会工作会议，讨论提名张守文先生为公司独立 董事候选人。</w:t>
      </w:r>
    </w:p>
    <w:p>
      <w:pPr>
        <w:pStyle w:val="BodyText"/>
        <w:spacing w:line="326" w:lineRule="auto" w:before="185"/>
        <w:ind w:right="1575" w:firstLine="479"/>
        <w:jc w:val="left"/>
      </w:pPr>
      <w:r>
        <w:rPr/>
        <w:t>薪酬与考核委员会：主持了</w:t>
      </w:r>
      <w:r>
        <w:rPr>
          <w:rFonts w:ascii="Calibri" w:hAnsi="Calibri" w:cs="Calibri" w:eastAsia="Calibri" w:hint="default"/>
        </w:rPr>
        <w:t>1</w:t>
      </w:r>
      <w:r>
        <w:rPr/>
        <w:t>次薪酬与考核委员会工作会议，对公司董事、监事、 高级管理人员</w:t>
      </w:r>
      <w:r>
        <w:rPr>
          <w:rFonts w:ascii="Calibri" w:hAnsi="Calibri" w:cs="Calibri" w:eastAsia="Calibri" w:hint="default"/>
        </w:rPr>
        <w:t>2010</w:t>
      </w:r>
      <w:r>
        <w:rPr/>
        <w:t>年度薪酬进行了考核。</w:t>
      </w:r>
    </w:p>
    <w:p>
      <w:pPr>
        <w:pStyle w:val="BodyText"/>
        <w:spacing w:line="410" w:lineRule="auto" w:before="135"/>
        <w:ind w:left="624" w:right="1696"/>
        <w:jc w:val="left"/>
      </w:pPr>
      <w:r>
        <w:rPr/>
        <w:t>（</w:t>
      </w:r>
      <w:r>
        <w:rPr>
          <w:rFonts w:ascii="Calibri" w:hAnsi="Calibri" w:cs="Calibri" w:eastAsia="Calibri" w:hint="default"/>
        </w:rPr>
        <w:t>2</w:t>
      </w:r>
      <w:r>
        <w:rPr/>
        <w:t>）独立董事蒋力先生在董事会各专门委员会履职情况 报告期内，蒋力先生担任公司董事会审计委员会及薪酬与考核委员会委员，其主</w:t>
      </w:r>
    </w:p>
    <w:p>
      <w:pPr>
        <w:pStyle w:val="BodyText"/>
        <w:spacing w:line="295" w:lineRule="exact"/>
        <w:ind w:right="1697"/>
        <w:jc w:val="left"/>
      </w:pPr>
      <w:r>
        <w:rPr/>
        <w:t>要工作情况如下：</w:t>
      </w:r>
    </w:p>
    <w:p>
      <w:pPr>
        <w:spacing w:line="240" w:lineRule="auto" w:before="12"/>
        <w:rPr>
          <w:rFonts w:ascii="宋体" w:hAnsi="宋体" w:cs="宋体" w:eastAsia="宋体" w:hint="default"/>
          <w:sz w:val="20"/>
          <w:szCs w:val="20"/>
        </w:rPr>
      </w:pPr>
    </w:p>
    <w:p>
      <w:pPr>
        <w:pStyle w:val="BodyText"/>
        <w:spacing w:line="340" w:lineRule="auto"/>
        <w:ind w:right="1640" w:firstLine="479"/>
        <w:jc w:val="both"/>
      </w:pPr>
      <w:r>
        <w:rPr>
          <w:spacing w:val="-2"/>
        </w:rPr>
        <w:t>审计委员会：主持了</w:t>
      </w:r>
      <w:r>
        <w:rPr>
          <w:rFonts w:ascii="Calibri" w:hAnsi="Calibri" w:cs="Calibri" w:eastAsia="Calibri" w:hint="default"/>
          <w:spacing w:val="-2"/>
        </w:rPr>
        <w:t>4</w:t>
      </w:r>
      <w:r>
        <w:rPr>
          <w:spacing w:val="-2"/>
        </w:rPr>
        <w:t>次审计委员会工作会议，对公司各期定期报告、审计部提交</w:t>
      </w:r>
      <w:r>
        <w:rPr/>
        <w:t> 的内部审计报告、续聘审计机构等议案进行审议；对内部控制的实施情况进行监督； 按照《董事会审计委员会年报工作规程》，充分发挥审计委员会的监督作用，提高公</w:t>
      </w:r>
    </w:p>
    <w:p>
      <w:pPr>
        <w:spacing w:after="0" w:line="340" w:lineRule="auto"/>
        <w:jc w:val="both"/>
        <w:sectPr>
          <w:pgSz w:w="12240" w:h="15840"/>
          <w:pgMar w:header="847" w:footer="987" w:top="1360" w:bottom="1180" w:left="1500" w:right="0"/>
        </w:sectPr>
      </w:pPr>
    </w:p>
    <w:p>
      <w:pPr>
        <w:pStyle w:val="BodyText"/>
        <w:spacing w:line="448" w:lineRule="auto" w:before="11"/>
        <w:ind w:left="624" w:right="1557" w:hanging="480"/>
        <w:jc w:val="left"/>
      </w:pPr>
      <w:r>
        <w:rPr/>
        <w:pict>
          <v:group style="position:absolute;margin-left:80.783997pt;margin-top:1.845647pt;width:450.6pt;height:.1pt;mso-position-horizontal-relative:page;mso-position-vertical-relative:paragraph;z-index:-864424" coordorigin="1616,37" coordsize="9012,2">
            <v:shape style="position:absolute;left:1616;top:37;width:9012;height:2" coordorigin="1616,37" coordsize="9012,0" path="m1616,37l10627,37e" filled="false" stroked="true" strokeweight=".71999pt" strokecolor="#000000">
              <v:path arrowok="t"/>
            </v:shape>
            <w10:wrap type="none"/>
          </v:group>
        </w:pict>
      </w:r>
      <w:r>
        <w:rPr/>
        <w:t>司年报信息披露质量。 </w:t>
      </w:r>
      <w:r>
        <w:rPr>
          <w:spacing w:val="-2"/>
        </w:rPr>
        <w:t>薪酬与考核委员会：出席了</w:t>
      </w:r>
      <w:r>
        <w:rPr>
          <w:rFonts w:ascii="宋体" w:hAnsi="宋体" w:cs="宋体" w:eastAsia="宋体" w:hint="default"/>
          <w:spacing w:val="-2"/>
        </w:rPr>
        <w:t>2</w:t>
      </w:r>
      <w:r>
        <w:rPr>
          <w:spacing w:val="-2"/>
        </w:rPr>
        <w:t>次薪酬与考核委员会工作会议，分别对公司董事、监</w:t>
      </w:r>
    </w:p>
    <w:p>
      <w:pPr>
        <w:pStyle w:val="BodyText"/>
        <w:spacing w:line="290" w:lineRule="exact"/>
        <w:ind w:right="0"/>
        <w:jc w:val="both"/>
      </w:pPr>
      <w:r>
        <w:rPr/>
        <w:t>事、高级管理人员</w:t>
      </w:r>
      <w:r>
        <w:rPr>
          <w:rFonts w:ascii="Calibri" w:hAnsi="Calibri" w:cs="Calibri" w:eastAsia="Calibri" w:hint="default"/>
        </w:rPr>
        <w:t>2010</w:t>
      </w:r>
      <w:r>
        <w:rPr/>
        <w:t>年度薪酬进行了考核，对公司《股权激励计划草案》进行了仔</w:t>
      </w:r>
    </w:p>
    <w:p>
      <w:pPr>
        <w:pStyle w:val="BodyText"/>
        <w:spacing w:line="240" w:lineRule="auto" w:before="121"/>
        <w:ind w:right="0"/>
        <w:jc w:val="both"/>
      </w:pPr>
      <w:r>
        <w:rPr/>
        <w:t>细审议并通过。</w:t>
      </w:r>
    </w:p>
    <w:p>
      <w:pPr>
        <w:pStyle w:val="BodyText"/>
        <w:spacing w:line="586" w:lineRule="exact" w:before="85"/>
        <w:ind w:left="624" w:right="1682"/>
        <w:jc w:val="left"/>
      </w:pPr>
      <w:r>
        <w:rPr/>
        <w:t>（</w:t>
      </w:r>
      <w:r>
        <w:rPr>
          <w:rFonts w:ascii="宋体" w:hAnsi="宋体" w:cs="宋体" w:eastAsia="宋体" w:hint="default"/>
        </w:rPr>
        <w:t>3</w:t>
      </w:r>
      <w:r>
        <w:rPr/>
        <w:t>）独立董事郭庆旺先生在董事会各专门委员会履职情况 报告期内，年初至</w:t>
      </w: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21</w:t>
      </w:r>
      <w:r>
        <w:rPr/>
        <w:t>日，郭庆旺先生担任公司董事会提名委员会及战</w:t>
      </w:r>
    </w:p>
    <w:p>
      <w:pPr>
        <w:pStyle w:val="BodyText"/>
        <w:spacing w:line="340" w:lineRule="auto" w:before="70"/>
        <w:ind w:right="1697"/>
        <w:jc w:val="both"/>
      </w:pPr>
      <w:r>
        <w:rPr/>
        <w:t>略委员会委员；</w:t>
      </w: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21</w:t>
      </w:r>
      <w:r>
        <w:rPr/>
        <w:t>日，公司第四届董事会第十三次会议审议通过了《关于 调整董事会各专门委员会成员组成的议案》，郭庆旺先生调整为提名委员会及薪酬与 考核委员会委员，其主要工作情况如下：</w:t>
      </w:r>
    </w:p>
    <w:p>
      <w:pPr>
        <w:pStyle w:val="BodyText"/>
        <w:spacing w:line="324" w:lineRule="auto" w:before="173"/>
        <w:ind w:right="1695" w:firstLine="479"/>
        <w:jc w:val="left"/>
      </w:pPr>
      <w:r>
        <w:rPr/>
        <w:t>提名委员会：主持了</w:t>
      </w:r>
      <w:r>
        <w:rPr>
          <w:spacing w:val="-60"/>
        </w:rPr>
        <w:t> </w:t>
      </w:r>
      <w:r>
        <w:rPr>
          <w:rFonts w:ascii="Calibri" w:hAnsi="Calibri" w:cs="Calibri" w:eastAsia="Calibri" w:hint="default"/>
        </w:rPr>
        <w:t>1</w:t>
      </w:r>
      <w:r>
        <w:rPr>
          <w:rFonts w:ascii="Calibri" w:hAnsi="Calibri" w:cs="Calibri" w:eastAsia="Calibri" w:hint="default"/>
          <w:spacing w:val="6"/>
        </w:rPr>
        <w:t> </w:t>
      </w:r>
      <w:r>
        <w:rPr/>
        <w:t>次提名委员会工作会议，讨论提名张守文先生为公司独立 董事候选人。</w:t>
      </w:r>
    </w:p>
    <w:p>
      <w:pPr>
        <w:pStyle w:val="BodyText"/>
        <w:spacing w:line="408" w:lineRule="auto" w:before="190"/>
        <w:ind w:left="624" w:right="1557"/>
        <w:jc w:val="left"/>
      </w:pPr>
      <w:r>
        <w:rPr/>
        <w:t>战略委员会：出席了</w:t>
      </w:r>
      <w:r>
        <w:rPr>
          <w:rFonts w:ascii="Calibri" w:hAnsi="Calibri" w:cs="Calibri" w:eastAsia="Calibri" w:hint="default"/>
        </w:rPr>
        <w:t>1</w:t>
      </w:r>
      <w:r>
        <w:rPr/>
        <w:t>次战略委员会工作会议，讨论公司</w:t>
      </w:r>
      <w:r>
        <w:rPr>
          <w:rFonts w:ascii="Calibri" w:hAnsi="Calibri" w:cs="Calibri" w:eastAsia="Calibri" w:hint="default"/>
        </w:rPr>
        <w:t>2011</w:t>
      </w:r>
      <w:r>
        <w:rPr/>
        <w:t>年度发展战略。 </w:t>
      </w:r>
      <w:r>
        <w:rPr>
          <w:spacing w:val="-2"/>
        </w:rPr>
        <w:t>薪酬与考核委员会：出席了</w:t>
      </w:r>
      <w:r>
        <w:rPr>
          <w:rFonts w:ascii="宋体" w:hAnsi="宋体" w:cs="宋体" w:eastAsia="宋体" w:hint="default"/>
          <w:spacing w:val="-2"/>
        </w:rPr>
        <w:t>1</w:t>
      </w:r>
      <w:r>
        <w:rPr>
          <w:spacing w:val="-2"/>
        </w:rPr>
        <w:t>次薪酬与考核委员会工作会议，对公司《股权激励计</w:t>
      </w:r>
    </w:p>
    <w:p>
      <w:pPr>
        <w:pStyle w:val="BodyText"/>
        <w:spacing w:line="300" w:lineRule="exact"/>
        <w:ind w:right="0"/>
        <w:jc w:val="both"/>
      </w:pPr>
      <w:r>
        <w:rPr/>
        <w:t>划草案》进行了仔细审议并通过。</w:t>
      </w:r>
    </w:p>
    <w:p>
      <w:pPr>
        <w:pStyle w:val="BodyText"/>
        <w:spacing w:line="588" w:lineRule="exact" w:before="81"/>
        <w:ind w:left="624" w:right="1682"/>
        <w:jc w:val="left"/>
      </w:pPr>
      <w:r>
        <w:rPr/>
        <w:t>（</w:t>
      </w:r>
      <w:r>
        <w:rPr>
          <w:rFonts w:ascii="宋体" w:hAnsi="宋体" w:cs="宋体" w:eastAsia="宋体" w:hint="default"/>
        </w:rPr>
        <w:t>4</w:t>
      </w:r>
      <w:r>
        <w:rPr/>
        <w:t>）独立董事吴淼先生在董事会各专门委员会履职情况 报告期内，年初至</w:t>
      </w: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21</w:t>
      </w:r>
      <w:r>
        <w:rPr/>
        <w:t>日，吴淼先生担任公司董事会审计委员会及战略</w:t>
      </w:r>
    </w:p>
    <w:p>
      <w:pPr>
        <w:pStyle w:val="BodyText"/>
        <w:spacing w:line="340" w:lineRule="auto" w:before="67"/>
        <w:ind w:right="1702"/>
        <w:jc w:val="both"/>
      </w:pPr>
      <w:r>
        <w:rPr>
          <w:spacing w:val="-1"/>
        </w:rPr>
        <w:t>委员会委员；</w:t>
      </w:r>
      <w:r>
        <w:rPr>
          <w:rFonts w:ascii="Calibri" w:hAnsi="Calibri" w:cs="Calibri" w:eastAsia="Calibri" w:hint="default"/>
          <w:spacing w:val="-1"/>
        </w:rPr>
        <w:t>2011</w:t>
      </w:r>
      <w:r>
        <w:rPr>
          <w:spacing w:val="-1"/>
        </w:rPr>
        <w:t>年</w:t>
      </w:r>
      <w:r>
        <w:rPr>
          <w:rFonts w:ascii="Calibri" w:hAnsi="Calibri" w:cs="Calibri" w:eastAsia="Calibri" w:hint="default"/>
          <w:spacing w:val="-1"/>
        </w:rPr>
        <w:t>11</w:t>
      </w:r>
      <w:r>
        <w:rPr>
          <w:spacing w:val="-1"/>
        </w:rPr>
        <w:t>月</w:t>
      </w:r>
      <w:r>
        <w:rPr>
          <w:rFonts w:ascii="Calibri" w:hAnsi="Calibri" w:cs="Calibri" w:eastAsia="Calibri" w:hint="default"/>
          <w:spacing w:val="-1"/>
        </w:rPr>
        <w:t>21</w:t>
      </w:r>
      <w:r>
        <w:rPr>
          <w:spacing w:val="-1"/>
        </w:rPr>
        <w:t>日，公司第四届董事会第十三次会议审议通过了《关于调</w:t>
      </w:r>
      <w:r>
        <w:rPr>
          <w:spacing w:val="-87"/>
        </w:rPr>
        <w:t> </w:t>
      </w:r>
      <w:r>
        <w:rPr>
          <w:spacing w:val="-87"/>
        </w:rPr>
      </w:r>
      <w:r>
        <w:rPr/>
        <w:t>整董事会各专门委员会成员组成的议案》，吴淼先生调整为公司审计委员会及提名委 员会委员，其主要工作情况如下：</w:t>
      </w:r>
    </w:p>
    <w:p>
      <w:pPr>
        <w:pStyle w:val="BodyText"/>
        <w:spacing w:line="345" w:lineRule="auto" w:before="173"/>
        <w:ind w:right="1506" w:firstLine="479"/>
        <w:jc w:val="left"/>
      </w:pPr>
      <w:r>
        <w:rPr/>
        <w:t>审计委员会：出席了</w:t>
      </w:r>
      <w:r>
        <w:rPr>
          <w:spacing w:val="-60"/>
        </w:rPr>
        <w:t> </w:t>
      </w:r>
      <w:r>
        <w:rPr>
          <w:rFonts w:ascii="Calibri" w:hAnsi="Calibri" w:cs="Calibri" w:eastAsia="Calibri" w:hint="default"/>
        </w:rPr>
        <w:t>4</w:t>
      </w:r>
      <w:r>
        <w:rPr>
          <w:rFonts w:ascii="Calibri" w:hAnsi="Calibri" w:cs="Calibri" w:eastAsia="Calibri" w:hint="default"/>
          <w:spacing w:val="6"/>
        </w:rPr>
        <w:t> </w:t>
      </w:r>
      <w:r>
        <w:rPr/>
        <w:t>次审计委员会工作会议，对公司各期定期报告、审计部提 </w:t>
      </w:r>
      <w:r>
        <w:rPr>
          <w:spacing w:val="-2"/>
        </w:rPr>
        <w:t>交的内部审计报告、续聘审计机构等议案进行审议；对内部控制的实施情况进行监督；</w:t>
      </w:r>
      <w:r>
        <w:rPr>
          <w:spacing w:val="-92"/>
        </w:rPr>
        <w:t> </w:t>
      </w:r>
      <w:r>
        <w:rPr>
          <w:spacing w:val="-92"/>
        </w:rPr>
      </w:r>
      <w:r>
        <w:rPr/>
        <w:t>按照《董事会审计委员会年报工作规程》，充分发挥审计委员会的监督作用，提高公 司年报信息披露质量。</w:t>
      </w:r>
    </w:p>
    <w:p>
      <w:pPr>
        <w:pStyle w:val="BodyText"/>
        <w:spacing w:line="410" w:lineRule="auto" w:before="166"/>
        <w:ind w:left="624" w:right="1696"/>
        <w:jc w:val="left"/>
      </w:pPr>
      <w:r>
        <w:rPr/>
        <w:t>战略委员会：出席了</w:t>
      </w:r>
      <w:r>
        <w:rPr>
          <w:rFonts w:ascii="Calibri" w:hAnsi="Calibri" w:cs="Calibri" w:eastAsia="Calibri" w:hint="default"/>
        </w:rPr>
        <w:t>1</w:t>
      </w:r>
      <w:r>
        <w:rPr/>
        <w:t>次战略委员会工作会议，讨论公司</w:t>
      </w:r>
      <w:r>
        <w:rPr>
          <w:rFonts w:ascii="Calibri" w:hAnsi="Calibri" w:cs="Calibri" w:eastAsia="Calibri" w:hint="default"/>
        </w:rPr>
        <w:t>2011</w:t>
      </w:r>
      <w:r>
        <w:rPr/>
        <w:t>年度发展战略。 提名委员会：自</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21</w:t>
      </w:r>
      <w:r>
        <w:rPr/>
        <w:t>日起，吴淼先生担任审计委员会委员，此后截至报</w:t>
      </w:r>
    </w:p>
    <w:p>
      <w:pPr>
        <w:spacing w:after="0" w:line="410" w:lineRule="auto"/>
        <w:jc w:val="left"/>
        <w:sectPr>
          <w:pgSz w:w="12240" w:h="15840"/>
          <w:pgMar w:header="847" w:footer="987" w:top="1360" w:bottom="1180" w:left="1500" w:right="0"/>
        </w:sectPr>
      </w:pPr>
    </w:p>
    <w:p>
      <w:pPr>
        <w:pStyle w:val="BodyText"/>
        <w:spacing w:line="240" w:lineRule="auto" w:before="11"/>
        <w:ind w:right="1697"/>
        <w:jc w:val="left"/>
      </w:pPr>
      <w:r>
        <w:rPr/>
        <w:pict>
          <v:group style="position:absolute;margin-left:80.783997pt;margin-top:1.845647pt;width:450.6pt;height:.1pt;mso-position-horizontal-relative:page;mso-position-vertical-relative:paragraph;z-index:-864400" coordorigin="1616,37" coordsize="9012,2">
            <v:shape style="position:absolute;left:1616;top:37;width:9012;height:2" coordorigin="1616,37" coordsize="9012,0" path="m1616,37l10627,37e" filled="false" stroked="true" strokeweight=".71999pt" strokecolor="#000000">
              <v:path arrowok="t"/>
            </v:shape>
            <w10:wrap type="none"/>
          </v:group>
        </w:pict>
      </w:r>
      <w:r>
        <w:rPr/>
        <w:t>告期末提名委员会未召开工作会议。</w:t>
      </w:r>
    </w:p>
    <w:p>
      <w:pPr>
        <w:spacing w:line="240" w:lineRule="auto" w:before="10"/>
        <w:rPr>
          <w:rFonts w:ascii="宋体" w:hAnsi="宋体" w:cs="宋体" w:eastAsia="宋体" w:hint="default"/>
          <w:sz w:val="20"/>
          <w:szCs w:val="20"/>
        </w:rPr>
      </w:pPr>
    </w:p>
    <w:p>
      <w:pPr>
        <w:pStyle w:val="BodyText"/>
        <w:spacing w:line="240" w:lineRule="auto"/>
        <w:ind w:left="624" w:right="1697"/>
        <w:jc w:val="left"/>
      </w:pPr>
      <w:r>
        <w:rPr/>
        <w:t>（</w:t>
      </w:r>
      <w:r>
        <w:rPr>
          <w:rFonts w:ascii="宋体" w:hAnsi="宋体" w:cs="宋体" w:eastAsia="宋体" w:hint="default"/>
        </w:rPr>
        <w:t>5</w:t>
      </w:r>
      <w:r>
        <w:rPr/>
        <w:t>）独立董事张守文先生在董事会各专门委员会履职情况</w:t>
      </w:r>
    </w:p>
    <w:p>
      <w:pPr>
        <w:spacing w:line="240" w:lineRule="auto" w:before="12"/>
        <w:rPr>
          <w:rFonts w:ascii="宋体" w:hAnsi="宋体" w:cs="宋体" w:eastAsia="宋体" w:hint="default"/>
          <w:sz w:val="20"/>
          <w:szCs w:val="20"/>
        </w:rPr>
      </w:pPr>
    </w:p>
    <w:p>
      <w:pPr>
        <w:pStyle w:val="BodyText"/>
        <w:spacing w:line="345" w:lineRule="auto"/>
        <w:ind w:right="1692" w:firstLine="479"/>
        <w:jc w:val="both"/>
      </w:pPr>
      <w:r>
        <w:rPr>
          <w:rFonts w:ascii="Calibri" w:hAnsi="Calibri" w:cs="Calibri" w:eastAsia="Calibri" w:hint="default"/>
        </w:rPr>
        <w:t>2011</w:t>
      </w:r>
      <w:r>
        <w:rPr/>
        <w:t>年</w:t>
      </w:r>
      <w:r>
        <w:rPr>
          <w:rFonts w:ascii="Calibri" w:hAnsi="Calibri" w:cs="Calibri" w:eastAsia="Calibri" w:hint="default"/>
        </w:rPr>
        <w:t>11</w:t>
      </w:r>
      <w:r>
        <w:rPr/>
        <w:t>月</w:t>
      </w:r>
      <w:r>
        <w:rPr>
          <w:rFonts w:ascii="Calibri" w:hAnsi="Calibri" w:cs="Calibri" w:eastAsia="Calibri" w:hint="default"/>
        </w:rPr>
        <w:t>21</w:t>
      </w:r>
      <w:r>
        <w:rPr/>
        <w:t>日，公司</w:t>
      </w:r>
      <w:r>
        <w:rPr>
          <w:rFonts w:ascii="Calibri" w:hAnsi="Calibri" w:cs="Calibri" w:eastAsia="Calibri" w:hint="default"/>
        </w:rPr>
        <w:t>2011</w:t>
      </w:r>
      <w:r>
        <w:rPr/>
        <w:t>年第一次临时股东大会选举张守文先生为公司独立董 事，同日，公司第四届董事会第十三次会议审议通过了《关于调整董事会各专门委员 会成员组成的议案》，张守文先生担任公司董事会战略委员会及薪酬与考核委员会委 员，其主要工作情况如下：</w:t>
      </w:r>
    </w:p>
    <w:p>
      <w:pPr>
        <w:pStyle w:val="BodyText"/>
        <w:spacing w:line="448" w:lineRule="auto" w:before="168"/>
        <w:ind w:left="624" w:right="1557"/>
        <w:jc w:val="left"/>
      </w:pPr>
      <w:r>
        <w:rPr/>
        <w:t>战略委员会：自</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21</w:t>
      </w:r>
      <w:r>
        <w:rPr/>
        <w:t>日至报告期末，战略委员会未召开工作会议。 </w:t>
      </w:r>
      <w:r>
        <w:rPr>
          <w:spacing w:val="-2"/>
        </w:rPr>
        <w:t>薪酬与考核委员会：主持了</w:t>
      </w:r>
      <w:r>
        <w:rPr>
          <w:rFonts w:ascii="宋体" w:hAnsi="宋体" w:cs="宋体" w:eastAsia="宋体" w:hint="default"/>
          <w:spacing w:val="-2"/>
        </w:rPr>
        <w:t>1</w:t>
      </w:r>
      <w:r>
        <w:rPr>
          <w:spacing w:val="-2"/>
        </w:rPr>
        <w:t>次薪酬与考核委员会工作会议，对公司《股权激励计</w:t>
      </w:r>
    </w:p>
    <w:p>
      <w:pPr>
        <w:pStyle w:val="BodyText"/>
        <w:spacing w:line="257" w:lineRule="exact"/>
        <w:ind w:right="1697"/>
        <w:jc w:val="left"/>
      </w:pPr>
      <w:r>
        <w:rPr/>
        <w:t>划草案》进行了仔细审议并通过。</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2"/>
        <w:spacing w:line="240" w:lineRule="auto"/>
        <w:ind w:right="1697"/>
        <w:jc w:val="left"/>
        <w:rPr>
          <w:b w:val="0"/>
          <w:bCs w:val="0"/>
        </w:rPr>
      </w:pPr>
      <w:r>
        <w:rPr/>
        <w:t>三、公司与控股股东在业务、人员、资产、机构、财务等方面的情况</w:t>
      </w:r>
      <w:r>
        <w:rPr>
          <w:b w:val="0"/>
          <w:bCs w:val="0"/>
        </w:rPr>
      </w:r>
    </w:p>
    <w:p>
      <w:pPr>
        <w:pStyle w:val="BodyText"/>
        <w:spacing w:line="357" w:lineRule="auto" w:before="119"/>
        <w:ind w:right="1697" w:firstLine="479"/>
        <w:jc w:val="left"/>
      </w:pPr>
      <w:r>
        <w:rPr/>
        <w:t>公司在业务、人员、资产、机构、财务等方面做到与控股股东、实际控制人及其 控制的其他企业分开，具有完整的业务体系和面向市场独立经营的能力。</w:t>
      </w:r>
    </w:p>
    <w:p>
      <w:pPr>
        <w:spacing w:line="240" w:lineRule="auto" w:before="3"/>
        <w:rPr>
          <w:rFonts w:ascii="宋体" w:hAnsi="宋体" w:cs="宋体" w:eastAsia="宋体" w:hint="default"/>
          <w:sz w:val="25"/>
          <w:szCs w:val="25"/>
        </w:rPr>
      </w:pPr>
    </w:p>
    <w:p>
      <w:pPr>
        <w:pStyle w:val="Heading3"/>
        <w:spacing w:line="240" w:lineRule="auto"/>
        <w:ind w:right="1697"/>
        <w:jc w:val="left"/>
        <w:rPr>
          <w:b w:val="0"/>
          <w:bCs w:val="0"/>
        </w:rPr>
      </w:pPr>
      <w:r>
        <w:rPr/>
        <w:t>（一）业务独立</w:t>
      </w:r>
      <w:r>
        <w:rPr>
          <w:b w:val="0"/>
          <w:bCs w:val="0"/>
        </w:rPr>
      </w:r>
    </w:p>
    <w:p>
      <w:pPr>
        <w:pStyle w:val="BodyText"/>
        <w:spacing w:line="357" w:lineRule="auto" w:before="124"/>
        <w:ind w:right="1557" w:firstLine="479"/>
        <w:jc w:val="left"/>
      </w:pPr>
      <w:r>
        <w:rPr/>
        <w:t>公司主要从事行业应用软件开发、计算机信息系统集成及相关服务业务，拥有独 立的采购和销售系统，独立进行原材料和产品的采购和销售，不存在受制于公司股东 及其他关联方的情况。本公司的实际控制人薛向东及其家族成员以及所控制的诚信电</w:t>
      </w:r>
    </w:p>
    <w:p>
      <w:pPr>
        <w:pStyle w:val="BodyText"/>
        <w:spacing w:line="324" w:lineRule="auto" w:before="36"/>
        <w:ind w:right="1515"/>
        <w:jc w:val="left"/>
      </w:pPr>
      <w:r>
        <w:rPr>
          <w:spacing w:val="-7"/>
        </w:rPr>
        <w:t>脑、诚信设备、合创投资分别于</w:t>
      </w:r>
      <w:r>
        <w:rPr>
          <w:spacing w:val="-58"/>
        </w:rPr>
        <w:t> </w:t>
      </w:r>
      <w:r>
        <w:rPr>
          <w:rFonts w:ascii="Calibri" w:hAnsi="Calibri" w:cs="Calibri" w:eastAsia="Calibri" w:hint="default"/>
        </w:rPr>
        <w:t>2005</w:t>
      </w:r>
      <w:r>
        <w:rPr>
          <w:rFonts w:ascii="Calibri" w:hAnsi="Calibri" w:cs="Calibri" w:eastAsia="Calibri" w:hint="default"/>
          <w:spacing w:val="8"/>
        </w:rPr>
        <w:t> </w:t>
      </w:r>
      <w:r>
        <w:rPr/>
        <w:t>年</w:t>
      </w:r>
      <w:r>
        <w:rPr>
          <w:spacing w:val="-61"/>
        </w:rPr>
        <w:t> </w:t>
      </w:r>
      <w:r>
        <w:rPr>
          <w:rFonts w:ascii="Calibri" w:hAnsi="Calibri" w:cs="Calibri" w:eastAsia="Calibri" w:hint="default"/>
        </w:rPr>
        <w:t>10</w:t>
      </w:r>
      <w:r>
        <w:rPr>
          <w:rFonts w:ascii="Calibri" w:hAnsi="Calibri" w:cs="Calibri" w:eastAsia="Calibri" w:hint="default"/>
          <w:spacing w:val="6"/>
        </w:rPr>
        <w:t> </w:t>
      </w:r>
      <w:r>
        <w:rPr/>
        <w:t>月</w:t>
      </w:r>
      <w:r>
        <w:rPr>
          <w:spacing w:val="-58"/>
        </w:rPr>
        <w:t> </w:t>
      </w:r>
      <w:r>
        <w:rPr>
          <w:rFonts w:ascii="Calibri" w:hAnsi="Calibri" w:cs="Calibri" w:eastAsia="Calibri" w:hint="default"/>
        </w:rPr>
        <w:t>28</w:t>
      </w:r>
      <w:r>
        <w:rPr>
          <w:rFonts w:ascii="Calibri" w:hAnsi="Calibri" w:cs="Calibri" w:eastAsia="Calibri" w:hint="default"/>
          <w:spacing w:val="8"/>
        </w:rPr>
        <w:t> </w:t>
      </w:r>
      <w:r>
        <w:rPr>
          <w:spacing w:val="-6"/>
        </w:rPr>
        <w:t>日向本公司出具了《不竞争承诺函》，</w:t>
      </w:r>
      <w:r>
        <w:rPr/>
        <w:t> 本公司与任何股东及其他关联方之间不存在同业竞争。</w:t>
      </w:r>
    </w:p>
    <w:p>
      <w:pPr>
        <w:spacing w:line="240" w:lineRule="auto" w:before="12"/>
        <w:rPr>
          <w:rFonts w:ascii="宋体" w:hAnsi="宋体" w:cs="宋体" w:eastAsia="宋体" w:hint="default"/>
          <w:sz w:val="27"/>
          <w:szCs w:val="27"/>
        </w:rPr>
      </w:pPr>
    </w:p>
    <w:p>
      <w:pPr>
        <w:pStyle w:val="Heading3"/>
        <w:spacing w:line="240" w:lineRule="auto"/>
        <w:ind w:right="1697"/>
        <w:jc w:val="left"/>
        <w:rPr>
          <w:b w:val="0"/>
          <w:bCs w:val="0"/>
        </w:rPr>
      </w:pPr>
      <w:r>
        <w:rPr/>
        <w:t>（二）人员独立</w:t>
      </w:r>
      <w:r>
        <w:rPr>
          <w:b w:val="0"/>
          <w:bCs w:val="0"/>
        </w:rPr>
      </w:r>
    </w:p>
    <w:p>
      <w:pPr>
        <w:pStyle w:val="BodyText"/>
        <w:spacing w:line="357" w:lineRule="auto" w:before="123"/>
        <w:ind w:right="1506" w:firstLine="479"/>
        <w:jc w:val="left"/>
      </w:pPr>
      <w:r>
        <w:rPr/>
        <w:t>公司董事、监事及高级管理人员均严格按照《公司法》、公司章程规定的条件和 程序产生。目前，除董事长薛向东担任控股股东诚信电脑的董事、监事郭玉杰担任法 </w:t>
      </w:r>
      <w:r>
        <w:rPr>
          <w:spacing w:val="-2"/>
        </w:rPr>
        <w:t>人股东合创投资的董事长兼总经理外，公司其余董事、监事均未在公司股东单位任职。</w:t>
      </w:r>
      <w:r>
        <w:rPr>
          <w:spacing w:val="-92"/>
        </w:rPr>
        <w:t> </w:t>
      </w:r>
      <w:r>
        <w:rPr>
          <w:spacing w:val="-92"/>
        </w:rPr>
      </w:r>
      <w:r>
        <w:rPr/>
        <w:t>公司总经理、副总经理、财务负责人和董事会秘书等高级管理人员专职在公司工作并 领取薪酬，其中公司副总经理李强在控股子公司北京联银通科技有限公司担任副总经</w:t>
      </w:r>
    </w:p>
    <w:p>
      <w:pPr>
        <w:spacing w:after="0" w:line="357" w:lineRule="auto"/>
        <w:jc w:val="left"/>
        <w:sectPr>
          <w:footerReference w:type="even" r:id="rId28"/>
          <w:footerReference w:type="default" r:id="rId29"/>
          <w:pgSz w:w="12240" w:h="15840"/>
          <w:pgMar w:footer="987" w:header="847" w:top="1360" w:bottom="1180" w:left="1500" w:right="0"/>
          <w:pgNumType w:start="30"/>
        </w:sectPr>
      </w:pPr>
    </w:p>
    <w:p>
      <w:pPr>
        <w:pStyle w:val="BodyText"/>
        <w:spacing w:line="355" w:lineRule="auto" w:before="11"/>
        <w:ind w:right="1696"/>
        <w:jc w:val="left"/>
      </w:pPr>
      <w:r>
        <w:rPr/>
        <w:pict>
          <v:group style="position:absolute;margin-left:80.783997pt;margin-top:1.845647pt;width:450.6pt;height:.1pt;mso-position-horizontal-relative:page;mso-position-vertical-relative:paragraph;z-index:-864376" coordorigin="1616,37" coordsize="9012,2">
            <v:shape style="position:absolute;left:1616;top:37;width:9012;height:2" coordorigin="1616,37" coordsize="9012,0" path="m1616,37l10627,37e" filled="false" stroked="true" strokeweight=".71999pt" strokecolor="#000000">
              <v:path arrowok="t"/>
            </v:shape>
            <w10:wrap type="none"/>
          </v:group>
        </w:pict>
      </w:r>
      <w:r>
        <w:rPr/>
        <w:t>理，并在控股子公司领取工资。其余公司高级管理人员未在公司股东单位任职，也未 在与公司业务相同或相似、或存在其他利益冲突的企业任职。</w:t>
      </w:r>
    </w:p>
    <w:p>
      <w:pPr>
        <w:spacing w:line="240" w:lineRule="auto" w:before="7"/>
        <w:rPr>
          <w:rFonts w:ascii="宋体" w:hAnsi="宋体" w:cs="宋体" w:eastAsia="宋体" w:hint="default"/>
          <w:sz w:val="25"/>
          <w:szCs w:val="25"/>
        </w:rPr>
      </w:pPr>
    </w:p>
    <w:p>
      <w:pPr>
        <w:pStyle w:val="Heading3"/>
        <w:spacing w:line="240" w:lineRule="auto"/>
        <w:ind w:right="1697"/>
        <w:jc w:val="left"/>
        <w:rPr>
          <w:b w:val="0"/>
          <w:bCs w:val="0"/>
        </w:rPr>
      </w:pPr>
      <w:r>
        <w:rPr/>
        <w:t>（三）资产独立</w:t>
      </w:r>
      <w:r>
        <w:rPr>
          <w:b w:val="0"/>
          <w:bCs w:val="0"/>
        </w:rPr>
      </w:r>
    </w:p>
    <w:p>
      <w:pPr>
        <w:pStyle w:val="BodyText"/>
        <w:spacing w:line="357" w:lineRule="auto" w:before="124"/>
        <w:ind w:right="1713" w:firstLine="479"/>
        <w:jc w:val="both"/>
      </w:pPr>
      <w:r>
        <w:rPr/>
        <w:t>公司和控股股东产权关系明晰，公司资产完整并由公司实际控制和使用，本公司 拥有独立的经营系统和配套设施以及商标、专有技术、计算机软件著作权等资产，公 司拥有独立的生产经营场所，对全部资产拥有完全的控制支配权。</w:t>
      </w:r>
    </w:p>
    <w:p>
      <w:pPr>
        <w:spacing w:line="240" w:lineRule="auto" w:before="3"/>
        <w:rPr>
          <w:rFonts w:ascii="宋体" w:hAnsi="宋体" w:cs="宋体" w:eastAsia="宋体" w:hint="default"/>
          <w:sz w:val="25"/>
          <w:szCs w:val="25"/>
        </w:rPr>
      </w:pPr>
    </w:p>
    <w:p>
      <w:pPr>
        <w:pStyle w:val="Heading3"/>
        <w:spacing w:line="240" w:lineRule="auto"/>
        <w:ind w:right="1697"/>
        <w:jc w:val="left"/>
        <w:rPr>
          <w:b w:val="0"/>
          <w:bCs w:val="0"/>
        </w:rPr>
      </w:pPr>
      <w:r>
        <w:rPr/>
        <w:t>（四）机构独立</w:t>
      </w:r>
      <w:r>
        <w:rPr>
          <w:b w:val="0"/>
          <w:bCs w:val="0"/>
        </w:rPr>
      </w:r>
    </w:p>
    <w:p>
      <w:pPr>
        <w:pStyle w:val="BodyText"/>
        <w:spacing w:line="355" w:lineRule="auto" w:before="124"/>
        <w:ind w:right="1713" w:firstLine="479"/>
        <w:jc w:val="both"/>
      </w:pPr>
      <w:r>
        <w:rPr/>
        <w:t>公司根据《公司法》、《证券法》及公司章程的规定，设立了健全的组织机构体 系，独立运作，不存在与控股股东或其职能部门之间的从属关系。</w:t>
      </w:r>
    </w:p>
    <w:p>
      <w:pPr>
        <w:spacing w:line="240" w:lineRule="auto" w:before="7"/>
        <w:rPr>
          <w:rFonts w:ascii="宋体" w:hAnsi="宋体" w:cs="宋体" w:eastAsia="宋体" w:hint="default"/>
          <w:sz w:val="25"/>
          <w:szCs w:val="25"/>
        </w:rPr>
      </w:pPr>
    </w:p>
    <w:p>
      <w:pPr>
        <w:pStyle w:val="Heading3"/>
        <w:spacing w:line="240" w:lineRule="auto"/>
        <w:ind w:right="1697"/>
        <w:jc w:val="left"/>
        <w:rPr>
          <w:b w:val="0"/>
          <w:bCs w:val="0"/>
        </w:rPr>
      </w:pPr>
      <w:r>
        <w:rPr/>
        <w:t>（五）财务独立</w:t>
      </w:r>
      <w:r>
        <w:rPr>
          <w:b w:val="0"/>
          <w:bCs w:val="0"/>
        </w:rPr>
      </w:r>
    </w:p>
    <w:p>
      <w:pPr>
        <w:pStyle w:val="BodyText"/>
        <w:spacing w:line="357" w:lineRule="auto" w:before="124"/>
        <w:ind w:right="1713" w:firstLine="479"/>
        <w:jc w:val="both"/>
      </w:pPr>
      <w:r>
        <w:rPr/>
        <w:t>公司有独立的财务部门，建立了独立的会计核算体系和财务管理制度，并实施严 格的内部审计制度，不存在本公司股东或其他关联方干预本公司资金使用的情况；公 司拥有独立的银行账户，独立进行纳税申报并履行纳税义务，本公司股东及其他关联 方未以任何形式占用公司资金、资产和其他资源。截止目前，本公司没有以资产、权 益或信誉为股东、股东的控股子公司或附属企业、个人提供担保的行为。</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pStyle w:val="Heading2"/>
        <w:spacing w:line="240" w:lineRule="auto"/>
        <w:ind w:right="1697"/>
        <w:jc w:val="left"/>
        <w:rPr>
          <w:b w:val="0"/>
          <w:bCs w:val="0"/>
        </w:rPr>
      </w:pPr>
      <w:r>
        <w:rPr/>
        <w:t>四、公司对高级管理人员的考评及激励机制</w:t>
      </w:r>
      <w:r>
        <w:rPr>
          <w:b w:val="0"/>
          <w:bCs w:val="0"/>
        </w:rPr>
      </w:r>
    </w:p>
    <w:p>
      <w:pPr>
        <w:pStyle w:val="BodyText"/>
        <w:spacing w:line="357" w:lineRule="auto" w:before="122"/>
        <w:ind w:right="1506" w:firstLine="479"/>
        <w:jc w:val="left"/>
      </w:pPr>
      <w:r>
        <w:rPr/>
        <w:t>公司高级管理人员均由董事会聘任，董事会薪酬与考核委员会负责对公司高级管 理人员的工作能力、履职情况、责任目标完成情况进行考评。报告期内，公司加强绩 </w:t>
      </w:r>
      <w:r>
        <w:rPr>
          <w:spacing w:val="-2"/>
        </w:rPr>
        <w:t>效管理工作，根据发展战略和年度经营目标，确定公司年度经营重点工作，并从财务、</w:t>
      </w:r>
      <w:r>
        <w:rPr>
          <w:spacing w:val="-95"/>
        </w:rPr>
        <w:t> </w:t>
      </w:r>
      <w:r>
        <w:rPr>
          <w:spacing w:val="-95"/>
        </w:rPr>
      </w:r>
      <w:r>
        <w:rPr/>
        <w:t>业务、基础管理及能力等维度，以经营管理工作及相关能力表现相结合的形式进行考 评。</w:t>
      </w:r>
    </w:p>
    <w:p>
      <w:pPr>
        <w:pStyle w:val="BodyText"/>
        <w:spacing w:line="357" w:lineRule="auto" w:before="156"/>
        <w:ind w:right="1641" w:firstLine="479"/>
        <w:jc w:val="both"/>
      </w:pPr>
      <w:r>
        <w:rPr>
          <w:spacing w:val="-2"/>
        </w:rPr>
        <w:t>报告期内，公司股票期权激励计划获证监会备案无异议，并于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13</w:t>
      </w:r>
      <w:r>
        <w:rPr>
          <w:spacing w:val="-2"/>
        </w:rPr>
        <w:t>日完成</w:t>
      </w:r>
      <w:r>
        <w:rPr/>
        <w:t> 了股票期权登记工作，这为有效调动管理者和骨干员工的积极性，吸引和保留优秀管 理人才和业务骨干起到积极作用，从而更好地促进公司稳定发展。</w:t>
      </w:r>
    </w:p>
    <w:p>
      <w:pPr>
        <w:spacing w:after="0" w:line="357" w:lineRule="auto"/>
        <w:jc w:val="both"/>
        <w:sectPr>
          <w:pgSz w:w="12240" w:h="15840"/>
          <w:pgMar w:header="847" w:footer="987" w:top="1360" w:bottom="1180" w:left="1500" w:right="0"/>
        </w:sectPr>
      </w:pPr>
    </w:p>
    <w:p>
      <w:pPr>
        <w:pStyle w:val="Heading1"/>
        <w:spacing w:line="416" w:lineRule="exact"/>
        <w:ind w:left="3416" w:right="1697"/>
        <w:jc w:val="left"/>
        <w:rPr>
          <w:b w:val="0"/>
          <w:bCs w:val="0"/>
        </w:rPr>
      </w:pPr>
      <w:r>
        <w:rPr/>
        <w:pict>
          <v:group style="position:absolute;margin-left:80.783997pt;margin-top:1.85438pt;width:450.6pt;height:.1pt;mso-position-horizontal-relative:page;mso-position-vertical-relative:paragraph;z-index:-864352" coordorigin="1616,37" coordsize="9012,2">
            <v:shape style="position:absolute;left:1616;top:37;width:9012;height:2" coordorigin="1616,37" coordsize="9012,0" path="m1616,37l10627,37e" filled="false" stroked="true" strokeweight=".71999pt" strokecolor="#000000">
              <v:path arrowok="t"/>
            </v:shape>
            <w10:wrap type="none"/>
          </v:group>
        </w:pict>
      </w:r>
      <w:bookmarkStart w:name="_TOC_250006" w:id="7"/>
      <w:r>
        <w:rPr/>
        <w:t>第七节</w:t>
      </w:r>
      <w:r>
        <w:rPr>
          <w:spacing w:val="-1"/>
        </w:rPr>
        <w:t> </w:t>
      </w:r>
      <w:r>
        <w:rPr/>
        <w:t>内部控制</w:t>
      </w:r>
      <w:bookmarkEnd w:id="7"/>
      <w:r>
        <w:rPr>
          <w:b w:val="0"/>
          <w:bCs w:val="0"/>
        </w:rPr>
      </w:r>
    </w:p>
    <w:p>
      <w:pPr>
        <w:spacing w:line="240" w:lineRule="auto" w:before="4"/>
        <w:rPr>
          <w:rFonts w:ascii="黑体" w:hAnsi="黑体" w:cs="黑体" w:eastAsia="黑体" w:hint="default"/>
          <w:b/>
          <w:bCs/>
          <w:sz w:val="28"/>
          <w:szCs w:val="28"/>
        </w:rPr>
      </w:pPr>
    </w:p>
    <w:p>
      <w:pPr>
        <w:pStyle w:val="BodyText"/>
        <w:spacing w:line="357" w:lineRule="auto"/>
        <w:ind w:right="1713" w:firstLine="479"/>
        <w:jc w:val="both"/>
      </w:pPr>
      <w:r>
        <w:rPr/>
        <w:t>公司按照《公司法》、《证券法》、《企业内部控制基本规范》等有关法律、法 规和规章制度，以及证监会、深交所的有关规则、指引的要求，建立了一套符合公司 实际情况的，较为完善、健全、有效的内部控制制度体系，并结合公司的实际情况、 自身特点和管理需要，进一步健全公司法人治理结构、完善内部控制体系，规范公司 运作，提高公司管理水平。具体情况如下：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pStyle w:val="Heading2"/>
        <w:spacing w:line="240" w:lineRule="auto"/>
        <w:ind w:right="1697"/>
        <w:jc w:val="left"/>
        <w:rPr>
          <w:b w:val="0"/>
          <w:bCs w:val="0"/>
        </w:rPr>
      </w:pPr>
      <w:r>
        <w:rPr/>
        <w:t>一、内部控制制度的建立和健全情况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（一）内部控制制度建立及实施情况</w:t>
      </w:r>
      <w:r>
        <w:rPr>
          <w:b w:val="0"/>
          <w:bCs w:val="0"/>
        </w:rPr>
      </w:r>
    </w:p>
    <w:p>
      <w:pPr>
        <w:spacing w:line="240" w:lineRule="auto" w:before="10"/>
        <w:rPr>
          <w:rFonts w:ascii="黑体" w:hAnsi="黑体" w:cs="黑体" w:eastAsia="黑体" w:hint="default"/>
          <w:b/>
          <w:bCs/>
          <w:sz w:val="24"/>
          <w:szCs w:val="24"/>
        </w:rPr>
      </w:pPr>
    </w:p>
    <w:p>
      <w:pPr>
        <w:pStyle w:val="Heading4"/>
        <w:spacing w:line="240" w:lineRule="auto"/>
        <w:ind w:right="1697"/>
        <w:jc w:val="left"/>
        <w:rPr>
          <w:b w:val="0"/>
          <w:bCs w:val="0"/>
        </w:rPr>
      </w:pPr>
      <w:r>
        <w:rPr>
          <w:rFonts w:ascii="Calibri" w:hAnsi="Calibri" w:cs="Calibri" w:eastAsia="Calibri" w:hint="default"/>
        </w:rPr>
        <w:t>1</w:t>
      </w:r>
      <w:r>
        <w:rPr/>
        <w:t>、公司治理控制</w:t>
      </w:r>
      <w:r>
        <w:rPr>
          <w:b w:val="0"/>
          <w:bCs w:val="0"/>
        </w:rPr>
      </w:r>
    </w:p>
    <w:p>
      <w:pPr>
        <w:pStyle w:val="BodyText"/>
        <w:spacing w:line="357" w:lineRule="auto" w:before="94"/>
        <w:ind w:right="1521" w:firstLine="479"/>
        <w:jc w:val="both"/>
      </w:pPr>
      <w:r>
        <w:rPr/>
        <w:t>公司下设股东大会、董事会、监事会，董事会下设战略委员会、审计委员会、薪 酬与考核委员会、提名委员会四个专门委员会公司，建立了较为完善的法人治理结构 </w:t>
      </w:r>
      <w:r>
        <w:rPr>
          <w:spacing w:val="-5"/>
        </w:rPr>
        <w:t>和完善的管理制度。根据《公司法》、《证券法》等有关法律法规的规定，制订了《股</w:t>
      </w:r>
      <w:r>
        <w:rPr>
          <w:spacing w:val="-104"/>
        </w:rPr>
        <w:t> </w:t>
      </w:r>
      <w:r>
        <w:rPr>
          <w:spacing w:val="-104"/>
        </w:rPr>
      </w:r>
      <w:r>
        <w:rPr>
          <w:spacing w:val="-8"/>
        </w:rPr>
        <w:t>东大会议事规则》、《董事会议事规则》、《监事会议事规则》、《总经理工作细则》、</w:t>
      </w:r>
    </w:p>
    <w:p>
      <w:pPr>
        <w:pStyle w:val="BodyText"/>
        <w:spacing w:line="345" w:lineRule="auto" w:before="36"/>
        <w:ind w:right="1506"/>
        <w:jc w:val="left"/>
      </w:pPr>
      <w:r>
        <w:rPr/>
        <w:t>《董事会秘书工作细则》、《独立董事工作制度》、《提名委员会实施细则》、《战 略委员会实施细则》、《审计委员会实施细则》、《薪酬与考核委员会实施细则》等 </w:t>
      </w:r>
      <w:r>
        <w:rPr>
          <w:spacing w:val="-1"/>
        </w:rPr>
        <w:t>相关制度，明确了</w:t>
      </w:r>
      <w:r>
        <w:rPr>
          <w:rFonts w:ascii="Calibri" w:hAnsi="Calibri" w:cs="Calibri" w:eastAsia="Calibri" w:hint="default"/>
          <w:spacing w:val="-1"/>
        </w:rPr>
        <w:t>“</w:t>
      </w:r>
      <w:r>
        <w:rPr>
          <w:spacing w:val="-1"/>
        </w:rPr>
        <w:t>三会</w:t>
      </w:r>
      <w:r>
        <w:rPr>
          <w:rFonts w:ascii="Calibri" w:hAnsi="Calibri" w:cs="Calibri" w:eastAsia="Calibri" w:hint="default"/>
          <w:spacing w:val="-1"/>
        </w:rPr>
        <w:t>”</w:t>
      </w:r>
      <w:r>
        <w:rPr>
          <w:spacing w:val="-1"/>
        </w:rPr>
        <w:t>及专门委员会的职责权限、任职资格、议事规则和工作程序，</w:t>
      </w:r>
      <w:r>
        <w:rPr>
          <w:spacing w:val="-91"/>
        </w:rPr>
        <w:t> </w:t>
      </w:r>
      <w:r>
        <w:rPr>
          <w:spacing w:val="-91"/>
        </w:rPr>
      </w:r>
      <w:r>
        <w:rPr/>
        <w:t>确保了决策、监督相互分离、形成制衡，保证了公司经营、管理工作的顺利进行。</w:t>
      </w:r>
    </w:p>
    <w:p>
      <w:pPr>
        <w:spacing w:line="240" w:lineRule="auto" w:before="1"/>
        <w:rPr>
          <w:rFonts w:ascii="宋体" w:hAnsi="宋体" w:cs="宋体" w:eastAsia="宋体" w:hint="default"/>
          <w:sz w:val="28"/>
          <w:szCs w:val="28"/>
        </w:rPr>
      </w:pPr>
    </w:p>
    <w:p>
      <w:pPr>
        <w:pStyle w:val="Heading4"/>
        <w:spacing w:line="240" w:lineRule="auto"/>
        <w:ind w:right="1697"/>
        <w:jc w:val="left"/>
        <w:rPr>
          <w:b w:val="0"/>
          <w:bCs w:val="0"/>
        </w:rPr>
      </w:pPr>
      <w:r>
        <w:rPr>
          <w:rFonts w:ascii="Calibri" w:hAnsi="Calibri" w:cs="Calibri" w:eastAsia="Calibri" w:hint="default"/>
        </w:rPr>
        <w:t>2</w:t>
      </w:r>
      <w:r>
        <w:rPr/>
        <w:t>、生产经营控制</w:t>
      </w:r>
      <w:r>
        <w:rPr>
          <w:b w:val="0"/>
          <w:bCs w:val="0"/>
        </w:rPr>
      </w:r>
    </w:p>
    <w:p>
      <w:pPr>
        <w:pStyle w:val="BodyText"/>
        <w:spacing w:line="357" w:lineRule="auto" w:before="94"/>
        <w:ind w:right="1713" w:firstLine="479"/>
        <w:jc w:val="both"/>
      </w:pPr>
      <w:r>
        <w:rPr/>
        <w:t>公司以基本制度为基础，制定了涵盖产品研发、测试、咨询与实施、人力资源、 财务管理、销售合同管理、行政管理等整个经营过程的一系列制度，确保各项工作都 有章可循，管理有序，形成了规范的管理体系。公司对控股或全资子公司的经营、资 金、人员、财务等重大方面，按照法律法规及其公司章程的规定，通过严谨的制度安 排履行必要的监管。</w:t>
      </w:r>
    </w:p>
    <w:p>
      <w:pPr>
        <w:spacing w:line="240" w:lineRule="auto" w:before="2"/>
        <w:rPr>
          <w:rFonts w:ascii="宋体" w:hAnsi="宋体" w:cs="宋体" w:eastAsia="宋体" w:hint="default"/>
          <w:sz w:val="27"/>
          <w:szCs w:val="27"/>
        </w:rPr>
      </w:pPr>
    </w:p>
    <w:p>
      <w:pPr>
        <w:pStyle w:val="Heading4"/>
        <w:spacing w:line="240" w:lineRule="auto"/>
        <w:ind w:right="1697"/>
        <w:jc w:val="left"/>
        <w:rPr>
          <w:b w:val="0"/>
          <w:bCs w:val="0"/>
        </w:rPr>
      </w:pPr>
      <w:r>
        <w:rPr>
          <w:rFonts w:ascii="Calibri" w:hAnsi="Calibri" w:cs="Calibri" w:eastAsia="Calibri" w:hint="default"/>
        </w:rPr>
        <w:t>3</w:t>
      </w:r>
      <w:r>
        <w:rPr/>
        <w:t>、财务管理控制</w:t>
      </w:r>
      <w:r>
        <w:rPr>
          <w:b w:val="0"/>
          <w:bCs w:val="0"/>
        </w:rPr>
      </w:r>
    </w:p>
    <w:p>
      <w:pPr>
        <w:spacing w:after="0" w:line="240" w:lineRule="auto"/>
        <w:jc w:val="left"/>
        <w:sectPr>
          <w:pgSz w:w="12240" w:h="15840"/>
          <w:pgMar w:header="847" w:footer="987" w:top="1360" w:bottom="1180" w:left="1500" w:right="0"/>
        </w:sectPr>
      </w:pPr>
    </w:p>
    <w:p>
      <w:pPr>
        <w:pStyle w:val="BodyText"/>
        <w:spacing w:line="357" w:lineRule="auto" w:before="11"/>
        <w:ind w:right="1506" w:firstLine="460"/>
        <w:jc w:val="left"/>
      </w:pPr>
      <w:r>
        <w:rPr/>
        <w:pict>
          <v:group style="position:absolute;margin-left:80.783997pt;margin-top:1.845647pt;width:450.6pt;height:.1pt;mso-position-horizontal-relative:page;mso-position-vertical-relative:paragraph;z-index:-864328" coordorigin="1616,37" coordsize="9012,2">
            <v:shape style="position:absolute;left:1616;top:37;width:9012;height:2" coordorigin="1616,37" coordsize="9012,0" path="m1616,37l10627,37e" filled="false" stroked="true" strokeweight=".71999pt" strokecolor="#000000">
              <v:path arrowok="t"/>
            </v:shape>
            <w10:wrap type="none"/>
          </v:group>
        </w:pict>
      </w:r>
      <w:r>
        <w:rPr>
          <w:sz w:val="23"/>
          <w:szCs w:val="23"/>
        </w:rPr>
        <w:t>公</w:t>
      </w:r>
      <w:r>
        <w:rPr/>
        <w:t>司根据《会计法》、《企业财务通则》、《企业内部控制规范》等有关规定，</w:t>
      </w:r>
      <w:r>
        <w:rPr/>
        <w:t> 建立了规范、完整的财务管理控制制度以及相关的操作规程。公司按照《企业会计准 则》的有关规定，结合业务性质和特点，制定了公司会计核算办法，会计核算体系健 全。公司还通过财务管理信息系统，对货币资金、采购与付款、销售与收款、固定资 </w:t>
      </w:r>
      <w:r>
        <w:rPr>
          <w:spacing w:val="-2"/>
        </w:rPr>
        <w:t>产、存货等建立了严格内部审批程序，规定了相应的审批权限，并实施有效控制管理。</w:t>
      </w:r>
      <w:r>
        <w:rPr>
          <w:spacing w:val="-95"/>
        </w:rPr>
        <w:t> </w:t>
      </w:r>
      <w:r>
        <w:rPr>
          <w:spacing w:val="-95"/>
        </w:rPr>
      </w:r>
      <w:r>
        <w:rPr/>
        <w:t>报告期内公司未发现财务报告内部控制存在重大缺陷的具体情况。</w:t>
      </w:r>
    </w:p>
    <w:p>
      <w:pPr>
        <w:spacing w:line="240" w:lineRule="auto" w:before="2"/>
        <w:rPr>
          <w:rFonts w:ascii="宋体" w:hAnsi="宋体" w:cs="宋体" w:eastAsia="宋体" w:hint="default"/>
          <w:sz w:val="27"/>
          <w:szCs w:val="27"/>
        </w:rPr>
      </w:pPr>
    </w:p>
    <w:p>
      <w:pPr>
        <w:pStyle w:val="Heading4"/>
        <w:spacing w:line="240" w:lineRule="auto"/>
        <w:ind w:right="1697"/>
        <w:jc w:val="left"/>
        <w:rPr>
          <w:b w:val="0"/>
          <w:bCs w:val="0"/>
        </w:rPr>
      </w:pPr>
      <w:r>
        <w:rPr>
          <w:rFonts w:ascii="Calibri" w:hAnsi="Calibri" w:cs="Calibri" w:eastAsia="Calibri" w:hint="default"/>
        </w:rPr>
        <w:t>4</w:t>
      </w:r>
      <w:r>
        <w:rPr/>
        <w:t>、关联交易控制</w:t>
      </w:r>
      <w:r>
        <w:rPr>
          <w:b w:val="0"/>
          <w:bCs w:val="0"/>
        </w:rPr>
      </w:r>
    </w:p>
    <w:p>
      <w:pPr>
        <w:pStyle w:val="BodyText"/>
        <w:spacing w:line="357" w:lineRule="auto" w:before="97"/>
        <w:ind w:right="1714" w:firstLine="479"/>
        <w:jc w:val="both"/>
      </w:pPr>
      <w:r>
        <w:rPr/>
        <w:t>公司制定了《关联交易制度》、《规范与关联方资金往来制度》，对关联方和关 联交易、关联交易的审批权限和决策程序等作了明确的规定，规范与关联方的交易行 为，力求遵循诚实信用、公正、公平、公开的原则，保护公司及中小股东的利益。</w:t>
      </w:r>
    </w:p>
    <w:p>
      <w:pPr>
        <w:spacing w:line="240" w:lineRule="auto" w:before="13"/>
        <w:rPr>
          <w:rFonts w:ascii="宋体" w:hAnsi="宋体" w:cs="宋体" w:eastAsia="宋体" w:hint="default"/>
          <w:sz w:val="26"/>
          <w:szCs w:val="26"/>
        </w:rPr>
      </w:pPr>
    </w:p>
    <w:p>
      <w:pPr>
        <w:pStyle w:val="Heading4"/>
        <w:spacing w:line="240" w:lineRule="auto"/>
        <w:ind w:right="1697"/>
        <w:jc w:val="left"/>
        <w:rPr>
          <w:b w:val="0"/>
          <w:bCs w:val="0"/>
        </w:rPr>
      </w:pPr>
      <w:r>
        <w:rPr>
          <w:rFonts w:ascii="Calibri" w:hAnsi="Calibri" w:cs="Calibri" w:eastAsia="Calibri" w:hint="default"/>
        </w:rPr>
        <w:t>5</w:t>
      </w:r>
      <w:r>
        <w:rPr/>
        <w:t>、对外担保控制</w:t>
      </w:r>
      <w:r>
        <w:rPr>
          <w:b w:val="0"/>
          <w:bCs w:val="0"/>
        </w:rPr>
      </w:r>
    </w:p>
    <w:p>
      <w:pPr>
        <w:pStyle w:val="BodyText"/>
        <w:spacing w:line="357" w:lineRule="auto" w:before="97"/>
        <w:ind w:right="1714" w:firstLine="479"/>
        <w:jc w:val="both"/>
      </w:pPr>
      <w:r>
        <w:rPr/>
        <w:t>公司建立了《对外担保制度》，对公司发生对外担保行为时的担保对象、审批权 限和决策程序、安全措施等作了详细规定，并明确规定：公司对外担保应当取得出席 董事会会议的三分之二以上董事同意并经全体独立董事三分之二以上同意，或者经股 东大会批准。未经董事会或股东大会批准，公司不得对外提供担保。</w:t>
      </w:r>
    </w:p>
    <w:p>
      <w:pPr>
        <w:spacing w:line="240" w:lineRule="auto" w:before="13"/>
        <w:rPr>
          <w:rFonts w:ascii="宋体" w:hAnsi="宋体" w:cs="宋体" w:eastAsia="宋体" w:hint="default"/>
          <w:sz w:val="26"/>
          <w:szCs w:val="26"/>
        </w:rPr>
      </w:pPr>
    </w:p>
    <w:p>
      <w:pPr>
        <w:pStyle w:val="Heading4"/>
        <w:spacing w:line="240" w:lineRule="auto"/>
        <w:ind w:right="1697"/>
        <w:jc w:val="left"/>
        <w:rPr>
          <w:b w:val="0"/>
          <w:bCs w:val="0"/>
        </w:rPr>
      </w:pPr>
      <w:r>
        <w:rPr>
          <w:rFonts w:ascii="Calibri" w:hAnsi="Calibri" w:cs="Calibri" w:eastAsia="Calibri" w:hint="default"/>
        </w:rPr>
        <w:t>6</w:t>
      </w:r>
      <w:r>
        <w:rPr/>
        <w:t>、内部审计控制</w:t>
      </w:r>
      <w:r>
        <w:rPr>
          <w:b w:val="0"/>
          <w:bCs w:val="0"/>
        </w:rPr>
      </w:r>
    </w:p>
    <w:p>
      <w:pPr>
        <w:pStyle w:val="BodyText"/>
        <w:spacing w:line="357" w:lineRule="auto" w:before="97"/>
        <w:ind w:right="1713" w:firstLine="479"/>
        <w:jc w:val="both"/>
      </w:pPr>
      <w:r>
        <w:rPr/>
        <w:t>公司建立了《内部审计制度》，对内审工作进行了规范。公司内部审计部门直接 对董事会负责，在审计委员会的指导下，独立行使审计职权，不受其他部门和个人的 干涉。内部审计部门对公司及下属子公司所有经营管理、财务状况、内控执行等情况 进行内部审计，对其经济效益的真实性、合理性、合法性做出合理评价。</w:t>
      </w:r>
    </w:p>
    <w:p>
      <w:pPr>
        <w:spacing w:line="240" w:lineRule="auto" w:before="3"/>
        <w:rPr>
          <w:rFonts w:ascii="宋体" w:hAnsi="宋体" w:cs="宋体" w:eastAsia="宋体" w:hint="default"/>
          <w:sz w:val="27"/>
          <w:szCs w:val="27"/>
        </w:rPr>
      </w:pPr>
    </w:p>
    <w:p>
      <w:pPr>
        <w:pStyle w:val="Heading4"/>
        <w:spacing w:line="240" w:lineRule="auto"/>
        <w:ind w:right="1697"/>
        <w:jc w:val="left"/>
        <w:rPr>
          <w:b w:val="0"/>
          <w:bCs w:val="0"/>
        </w:rPr>
      </w:pPr>
      <w:r>
        <w:rPr>
          <w:rFonts w:ascii="Calibri" w:hAnsi="Calibri" w:cs="Calibri" w:eastAsia="Calibri" w:hint="default"/>
        </w:rPr>
        <w:t>7</w:t>
      </w:r>
      <w:r>
        <w:rPr/>
        <w:t>、对控股子公司的管理控制</w:t>
      </w:r>
      <w:r>
        <w:rPr>
          <w:b w:val="0"/>
          <w:bCs w:val="0"/>
        </w:rPr>
      </w:r>
    </w:p>
    <w:p>
      <w:pPr>
        <w:pStyle w:val="BodyText"/>
        <w:spacing w:line="357" w:lineRule="auto" w:before="97"/>
        <w:ind w:right="1713" w:firstLine="479"/>
        <w:jc w:val="both"/>
      </w:pPr>
      <w:r>
        <w:rPr/>
        <w:t>公司严格依照有关法律法规和上市公司的有关规定对控股子公司进行管理，控股 子公司根据《公司法》的要求建立了董事会和监事会，依法管理和监督经营活动。各 控股子公司都参照公司制度，并结合实际情况建立健全经营和财务管理制度。公司依</w:t>
      </w:r>
    </w:p>
    <w:p>
      <w:pPr>
        <w:spacing w:after="0" w:line="357" w:lineRule="auto"/>
        <w:jc w:val="both"/>
        <w:sectPr>
          <w:footerReference w:type="default" r:id="rId30"/>
          <w:footerReference w:type="even" r:id="rId31"/>
          <w:pgSz w:w="12240" w:h="15840"/>
          <w:pgMar w:footer="987" w:header="847" w:top="1360" w:bottom="1180" w:left="1500" w:right="0"/>
          <w:pgNumType w:start="33"/>
        </w:sectPr>
      </w:pPr>
    </w:p>
    <w:p>
      <w:pPr>
        <w:pStyle w:val="BodyText"/>
        <w:spacing w:line="355" w:lineRule="auto" w:before="11"/>
        <w:ind w:right="1696"/>
        <w:jc w:val="left"/>
      </w:pPr>
      <w:r>
        <w:rPr/>
        <w:pict>
          <v:group style="position:absolute;margin-left:80.783997pt;margin-top:1.845647pt;width:450.6pt;height:.1pt;mso-position-horizontal-relative:page;mso-position-vertical-relative:paragraph;z-index:-864304" coordorigin="1616,37" coordsize="9012,2">
            <v:shape style="position:absolute;left:1616;top:37;width:9012;height:2" coordorigin="1616,37" coordsize="9012,0" path="m1616,37l10627,37e" filled="false" stroked="true" strokeweight=".71999pt" strokecolor="#000000">
              <v:path arrowok="t"/>
            </v:shape>
            <w10:wrap type="none"/>
          </v:group>
        </w:pict>
      </w:r>
      <w:r>
        <w:rPr/>
        <w:t>据考核规定对控股子公司进行年度业绩考核，确保子公司的经营符合公司的总体战略 和经营管理目标的实现。</w:t>
      </w:r>
    </w:p>
    <w:p>
      <w:pPr>
        <w:spacing w:line="240" w:lineRule="auto" w:before="5"/>
        <w:rPr>
          <w:rFonts w:ascii="宋体" w:hAnsi="宋体" w:cs="宋体" w:eastAsia="宋体" w:hint="default"/>
          <w:sz w:val="27"/>
          <w:szCs w:val="27"/>
        </w:rPr>
      </w:pPr>
    </w:p>
    <w:p>
      <w:pPr>
        <w:pStyle w:val="Heading4"/>
        <w:spacing w:line="240" w:lineRule="auto"/>
        <w:ind w:right="1697"/>
        <w:jc w:val="left"/>
        <w:rPr>
          <w:b w:val="0"/>
          <w:bCs w:val="0"/>
        </w:rPr>
      </w:pPr>
      <w:r>
        <w:rPr>
          <w:rFonts w:ascii="Calibri" w:hAnsi="Calibri" w:cs="Calibri" w:eastAsia="Calibri" w:hint="default"/>
        </w:rPr>
        <w:t>8</w:t>
      </w:r>
      <w:r>
        <w:rPr/>
        <w:t>、信息披露控制</w:t>
      </w:r>
      <w:r>
        <w:rPr>
          <w:b w:val="0"/>
          <w:bCs w:val="0"/>
        </w:rPr>
      </w:r>
    </w:p>
    <w:p>
      <w:pPr>
        <w:pStyle w:val="BodyText"/>
        <w:spacing w:line="357" w:lineRule="auto" w:before="97"/>
        <w:ind w:right="1713" w:firstLine="479"/>
        <w:jc w:val="both"/>
      </w:pPr>
      <w:r>
        <w:rPr/>
        <w:t>公司建立了《投资者关系管理制度》、《信息披露管理办法》、《重大事件信息 内部报告制度》、《董事会审计委员会年报生意工作规则》、《独立董事年报工作制 度》、《年报披露重大差错责任追究制度》、《内幕信息知情人登记管理制度》，从 信息披露机构和人员、事务管理、披露程序、信息报告、保密措施、档案管理、责任 追究等方面作了详细规定，规范了定期报告和临时公告的草拟、审核、通报和发布流 程，明确了公司内部各相关部门在信息披露工作中的职责和行为规范。</w:t>
      </w:r>
    </w:p>
    <w:p>
      <w:pPr>
        <w:spacing w:line="240" w:lineRule="auto" w:before="5"/>
        <w:rPr>
          <w:rFonts w:ascii="宋体" w:hAnsi="宋体" w:cs="宋体" w:eastAsia="宋体" w:hint="default"/>
          <w:sz w:val="25"/>
          <w:szCs w:val="25"/>
        </w:rPr>
      </w:pPr>
    </w:p>
    <w:p>
      <w:pPr>
        <w:pStyle w:val="Heading3"/>
        <w:spacing w:line="240" w:lineRule="auto"/>
        <w:ind w:right="1697"/>
        <w:jc w:val="left"/>
        <w:rPr>
          <w:b w:val="0"/>
          <w:bCs w:val="0"/>
        </w:rPr>
      </w:pPr>
      <w:r>
        <w:rPr/>
        <w:t>（二）内部控制检查监督部门的设置情况</w:t>
      </w:r>
      <w:r>
        <w:rPr>
          <w:b w:val="0"/>
          <w:bCs w:val="0"/>
        </w:rPr>
      </w:r>
    </w:p>
    <w:p>
      <w:pPr>
        <w:pStyle w:val="BodyText"/>
        <w:spacing w:line="357" w:lineRule="auto" w:before="122"/>
        <w:ind w:right="1713" w:firstLine="479"/>
        <w:jc w:val="both"/>
      </w:pPr>
      <w:r>
        <w:rPr/>
        <w:t>公司董事会下设的审计委员会是公司内部控制监督机构，审计委员会由</w:t>
      </w:r>
      <w:r>
        <w:rPr>
          <w:rFonts w:ascii="宋体" w:hAnsi="宋体" w:cs="宋体" w:eastAsia="宋体" w:hint="default"/>
        </w:rPr>
        <w:t>3 </w:t>
      </w:r>
      <w:r>
        <w:rPr/>
        <w:t>名董事 组成，其中</w:t>
      </w:r>
      <w:r>
        <w:rPr>
          <w:rFonts w:ascii="宋体" w:hAnsi="宋体" w:cs="宋体" w:eastAsia="宋体" w:hint="default"/>
        </w:rPr>
        <w:t>2</w:t>
      </w:r>
      <w:r>
        <w:rPr/>
        <w:t>名为独立董事，</w:t>
      </w:r>
      <w:r>
        <w:rPr>
          <w:rFonts w:ascii="宋体" w:hAnsi="宋体" w:cs="宋体" w:eastAsia="宋体" w:hint="default"/>
        </w:rPr>
        <w:t>1</w:t>
      </w:r>
      <w:r>
        <w:rPr/>
        <w:t>名会计专业的独立董事；公司内审部独立于公司其他部 门，有专门的部门负责人，并配置</w:t>
      </w:r>
      <w:r>
        <w:rPr>
          <w:rFonts w:ascii="宋体" w:hAnsi="宋体" w:cs="宋体" w:eastAsia="宋体" w:hint="default"/>
        </w:rPr>
        <w:t>3 </w:t>
      </w:r>
      <w:r>
        <w:rPr/>
        <w:t>名专职人员。报告期内，公司内审部开展内部控 制的工作主要有以下内容：在公司董事会的监督与指导下，负责公司财务审计及管理 公司内部稽核与内控系统，定期与不定期的对公司的财务、内部控制、重大项目及其 他业务进行审计和例行检查，以有效监控公司整体经营风险。</w:t>
      </w:r>
    </w:p>
    <w:p>
      <w:pPr>
        <w:spacing w:line="240" w:lineRule="auto" w:before="5"/>
        <w:rPr>
          <w:rFonts w:ascii="宋体" w:hAnsi="宋体" w:cs="宋体" w:eastAsia="宋体" w:hint="default"/>
          <w:sz w:val="25"/>
          <w:szCs w:val="25"/>
        </w:rPr>
      </w:pPr>
    </w:p>
    <w:p>
      <w:pPr>
        <w:pStyle w:val="Heading3"/>
        <w:spacing w:line="240" w:lineRule="auto"/>
        <w:ind w:right="1697"/>
        <w:jc w:val="left"/>
        <w:rPr>
          <w:b w:val="0"/>
          <w:bCs w:val="0"/>
        </w:rPr>
      </w:pPr>
      <w:r>
        <w:rPr/>
        <w:t>（三）内部审计制度的建立和执行情况</w:t>
      </w:r>
      <w:r>
        <w:rPr>
          <w:b w:val="0"/>
          <w:bCs w:val="0"/>
        </w:rPr>
      </w:r>
    </w:p>
    <w:p>
      <w:pPr>
        <w:spacing w:line="240" w:lineRule="auto" w:before="6"/>
        <w:rPr>
          <w:rFonts w:ascii="黑体" w:hAnsi="黑体" w:cs="黑体" w:eastAsia="黑体" w:hint="default"/>
          <w:b/>
          <w:bCs/>
          <w:sz w:val="12"/>
          <w:szCs w:val="12"/>
        </w:rPr>
      </w:pPr>
    </w:p>
    <w:tbl>
      <w:tblPr>
        <w:tblW w:w="0" w:type="auto"/>
        <w:jc w:val="left"/>
        <w:tblInd w:w="151" w:type="dxa"/>
        <w:tblLayout w:type="fixed"/>
        <w:tblCellMar>
          <w:top w:w="0" w:type="dxa"/>
          <w:left w:w="0" w:type="dxa"/>
          <w:bottom w:w="0" w:type="dxa"/>
          <w:right w:w="0" w:type="dxa"/>
        </w:tblCellMar>
        <w:tblLook w:val="01E0"/>
      </w:tblPr>
      <w:tblGrid>
        <w:gridCol w:w="5905"/>
        <w:gridCol w:w="1313"/>
        <w:gridCol w:w="2600"/>
      </w:tblGrid>
      <w:tr>
        <w:trPr>
          <w:trHeight w:val="142" w:hRule="exact"/>
        </w:trPr>
        <w:tc>
          <w:tcPr>
            <w:tcW w:w="5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18" w:lineRule="auto"/>
              <w:ind w:left="242" w:right="19" w:hanging="221"/>
              <w:jc w:val="left"/>
              <w:rPr>
                <w:rFonts w:ascii="宋体" w:hAnsi="宋体" w:cs="宋体" w:eastAsia="宋体" w:hint="default"/>
                <w:sz w:val="21"/>
                <w:szCs w:val="21"/>
              </w:rPr>
            </w:pPr>
            <w:r>
              <w:rPr>
                <w:rFonts w:ascii="宋体" w:hAnsi="宋体" w:cs="宋体" w:eastAsia="宋体" w:hint="default"/>
                <w:spacing w:val="-6"/>
                <w:sz w:val="21"/>
                <w:szCs w:val="21"/>
              </w:rPr>
              <w:t>备注</w:t>
            </w:r>
            <w:r>
              <w:rPr>
                <w:rFonts w:ascii="Calibri" w:hAnsi="Calibri" w:cs="Calibri" w:eastAsia="Calibri" w:hint="default"/>
                <w:spacing w:val="-6"/>
                <w:sz w:val="21"/>
                <w:szCs w:val="21"/>
              </w:rPr>
              <w:t>/</w:t>
            </w:r>
            <w:r>
              <w:rPr>
                <w:rFonts w:ascii="宋体" w:hAnsi="宋体" w:cs="宋体" w:eastAsia="宋体" w:hint="default"/>
                <w:spacing w:val="-6"/>
                <w:sz w:val="21"/>
                <w:szCs w:val="21"/>
              </w:rPr>
              <w:t>说明（如选择否或不适</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用，请说明具体原因）</w:t>
            </w:r>
          </w:p>
        </w:tc>
      </w:tr>
      <w:tr>
        <w:trPr>
          <w:trHeight w:val="347" w:hRule="exact"/>
        </w:trPr>
        <w:tc>
          <w:tcPr>
            <w:tcW w:w="590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8" w:lineRule="exact"/>
              <w:ind w:left="50" w:right="0"/>
              <w:jc w:val="left"/>
              <w:rPr>
                <w:rFonts w:ascii="宋体" w:hAnsi="宋体" w:cs="宋体" w:eastAsia="宋体" w:hint="default"/>
                <w:sz w:val="21"/>
                <w:szCs w:val="21"/>
              </w:rPr>
            </w:pPr>
            <w:r>
              <w:rPr>
                <w:rFonts w:ascii="宋体" w:hAnsi="宋体" w:cs="宋体" w:eastAsia="宋体" w:hint="default"/>
                <w:sz w:val="21"/>
                <w:szCs w:val="21"/>
              </w:rPr>
              <w:t>是</w:t>
            </w:r>
            <w:r>
              <w:rPr>
                <w:rFonts w:ascii="Calibri" w:hAnsi="Calibri" w:cs="Calibri" w:eastAsia="Calibri" w:hint="default"/>
                <w:sz w:val="21"/>
                <w:szCs w:val="21"/>
              </w:rPr>
              <w:t>/</w:t>
            </w:r>
            <w:r>
              <w:rPr>
                <w:rFonts w:ascii="宋体" w:hAnsi="宋体" w:cs="宋体" w:eastAsia="宋体" w:hint="default"/>
                <w:sz w:val="21"/>
                <w:szCs w:val="21"/>
              </w:rPr>
              <w:t>否</w:t>
            </w:r>
            <w:r>
              <w:rPr>
                <w:rFonts w:ascii="Calibri" w:hAnsi="Calibri" w:cs="Calibri" w:eastAsia="Calibri" w:hint="default"/>
                <w:sz w:val="21"/>
                <w:szCs w:val="21"/>
              </w:rPr>
              <w:t>/</w:t>
            </w:r>
            <w:r>
              <w:rPr>
                <w:rFonts w:ascii="宋体" w:hAnsi="宋体" w:cs="宋体" w:eastAsia="宋体" w:hint="default"/>
                <w:sz w:val="21"/>
                <w:szCs w:val="21"/>
              </w:rPr>
              <w:t>不适用</w:t>
            </w: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349"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12" w:right="98"/>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．公司是否建立内部审计制度，内部审计制度是否经公司董事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会审议通过</w:t>
            </w:r>
          </w:p>
        </w:tc>
        <w:tc>
          <w:tcPr>
            <w:tcW w:w="1313" w:type="dxa"/>
            <w:tcBorders>
              <w:top w:val="single" w:sz="7" w:space="0" w:color="000000"/>
              <w:left w:val="single" w:sz="10" w:space="0" w:color="DCDCDC"/>
              <w:bottom w:val="single" w:sz="4" w:space="0" w:color="000000"/>
              <w:right w:val="single" w:sz="4" w:space="0" w:color="000000"/>
            </w:tcBorders>
          </w:tcPr>
          <w:p>
            <w:pPr>
              <w:pStyle w:val="TableParagraph"/>
              <w:spacing w:line="240" w:lineRule="auto" w:before="99"/>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7" w:space="0" w:color="000000"/>
              <w:left w:val="single" w:sz="4" w:space="0" w:color="000000"/>
              <w:bottom w:val="single" w:sz="4" w:space="0" w:color="000000"/>
              <w:right w:val="single" w:sz="4" w:space="0" w:color="000000"/>
            </w:tcBorders>
          </w:tcPr>
          <w:p>
            <w:pPr/>
          </w:p>
        </w:tc>
      </w:tr>
      <w:tr>
        <w:trPr>
          <w:trHeight w:val="555"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12" w:right="98"/>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．公司董事会是否设立审计委员会，公司是否设立独立于财务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部门的内部审计部门</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3"/>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12" w:right="7"/>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w:t>
            </w:r>
            <w:r>
              <w:rPr>
                <w:rFonts w:ascii="Calibri" w:hAnsi="Calibri" w:cs="Calibri" w:eastAsia="Calibri" w:hint="default"/>
                <w:spacing w:val="-2"/>
                <w:sz w:val="21"/>
                <w:szCs w:val="21"/>
              </w:rPr>
              <w:t>1</w:t>
            </w:r>
            <w:r>
              <w:rPr>
                <w:rFonts w:ascii="宋体" w:hAnsi="宋体" w:cs="宋体" w:eastAsia="宋体" w:hint="default"/>
                <w:spacing w:val="-2"/>
                <w:sz w:val="21"/>
                <w:szCs w:val="21"/>
              </w:rPr>
              <w:t>）审计委员会成员是否全部由董事组成，独立董事占半数</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以上并担任召集人，且至少有一名独立董事为会计专业人士</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2"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）内部审计部门是否配置三名以上（含三名）专职人员从事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内部审计工作</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1"/>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2" w:right="98"/>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．内部控制自我评价报告结论是否为内部控制有效（如为内部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控制无效，请说明内部控制存在的重大缺陷）</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847" w:footer="987" w:top="1360" w:bottom="1180" w:left="1500" w:right="0"/>
        </w:sectPr>
      </w:pPr>
    </w:p>
    <w:p>
      <w:pPr>
        <w:spacing w:line="240" w:lineRule="auto" w:before="4"/>
        <w:rPr>
          <w:rFonts w:ascii="黑体" w:hAnsi="黑体" w:cs="黑体" w:eastAsia="黑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5917"/>
        <w:gridCol w:w="1313"/>
        <w:gridCol w:w="2600"/>
      </w:tblGrid>
      <w:tr>
        <w:trPr>
          <w:trHeight w:val="566" w:hRule="exact"/>
        </w:trPr>
        <w:tc>
          <w:tcPr>
            <w:tcW w:w="5917"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98"/>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．本年度是否聘请会计师事务所对内部控制有效性出具审计报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告</w:t>
            </w:r>
          </w:p>
        </w:tc>
        <w:tc>
          <w:tcPr>
            <w:tcW w:w="1313" w:type="dxa"/>
            <w:tcBorders>
              <w:top w:val="single" w:sz="12" w:space="0" w:color="000000"/>
              <w:left w:val="single" w:sz="10" w:space="0" w:color="DCDCDC"/>
              <w:bottom w:val="single" w:sz="4" w:space="0" w:color="000000"/>
              <w:right w:val="single" w:sz="4" w:space="0" w:color="000000"/>
            </w:tcBorders>
          </w:tcPr>
          <w:p>
            <w:pPr>
              <w:pStyle w:val="TableParagraph"/>
              <w:spacing w:line="240" w:lineRule="auto" w:before="103"/>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2" w:space="0" w:color="000000"/>
              <w:left w:val="single" w:sz="4" w:space="0" w:color="000000"/>
              <w:bottom w:val="single" w:sz="4" w:space="0" w:color="000000"/>
              <w:right w:val="single" w:sz="4" w:space="0" w:color="000000"/>
            </w:tcBorders>
          </w:tcPr>
          <w:p>
            <w:pPr/>
          </w:p>
        </w:tc>
      </w:tr>
      <w:tr>
        <w:trPr>
          <w:trHeight w:val="1099"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．会计师事务所对公司内部控制有效性是否出具标准审计报告</w:t>
            </w:r>
          </w:p>
          <w:p>
            <w:pPr>
              <w:pStyle w:val="TableParagraph"/>
              <w:spacing w:line="237" w:lineRule="auto"/>
              <w:ind w:left="24" w:right="5"/>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w:t>
            </w:r>
            <w:r>
              <w:rPr>
                <w:rFonts w:ascii="宋体" w:hAnsi="宋体" w:cs="宋体" w:eastAsia="宋体" w:hint="default"/>
                <w:w w:val="100"/>
                <w:sz w:val="21"/>
                <w:szCs w:val="21"/>
              </w:rPr>
              <w:t> </w:t>
            </w: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33"/>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24" w:right="98"/>
              <w:jc w:val="left"/>
              <w:rPr>
                <w:rFonts w:ascii="宋体" w:hAnsi="宋体" w:cs="宋体" w:eastAsia="宋体" w:hint="default"/>
                <w:sz w:val="21"/>
                <w:szCs w:val="21"/>
              </w:rPr>
            </w:pPr>
            <w:r>
              <w:rPr>
                <w:rFonts w:ascii="Calibri" w:hAnsi="Calibri" w:cs="Calibri" w:eastAsia="Calibri"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请说明）</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24" w:right="98"/>
              <w:jc w:val="left"/>
              <w:rPr>
                <w:rFonts w:ascii="宋体" w:hAnsi="宋体" w:cs="宋体" w:eastAsia="宋体" w:hint="default"/>
                <w:sz w:val="21"/>
                <w:szCs w:val="21"/>
              </w:rPr>
            </w:pPr>
            <w:r>
              <w:rPr>
                <w:rFonts w:ascii="Calibri" w:hAnsi="Calibri" w:cs="Calibri" w:eastAsia="Calibri"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用）</w:t>
            </w:r>
          </w:p>
        </w:tc>
        <w:tc>
          <w:tcPr>
            <w:tcW w:w="131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保荐机构和保荐代表人持续</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督导期已结束。</w:t>
            </w:r>
          </w:p>
        </w:tc>
      </w:tr>
      <w:tr>
        <w:trPr>
          <w:trHeight w:val="283"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645"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both"/>
              <w:rPr>
                <w:rFonts w:ascii="宋体" w:hAnsi="宋体" w:cs="宋体" w:eastAsia="宋体" w:hint="default"/>
                <w:sz w:val="21"/>
                <w:szCs w:val="21"/>
              </w:rPr>
            </w:pPr>
            <w:r>
              <w:rPr>
                <w:rFonts w:ascii="Calibri" w:hAnsi="Calibri" w:cs="Calibri" w:eastAsia="Calibri" w:hint="default"/>
                <w:spacing w:val="-1"/>
                <w:sz w:val="21"/>
                <w:szCs w:val="21"/>
              </w:rPr>
              <w:t>2011</w:t>
            </w:r>
            <w:r>
              <w:rPr>
                <w:rFonts w:ascii="Calibri" w:hAnsi="Calibri" w:cs="Calibri" w:eastAsia="Calibri" w:hint="default"/>
                <w:sz w:val="21"/>
                <w:szCs w:val="21"/>
              </w:rPr>
              <w:t> </w:t>
            </w:r>
            <w:r>
              <w:rPr>
                <w:rFonts w:ascii="Calibri" w:hAnsi="Calibri" w:cs="Calibri" w:eastAsia="Calibri" w:hint="default"/>
                <w:spacing w:val="42"/>
                <w:sz w:val="21"/>
                <w:szCs w:val="21"/>
              </w:rPr>
              <w:t> </w:t>
            </w:r>
            <w:r>
              <w:rPr>
                <w:rFonts w:ascii="宋体" w:hAnsi="宋体" w:cs="宋体" w:eastAsia="宋体" w:hint="default"/>
                <w:spacing w:val="-2"/>
                <w:sz w:val="21"/>
                <w:szCs w:val="21"/>
              </w:rPr>
              <w:t>年，审计委员会定期召开会议审议内部审计部提交的工作计划、工作报告；每季度向董事会提交工作</w:t>
            </w:r>
          </w:p>
          <w:p>
            <w:pPr>
              <w:pStyle w:val="TableParagraph"/>
              <w:spacing w:line="272" w:lineRule="exact" w:before="13"/>
              <w:ind w:left="24" w:right="15"/>
              <w:jc w:val="both"/>
              <w:rPr>
                <w:rFonts w:ascii="宋体" w:hAnsi="宋体" w:cs="宋体" w:eastAsia="宋体" w:hint="default"/>
                <w:sz w:val="21"/>
                <w:szCs w:val="21"/>
              </w:rPr>
            </w:pPr>
            <w:r>
              <w:rPr>
                <w:rFonts w:ascii="宋体" w:hAnsi="宋体" w:cs="宋体" w:eastAsia="宋体" w:hint="default"/>
                <w:sz w:val="21"/>
                <w:szCs w:val="21"/>
              </w:rPr>
              <w:t>报告；完成</w:t>
            </w:r>
            <w:r>
              <w:rPr>
                <w:rFonts w:ascii="宋体" w:hAnsi="宋体" w:cs="宋体" w:eastAsia="宋体" w:hint="default"/>
                <w:spacing w:val="-56"/>
                <w:sz w:val="21"/>
                <w:szCs w:val="21"/>
              </w:rPr>
              <w:t> </w:t>
            </w: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年年报审计的相关工作，对会计师事务所的审计工作进行总结评价，并建议续聘，提交董</w:t>
            </w:r>
            <w:r>
              <w:rPr>
                <w:rFonts w:ascii="宋体" w:hAnsi="宋体" w:cs="宋体" w:eastAsia="宋体" w:hint="default"/>
                <w:w w:val="100"/>
                <w:sz w:val="21"/>
                <w:szCs w:val="21"/>
              </w:rPr>
              <w:t> </w:t>
            </w:r>
            <w:r>
              <w:rPr>
                <w:rFonts w:ascii="宋体" w:hAnsi="宋体" w:cs="宋体" w:eastAsia="宋体" w:hint="default"/>
                <w:sz w:val="21"/>
                <w:szCs w:val="21"/>
              </w:rPr>
              <w:t>事会审议。</w:t>
            </w:r>
          </w:p>
          <w:p>
            <w:pPr>
              <w:pStyle w:val="TableParagraph"/>
              <w:spacing w:line="272" w:lineRule="exact" w:before="1"/>
              <w:ind w:left="24" w:right="15"/>
              <w:jc w:val="both"/>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年，内部审计部根据年度审计工作计划开展工作，对公司本部及控股子公司的经营管理、财务状况、</w:t>
            </w:r>
            <w:r>
              <w:rPr>
                <w:rFonts w:ascii="宋体" w:hAnsi="宋体" w:cs="宋体" w:eastAsia="宋体" w:hint="default"/>
                <w:w w:val="100"/>
                <w:sz w:val="21"/>
                <w:szCs w:val="21"/>
              </w:rPr>
              <w:t> </w:t>
            </w:r>
            <w:r>
              <w:rPr>
                <w:rFonts w:ascii="宋体" w:hAnsi="宋体" w:cs="宋体" w:eastAsia="宋体" w:hint="default"/>
                <w:spacing w:val="-4"/>
                <w:sz w:val="21"/>
                <w:szCs w:val="21"/>
              </w:rPr>
              <w:t>内部控制以及对外投资、募集资金管理和使用等重大事项进行审计。每季度向审计委员会提交工作计划、工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作报告。</w:t>
            </w:r>
          </w:p>
        </w:tc>
      </w:tr>
      <w:tr>
        <w:trPr>
          <w:trHeight w:val="283"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1"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4"/>
          <w:szCs w:val="14"/>
        </w:rPr>
      </w:pPr>
    </w:p>
    <w:p>
      <w:pPr>
        <w:pStyle w:val="Heading2"/>
        <w:spacing w:line="240" w:lineRule="auto" w:before="14"/>
        <w:ind w:left="124" w:right="4204"/>
        <w:jc w:val="left"/>
        <w:rPr>
          <w:b w:val="0"/>
          <w:bCs w:val="0"/>
        </w:rPr>
      </w:pPr>
      <w:r>
        <w:rPr/>
        <w:t>二、内部控制的审核情况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124" w:right="4204"/>
        <w:jc w:val="left"/>
        <w:rPr>
          <w:b w:val="0"/>
          <w:bCs w:val="0"/>
        </w:rPr>
      </w:pPr>
      <w:r>
        <w:rPr>
          <w:sz w:val="24"/>
          <w:szCs w:val="24"/>
        </w:rPr>
        <w:t>（一）</w:t>
      </w:r>
      <w:r>
        <w:rPr/>
        <w:t>公司董事会对内部控制的自我评价</w:t>
      </w:r>
      <w:r>
        <w:rPr>
          <w:b w:val="0"/>
          <w:bCs w:val="0"/>
        </w:rPr>
      </w:r>
    </w:p>
    <w:p>
      <w:pPr>
        <w:pStyle w:val="BodyText"/>
        <w:spacing w:line="357" w:lineRule="auto" w:before="125"/>
        <w:ind w:left="124" w:right="1265" w:firstLine="479"/>
        <w:jc w:val="left"/>
        <w:rPr>
          <w:rFonts w:ascii="Calibri" w:hAnsi="Calibri" w:cs="Calibri" w:eastAsia="Calibri" w:hint="default"/>
        </w:rPr>
      </w:pPr>
      <w:r>
        <w:rPr/>
        <w:t>公司建立了较为完善的法人治理结构，内部控制体系较为健全，现有的内部控制 制度符合我国有关法律法规和证券监管部门的要求，符合公司经营管理的实际需要， 具有合理性、合法性和有效性。公司内部控制制度执行情况良好，能够较好地预防、 </w:t>
      </w:r>
      <w:r>
        <w:rPr>
          <w:spacing w:val="-2"/>
        </w:rPr>
        <w:t>发现和纠正公司在经营、管理运作中出现的问题和风险，适应公司管理和发展的需要，</w:t>
      </w:r>
      <w:r>
        <w:rPr>
          <w:spacing w:val="-92"/>
        </w:rPr>
        <w:t> </w:t>
      </w:r>
      <w:r>
        <w:rPr>
          <w:spacing w:val="-92"/>
        </w:rPr>
      </w:r>
      <w:r>
        <w:rPr/>
        <w:t>保证公司资产的安全和完整，保证会计信息的准确性、真实性和及时性。公司《</w:t>
      </w:r>
      <w:r>
        <w:rPr>
          <w:rFonts w:ascii="Calibri" w:hAnsi="Calibri" w:cs="Calibri" w:eastAsia="Calibri" w:hint="default"/>
        </w:rPr>
        <w:t>2011</w:t>
      </w:r>
    </w:p>
    <w:p>
      <w:pPr>
        <w:pStyle w:val="BodyText"/>
        <w:spacing w:line="322" w:lineRule="exact"/>
        <w:ind w:left="124" w:right="1265"/>
        <w:jc w:val="left"/>
      </w:pPr>
      <w:r>
        <w:rPr/>
        <w:t>年度内部控制自我评价报告》详见</w:t>
      </w:r>
      <w:r>
        <w:rPr>
          <w:rFonts w:ascii="Calibri" w:hAnsi="Calibri" w:cs="Calibri" w:eastAsia="Calibri" w:hint="default"/>
        </w:rPr>
        <w:t>2012</w:t>
      </w:r>
      <w:r>
        <w:rPr/>
        <w:t>年</w:t>
      </w:r>
      <w:r>
        <w:rPr>
          <w:rFonts w:ascii="Calibri" w:hAnsi="Calibri" w:cs="Calibri" w:eastAsia="Calibri" w:hint="default"/>
        </w:rPr>
        <w:t>4</w:t>
      </w:r>
      <w:r>
        <w:rPr/>
        <w:t>月</w:t>
      </w:r>
      <w:r>
        <w:rPr>
          <w:rFonts w:ascii="Calibri" w:hAnsi="Calibri" w:cs="Calibri" w:eastAsia="Calibri" w:hint="default"/>
        </w:rPr>
        <w:t>26</w:t>
      </w:r>
      <w:r>
        <w:rPr/>
        <w:t>日巨潮资讯网</w:t>
      </w:r>
      <w:r>
        <w:rPr>
          <w:spacing w:val="-62"/>
        </w:rPr>
        <w:t> </w:t>
      </w:r>
      <w:r>
        <w:rPr>
          <w:spacing w:val="-4"/>
        </w:rPr>
        <w:t>（</w:t>
      </w:r>
      <w:hyperlink r:id="rId17">
        <w:r>
          <w:rPr>
            <w:rFonts w:ascii="Calibri" w:hAnsi="Calibri" w:cs="Calibri" w:eastAsia="Calibri" w:hint="default"/>
            <w:spacing w:val="-4"/>
          </w:rPr>
          <w:t>www.cninfo.com.cn</w:t>
        </w:r>
      </w:hyperlink>
      <w:r>
        <w:rPr>
          <w:spacing w:val="-4"/>
        </w:rPr>
        <w:t>）。</w:t>
      </w:r>
      <w:r>
        <w:rPr/>
      </w:r>
    </w:p>
    <w:p>
      <w:pPr>
        <w:spacing w:line="240" w:lineRule="auto" w:before="0"/>
        <w:rPr>
          <w:rFonts w:ascii="宋体" w:hAnsi="宋体" w:cs="宋体" w:eastAsia="宋体" w:hint="default"/>
          <w:sz w:val="32"/>
          <w:szCs w:val="32"/>
        </w:rPr>
      </w:pPr>
    </w:p>
    <w:p>
      <w:pPr>
        <w:pStyle w:val="Heading3"/>
        <w:spacing w:line="240" w:lineRule="auto"/>
        <w:ind w:left="124" w:right="4204"/>
        <w:jc w:val="left"/>
        <w:rPr>
          <w:b w:val="0"/>
          <w:bCs w:val="0"/>
        </w:rPr>
      </w:pPr>
      <w:r>
        <w:rPr/>
        <w:t>（二）监事会的核查意见</w:t>
      </w:r>
      <w:r>
        <w:rPr>
          <w:b w:val="0"/>
          <w:bCs w:val="0"/>
        </w:rPr>
      </w:r>
    </w:p>
    <w:p>
      <w:pPr>
        <w:pStyle w:val="BodyText"/>
        <w:spacing w:line="357" w:lineRule="auto" w:before="125"/>
        <w:ind w:left="124" w:right="1714" w:firstLine="479"/>
        <w:jc w:val="both"/>
      </w:pPr>
      <w:r>
        <w:rPr/>
        <w:t>监事会经过认真核查认为，公司已建立了较为完善的内部控制体系并能得到有效 的执行。公司内部控制的自我评价报告真实、客观地反映了公司内部控制制度的建设 及运行情况。</w:t>
      </w:r>
    </w:p>
    <w:p>
      <w:pPr>
        <w:spacing w:line="240" w:lineRule="auto" w:before="3"/>
        <w:rPr>
          <w:rFonts w:ascii="宋体" w:hAnsi="宋体" w:cs="宋体" w:eastAsia="宋体" w:hint="default"/>
          <w:sz w:val="25"/>
          <w:szCs w:val="25"/>
        </w:rPr>
      </w:pPr>
    </w:p>
    <w:p>
      <w:pPr>
        <w:pStyle w:val="Heading3"/>
        <w:spacing w:line="240" w:lineRule="auto"/>
        <w:ind w:left="124" w:right="4204"/>
        <w:jc w:val="left"/>
        <w:rPr>
          <w:b w:val="0"/>
          <w:bCs w:val="0"/>
        </w:rPr>
      </w:pPr>
      <w:r>
        <w:rPr/>
        <w:t>（三）独立董事意见</w:t>
      </w:r>
      <w:r>
        <w:rPr>
          <w:b w:val="0"/>
          <w:bCs w:val="0"/>
        </w:rPr>
      </w:r>
    </w:p>
    <w:p>
      <w:pPr>
        <w:spacing w:after="0" w:line="240" w:lineRule="auto"/>
        <w:jc w:val="left"/>
        <w:sectPr>
          <w:pgSz w:w="12240" w:h="15840"/>
          <w:pgMar w:header="847" w:footer="987" w:top="1360" w:bottom="1180" w:left="1520" w:right="0"/>
        </w:sectPr>
      </w:pPr>
    </w:p>
    <w:p>
      <w:pPr>
        <w:pStyle w:val="BodyText"/>
        <w:spacing w:line="357" w:lineRule="auto" w:before="11"/>
        <w:ind w:right="1713" w:firstLine="479"/>
        <w:jc w:val="both"/>
      </w:pPr>
      <w:r>
        <w:rPr/>
        <w:pict>
          <v:group style="position:absolute;margin-left:80.783997pt;margin-top:1.845647pt;width:450.6pt;height:.1pt;mso-position-horizontal-relative:page;mso-position-vertical-relative:paragraph;z-index:-864280" coordorigin="1616,37" coordsize="9012,2">
            <v:shape style="position:absolute;left:1616;top:37;width:9012;height:2" coordorigin="1616,37" coordsize="9012,0" path="m1616,37l10627,37e" filled="false" stroked="true" strokeweight=".71999pt" strokecolor="#000000">
              <v:path arrowok="t"/>
            </v:shape>
            <w10:wrap type="none"/>
          </v:group>
        </w:pict>
      </w:r>
      <w:r>
        <w:rPr/>
        <w:t>独立董事经过认真核查认为，公司内部控制体系和控制制度较为健全，能够保证 公司经营管理合法合规，保证公司资产安全、完整和经营管理的规范运行。公司内部 控制自我评价报告真实、客观地反映了公司内部控制制度的建设及运行情况。独立意 见全文详见</w:t>
      </w:r>
      <w:r>
        <w:rPr>
          <w:spacing w:val="-62"/>
        </w:rPr>
        <w:t> </w:t>
      </w:r>
      <w:r>
        <w:rPr>
          <w:rFonts w:ascii="Calibri" w:hAnsi="Calibri" w:cs="Calibri" w:eastAsia="Calibri" w:hint="default"/>
        </w:rPr>
        <w:t>2012</w:t>
      </w:r>
      <w:r>
        <w:rPr>
          <w:rFonts w:ascii="Calibri" w:hAnsi="Calibri" w:cs="Calibri" w:eastAsia="Calibri" w:hint="default"/>
          <w:spacing w:val="4"/>
        </w:rPr>
        <w:t> </w:t>
      </w:r>
      <w:r>
        <w:rPr/>
        <w:t>年</w:t>
      </w:r>
      <w:r>
        <w:rPr>
          <w:spacing w:val="-64"/>
        </w:rPr>
        <w:t> </w:t>
      </w:r>
      <w:r>
        <w:rPr>
          <w:rFonts w:ascii="Calibri" w:hAnsi="Calibri" w:cs="Calibri" w:eastAsia="Calibri" w:hint="default"/>
        </w:rPr>
        <w:t>4</w:t>
      </w:r>
      <w:r>
        <w:rPr>
          <w:rFonts w:ascii="Calibri" w:hAnsi="Calibri" w:cs="Calibri" w:eastAsia="Calibri" w:hint="default"/>
          <w:spacing w:val="2"/>
        </w:rPr>
        <w:t> </w:t>
      </w:r>
      <w:r>
        <w:rPr/>
        <w:t>月</w:t>
      </w:r>
      <w:r>
        <w:rPr>
          <w:spacing w:val="-62"/>
        </w:rPr>
        <w:t> </w:t>
      </w:r>
      <w:r>
        <w:rPr>
          <w:rFonts w:ascii="Calibri" w:hAnsi="Calibri" w:cs="Calibri" w:eastAsia="Calibri" w:hint="default"/>
        </w:rPr>
        <w:t>26</w:t>
      </w:r>
      <w:r>
        <w:rPr>
          <w:rFonts w:ascii="Calibri" w:hAnsi="Calibri" w:cs="Calibri" w:eastAsia="Calibri" w:hint="default"/>
          <w:spacing w:val="4"/>
        </w:rPr>
        <w:t> </w:t>
      </w:r>
      <w:r>
        <w:rPr/>
        <w:t>日巨潮资讯网（</w:t>
      </w:r>
      <w:hyperlink r:id="rId17">
        <w:r>
          <w:rPr>
            <w:rFonts w:ascii="Calibri" w:hAnsi="Calibri" w:cs="Calibri" w:eastAsia="Calibri" w:hint="default"/>
          </w:rPr>
          <w:t>www.cninfo.com.cn</w:t>
        </w:r>
      </w:hyperlink>
      <w:r>
        <w:rPr/>
        <w:t>）。</w:t>
      </w:r>
    </w:p>
    <w:p>
      <w:pPr>
        <w:spacing w:line="240" w:lineRule="auto" w:before="1"/>
        <w:rPr>
          <w:rFonts w:ascii="宋体" w:hAnsi="宋体" w:cs="宋体" w:eastAsia="宋体" w:hint="default"/>
          <w:sz w:val="21"/>
          <w:szCs w:val="21"/>
        </w:rPr>
      </w:pPr>
    </w:p>
    <w:p>
      <w:pPr>
        <w:pStyle w:val="Heading3"/>
        <w:spacing w:line="240" w:lineRule="auto"/>
        <w:ind w:right="1697"/>
        <w:jc w:val="left"/>
        <w:rPr>
          <w:b w:val="0"/>
          <w:bCs w:val="0"/>
        </w:rPr>
      </w:pPr>
      <w:r>
        <w:rPr/>
        <w:t>（四）会计师事务所的审核评价意见</w:t>
      </w:r>
      <w:r>
        <w:rPr>
          <w:b w:val="0"/>
          <w:bCs w:val="0"/>
        </w:rPr>
      </w:r>
    </w:p>
    <w:p>
      <w:pPr>
        <w:pStyle w:val="BodyText"/>
        <w:spacing w:line="355" w:lineRule="auto" w:before="124"/>
        <w:ind w:right="1636" w:firstLine="479"/>
        <w:jc w:val="both"/>
      </w:pPr>
      <w:r>
        <w:rPr/>
        <w:t>北京兴华会计师事务所有限责任公司对公司内部控制的有效性进行了评价，出具</w:t>
      </w:r>
      <w:r>
        <w:rPr>
          <w:spacing w:val="2"/>
        </w:rPr>
        <w:t> </w:t>
      </w:r>
      <w:r>
        <w:rPr/>
        <w:t>了</w:t>
      </w:r>
      <w:r>
        <w:rPr>
          <w:rFonts w:ascii="Calibri" w:hAnsi="Calibri" w:cs="Calibri" w:eastAsia="Calibri" w:hint="default"/>
        </w:rPr>
        <w:t>[2012]</w:t>
      </w:r>
      <w:r>
        <w:rPr/>
        <w:t>京会兴核字第</w:t>
      </w:r>
      <w:r>
        <w:rPr>
          <w:spacing w:val="-50"/>
        </w:rPr>
        <w:t> </w:t>
      </w:r>
      <w:r>
        <w:rPr>
          <w:rFonts w:ascii="Calibri" w:hAnsi="Calibri" w:cs="Calibri" w:eastAsia="Calibri" w:hint="default"/>
        </w:rPr>
        <w:t>03011676</w:t>
      </w:r>
      <w:r>
        <w:rPr>
          <w:rFonts w:ascii="Calibri" w:hAnsi="Calibri" w:cs="Calibri" w:eastAsia="Calibri" w:hint="default"/>
          <w:spacing w:val="19"/>
        </w:rPr>
        <w:t> </w:t>
      </w:r>
      <w:r>
        <w:rPr/>
        <w:t>号《内控控制鉴证报告》，认为：东华软件公司管理</w:t>
      </w:r>
    </w:p>
    <w:p>
      <w:pPr>
        <w:pStyle w:val="BodyText"/>
        <w:spacing w:line="297" w:lineRule="exact"/>
        <w:ind w:right="1557"/>
        <w:jc w:val="left"/>
      </w:pPr>
      <w:r>
        <w:rPr/>
        <w:t>层按照内部控制有效性认定的标准于</w:t>
      </w:r>
      <w:r>
        <w:rPr>
          <w:spacing w:val="-68"/>
        </w:rPr>
        <w:t> </w:t>
      </w:r>
      <w:r>
        <w:rPr>
          <w:rFonts w:ascii="宋体" w:hAnsi="宋体" w:cs="宋体" w:eastAsia="宋体" w:hint="default"/>
        </w:rPr>
        <w:t>2011</w:t>
      </w:r>
      <w:r>
        <w:rPr>
          <w:rFonts w:ascii="宋体" w:hAnsi="宋体" w:cs="宋体" w:eastAsia="宋体" w:hint="default"/>
          <w:spacing w:val="-68"/>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t>在所有重大方面保持了与财务报</w:t>
      </w:r>
    </w:p>
    <w:p>
      <w:pPr>
        <w:pStyle w:val="BodyText"/>
        <w:spacing w:line="326" w:lineRule="auto" w:before="151"/>
        <w:ind w:right="1628"/>
        <w:jc w:val="left"/>
      </w:pPr>
      <w:r>
        <w:rPr/>
        <w:t>表相关的有效的内部控制。《内部控制鉴证报告》全文详见</w:t>
      </w:r>
      <w:r>
        <w:rPr>
          <w:spacing w:val="-51"/>
        </w:rPr>
        <w:t> </w:t>
      </w:r>
      <w:r>
        <w:rPr>
          <w:rFonts w:ascii="Calibri" w:hAnsi="Calibri" w:cs="Calibri" w:eastAsia="Calibri" w:hint="default"/>
        </w:rPr>
        <w:t>2012</w:t>
      </w:r>
      <w:r>
        <w:rPr>
          <w:rFonts w:ascii="Calibri" w:hAnsi="Calibri" w:cs="Calibri" w:eastAsia="Calibri" w:hint="default"/>
          <w:spacing w:val="16"/>
        </w:rPr>
        <w:t> </w:t>
      </w:r>
      <w:r>
        <w:rPr/>
        <w:t>年</w:t>
      </w:r>
      <w:r>
        <w:rPr>
          <w:spacing w:val="-53"/>
        </w:rPr>
        <w:t> </w:t>
      </w:r>
      <w:r>
        <w:rPr>
          <w:rFonts w:ascii="Calibri" w:hAnsi="Calibri" w:cs="Calibri" w:eastAsia="Calibri" w:hint="default"/>
        </w:rPr>
        <w:t>4</w:t>
      </w:r>
      <w:r>
        <w:rPr>
          <w:rFonts w:ascii="Calibri" w:hAnsi="Calibri" w:cs="Calibri" w:eastAsia="Calibri" w:hint="default"/>
          <w:spacing w:val="16"/>
        </w:rPr>
        <w:t> </w:t>
      </w:r>
      <w:r>
        <w:rPr/>
        <w:t>月</w:t>
      </w:r>
      <w:r>
        <w:rPr>
          <w:spacing w:val="-51"/>
        </w:rPr>
        <w:t> </w:t>
      </w:r>
      <w:r>
        <w:rPr>
          <w:rFonts w:ascii="Calibri" w:hAnsi="Calibri" w:cs="Calibri" w:eastAsia="Calibri" w:hint="default"/>
        </w:rPr>
        <w:t>26</w:t>
      </w:r>
      <w:r>
        <w:rPr>
          <w:rFonts w:ascii="Calibri" w:hAnsi="Calibri" w:cs="Calibri" w:eastAsia="Calibri" w:hint="default"/>
          <w:spacing w:val="16"/>
        </w:rPr>
        <w:t> </w:t>
      </w:r>
      <w:r>
        <w:rPr/>
        <w:t>日巨潮资 讯网</w:t>
      </w:r>
      <w:r>
        <w:rPr>
          <w:spacing w:val="-9"/>
        </w:rPr>
        <w:t> </w:t>
      </w:r>
      <w:r>
        <w:rPr/>
        <w:t>（</w:t>
      </w:r>
      <w:hyperlink r:id="rId17">
        <w:r>
          <w:rPr>
            <w:rFonts w:ascii="Calibri" w:hAnsi="Calibri" w:cs="Calibri" w:eastAsia="Calibri" w:hint="default"/>
          </w:rPr>
          <w:t>www.cninfo.com.cn</w:t>
        </w:r>
      </w:hyperlink>
      <w:r>
        <w:rPr/>
        <w:t>）。</w:t>
      </w:r>
    </w:p>
    <w:p>
      <w:pPr>
        <w:spacing w:line="240" w:lineRule="auto" w:before="10"/>
        <w:rPr>
          <w:rFonts w:ascii="宋体" w:hAnsi="宋体" w:cs="宋体" w:eastAsia="宋体" w:hint="default"/>
          <w:sz w:val="23"/>
          <w:szCs w:val="23"/>
        </w:rPr>
      </w:pPr>
    </w:p>
    <w:p>
      <w:pPr>
        <w:pStyle w:val="Heading3"/>
        <w:spacing w:line="240" w:lineRule="auto"/>
        <w:ind w:right="1697"/>
        <w:jc w:val="left"/>
        <w:rPr>
          <w:b w:val="0"/>
          <w:bCs w:val="0"/>
        </w:rPr>
      </w:pPr>
      <w:r>
        <w:rPr/>
        <w:t>（五）董事会对于内部控制责任的声明</w:t>
      </w:r>
      <w:r>
        <w:rPr>
          <w:b w:val="0"/>
          <w:bCs w:val="0"/>
        </w:rPr>
      </w:r>
    </w:p>
    <w:p>
      <w:pPr>
        <w:pStyle w:val="BodyText"/>
        <w:spacing w:line="357" w:lineRule="auto" w:before="124"/>
        <w:ind w:right="1712" w:firstLine="470"/>
        <w:jc w:val="both"/>
      </w:pPr>
      <w:r>
        <w:rPr/>
        <w:t>经过认真核查，董事会对公司内部控制责任发表声明：公司现有的内部控制制度 符合我国有关法律法规以及监管部门有关上市公司治理规范性文件，且符合公司的实 际情况，能够有效防范和控制公司内部的经营风险，保证公司各项业务的有序开展。 在公司经营管理的各个过程、各个关键环节，各项制度均能够得到有效执行，在重大 投资、对外担保、购买与出售资产、关联交易、募集资金使用、信息披露事务等重点 控制事项方面不存在重大缺陷。公司在规范</w:t>
      </w:r>
      <w:r>
        <w:rPr>
          <w:rFonts w:ascii="Calibri" w:hAnsi="Calibri" w:cs="Calibri" w:eastAsia="Calibri" w:hint="default"/>
        </w:rPr>
        <w:t>“</w:t>
      </w:r>
      <w:r>
        <w:rPr/>
        <w:t>三会</w:t>
      </w:r>
      <w:r>
        <w:rPr>
          <w:rFonts w:ascii="Calibri" w:hAnsi="Calibri" w:cs="Calibri" w:eastAsia="Calibri" w:hint="default"/>
        </w:rPr>
        <w:t>”</w:t>
      </w:r>
      <w:r>
        <w:rPr/>
        <w:t>运作、建立健全内部控制制度、提</w:t>
      </w:r>
    </w:p>
    <w:p>
      <w:pPr>
        <w:pStyle w:val="BodyText"/>
        <w:spacing w:line="291" w:lineRule="exact"/>
        <w:ind w:right="1557"/>
        <w:jc w:val="left"/>
      </w:pPr>
      <w:r>
        <w:rPr/>
        <w:t>高执行力方面，提高信息披露质量，发挥独立董事和四个专门委员会作用等方面取得</w:t>
      </w:r>
    </w:p>
    <w:p>
      <w:pPr>
        <w:pStyle w:val="BodyText"/>
        <w:spacing w:line="355" w:lineRule="auto" w:before="154"/>
        <w:ind w:right="1696"/>
        <w:jc w:val="left"/>
      </w:pPr>
      <w:r>
        <w:rPr/>
        <w:t>了显著的成效，健全了公司治理结构和各项制度，使公司的治理水平得到了进一步的 提高。</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2"/>
        <w:spacing w:line="240" w:lineRule="auto"/>
        <w:ind w:right="1697"/>
        <w:jc w:val="left"/>
        <w:rPr>
          <w:b w:val="0"/>
          <w:bCs w:val="0"/>
        </w:rPr>
      </w:pPr>
      <w:r>
        <w:rPr/>
        <w:t>三、财务报告内部控制的依据</w:t>
      </w:r>
      <w:r>
        <w:rPr>
          <w:b w:val="0"/>
          <w:bCs w:val="0"/>
        </w:rPr>
      </w:r>
    </w:p>
    <w:p>
      <w:pPr>
        <w:pStyle w:val="BodyText"/>
        <w:spacing w:line="357" w:lineRule="auto" w:before="119"/>
        <w:ind w:right="1713" w:firstLine="479"/>
        <w:jc w:val="both"/>
      </w:pPr>
      <w:r>
        <w:rPr/>
        <w:t>公司以《会计法》、《企业会计准则》、《企业内部控制基本规范》以及监管部 门的相关规范性文件为依据，建立了财务报告内部控制，本年度的财务报告内部控制 不存在重大缺陷。</w:t>
      </w:r>
    </w:p>
    <w:p>
      <w:pPr>
        <w:spacing w:after="0" w:line="357" w:lineRule="auto"/>
        <w:jc w:val="both"/>
        <w:sectPr>
          <w:pgSz w:w="12240" w:h="15840"/>
          <w:pgMar w:header="847" w:footer="987" w:top="1360" w:bottom="1180" w:left="1500" w:right="0"/>
        </w:sectPr>
      </w:pPr>
    </w:p>
    <w:p>
      <w:pPr>
        <w:spacing w:line="240" w:lineRule="auto" w:before="4"/>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2"/>
        <w:spacing w:line="240" w:lineRule="auto"/>
        <w:ind w:left="224" w:right="1575"/>
        <w:jc w:val="left"/>
        <w:rPr>
          <w:b w:val="0"/>
          <w:bCs w:val="0"/>
        </w:rPr>
      </w:pPr>
      <w:r>
        <w:rPr/>
        <w:t>四、年度报告披露重大差错责任追究制度的建立与执行情况</w:t>
      </w:r>
      <w:r>
        <w:rPr>
          <w:b w:val="0"/>
          <w:bCs w:val="0"/>
        </w:rPr>
      </w:r>
    </w:p>
    <w:p>
      <w:pPr>
        <w:pStyle w:val="BodyText"/>
        <w:spacing w:line="357" w:lineRule="auto" w:before="119"/>
        <w:ind w:left="224" w:right="1697" w:firstLine="479"/>
        <w:jc w:val="left"/>
      </w:pPr>
      <w:r>
        <w:rPr/>
        <w:t>公司已建立《年报披露重大差错责任追究制度》。报告期内未发生重大会计差错 更正、重大遗漏信息补充以及业绩预告修正等情况。</w:t>
      </w:r>
    </w:p>
    <w:p>
      <w:pPr>
        <w:spacing w:line="240" w:lineRule="auto" w:before="0"/>
        <w:rPr>
          <w:rFonts w:ascii="宋体" w:hAnsi="宋体" w:cs="宋体" w:eastAsia="宋体" w:hint="default"/>
          <w:sz w:val="24"/>
          <w:szCs w:val="24"/>
        </w:rPr>
      </w:pPr>
    </w:p>
    <w:p>
      <w:pPr>
        <w:pStyle w:val="Heading1"/>
        <w:spacing w:line="240" w:lineRule="auto" w:before="188"/>
        <w:ind w:left="2853" w:right="1575"/>
        <w:jc w:val="left"/>
        <w:rPr>
          <w:b w:val="0"/>
          <w:bCs w:val="0"/>
        </w:rPr>
      </w:pPr>
      <w:bookmarkStart w:name="_TOC_250005" w:id="8"/>
      <w:r>
        <w:rPr/>
        <w:t>第八节</w:t>
      </w:r>
      <w:r>
        <w:rPr>
          <w:spacing w:val="-6"/>
        </w:rPr>
        <w:t> </w:t>
      </w:r>
      <w:r>
        <w:rPr/>
        <w:t>股东大会情况简介</w:t>
      </w:r>
      <w:bookmarkEnd w:id="8"/>
      <w:r>
        <w:rPr>
          <w:b w:val="0"/>
          <w:bCs w:val="0"/>
        </w:rPr>
      </w:r>
    </w:p>
    <w:p>
      <w:pPr>
        <w:spacing w:line="240" w:lineRule="auto" w:before="2"/>
        <w:rPr>
          <w:rFonts w:ascii="黑体" w:hAnsi="黑体" w:cs="黑体" w:eastAsia="黑体" w:hint="default"/>
          <w:b/>
          <w:bCs/>
          <w:sz w:val="28"/>
          <w:szCs w:val="28"/>
        </w:rPr>
      </w:pPr>
    </w:p>
    <w:p>
      <w:pPr>
        <w:pStyle w:val="BodyText"/>
        <w:spacing w:line="326" w:lineRule="auto"/>
        <w:ind w:left="224" w:right="1630" w:firstLine="479"/>
        <w:jc w:val="left"/>
      </w:pPr>
      <w:r>
        <w:rPr/>
        <w:t>报告期内，公司共召开了</w:t>
      </w:r>
      <w:r>
        <w:rPr>
          <w:spacing w:val="-61"/>
        </w:rPr>
        <w:t> </w:t>
      </w:r>
      <w:r>
        <w:rPr>
          <w:rFonts w:ascii="Calibri" w:hAnsi="Calibri" w:cs="Calibri" w:eastAsia="Calibri" w:hint="default"/>
        </w:rPr>
        <w:t>2</w:t>
      </w:r>
      <w:r>
        <w:rPr>
          <w:rFonts w:ascii="Calibri" w:hAnsi="Calibri" w:cs="Calibri" w:eastAsia="Calibri" w:hint="default"/>
          <w:spacing w:val="5"/>
        </w:rPr>
        <w:t> </w:t>
      </w:r>
      <w:r>
        <w:rPr/>
        <w:t>次股东大会：</w:t>
      </w:r>
      <w:r>
        <w:rPr>
          <w:spacing w:val="-4"/>
        </w:rPr>
        <w:t> </w:t>
      </w:r>
      <w:r>
        <w:rPr>
          <w:rFonts w:ascii="Calibri" w:hAnsi="Calibri" w:cs="Calibri" w:eastAsia="Calibri" w:hint="default"/>
        </w:rPr>
        <w:t>2010</w:t>
      </w:r>
      <w:r>
        <w:rPr>
          <w:rFonts w:ascii="Calibri" w:hAnsi="Calibri" w:cs="Calibri" w:eastAsia="Calibri" w:hint="default"/>
          <w:spacing w:val="5"/>
        </w:rPr>
        <w:t> </w:t>
      </w:r>
      <w:r>
        <w:rPr/>
        <w:t>年度股东大会和</w:t>
      </w:r>
      <w:r>
        <w:rPr>
          <w:spacing w:val="-61"/>
        </w:rPr>
        <w:t> </w:t>
      </w:r>
      <w:r>
        <w:rPr>
          <w:rFonts w:ascii="Calibri" w:hAnsi="Calibri" w:cs="Calibri" w:eastAsia="Calibri" w:hint="default"/>
        </w:rPr>
        <w:t>2011</w:t>
      </w:r>
      <w:r>
        <w:rPr>
          <w:rFonts w:ascii="Calibri" w:hAnsi="Calibri" w:cs="Calibri" w:eastAsia="Calibri" w:hint="default"/>
          <w:spacing w:val="5"/>
        </w:rPr>
        <w:t> </w:t>
      </w:r>
      <w:r>
        <w:rPr/>
        <w:t>年第一次临 时股东大会。股东大会的召集程序、召开程序、出席会议人员资格及表决程序均符合</w:t>
      </w:r>
    </w:p>
    <w:p>
      <w:pPr>
        <w:pStyle w:val="BodyText"/>
        <w:spacing w:line="355" w:lineRule="auto" w:before="68"/>
        <w:ind w:left="224" w:right="1696"/>
        <w:jc w:val="left"/>
      </w:pPr>
      <w:r>
        <w:rPr/>
        <w:t>《公司法》、《上市公司股东大会规则》等法律、法规、规范性文件和《公司章程》 的规定。具体如下：</w:t>
      </w:r>
    </w:p>
    <w:p>
      <w:pPr>
        <w:spacing w:line="240" w:lineRule="auto" w:before="3"/>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039"/>
        <w:gridCol w:w="1198"/>
        <w:gridCol w:w="3824"/>
        <w:gridCol w:w="855"/>
        <w:gridCol w:w="2254"/>
      </w:tblGrid>
      <w:tr>
        <w:trPr>
          <w:trHeight w:val="826" w:hRule="exact"/>
        </w:trPr>
        <w:tc>
          <w:tcPr>
            <w:tcW w:w="1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会议</w:t>
            </w:r>
          </w:p>
          <w:p>
            <w:pPr>
              <w:pStyle w:val="TableParagraph"/>
              <w:spacing w:line="240" w:lineRule="auto" w:before="133"/>
              <w:ind w:left="304" w:right="0"/>
              <w:jc w:val="left"/>
              <w:rPr>
                <w:rFonts w:ascii="宋体" w:hAnsi="宋体" w:cs="宋体" w:eastAsia="宋体" w:hint="default"/>
                <w:sz w:val="21"/>
                <w:szCs w:val="21"/>
              </w:rPr>
            </w:pPr>
            <w:r>
              <w:rPr>
                <w:rFonts w:ascii="宋体" w:hAnsi="宋体" w:cs="宋体" w:eastAsia="宋体" w:hint="default"/>
                <w:sz w:val="21"/>
                <w:szCs w:val="21"/>
              </w:rPr>
              <w:t>届次</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1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议案名称</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决议</w:t>
            </w:r>
          </w:p>
          <w:p>
            <w:pPr>
              <w:pStyle w:val="TableParagraph"/>
              <w:spacing w:line="240" w:lineRule="auto" w:before="133"/>
              <w:ind w:left="211"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会议决议刊登的信息</w:t>
            </w:r>
          </w:p>
          <w:p>
            <w:pPr>
              <w:pStyle w:val="TableParagraph"/>
              <w:spacing w:line="240" w:lineRule="auto" w:before="133"/>
              <w:ind w:left="175" w:right="0"/>
              <w:jc w:val="left"/>
              <w:rPr>
                <w:rFonts w:ascii="宋体" w:hAnsi="宋体" w:cs="宋体" w:eastAsia="宋体" w:hint="default"/>
                <w:sz w:val="21"/>
                <w:szCs w:val="21"/>
              </w:rPr>
            </w:pPr>
            <w:r>
              <w:rPr>
                <w:rFonts w:ascii="宋体" w:hAnsi="宋体" w:cs="宋体" w:eastAsia="宋体" w:hint="default"/>
                <w:sz w:val="21"/>
                <w:szCs w:val="21"/>
              </w:rPr>
              <w:t>披露载体及披露日期</w:t>
            </w:r>
          </w:p>
        </w:tc>
      </w:tr>
      <w:tr>
        <w:trPr>
          <w:trHeight w:val="246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宋体" w:hAnsi="宋体" w:cs="宋体" w:eastAsia="宋体" w:hint="default"/>
                <w:sz w:val="21"/>
                <w:szCs w:val="21"/>
              </w:rPr>
              <w:t>年</w:t>
            </w:r>
          </w:p>
          <w:p>
            <w:pPr>
              <w:pStyle w:val="TableParagraph"/>
              <w:spacing w:line="355" w:lineRule="auto" w:before="108"/>
              <w:ind w:left="103" w:right="290"/>
              <w:jc w:val="left"/>
              <w:rPr>
                <w:rFonts w:ascii="宋体" w:hAnsi="宋体" w:cs="宋体" w:eastAsia="宋体" w:hint="default"/>
                <w:sz w:val="21"/>
                <w:szCs w:val="21"/>
              </w:rPr>
            </w:pPr>
            <w:r>
              <w:rPr>
                <w:rFonts w:ascii="宋体" w:hAnsi="宋体" w:cs="宋体" w:eastAsia="宋体" w:hint="default"/>
                <w:sz w:val="21"/>
                <w:szCs w:val="21"/>
              </w:rPr>
              <w:t>度股东</w:t>
            </w:r>
            <w:r>
              <w:rPr>
                <w:rFonts w:ascii="宋体" w:hAnsi="宋体" w:cs="宋体" w:eastAsia="宋体" w:hint="default"/>
                <w:spacing w:val="-102"/>
                <w:sz w:val="21"/>
                <w:szCs w:val="21"/>
              </w:rPr>
              <w:t> </w:t>
            </w:r>
            <w:r>
              <w:rPr>
                <w:rFonts w:ascii="宋体" w:hAnsi="宋体" w:cs="宋体" w:eastAsia="宋体" w:hint="default"/>
                <w:sz w:val="21"/>
                <w:szCs w:val="21"/>
              </w:rPr>
              <w:t>大会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2011-5-18</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年度董事会工作报告》、</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年度监事会工作报告》、</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年度报告及年度报告摘要》、</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年度财务决算报告》、</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年度利润分配预案》、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《关于聘任</w:t>
            </w:r>
            <w:r>
              <w:rPr>
                <w:rFonts w:ascii="宋体" w:hAnsi="宋体" w:cs="宋体" w:eastAsia="宋体" w:hint="default"/>
                <w:sz w:val="21"/>
                <w:szCs w:val="21"/>
              </w:rPr>
              <w:t>2011</w:t>
            </w:r>
            <w:r>
              <w:rPr>
                <w:rFonts w:ascii="宋体" w:hAnsi="宋体" w:cs="宋体" w:eastAsia="宋体" w:hint="default"/>
                <w:sz w:val="21"/>
                <w:szCs w:val="21"/>
              </w:rPr>
              <w:t>年度审计机构的议案》</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5"/>
              <w:jc w:val="left"/>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5</w:t>
            </w:r>
            <w:r>
              <w:rPr>
                <w:rFonts w:ascii="宋体" w:hAnsi="宋体" w:cs="宋体" w:eastAsia="宋体" w:hint="default"/>
                <w:sz w:val="21"/>
                <w:szCs w:val="21"/>
              </w:rPr>
              <w:t>月</w:t>
            </w:r>
            <w:r>
              <w:rPr>
                <w:rFonts w:ascii="Calibri" w:hAnsi="Calibri" w:cs="Calibri" w:eastAsia="Calibri" w:hint="default"/>
                <w:sz w:val="21"/>
                <w:szCs w:val="21"/>
              </w:rPr>
              <w:t>19</w:t>
            </w:r>
            <w:r>
              <w:rPr>
                <w:rFonts w:ascii="宋体" w:hAnsi="宋体" w:cs="宋体" w:eastAsia="宋体" w:hint="default"/>
                <w:sz w:val="21"/>
                <w:szCs w:val="21"/>
              </w:rPr>
              <w:t>日《中国</w:t>
            </w:r>
          </w:p>
          <w:p>
            <w:pPr>
              <w:pStyle w:val="TableParagraph"/>
              <w:spacing w:line="355" w:lineRule="auto" w:before="108"/>
              <w:ind w:left="103" w:right="-5"/>
              <w:jc w:val="left"/>
              <w:rPr>
                <w:rFonts w:ascii="宋体" w:hAnsi="宋体" w:cs="宋体" w:eastAsia="宋体" w:hint="default"/>
                <w:sz w:val="21"/>
                <w:szCs w:val="21"/>
              </w:rPr>
            </w:pPr>
            <w:r>
              <w:rPr>
                <w:rFonts w:ascii="宋体" w:hAnsi="宋体" w:cs="宋体" w:eastAsia="宋体" w:hint="default"/>
                <w:spacing w:val="-33"/>
                <w:w w:val="100"/>
                <w:sz w:val="21"/>
                <w:szCs w:val="21"/>
              </w:rPr>
              <w:t>证券报》、《证券时报》、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巨潮资讯网</w:t>
            </w:r>
          </w:p>
        </w:tc>
      </w:tr>
      <w:tr>
        <w:trPr>
          <w:trHeight w:val="1644"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both"/>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p>
          <w:p>
            <w:pPr>
              <w:pStyle w:val="TableParagraph"/>
              <w:spacing w:line="355" w:lineRule="auto" w:before="106"/>
              <w:ind w:left="103" w:right="290"/>
              <w:jc w:val="both"/>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临时股</w:t>
            </w:r>
            <w:r>
              <w:rPr>
                <w:rFonts w:ascii="宋体" w:hAnsi="宋体" w:cs="宋体" w:eastAsia="宋体" w:hint="default"/>
                <w:spacing w:val="-102"/>
                <w:sz w:val="21"/>
                <w:szCs w:val="21"/>
              </w:rPr>
              <w:t> </w:t>
            </w:r>
            <w:r>
              <w:rPr>
                <w:rFonts w:ascii="宋体" w:hAnsi="宋体" w:cs="宋体" w:eastAsia="宋体" w:hint="default"/>
                <w:sz w:val="21"/>
                <w:szCs w:val="21"/>
              </w:rPr>
              <w:t>东大会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2011-11-21</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《关于修改公司章程的议案》、</w:t>
            </w:r>
          </w:p>
          <w:p>
            <w:pPr>
              <w:pStyle w:val="TableParagraph"/>
              <w:spacing w:line="240" w:lineRule="auto" w:before="133"/>
              <w:ind w:left="103" w:right="-8"/>
              <w:jc w:val="left"/>
              <w:rPr>
                <w:rFonts w:ascii="宋体" w:hAnsi="宋体" w:cs="宋体" w:eastAsia="宋体" w:hint="default"/>
                <w:sz w:val="21"/>
                <w:szCs w:val="21"/>
              </w:rPr>
            </w:pPr>
            <w:r>
              <w:rPr>
                <w:rFonts w:ascii="宋体" w:hAnsi="宋体" w:cs="宋体" w:eastAsia="宋体" w:hint="default"/>
                <w:spacing w:val="-5"/>
                <w:sz w:val="21"/>
                <w:szCs w:val="21"/>
              </w:rPr>
              <w:t>《关于对全资子公司提供担保的议案》、</w:t>
            </w:r>
          </w:p>
          <w:p>
            <w:pPr>
              <w:pStyle w:val="TableParagraph"/>
              <w:spacing w:line="355" w:lineRule="auto" w:before="133"/>
              <w:ind w:left="103" w:right="134"/>
              <w:jc w:val="left"/>
              <w:rPr>
                <w:rFonts w:ascii="宋体" w:hAnsi="宋体" w:cs="宋体" w:eastAsia="宋体" w:hint="default"/>
                <w:sz w:val="21"/>
                <w:szCs w:val="21"/>
              </w:rPr>
            </w:pPr>
            <w:r>
              <w:rPr>
                <w:rFonts w:ascii="宋体" w:hAnsi="宋体" w:cs="宋体" w:eastAsia="宋体" w:hint="default"/>
                <w:spacing w:val="-2"/>
                <w:sz w:val="21"/>
                <w:szCs w:val="21"/>
              </w:rPr>
              <w:t>《关于选举张守文先生为公司第四届董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事会独立董事的议案》</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5"/>
              <w:jc w:val="left"/>
              <w:rPr>
                <w:rFonts w:ascii="宋体" w:hAnsi="宋体" w:cs="宋体" w:eastAsia="宋体" w:hint="default"/>
                <w:sz w:val="21"/>
                <w:szCs w:val="21"/>
              </w:rPr>
            </w:pPr>
            <w:r>
              <w:rPr>
                <w:rFonts w:ascii="Calibri" w:hAnsi="Calibri" w:cs="Calibri" w:eastAsia="Calibri" w:hint="default"/>
                <w:spacing w:val="-7"/>
                <w:sz w:val="21"/>
                <w:szCs w:val="21"/>
              </w:rPr>
              <w:t>2011</w:t>
            </w:r>
            <w:r>
              <w:rPr>
                <w:rFonts w:ascii="宋体" w:hAnsi="宋体" w:cs="宋体" w:eastAsia="宋体" w:hint="default"/>
                <w:spacing w:val="-7"/>
                <w:sz w:val="21"/>
                <w:szCs w:val="21"/>
              </w:rPr>
              <w:t>年</w:t>
            </w:r>
            <w:r>
              <w:rPr>
                <w:rFonts w:ascii="Calibri" w:hAnsi="Calibri" w:cs="Calibri" w:eastAsia="Calibri" w:hint="default"/>
                <w:spacing w:val="-7"/>
                <w:sz w:val="21"/>
                <w:szCs w:val="21"/>
              </w:rPr>
              <w:t>11</w:t>
            </w:r>
            <w:r>
              <w:rPr>
                <w:rFonts w:ascii="宋体" w:hAnsi="宋体" w:cs="宋体" w:eastAsia="宋体" w:hint="default"/>
                <w:spacing w:val="-7"/>
                <w:sz w:val="21"/>
                <w:szCs w:val="21"/>
              </w:rPr>
              <w:t>月</w:t>
            </w:r>
            <w:r>
              <w:rPr>
                <w:rFonts w:ascii="Calibri" w:hAnsi="Calibri" w:cs="Calibri" w:eastAsia="Calibri" w:hint="default"/>
                <w:spacing w:val="-7"/>
                <w:sz w:val="21"/>
                <w:szCs w:val="21"/>
              </w:rPr>
              <w:t>22</w:t>
            </w:r>
            <w:r>
              <w:rPr>
                <w:rFonts w:ascii="宋体" w:hAnsi="宋体" w:cs="宋体" w:eastAsia="宋体" w:hint="default"/>
                <w:spacing w:val="-7"/>
                <w:sz w:val="21"/>
                <w:szCs w:val="21"/>
              </w:rPr>
              <w:t>日《中国</w:t>
            </w:r>
          </w:p>
          <w:p>
            <w:pPr>
              <w:pStyle w:val="TableParagraph"/>
              <w:spacing w:line="355" w:lineRule="auto" w:before="106"/>
              <w:ind w:left="103" w:right="-5"/>
              <w:jc w:val="left"/>
              <w:rPr>
                <w:rFonts w:ascii="宋体" w:hAnsi="宋体" w:cs="宋体" w:eastAsia="宋体" w:hint="default"/>
                <w:sz w:val="21"/>
                <w:szCs w:val="21"/>
              </w:rPr>
            </w:pPr>
            <w:r>
              <w:rPr>
                <w:rFonts w:ascii="宋体" w:hAnsi="宋体" w:cs="宋体" w:eastAsia="宋体" w:hint="default"/>
                <w:spacing w:val="-33"/>
                <w:w w:val="100"/>
                <w:sz w:val="21"/>
                <w:szCs w:val="21"/>
              </w:rPr>
              <w:t>证券报》、《证券时报》、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pStyle w:val="Heading1"/>
        <w:spacing w:line="240" w:lineRule="auto" w:before="164"/>
        <w:ind w:left="3335" w:right="1575"/>
        <w:jc w:val="left"/>
        <w:rPr>
          <w:b w:val="0"/>
          <w:bCs w:val="0"/>
        </w:rPr>
      </w:pPr>
      <w:bookmarkStart w:name="_TOC_250004" w:id="9"/>
      <w:r>
        <w:rPr/>
        <w:t>第九节</w:t>
      </w:r>
      <w:r>
        <w:rPr>
          <w:spacing w:val="-6"/>
        </w:rPr>
        <w:t> </w:t>
      </w:r>
      <w:r>
        <w:rPr/>
        <w:t>董事会报告</w:t>
      </w:r>
      <w:bookmarkEnd w:id="9"/>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pStyle w:val="Heading2"/>
        <w:spacing w:line="240" w:lineRule="auto" w:before="14"/>
        <w:ind w:left="224" w:right="1575"/>
        <w:jc w:val="left"/>
        <w:rPr>
          <w:b w:val="0"/>
          <w:bCs w:val="0"/>
        </w:rPr>
      </w:pPr>
      <w:r>
        <w:rPr/>
        <w:t>一、公司经营情况</w:t>
      </w:r>
      <w:r>
        <w:rPr>
          <w:b w:val="0"/>
          <w:bCs w:val="0"/>
        </w:rPr>
      </w:r>
    </w:p>
    <w:p>
      <w:pPr>
        <w:spacing w:line="240" w:lineRule="auto" w:before="7"/>
        <w:rPr>
          <w:rFonts w:ascii="黑体" w:hAnsi="黑体" w:cs="黑体" w:eastAsia="黑体" w:hint="default"/>
          <w:b/>
          <w:bCs/>
          <w:sz w:val="22"/>
          <w:szCs w:val="22"/>
        </w:rPr>
      </w:pPr>
    </w:p>
    <w:p>
      <w:pPr>
        <w:pStyle w:val="Heading3"/>
        <w:spacing w:line="240" w:lineRule="auto"/>
        <w:ind w:left="224" w:right="1575"/>
        <w:jc w:val="left"/>
        <w:rPr>
          <w:b w:val="0"/>
          <w:bCs w:val="0"/>
        </w:rPr>
      </w:pPr>
      <w:r>
        <w:rPr/>
        <w:t>（一）报告期内的公司总体经营情况</w:t>
      </w:r>
      <w:r>
        <w:rPr>
          <w:b w:val="0"/>
          <w:bCs w:val="0"/>
        </w:rPr>
      </w:r>
    </w:p>
    <w:p>
      <w:pPr>
        <w:spacing w:line="240" w:lineRule="auto" w:before="10"/>
        <w:rPr>
          <w:rFonts w:ascii="黑体" w:hAnsi="黑体" w:cs="黑体" w:eastAsia="黑体" w:hint="default"/>
          <w:b/>
          <w:bCs/>
          <w:sz w:val="24"/>
          <w:szCs w:val="24"/>
        </w:rPr>
      </w:pPr>
    </w:p>
    <w:p>
      <w:pPr>
        <w:pStyle w:val="Heading4"/>
        <w:spacing w:line="240" w:lineRule="auto"/>
        <w:ind w:left="224" w:right="1575"/>
        <w:jc w:val="left"/>
        <w:rPr>
          <w:b w:val="0"/>
          <w:bCs w:val="0"/>
        </w:rPr>
      </w:pPr>
      <w:r>
        <w:rPr>
          <w:rFonts w:ascii="Calibri" w:hAnsi="Calibri" w:cs="Calibri" w:eastAsia="Calibri" w:hint="default"/>
        </w:rPr>
        <w:t>1</w:t>
      </w:r>
      <w:r>
        <w:rPr/>
        <w:t>、公司总体经营情况</w:t>
      </w:r>
      <w:r>
        <w:rPr>
          <w:b w:val="0"/>
          <w:bCs w:val="0"/>
        </w:rPr>
      </w:r>
    </w:p>
    <w:p>
      <w:pPr>
        <w:spacing w:after="0" w:line="240" w:lineRule="auto"/>
        <w:jc w:val="left"/>
        <w:sectPr>
          <w:pgSz w:w="12240" w:h="15840"/>
          <w:pgMar w:header="847" w:footer="987" w:top="1360" w:bottom="1180" w:left="1420" w:right="0"/>
        </w:sectPr>
      </w:pPr>
    </w:p>
    <w:p>
      <w:pPr>
        <w:pStyle w:val="BodyText"/>
        <w:spacing w:line="240" w:lineRule="auto" w:before="11"/>
        <w:ind w:left="624" w:right="1557"/>
        <w:jc w:val="left"/>
      </w:pPr>
      <w:r>
        <w:rPr/>
        <w:pict>
          <v:group style="position:absolute;margin-left:80.783997pt;margin-top:1.845647pt;width:450.6pt;height:.1pt;mso-position-horizontal-relative:page;mso-position-vertical-relative:paragraph;z-index:-864232"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Calibri" w:hAnsi="Calibri" w:cs="Calibri" w:eastAsia="Calibri" w:hint="default"/>
        </w:rPr>
        <w:t>2011</w:t>
      </w:r>
      <w:r>
        <w:rPr>
          <w:rFonts w:ascii="Calibri" w:hAnsi="Calibri" w:cs="Calibri" w:eastAsia="Calibri" w:hint="default"/>
          <w:spacing w:val="6"/>
        </w:rPr>
        <w:t> </w:t>
      </w:r>
      <w:r>
        <w:rPr/>
        <w:t>年以来，在国家</w:t>
      </w:r>
      <w:r>
        <w:rPr>
          <w:spacing w:val="-62"/>
        </w:rPr>
        <w:t> </w:t>
      </w:r>
      <w:r>
        <w:rPr>
          <w:rFonts w:ascii="Calibri" w:hAnsi="Calibri" w:cs="Calibri" w:eastAsia="Calibri" w:hint="default"/>
        </w:rPr>
        <w:t>4</w:t>
      </w:r>
      <w:r>
        <w:rPr>
          <w:rFonts w:ascii="Calibri" w:hAnsi="Calibri" w:cs="Calibri" w:eastAsia="Calibri" w:hint="default"/>
          <w:spacing w:val="6"/>
        </w:rPr>
        <w:t> </w:t>
      </w:r>
      <w:r>
        <w:rPr/>
        <w:t>号文等产业扶持政策的推动下，我国软件产业步入新的快</w:t>
      </w:r>
    </w:p>
    <w:p>
      <w:pPr>
        <w:pStyle w:val="BodyText"/>
        <w:spacing w:line="348" w:lineRule="auto" w:before="121"/>
        <w:ind w:right="1647"/>
        <w:jc w:val="both"/>
      </w:pPr>
      <w:r>
        <w:rPr/>
        <w:t>速发展阶段，产业规模超过</w:t>
      </w:r>
      <w:r>
        <w:rPr>
          <w:spacing w:val="-61"/>
        </w:rPr>
        <w:t> </w:t>
      </w:r>
      <w:r>
        <w:rPr>
          <w:rFonts w:ascii="Calibri" w:hAnsi="Calibri" w:cs="Calibri" w:eastAsia="Calibri" w:hint="default"/>
        </w:rPr>
        <w:t>1.84</w:t>
      </w:r>
      <w:r>
        <w:rPr>
          <w:rFonts w:ascii="Calibri" w:hAnsi="Calibri" w:cs="Calibri" w:eastAsia="Calibri" w:hint="default"/>
          <w:spacing w:val="5"/>
        </w:rPr>
        <w:t> </w:t>
      </w:r>
      <w:r>
        <w:rPr/>
        <w:t>万亿元，新兴信息技术服务增势突出。报告期内，公 司继续执行内生式成长与外延式发展并举的战略。一方面坚持自主创新、自主研发， 不断提高产品质量、服务水平，提升业务竞争力；另一方面通过并购公司原有业务能 产生协同效应的同行业公司，完善公司的产品线，拓展服务领域。在此努力下，公司 业务继续保持稳定的发展，业绩持续增长。</w:t>
      </w:r>
    </w:p>
    <w:p>
      <w:pPr>
        <w:pStyle w:val="BodyText"/>
        <w:spacing w:line="240" w:lineRule="auto" w:before="166"/>
        <w:ind w:left="624" w:right="1697"/>
        <w:jc w:val="left"/>
      </w:pPr>
      <w:r>
        <w:rPr/>
        <w:t>（</w:t>
      </w:r>
      <w:r>
        <w:rPr>
          <w:rFonts w:ascii="Calibri" w:hAnsi="Calibri" w:cs="Calibri" w:eastAsia="Calibri" w:hint="default"/>
        </w:rPr>
        <w:t>1</w:t>
      </w:r>
      <w:r>
        <w:rPr/>
        <w:t>）主要生产经营及市场拓展情况</w:t>
      </w:r>
    </w:p>
    <w:p>
      <w:pPr>
        <w:spacing w:line="240" w:lineRule="auto" w:before="8"/>
        <w:rPr>
          <w:rFonts w:ascii="宋体" w:hAnsi="宋体" w:cs="宋体" w:eastAsia="宋体" w:hint="default"/>
          <w:sz w:val="18"/>
          <w:szCs w:val="18"/>
        </w:rPr>
      </w:pPr>
    </w:p>
    <w:p>
      <w:pPr>
        <w:pStyle w:val="BodyText"/>
        <w:spacing w:line="324" w:lineRule="auto"/>
        <w:ind w:right="1637" w:firstLine="479"/>
        <w:jc w:val="both"/>
      </w:pPr>
      <w:r>
        <w:rPr>
          <w:spacing w:val="-5"/>
        </w:rPr>
        <w:t>报告期内，公司实现营业收入</w:t>
      </w:r>
      <w:r>
        <w:rPr>
          <w:spacing w:val="-57"/>
        </w:rPr>
        <w:t> </w:t>
      </w:r>
      <w:r>
        <w:rPr>
          <w:rFonts w:ascii="Calibri" w:hAnsi="Calibri" w:cs="Calibri" w:eastAsia="Calibri" w:hint="default"/>
        </w:rPr>
        <w:t>25.86</w:t>
      </w:r>
      <w:r>
        <w:rPr>
          <w:rFonts w:ascii="Calibri" w:hAnsi="Calibri" w:cs="Calibri" w:eastAsia="Calibri" w:hint="default"/>
          <w:spacing w:val="10"/>
        </w:rPr>
        <w:t> </w:t>
      </w:r>
      <w:r>
        <w:rPr>
          <w:spacing w:val="-7"/>
        </w:rPr>
        <w:t>亿元，比上年同期增长</w:t>
      </w:r>
      <w:r>
        <w:rPr>
          <w:spacing w:val="-57"/>
        </w:rPr>
        <w:t> </w:t>
      </w:r>
      <w:r>
        <w:rPr>
          <w:rFonts w:ascii="Calibri" w:hAnsi="Calibri" w:cs="Calibri" w:eastAsia="Calibri" w:hint="default"/>
          <w:spacing w:val="-6"/>
        </w:rPr>
        <w:t>38.30%</w:t>
      </w:r>
      <w:r>
        <w:rPr>
          <w:spacing w:val="-6"/>
        </w:rPr>
        <w:t>；营业利润</w:t>
      </w:r>
      <w:r>
        <w:rPr>
          <w:spacing w:val="-57"/>
        </w:rPr>
        <w:t> </w:t>
      </w:r>
      <w:r>
        <w:rPr>
          <w:rFonts w:ascii="Calibri" w:hAnsi="Calibri" w:cs="Calibri" w:eastAsia="Calibri" w:hint="default"/>
        </w:rPr>
        <w:t>4.44 </w:t>
      </w:r>
      <w:r>
        <w:rPr>
          <w:spacing w:val="-3"/>
        </w:rPr>
        <w:t>亿元，比上年同期增长</w:t>
      </w:r>
      <w:r>
        <w:rPr>
          <w:spacing w:val="-55"/>
        </w:rPr>
        <w:t> </w:t>
      </w:r>
      <w:r>
        <w:rPr>
          <w:rFonts w:ascii="Calibri" w:hAnsi="Calibri" w:cs="Calibri" w:eastAsia="Calibri" w:hint="default"/>
          <w:spacing w:val="-3"/>
        </w:rPr>
        <w:t>36.02%</w:t>
      </w:r>
      <w:r>
        <w:rPr>
          <w:spacing w:val="-3"/>
        </w:rPr>
        <w:t>；利润总额</w:t>
      </w:r>
      <w:r>
        <w:rPr>
          <w:spacing w:val="-57"/>
        </w:rPr>
        <w:t> </w:t>
      </w:r>
      <w:r>
        <w:rPr>
          <w:rFonts w:ascii="Calibri" w:hAnsi="Calibri" w:cs="Calibri" w:eastAsia="Calibri" w:hint="default"/>
        </w:rPr>
        <w:t>4.61</w:t>
      </w:r>
      <w:r>
        <w:rPr>
          <w:rFonts w:ascii="Calibri" w:hAnsi="Calibri" w:cs="Calibri" w:eastAsia="Calibri" w:hint="default"/>
          <w:spacing w:val="7"/>
        </w:rPr>
        <w:t> </w:t>
      </w:r>
      <w:r>
        <w:rPr>
          <w:spacing w:val="-3"/>
        </w:rPr>
        <w:t>亿元，比上年同期增长</w:t>
      </w:r>
      <w:r>
        <w:rPr>
          <w:spacing w:val="-54"/>
        </w:rPr>
        <w:t> </w:t>
      </w:r>
      <w:r>
        <w:rPr>
          <w:rFonts w:ascii="Calibri" w:hAnsi="Calibri" w:cs="Calibri" w:eastAsia="Calibri" w:hint="default"/>
          <w:spacing w:val="-4"/>
        </w:rPr>
        <w:t>33.12%</w:t>
      </w:r>
      <w:r>
        <w:rPr>
          <w:spacing w:val="-4"/>
        </w:rPr>
        <w:t>；归属于</w:t>
      </w:r>
      <w:r>
        <w:rPr/>
        <w:t> 上市公司股东的净利润</w:t>
      </w:r>
      <w:r>
        <w:rPr>
          <w:spacing w:val="-62"/>
        </w:rPr>
        <w:t> </w:t>
      </w:r>
      <w:r>
        <w:rPr>
          <w:rFonts w:ascii="Calibri" w:hAnsi="Calibri" w:cs="Calibri" w:eastAsia="Calibri" w:hint="default"/>
        </w:rPr>
        <w:t>4.21</w:t>
      </w:r>
      <w:r>
        <w:rPr>
          <w:rFonts w:ascii="Calibri" w:hAnsi="Calibri" w:cs="Calibri" w:eastAsia="Calibri" w:hint="default"/>
          <w:spacing w:val="4"/>
        </w:rPr>
        <w:t> </w:t>
      </w:r>
      <w:r>
        <w:rPr/>
        <w:t>亿元，比上年同期增长</w:t>
      </w:r>
      <w:r>
        <w:rPr>
          <w:spacing w:val="-62"/>
        </w:rPr>
        <w:t> </w:t>
      </w:r>
      <w:r>
        <w:rPr>
          <w:rFonts w:ascii="Calibri" w:hAnsi="Calibri" w:cs="Calibri" w:eastAsia="Calibri" w:hint="default"/>
        </w:rPr>
        <w:t>32.65%</w:t>
      </w:r>
      <w:r>
        <w:rPr/>
        <w:t>。</w:t>
      </w:r>
    </w:p>
    <w:p>
      <w:pPr>
        <w:pStyle w:val="BodyText"/>
        <w:spacing w:line="357" w:lineRule="auto" w:before="138"/>
        <w:ind w:right="1713" w:firstLine="479"/>
        <w:jc w:val="both"/>
      </w:pPr>
      <w:r>
        <w:rPr/>
        <w:t>报告期内，公司收购了北京神州新桥科技有限公司。此外，还在辽宁省沈阳市设 立了沈阳东华合创科技有限公司，在江西省南昌市设立了南昌东华软件有限公司，在 陕西省西安市设立了西安东华软件有限公司，在山西省太原市设立了山西东华软件有 限公司，拓展周围地区的业务工作。</w:t>
      </w:r>
    </w:p>
    <w:p>
      <w:pPr>
        <w:pStyle w:val="BodyText"/>
        <w:spacing w:line="240" w:lineRule="auto" w:before="154"/>
        <w:ind w:left="624" w:right="1557"/>
        <w:jc w:val="left"/>
        <w:rPr>
          <w:rFonts w:ascii="Calibri" w:hAnsi="Calibri" w:cs="Calibri" w:eastAsia="Calibri" w:hint="default"/>
        </w:rPr>
      </w:pPr>
      <w:r>
        <w:rPr>
          <w:rFonts w:ascii="Calibri" w:hAnsi="Calibri" w:cs="Calibri" w:eastAsia="Calibri" w:hint="default"/>
        </w:rPr>
        <w:t>2011</w:t>
      </w:r>
      <w:r>
        <w:rPr>
          <w:rFonts w:ascii="Calibri" w:hAnsi="Calibri" w:cs="Calibri" w:eastAsia="Calibri" w:hint="default"/>
          <w:spacing w:val="4"/>
        </w:rPr>
        <w:t> </w:t>
      </w:r>
      <w:r>
        <w:rPr/>
        <w:t>年</w:t>
      </w:r>
      <w:r>
        <w:rPr>
          <w:spacing w:val="-120"/>
        </w:rPr>
        <w:t>，</w:t>
      </w:r>
      <w:r>
        <w:rPr/>
        <w:t>公司签订的</w:t>
      </w:r>
      <w:r>
        <w:rPr>
          <w:spacing w:val="-3"/>
        </w:rPr>
        <w:t>项</w:t>
      </w:r>
      <w:r>
        <w:rPr/>
        <w:t>目合同总额</w:t>
      </w:r>
      <w:r>
        <w:rPr>
          <w:spacing w:val="-62"/>
        </w:rPr>
        <w:t> </w:t>
      </w:r>
      <w:r>
        <w:rPr>
          <w:rFonts w:ascii="Calibri" w:hAnsi="Calibri" w:cs="Calibri" w:eastAsia="Calibri" w:hint="default"/>
        </w:rPr>
        <w:t>3</w:t>
      </w:r>
      <w:r>
        <w:rPr>
          <w:rFonts w:ascii="Calibri" w:hAnsi="Calibri" w:cs="Calibri" w:eastAsia="Calibri" w:hint="default"/>
          <w:spacing w:val="1"/>
        </w:rPr>
        <w:t>8</w:t>
      </w:r>
      <w:r>
        <w:rPr>
          <w:rFonts w:ascii="Calibri" w:hAnsi="Calibri" w:cs="Calibri" w:eastAsia="Calibri" w:hint="default"/>
          <w:spacing w:val="-1"/>
        </w:rPr>
        <w:t>.0</w:t>
      </w:r>
      <w:r>
        <w:rPr>
          <w:rFonts w:ascii="Calibri" w:hAnsi="Calibri" w:cs="Calibri" w:eastAsia="Calibri" w:hint="default"/>
        </w:rPr>
        <w:t>9</w:t>
      </w:r>
      <w:r>
        <w:rPr>
          <w:rFonts w:ascii="Calibri" w:hAnsi="Calibri" w:cs="Calibri" w:eastAsia="Calibri" w:hint="default"/>
          <w:spacing w:val="5"/>
        </w:rPr>
        <w:t> </w:t>
      </w:r>
      <w:r>
        <w:rPr/>
        <w:t>亿元</w:t>
      </w:r>
      <w:r>
        <w:rPr>
          <w:spacing w:val="-120"/>
        </w:rPr>
        <w:t>，</w:t>
      </w:r>
      <w:r>
        <w:rPr/>
        <w:t>比上年同期增长</w:t>
      </w:r>
      <w:r>
        <w:rPr>
          <w:spacing w:val="-62"/>
        </w:rPr>
        <w:t> </w:t>
      </w:r>
      <w:r>
        <w:rPr>
          <w:rFonts w:ascii="Calibri" w:hAnsi="Calibri" w:cs="Calibri" w:eastAsia="Calibri" w:hint="default"/>
        </w:rPr>
        <w:t>6</w:t>
      </w:r>
      <w:r>
        <w:rPr>
          <w:rFonts w:ascii="Calibri" w:hAnsi="Calibri" w:cs="Calibri" w:eastAsia="Calibri" w:hint="default"/>
          <w:spacing w:val="1"/>
        </w:rPr>
        <w:t>6</w:t>
      </w:r>
      <w:r>
        <w:rPr>
          <w:rFonts w:ascii="Calibri" w:hAnsi="Calibri" w:cs="Calibri" w:eastAsia="Calibri" w:hint="default"/>
          <w:spacing w:val="-1"/>
        </w:rPr>
        <w:t>.2</w:t>
      </w:r>
      <w:r>
        <w:rPr>
          <w:rFonts w:ascii="Calibri" w:hAnsi="Calibri" w:cs="Calibri" w:eastAsia="Calibri" w:hint="default"/>
          <w:spacing w:val="-2"/>
        </w:rPr>
        <w:t>6</w:t>
      </w:r>
      <w:r>
        <w:rPr>
          <w:rFonts w:ascii="Calibri" w:hAnsi="Calibri" w:cs="Calibri" w:eastAsia="Calibri" w:hint="default"/>
          <w:spacing w:val="-1"/>
        </w:rPr>
        <w:t>%</w:t>
      </w:r>
      <w:r>
        <w:rPr>
          <w:spacing w:val="-120"/>
        </w:rPr>
        <w:t>，</w:t>
      </w:r>
      <w:r>
        <w:rPr/>
        <w:t>其中</w:t>
      </w:r>
      <w:r>
        <w:rPr>
          <w:spacing w:val="-63"/>
        </w:rPr>
        <w:t> </w:t>
      </w:r>
      <w:r>
        <w:rPr>
          <w:rFonts w:ascii="Calibri" w:hAnsi="Calibri" w:cs="Calibri" w:eastAsia="Calibri" w:hint="default"/>
        </w:rPr>
        <w:t>1,</w:t>
      </w:r>
      <w:r>
        <w:rPr>
          <w:rFonts w:ascii="Calibri" w:hAnsi="Calibri" w:cs="Calibri" w:eastAsia="Calibri" w:hint="default"/>
          <w:spacing w:val="1"/>
        </w:rPr>
        <w:t>0</w:t>
      </w:r>
      <w:r>
        <w:rPr>
          <w:rFonts w:ascii="Calibri" w:hAnsi="Calibri" w:cs="Calibri" w:eastAsia="Calibri" w:hint="default"/>
        </w:rPr>
        <w:t>00</w:t>
      </w:r>
    </w:p>
    <w:p>
      <w:pPr>
        <w:pStyle w:val="BodyText"/>
        <w:spacing w:line="240" w:lineRule="auto" w:before="123"/>
        <w:ind w:right="0"/>
        <w:jc w:val="both"/>
      </w:pPr>
      <w:r>
        <w:rPr/>
        <w:t>万元以上的销售合同</w:t>
      </w:r>
      <w:r>
        <w:rPr>
          <w:spacing w:val="-61"/>
        </w:rPr>
        <w:t> </w:t>
      </w:r>
      <w:r>
        <w:rPr>
          <w:rFonts w:ascii="Calibri" w:hAnsi="Calibri" w:cs="Calibri" w:eastAsia="Calibri" w:hint="default"/>
        </w:rPr>
        <w:t>62</w:t>
      </w:r>
      <w:r>
        <w:rPr>
          <w:rFonts w:ascii="Calibri" w:hAnsi="Calibri" w:cs="Calibri" w:eastAsia="Calibri" w:hint="default"/>
          <w:spacing w:val="5"/>
        </w:rPr>
        <w:t> </w:t>
      </w:r>
      <w:r>
        <w:rPr/>
        <w:t>个，合同总额</w:t>
      </w:r>
      <w:r>
        <w:rPr>
          <w:spacing w:val="-61"/>
        </w:rPr>
        <w:t> </w:t>
      </w:r>
      <w:r>
        <w:rPr>
          <w:rFonts w:ascii="Calibri" w:hAnsi="Calibri" w:cs="Calibri" w:eastAsia="Calibri" w:hint="default"/>
        </w:rPr>
        <w:t>12.44</w:t>
      </w:r>
      <w:r>
        <w:rPr>
          <w:rFonts w:ascii="Calibri" w:hAnsi="Calibri" w:cs="Calibri" w:eastAsia="Calibri" w:hint="default"/>
          <w:spacing w:val="4"/>
        </w:rPr>
        <w:t> </w:t>
      </w:r>
      <w:r>
        <w:rPr/>
        <w:t>亿元，占年度已签合同总额的</w:t>
      </w:r>
      <w:r>
        <w:rPr>
          <w:spacing w:val="-61"/>
        </w:rPr>
        <w:t> </w:t>
      </w:r>
      <w:r>
        <w:rPr>
          <w:rFonts w:ascii="Calibri" w:hAnsi="Calibri" w:cs="Calibri" w:eastAsia="Calibri" w:hint="default"/>
        </w:rPr>
        <w:t>32.66%</w:t>
      </w:r>
      <w:r>
        <w:rPr/>
        <w:t>。</w:t>
      </w:r>
    </w:p>
    <w:p>
      <w:pPr>
        <w:spacing w:line="240" w:lineRule="auto" w:before="5"/>
        <w:rPr>
          <w:rFonts w:ascii="宋体" w:hAnsi="宋体" w:cs="宋体" w:eastAsia="宋体" w:hint="default"/>
          <w:sz w:val="18"/>
          <w:szCs w:val="18"/>
        </w:rPr>
      </w:pPr>
    </w:p>
    <w:p>
      <w:pPr>
        <w:pStyle w:val="BodyText"/>
        <w:spacing w:line="410" w:lineRule="auto"/>
        <w:ind w:left="624" w:right="1506"/>
        <w:jc w:val="left"/>
      </w:pPr>
      <w:r>
        <w:rPr/>
        <w:t>（</w:t>
      </w:r>
      <w:r>
        <w:rPr>
          <w:rFonts w:ascii="Calibri" w:hAnsi="Calibri" w:cs="Calibri" w:eastAsia="Calibri" w:hint="default"/>
        </w:rPr>
        <w:t>2</w:t>
      </w:r>
      <w:r>
        <w:rPr/>
        <w:t>）各行业细分市场业务增长情况 </w:t>
      </w:r>
      <w:r>
        <w:rPr>
          <w:spacing w:val="-2"/>
        </w:rPr>
        <w:t>报告期内，公司在各行业细分市场的项目都取得了长足进步，并向行业纵深发展，</w:t>
      </w:r>
    </w:p>
    <w:p>
      <w:pPr>
        <w:pStyle w:val="BodyText"/>
        <w:spacing w:line="295" w:lineRule="exact"/>
        <w:ind w:right="0"/>
        <w:jc w:val="both"/>
      </w:pPr>
      <w:r>
        <w:rPr/>
        <w:t>扩大了市场占有率和影响力。</w:t>
      </w:r>
    </w:p>
    <w:p>
      <w:pPr>
        <w:spacing w:line="240" w:lineRule="auto" w:before="12"/>
        <w:rPr>
          <w:rFonts w:ascii="宋体" w:hAnsi="宋体" w:cs="宋体" w:eastAsia="宋体" w:hint="default"/>
          <w:sz w:val="20"/>
          <w:szCs w:val="20"/>
        </w:rPr>
      </w:pPr>
    </w:p>
    <w:p>
      <w:pPr>
        <w:pStyle w:val="BodyText"/>
        <w:spacing w:line="357" w:lineRule="auto"/>
        <w:ind w:left="139" w:right="1641" w:firstLine="482"/>
        <w:jc w:val="both"/>
      </w:pPr>
      <w:r>
        <w:rPr/>
        <w:t>金融保险业：连续签约中国人民银行私有云中心建设项目及大量维保服务，中国 农业银行数据中心扩容及全国骨干网扩容项目，华夏银行金融</w:t>
      </w:r>
      <w:r>
        <w:rPr>
          <w:spacing w:val="-82"/>
        </w:rPr>
        <w:t> </w:t>
      </w:r>
      <w:r>
        <w:rPr>
          <w:rFonts w:ascii="宋体" w:hAnsi="宋体" w:cs="宋体" w:eastAsia="宋体" w:hint="default"/>
        </w:rPr>
        <w:t>IC</w:t>
      </w:r>
      <w:r>
        <w:rPr>
          <w:rFonts w:ascii="宋体" w:hAnsi="宋体" w:cs="宋体" w:eastAsia="宋体" w:hint="default"/>
          <w:spacing w:val="-82"/>
        </w:rPr>
        <w:t> </w:t>
      </w:r>
      <w:r>
        <w:rPr/>
        <w:t>卡私有云中心建设项 目，承德、开封、长治等多家商业银行核心系统升级及支付系统、前置系统，安徽农 信联社事后监控系统，国家外管局外汇业务软件二期；中标中国人寿数据中心及骨干 网，签约太平洋保险数据中心及骨干网，中华联合财产</w:t>
      </w:r>
      <w:r>
        <w:rPr>
          <w:spacing w:val="-60"/>
        </w:rPr>
        <w:t> </w:t>
      </w:r>
      <w:r>
        <w:rPr>
          <w:rFonts w:ascii="宋体" w:hAnsi="宋体" w:cs="宋体" w:eastAsia="宋体" w:hint="default"/>
        </w:rPr>
        <w:t>OA</w:t>
      </w:r>
      <w:r>
        <w:rPr>
          <w:rFonts w:ascii="宋体" w:hAnsi="宋体" w:cs="宋体" w:eastAsia="宋体" w:hint="default"/>
          <w:spacing w:val="-60"/>
        </w:rPr>
        <w:t> </w:t>
      </w:r>
      <w:r>
        <w:rPr/>
        <w:t>二期，都邦保险</w:t>
      </w:r>
      <w:r>
        <w:rPr>
          <w:spacing w:val="-60"/>
        </w:rPr>
        <w:t> </w:t>
      </w:r>
      <w:r>
        <w:rPr>
          <w:rFonts w:ascii="宋体" w:hAnsi="宋体" w:cs="宋体" w:eastAsia="宋体" w:hint="default"/>
        </w:rPr>
        <w:t>ITSM</w:t>
      </w:r>
      <w:r>
        <w:rPr>
          <w:rFonts w:ascii="宋体" w:hAnsi="宋体" w:cs="宋体" w:eastAsia="宋体" w:hint="default"/>
          <w:spacing w:val="-60"/>
        </w:rPr>
        <w:t> </w:t>
      </w:r>
      <w:r>
        <w:rPr/>
        <w:t>等项 目。子公司联银通科技签约交通银行数据中心项目，华夏银行</w:t>
      </w:r>
      <w:r>
        <w:rPr>
          <w:spacing w:val="-82"/>
        </w:rPr>
        <w:t> </w:t>
      </w:r>
      <w:r>
        <w:rPr>
          <w:rFonts w:ascii="宋体" w:hAnsi="宋体" w:cs="宋体" w:eastAsia="宋体" w:hint="default"/>
        </w:rPr>
        <w:t>BEAI</w:t>
      </w:r>
      <w:r>
        <w:rPr>
          <w:rFonts w:ascii="宋体" w:hAnsi="宋体" w:cs="宋体" w:eastAsia="宋体" w:hint="default"/>
          <w:spacing w:val="-82"/>
        </w:rPr>
        <w:t> </w:t>
      </w:r>
      <w:r>
        <w:rPr/>
        <w:t>系统推广及分行特</w:t>
      </w:r>
    </w:p>
    <w:p>
      <w:pPr>
        <w:spacing w:after="0" w:line="357" w:lineRule="auto"/>
        <w:jc w:val="both"/>
        <w:sectPr>
          <w:pgSz w:w="12240" w:h="15840"/>
          <w:pgMar w:header="847" w:footer="987" w:top="1360" w:bottom="1180" w:left="1500" w:right="0"/>
        </w:sectPr>
      </w:pPr>
    </w:p>
    <w:p>
      <w:pPr>
        <w:pStyle w:val="BodyText"/>
        <w:spacing w:line="355" w:lineRule="auto" w:before="11"/>
        <w:ind w:left="139" w:right="1700"/>
        <w:jc w:val="left"/>
      </w:pPr>
      <w:r>
        <w:rPr/>
        <w:pict>
          <v:group style="position:absolute;margin-left:80.783997pt;margin-top:1.845647pt;width:450.6pt;height:.1pt;mso-position-horizontal-relative:page;mso-position-vertical-relative:paragraph;z-index:-864208" coordorigin="1616,37" coordsize="9012,2">
            <v:shape style="position:absolute;left:1616;top:37;width:9012;height:2" coordorigin="1616,37" coordsize="9012,0" path="m1616,37l10627,37e" filled="false" stroked="true" strokeweight=".71999pt" strokecolor="#000000">
              <v:path arrowok="t"/>
            </v:shape>
            <w10:wrap type="none"/>
          </v:group>
        </w:pict>
      </w:r>
      <w:r>
        <w:rPr/>
        <w:t>色业务开发，多家银行大型经分设备；继续支持工行及多家银行全国范围内的</w:t>
      </w:r>
      <w:r>
        <w:rPr>
          <w:spacing w:val="-59"/>
        </w:rPr>
        <w:t> </w:t>
      </w:r>
      <w:r>
        <w:rPr>
          <w:rFonts w:ascii="宋体" w:hAnsi="宋体" w:cs="宋体" w:eastAsia="宋体" w:hint="default"/>
        </w:rPr>
        <w:t>ATM</w:t>
      </w:r>
      <w:r>
        <w:rPr>
          <w:rFonts w:ascii="宋体" w:hAnsi="宋体" w:cs="宋体" w:eastAsia="宋体" w:hint="default"/>
          <w:spacing w:val="-60"/>
        </w:rPr>
        <w:t> </w:t>
      </w:r>
      <w:r>
        <w:rPr/>
        <w:t>保 修服务；成功完成全国多家商业银行的储蓄式国债项目二期升级及维护服务。</w:t>
      </w:r>
    </w:p>
    <w:p>
      <w:pPr>
        <w:pStyle w:val="BodyText"/>
        <w:spacing w:line="357" w:lineRule="auto" w:before="158"/>
        <w:ind w:right="1506" w:firstLine="482"/>
        <w:jc w:val="left"/>
      </w:pPr>
      <w:r>
        <w:rPr/>
        <w:t>电力行业：市场份额扩大，继续为国电电力、中电投、大唐电力多个发电企业提 供保修及外包服务，为宁夏电力提供保修服务等项目；为吉林电力提供几十套流控、 </w:t>
      </w:r>
      <w:r>
        <w:rPr>
          <w:spacing w:val="-3"/>
        </w:rPr>
        <w:t>流分、</w:t>
      </w:r>
      <w:r>
        <w:rPr>
          <w:rFonts w:ascii="宋体" w:hAnsi="宋体" w:cs="宋体" w:eastAsia="宋体" w:hint="default"/>
          <w:spacing w:val="-3"/>
        </w:rPr>
        <w:t>ITSM</w:t>
      </w:r>
      <w:r>
        <w:rPr>
          <w:rFonts w:ascii="宋体" w:hAnsi="宋体" w:cs="宋体" w:eastAsia="宋体" w:hint="default"/>
          <w:spacing w:val="-50"/>
        </w:rPr>
        <w:t> </w:t>
      </w:r>
      <w:r>
        <w:rPr>
          <w:spacing w:val="-3"/>
        </w:rPr>
        <w:t>系统；为重庆、江西、宁夏、黑龙江电力实施网络扩容工程；签约中电投、</w:t>
      </w:r>
      <w:r>
        <w:rPr/>
        <w:t> 大唐、国电电力私有云建设工程；子公司东华厚盾成功签约中国电力工程顾问集团下 属华东电力设计院、华北电力设计院全面预算项目管理系统；</w:t>
      </w:r>
    </w:p>
    <w:p>
      <w:pPr>
        <w:pStyle w:val="BodyText"/>
        <w:spacing w:line="357" w:lineRule="auto" w:before="157"/>
        <w:ind w:right="1506" w:firstLine="482"/>
        <w:jc w:val="left"/>
      </w:pPr>
      <w:r>
        <w:rPr/>
        <w:t>通信行业：继续在中国移动、中国电信和中国联通等优质客户市场扩展份额，成 功签约山西移动新农合系统、无线城市扩容工程、数据仓库、经分系统扩容、桌面云 化项目一期及</w:t>
      </w:r>
      <w:r>
        <w:rPr>
          <w:spacing w:val="-61"/>
        </w:rPr>
        <w:t> </w:t>
      </w:r>
      <w:r>
        <w:rPr>
          <w:rFonts w:ascii="宋体" w:hAnsi="宋体" w:cs="宋体" w:eastAsia="宋体" w:hint="default"/>
        </w:rPr>
        <w:t>IDC</w:t>
      </w:r>
      <w:r>
        <w:rPr>
          <w:rFonts w:ascii="宋体" w:hAnsi="宋体" w:cs="宋体" w:eastAsia="宋体" w:hint="default"/>
          <w:spacing w:val="-60"/>
        </w:rPr>
        <w:t> </w:t>
      </w:r>
      <w:r>
        <w:rPr/>
        <w:t>私有云中心建设项目，河北移动数据仓库系统扩容及服务，中国移 动总部及广东、四川、贵州等全面预算管理系统优化，中国移动国际信息港数据中心 </w:t>
      </w:r>
      <w:r>
        <w:rPr>
          <w:spacing w:val="-2"/>
        </w:rPr>
        <w:t>工程；中国联通吉林省接入网管系统、山东省联机采集系统升级、上海服务外包项目。</w:t>
      </w:r>
    </w:p>
    <w:p>
      <w:pPr>
        <w:pStyle w:val="BodyText"/>
        <w:spacing w:line="357" w:lineRule="auto" w:before="154"/>
        <w:ind w:right="1641" w:firstLine="482"/>
        <w:jc w:val="both"/>
      </w:pPr>
      <w:r>
        <w:rPr/>
        <w:t>交通运输行业：在维护老客户市场的同时，积极拓展新客户，签约了中航信数据 </w:t>
      </w:r>
      <w:r>
        <w:rPr>
          <w:spacing w:val="-15"/>
        </w:rPr>
        <w:t>库，南航网络改造系统，国航集中存储、邮件升级及服务外包项目，铁道部</w:t>
      </w:r>
      <w:r>
        <w:rPr>
          <w:spacing w:val="-36"/>
        </w:rPr>
        <w:t> </w:t>
      </w:r>
      <w:r>
        <w:rPr>
          <w:rFonts w:ascii="宋体" w:hAnsi="宋体" w:cs="宋体" w:eastAsia="宋体" w:hint="default"/>
          <w:spacing w:val="-10"/>
        </w:rPr>
        <w:t>TDMS</w:t>
      </w:r>
      <w:r>
        <w:rPr>
          <w:spacing w:val="-10"/>
        </w:rPr>
        <w:t>、</w:t>
      </w:r>
      <w:r>
        <w:rPr>
          <w:rFonts w:ascii="宋体" w:hAnsi="宋体" w:cs="宋体" w:eastAsia="宋体" w:hint="default"/>
          <w:spacing w:val="-10"/>
        </w:rPr>
        <w:t>TD/TDCS</w:t>
      </w:r>
      <w:r>
        <w:rPr>
          <w:rFonts w:ascii="宋体" w:hAnsi="宋体" w:cs="宋体" w:eastAsia="宋体" w:hint="default"/>
        </w:rPr>
        <w:t> </w:t>
      </w:r>
      <w:r>
        <w:rPr/>
        <w:t>升级改造工程，中航油性能优化及虚拟云平台项目，北京交管局核心应用系统服务外 包，山东高速全面预算及项目管理软件开发项目。</w:t>
      </w:r>
    </w:p>
    <w:p>
      <w:pPr>
        <w:pStyle w:val="BodyText"/>
        <w:spacing w:line="357" w:lineRule="auto" w:before="154"/>
        <w:ind w:right="1506" w:firstLine="482"/>
        <w:jc w:val="left"/>
      </w:pPr>
      <w:r>
        <w:rPr/>
        <w:t>医疗行业：是大丰收的一年，一方面继续做好老客户的升级服务业务，与多家亿 </w:t>
      </w:r>
      <w:r>
        <w:rPr>
          <w:spacing w:val="-2"/>
        </w:rPr>
        <w:t>元签订软件升级服务及外包合同；另一方面继续拓展公司在全国大型医院的市场份额，</w:t>
      </w:r>
      <w:r>
        <w:rPr>
          <w:spacing w:val="-92"/>
        </w:rPr>
        <w:t> </w:t>
      </w:r>
      <w:r>
        <w:rPr>
          <w:spacing w:val="-92"/>
        </w:rPr>
      </w:r>
      <w:r>
        <w:rPr>
          <w:spacing w:val="-2"/>
        </w:rPr>
        <w:t>新签北京协和医院、青岛大学附属医院、深圳福田区中心医院、武汉大第一附属医院、</w:t>
      </w:r>
      <w:r>
        <w:rPr>
          <w:spacing w:val="-95"/>
        </w:rPr>
        <w:t> </w:t>
      </w:r>
      <w:r>
        <w:rPr>
          <w:spacing w:val="-95"/>
        </w:rPr>
      </w:r>
      <w:r>
        <w:rPr/>
        <w:t>华中科大附属协和医院、广西医大附属医院等医院的</w:t>
      </w:r>
      <w:r>
        <w:rPr>
          <w:spacing w:val="-60"/>
        </w:rPr>
        <w:t> </w:t>
      </w:r>
      <w:r>
        <w:rPr>
          <w:rFonts w:ascii="宋体" w:hAnsi="宋体" w:cs="宋体" w:eastAsia="宋体" w:hint="default"/>
        </w:rPr>
        <w:t>HIS</w:t>
      </w:r>
      <w:r>
        <w:rPr>
          <w:rFonts w:ascii="宋体" w:hAnsi="宋体" w:cs="宋体" w:eastAsia="宋体" w:hint="default"/>
          <w:spacing w:val="-60"/>
        </w:rPr>
        <w:t> </w:t>
      </w:r>
      <w:r>
        <w:rPr/>
        <w:t>系统，深圳区域卫生信息化 项目、广安门中医信息服务管理系统，哈尔滨医科大学附属一院无线医院系统。</w:t>
      </w:r>
    </w:p>
    <w:p>
      <w:pPr>
        <w:pStyle w:val="BodyText"/>
        <w:spacing w:line="357" w:lineRule="auto" w:before="157"/>
        <w:ind w:right="1652" w:firstLine="482"/>
        <w:jc w:val="both"/>
      </w:pPr>
      <w:r>
        <w:rPr/>
        <w:t>政府：签约了国家卫星中心数据中心维保服务外包合同、风云二号静止气象卫星 私有云中心建设，国家气象中心冬小麦增产气象保障系统及海洋气象灾害保障，内蒙 古公安厅易制毒化学药品管理系统（</w:t>
      </w:r>
      <w:r>
        <w:rPr>
          <w:rFonts w:ascii="宋体" w:hAnsi="宋体" w:cs="宋体" w:eastAsia="宋体" w:hint="default"/>
        </w:rPr>
        <w:t>SAAS</w:t>
      </w:r>
      <w:r>
        <w:rPr>
          <w:rFonts w:ascii="宋体" w:hAnsi="宋体" w:cs="宋体" w:eastAsia="宋体" w:hint="default"/>
          <w:spacing w:val="-60"/>
        </w:rPr>
        <w:t> </w:t>
      </w:r>
      <w:r>
        <w:rPr/>
        <w:t>云模式）扩容，国家环保部统计能力建设及 安全信息系统建设，海关总署</w:t>
      </w:r>
      <w:r>
        <w:rPr>
          <w:spacing w:val="-60"/>
        </w:rPr>
        <w:t> </w:t>
      </w:r>
      <w:r>
        <w:rPr>
          <w:rFonts w:ascii="宋体" w:hAnsi="宋体" w:cs="宋体" w:eastAsia="宋体" w:hint="default"/>
        </w:rPr>
        <w:t>EDI</w:t>
      </w:r>
      <w:r>
        <w:rPr>
          <w:rFonts w:ascii="宋体" w:hAnsi="宋体" w:cs="宋体" w:eastAsia="宋体" w:hint="default"/>
          <w:spacing w:val="-60"/>
        </w:rPr>
        <w:t> </w:t>
      </w:r>
      <w:r>
        <w:rPr/>
        <w:t>中心骨干网扩容及服务，安徽宿州公安平安城市系 统，西宁公安网络安全系统等。</w:t>
      </w:r>
    </w:p>
    <w:p>
      <w:pPr>
        <w:spacing w:after="0" w:line="357" w:lineRule="auto"/>
        <w:jc w:val="both"/>
        <w:sectPr>
          <w:pgSz w:w="12240" w:h="15840"/>
          <w:pgMar w:header="847" w:footer="987" w:top="1360" w:bottom="1180" w:left="1500" w:right="0"/>
        </w:sectPr>
      </w:pPr>
    </w:p>
    <w:p>
      <w:pPr>
        <w:pStyle w:val="BodyText"/>
        <w:spacing w:line="357" w:lineRule="auto" w:before="11"/>
        <w:ind w:right="1521" w:firstLine="482"/>
        <w:jc w:val="both"/>
      </w:pPr>
      <w:r>
        <w:rPr/>
        <w:pict>
          <v:group style="position:absolute;margin-left:80.783997pt;margin-top:1.845647pt;width:450.6pt;height:.1pt;mso-position-horizontal-relative:page;mso-position-vertical-relative:paragraph;z-index:-864184" coordorigin="1616,37" coordsize="9012,2">
            <v:shape style="position:absolute;left:1616;top:37;width:9012;height:2" coordorigin="1616,37" coordsize="9012,0" path="m1616,37l10627,37e" filled="false" stroked="true" strokeweight=".71999pt" strokecolor="#000000">
              <v:path arrowok="t"/>
            </v:shape>
            <w10:wrap type="none"/>
          </v:group>
        </w:pict>
      </w:r>
      <w:r>
        <w:rPr/>
        <w:t>石油石化行业：新签中石油全国骨干网扩容项目第三期，西气东输数据中心、骨 干网及服务外包合同，中石油安全域项目，中石油管道局多套流控、流量分析及</w:t>
      </w:r>
      <w:r>
        <w:rPr>
          <w:spacing w:val="-59"/>
        </w:rPr>
        <w:t> </w:t>
      </w:r>
      <w:r>
        <w:rPr>
          <w:rFonts w:ascii="宋体" w:hAnsi="宋体" w:cs="宋体" w:eastAsia="宋体" w:hint="default"/>
        </w:rPr>
        <w:t>ITSM </w:t>
      </w:r>
      <w:r>
        <w:rPr>
          <w:spacing w:val="-2"/>
        </w:rPr>
        <w:t>系统；中石化青海油田公司视频会议，中石化燕山分公司互联网流量分析及流量监控。</w:t>
      </w:r>
    </w:p>
    <w:p>
      <w:pPr>
        <w:pStyle w:val="BodyText"/>
        <w:spacing w:line="357" w:lineRule="auto" w:before="154"/>
        <w:ind w:right="1637" w:firstLine="482"/>
        <w:jc w:val="both"/>
      </w:pPr>
      <w:r>
        <w:rPr/>
        <w:t>制造业：新签江苏中烟公司六西格玛管理、两项工作及</w:t>
      </w:r>
      <w:r>
        <w:rPr>
          <w:spacing w:val="-83"/>
        </w:rPr>
        <w:t> </w:t>
      </w:r>
      <w:r>
        <w:rPr>
          <w:rFonts w:ascii="宋体" w:hAnsi="宋体" w:cs="宋体" w:eastAsia="宋体" w:hint="default"/>
        </w:rPr>
        <w:t>CA</w:t>
      </w:r>
      <w:r>
        <w:rPr>
          <w:rFonts w:ascii="宋体" w:hAnsi="宋体" w:cs="宋体" w:eastAsia="宋体" w:hint="default"/>
          <w:spacing w:val="-84"/>
        </w:rPr>
        <w:t> </w:t>
      </w:r>
      <w:r>
        <w:rPr/>
        <w:t>认证监督监管平台系统 等，中国五矿营口中板公司</w:t>
      </w:r>
      <w:r>
        <w:rPr>
          <w:spacing w:val="-60"/>
        </w:rPr>
        <w:t> </w:t>
      </w:r>
      <w:r>
        <w:rPr>
          <w:rFonts w:ascii="宋体" w:hAnsi="宋体" w:cs="宋体" w:eastAsia="宋体" w:hint="default"/>
        </w:rPr>
        <w:t>ERP</w:t>
      </w:r>
      <w:r>
        <w:rPr>
          <w:rFonts w:ascii="宋体" w:hAnsi="宋体" w:cs="宋体" w:eastAsia="宋体" w:hint="default"/>
          <w:spacing w:val="-60"/>
        </w:rPr>
        <w:t> </w:t>
      </w:r>
      <w:r>
        <w:rPr/>
        <w:t>平台，山东钢铁固定资产投资及项目管理系统，中国 化工集团网络扩容，中航工业西安飞机所门户系统。</w:t>
      </w:r>
    </w:p>
    <w:p>
      <w:pPr>
        <w:pStyle w:val="BodyText"/>
        <w:spacing w:line="357" w:lineRule="auto" w:before="156"/>
        <w:ind w:right="1642" w:firstLine="482"/>
        <w:jc w:val="both"/>
      </w:pPr>
      <w:r>
        <w:rPr/>
        <w:t>煤炭行业：签订了神华宁煤生产综合信息自动化、</w:t>
      </w:r>
      <w:r>
        <w:rPr>
          <w:rFonts w:ascii="宋体" w:hAnsi="宋体" w:cs="宋体" w:eastAsia="宋体" w:hint="default"/>
        </w:rPr>
        <w:t>ITSM</w:t>
      </w:r>
      <w:r>
        <w:rPr>
          <w:rFonts w:ascii="宋体" w:hAnsi="宋体" w:cs="宋体" w:eastAsia="宋体" w:hint="default"/>
          <w:spacing w:val="-60"/>
        </w:rPr>
        <w:t> </w:t>
      </w:r>
      <w:r>
        <w:rPr/>
        <w:t>系统，河南神火煤电及下 属煤矿网络系统，</w:t>
      </w:r>
      <w:r>
        <w:rPr>
          <w:spacing w:val="-48"/>
        </w:rPr>
        <w:t> </w:t>
      </w:r>
      <w:r>
        <w:rPr/>
        <w:t>宁夏英力特、宁夏银星煤业综合自动化，平朔煤业局域网优化，太</w:t>
      </w:r>
      <w:r>
        <w:rPr/>
        <w:t> 原煤气化调度通信系统。</w:t>
      </w:r>
    </w:p>
    <w:p>
      <w:pPr>
        <w:pStyle w:val="BodyText"/>
        <w:spacing w:line="355" w:lineRule="auto" w:before="156"/>
        <w:ind w:right="1710" w:firstLine="482"/>
        <w:jc w:val="both"/>
      </w:pPr>
      <w:r>
        <w:rPr/>
        <w:t>农产品及物流行业：在全国各地多家农产品物流市场继续保持远远领先的同时， 在农产品溯源方面迈出了重要的一步，成功上线吉林联通农产品溯源系统。</w:t>
      </w:r>
    </w:p>
    <w:p>
      <w:pPr>
        <w:pStyle w:val="BodyText"/>
        <w:spacing w:line="357" w:lineRule="auto" w:before="158"/>
        <w:ind w:right="1709" w:firstLine="482"/>
        <w:jc w:val="both"/>
      </w:pPr>
      <w:r>
        <w:rPr/>
        <w:t>建筑及房地产行业：签约杭州市房地产管理局“数字化房地产”软件开发项目二 期，中国建筑股份有限公司企业门户及协同办公系统。新成立了房管软件事业部，大 力推动房地产软件产品化开发及市场推广。</w:t>
      </w:r>
    </w:p>
    <w:p>
      <w:pPr>
        <w:pStyle w:val="BodyText"/>
        <w:spacing w:line="429" w:lineRule="auto" w:before="154"/>
        <w:ind w:left="624" w:right="1557"/>
        <w:jc w:val="left"/>
      </w:pPr>
      <w:r>
        <w:rPr/>
        <w:t>（</w:t>
      </w:r>
      <w:r>
        <w:rPr>
          <w:rFonts w:ascii="Calibri" w:hAnsi="Calibri" w:cs="Calibri" w:eastAsia="Calibri" w:hint="default"/>
        </w:rPr>
        <w:t>3</w:t>
      </w:r>
      <w:r>
        <w:rPr/>
        <w:t>）软件开发和产品化情况 报告期内，公司软件开发和产品化更进一步，产品复用程度大大提高。 公司一直专注于软件产业，始终注意密切跟踪行业内的技术发展趋势，以保证公</w:t>
      </w:r>
    </w:p>
    <w:p>
      <w:pPr>
        <w:pStyle w:val="BodyText"/>
        <w:spacing w:line="278" w:lineRule="exact"/>
        <w:ind w:right="0"/>
        <w:jc w:val="both"/>
      </w:pPr>
      <w:r>
        <w:rPr/>
        <w:t>司的软件设计和开发与世界软件发展的方向保持一致；在长期的研发和实践中，掌握</w:t>
      </w:r>
    </w:p>
    <w:p>
      <w:pPr>
        <w:pStyle w:val="BodyText"/>
        <w:spacing w:line="357" w:lineRule="auto" w:before="151"/>
        <w:ind w:right="1639"/>
        <w:jc w:val="both"/>
      </w:pPr>
      <w:r>
        <w:rPr/>
        <w:t>了行业内最先进、最主流的软件开发技术、软件设计思想，并成功实现多种技术在一</w:t>
      </w:r>
      <w:r>
        <w:rPr>
          <w:spacing w:val="-59"/>
        </w:rPr>
        <w:t> </w:t>
      </w:r>
      <w:r>
        <w:rPr>
          <w:spacing w:val="-59"/>
        </w:rPr>
      </w:r>
      <w:r>
        <w:rPr/>
        <w:t>个系统中的综合应用。</w:t>
      </w:r>
      <w:r>
        <w:rPr>
          <w:rFonts w:ascii="宋体" w:hAnsi="宋体" w:cs="宋体" w:eastAsia="宋体" w:hint="default"/>
        </w:rPr>
        <w:t>2011</w:t>
      </w:r>
      <w:r>
        <w:rPr>
          <w:rFonts w:ascii="宋体" w:hAnsi="宋体" w:cs="宋体" w:eastAsia="宋体" w:hint="default"/>
          <w:spacing w:val="-48"/>
        </w:rPr>
        <w:t> </w:t>
      </w:r>
      <w:r>
        <w:rPr/>
        <w:t>年公司在原有基础上又新取得了多项计算机软件著作权， 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日公司共拥有计算机软件著作权</w:t>
      </w:r>
      <w:r>
        <w:rPr>
          <w:spacing w:val="-60"/>
        </w:rPr>
        <w:t> </w:t>
      </w:r>
      <w:r>
        <w:rPr>
          <w:rFonts w:ascii="宋体" w:hAnsi="宋体" w:cs="宋体" w:eastAsia="宋体" w:hint="default"/>
        </w:rPr>
        <w:t>350</w:t>
      </w:r>
      <w:r>
        <w:rPr>
          <w:rFonts w:ascii="宋体" w:hAnsi="宋体" w:cs="宋体" w:eastAsia="宋体" w:hint="default"/>
          <w:spacing w:val="-60"/>
        </w:rPr>
        <w:t> </w:t>
      </w:r>
      <w:r>
        <w:rPr/>
        <w:t>项。</w:t>
      </w:r>
    </w:p>
    <w:p>
      <w:pPr>
        <w:pStyle w:val="BodyText"/>
        <w:spacing w:line="357" w:lineRule="auto" w:before="156"/>
        <w:ind w:right="1503" w:firstLine="479"/>
        <w:jc w:val="left"/>
      </w:pPr>
      <w:r>
        <w:rPr/>
        <w:t>公司坚持自主研发了流量分析、流量控制、上网行为、网络加速等系列软件，相</w:t>
      </w:r>
      <w:r>
        <w:rPr>
          <w:spacing w:val="2"/>
        </w:rPr>
        <w:t> </w:t>
      </w:r>
      <w:r>
        <w:rPr/>
        <w:t>关产品各项指标均达到同行业领先水平，且产品化程度达到了</w:t>
      </w:r>
      <w:r>
        <w:rPr>
          <w:spacing w:val="-89"/>
        </w:rPr>
        <w:t> </w:t>
      </w:r>
      <w:r>
        <w:rPr>
          <w:rFonts w:ascii="宋体" w:hAnsi="宋体" w:cs="宋体" w:eastAsia="宋体" w:hint="default"/>
          <w:spacing w:val="-6"/>
        </w:rPr>
        <w:t>100%</w:t>
      </w:r>
      <w:r>
        <w:rPr>
          <w:spacing w:val="-6"/>
        </w:rPr>
        <w:t>，通过“软件硬化”</w:t>
      </w:r>
      <w:r>
        <w:rPr/>
        <w:t> 的模式在市场上顺利推广，并取得了很好的销售业绩，吉林电力、宁夏电力、国电电</w:t>
      </w:r>
      <w:r>
        <w:rPr>
          <w:spacing w:val="-59"/>
        </w:rPr>
        <w:t> </w:t>
      </w:r>
      <w:r>
        <w:rPr>
          <w:spacing w:val="-59"/>
        </w:rPr>
      </w:r>
      <w:r>
        <w:rPr/>
        <w:t>力、甘肃电力、中石油、水利部、华夏银行、辽宁移动、内蒙烟草、江西公安等多家</w:t>
      </w:r>
      <w:r>
        <w:rPr>
          <w:spacing w:val="-59"/>
        </w:rPr>
        <w:t> </w:t>
      </w:r>
      <w:r>
        <w:rPr>
          <w:spacing w:val="-59"/>
        </w:rPr>
      </w:r>
      <w:r>
        <w:rPr/>
        <w:t>单位购买了上述产品。</w:t>
      </w:r>
    </w:p>
    <w:p>
      <w:pPr>
        <w:spacing w:after="0" w:line="357" w:lineRule="auto"/>
        <w:jc w:val="left"/>
        <w:sectPr>
          <w:footerReference w:type="even" r:id="rId32"/>
          <w:footerReference w:type="default" r:id="rId33"/>
          <w:pgSz w:w="12240" w:h="15840"/>
          <w:pgMar w:footer="987" w:header="847" w:top="1360" w:bottom="1180" w:left="1500" w:right="0"/>
        </w:sectPr>
      </w:pPr>
    </w:p>
    <w:p>
      <w:pPr>
        <w:pStyle w:val="BodyText"/>
        <w:spacing w:line="357" w:lineRule="auto" w:before="11"/>
        <w:ind w:right="1639" w:firstLine="479"/>
        <w:jc w:val="both"/>
      </w:pPr>
      <w:r>
        <w:rPr/>
        <w:pict>
          <v:group style="position:absolute;margin-left:80.783997pt;margin-top:1.845647pt;width:450.6pt;height:.1pt;mso-position-horizontal-relative:page;mso-position-vertical-relative:paragraph;z-index:-864160" coordorigin="1616,37" coordsize="9012,2">
            <v:shape style="position:absolute;left:1616;top:37;width:9012;height:2" coordorigin="1616,37" coordsize="9012,0" path="m1616,37l10627,37e" filled="false" stroked="true" strokeweight=".71999pt" strokecolor="#000000">
              <v:path arrowok="t"/>
            </v:shape>
            <w10:wrap type="none"/>
          </v:group>
        </w:pict>
      </w:r>
      <w:r>
        <w:rPr/>
        <w:t>公司的</w:t>
      </w:r>
      <w:r>
        <w:rPr>
          <w:spacing w:val="-57"/>
        </w:rPr>
        <w:t> </w:t>
      </w:r>
      <w:r>
        <w:rPr>
          <w:rFonts w:ascii="宋体" w:hAnsi="宋体" w:cs="宋体" w:eastAsia="宋体" w:hint="default"/>
        </w:rPr>
        <w:t>IT</w:t>
      </w:r>
      <w:r>
        <w:rPr>
          <w:rFonts w:ascii="宋体" w:hAnsi="宋体" w:cs="宋体" w:eastAsia="宋体" w:hint="default"/>
          <w:spacing w:val="-57"/>
        </w:rPr>
        <w:t> </w:t>
      </w:r>
      <w:r>
        <w:rPr/>
        <w:t>服务管理系统（</w:t>
      </w:r>
      <w:r>
        <w:rPr>
          <w:rFonts w:ascii="宋体" w:hAnsi="宋体" w:cs="宋体" w:eastAsia="宋体" w:hint="default"/>
        </w:rPr>
        <w:t>ITSM</w:t>
      </w:r>
      <w:r>
        <w:rPr/>
        <w:t>）对大部分客户的产品化程度达到了</w:t>
      </w:r>
      <w:r>
        <w:rPr>
          <w:spacing w:val="-56"/>
        </w:rPr>
        <w:t> </w:t>
      </w:r>
      <w:r>
        <w:rPr>
          <w:rFonts w:ascii="宋体" w:hAnsi="宋体" w:cs="宋体" w:eastAsia="宋体" w:hint="default"/>
        </w:rPr>
        <w:t>90%</w:t>
      </w:r>
      <w:r>
        <w:rPr/>
        <w:t>以上，在 为原有客户如中科院网络中心、神华宁煤集团、国家水利部、汉口银行等继续提供服</w:t>
      </w:r>
      <w:r>
        <w:rPr>
          <w:spacing w:val="-60"/>
        </w:rPr>
        <w:t> </w:t>
      </w:r>
      <w:r>
        <w:rPr>
          <w:spacing w:val="-60"/>
        </w:rPr>
      </w:r>
      <w:r>
        <w:rPr/>
        <w:t>务的基础上，新签了广安门中医院、广州省水利厅、辽宁省人保厅、吉林电力、辽宁</w:t>
      </w:r>
      <w:r>
        <w:rPr>
          <w:spacing w:val="-59"/>
        </w:rPr>
        <w:t> </w:t>
      </w:r>
      <w:r>
        <w:rPr>
          <w:spacing w:val="-59"/>
        </w:rPr>
      </w:r>
      <w:r>
        <w:rPr/>
        <w:t>电力、青海电力、安徽农信、衡水商业银行、遂宁商业银行、达州商业银行、平顶山</w:t>
      </w:r>
      <w:r>
        <w:rPr>
          <w:spacing w:val="-59"/>
        </w:rPr>
        <w:t> </w:t>
      </w:r>
      <w:r>
        <w:rPr>
          <w:spacing w:val="-59"/>
        </w:rPr>
      </w:r>
      <w:r>
        <w:rPr/>
        <w:t>商业银行等。</w:t>
      </w:r>
    </w:p>
    <w:p>
      <w:pPr>
        <w:spacing w:line="240" w:lineRule="auto" w:before="13"/>
        <w:rPr>
          <w:rFonts w:ascii="宋体" w:hAnsi="宋体" w:cs="宋体" w:eastAsia="宋体" w:hint="default"/>
          <w:sz w:val="26"/>
          <w:szCs w:val="26"/>
        </w:rPr>
      </w:pPr>
    </w:p>
    <w:p>
      <w:pPr>
        <w:pStyle w:val="Heading4"/>
        <w:spacing w:line="240" w:lineRule="auto"/>
        <w:ind w:right="1697"/>
        <w:jc w:val="left"/>
        <w:rPr>
          <w:b w:val="0"/>
          <w:bCs w:val="0"/>
        </w:rPr>
      </w:pPr>
      <w:r>
        <w:rPr>
          <w:rFonts w:ascii="Calibri" w:hAnsi="Calibri" w:cs="Calibri" w:eastAsia="Calibri" w:hint="default"/>
        </w:rPr>
        <w:t>2</w:t>
      </w:r>
      <w:r>
        <w:rPr/>
        <w:t>、公司主营业务及其经营情况：</w:t>
      </w:r>
      <w:r>
        <w:rPr>
          <w:b w:val="0"/>
          <w:bCs w:val="0"/>
        </w:rPr>
      </w:r>
    </w:p>
    <w:p>
      <w:pPr>
        <w:pStyle w:val="BodyText"/>
        <w:spacing w:line="240" w:lineRule="auto" w:before="97"/>
        <w:ind w:left="624" w:right="1697"/>
        <w:jc w:val="left"/>
      </w:pPr>
      <w:r>
        <w:rPr/>
        <w:t>公司主营业务包括应用软件开发、计算机信息系统集成及相关服务。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847" w:footer="987" w:top="1360" w:bottom="1180" w:left="1500" w:right="0"/>
        </w:sectPr>
      </w:pPr>
    </w:p>
    <w:p>
      <w:pPr>
        <w:pStyle w:val="BodyText"/>
        <w:spacing w:line="240" w:lineRule="auto" w:before="26"/>
        <w:ind w:left="624" w:right="-19"/>
        <w:jc w:val="left"/>
      </w:pPr>
      <w:r>
        <w:rPr/>
        <w:t>（</w:t>
      </w:r>
      <w:r>
        <w:rPr>
          <w:rFonts w:ascii="Calibri" w:hAnsi="Calibri" w:cs="Calibri" w:eastAsia="Calibri" w:hint="default"/>
        </w:rPr>
        <w:t>1</w:t>
      </w:r>
      <w:r>
        <w:rPr/>
        <w:t>）主营业务分行业、产品情况表</w:t>
      </w:r>
    </w:p>
    <w:p>
      <w:pPr>
        <w:spacing w:line="240" w:lineRule="auto" w:before="7"/>
        <w:rPr>
          <w:rFonts w:ascii="宋体" w:hAnsi="宋体" w:cs="宋体" w:eastAsia="宋体" w:hint="default"/>
          <w:sz w:val="35"/>
          <w:szCs w:val="35"/>
        </w:rPr>
      </w:pPr>
      <w:r>
        <w:rPr/>
        <w:br w:type="column"/>
      </w:r>
      <w:r>
        <w:rPr>
          <w:rFonts w:ascii="宋体"/>
          <w:sz w:val="35"/>
        </w:rPr>
      </w:r>
    </w:p>
    <w:p>
      <w:pPr>
        <w:pStyle w:val="BodyText"/>
        <w:spacing w:line="240" w:lineRule="auto"/>
        <w:ind w:left="624" w:right="0"/>
        <w:jc w:val="left"/>
      </w:pPr>
      <w:r>
        <w:rPr/>
        <w:t>单位：万元</w:t>
      </w:r>
    </w:p>
    <w:p>
      <w:pPr>
        <w:spacing w:after="0" w:line="240" w:lineRule="auto"/>
        <w:jc w:val="left"/>
        <w:sectPr>
          <w:type w:val="continuous"/>
          <w:pgSz w:w="12240" w:h="15840"/>
          <w:pgMar w:top="1500" w:bottom="0" w:left="1500" w:right="0"/>
          <w:cols w:num="2" w:equalWidth="0">
            <w:col w:w="4347" w:space="2926"/>
            <w:col w:w="346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36"/>
        <w:ind w:left="0" w:right="1534" w:firstLine="0"/>
        <w:jc w:val="right"/>
        <w:rPr>
          <w:rFonts w:ascii="宋体" w:hAnsi="宋体" w:cs="宋体" w:eastAsia="宋体" w:hint="default"/>
          <w:sz w:val="21"/>
          <w:szCs w:val="21"/>
        </w:rPr>
      </w:pPr>
      <w:r>
        <w:rPr/>
        <w:pict>
          <v:shape style="position:absolute;margin-left:80.543999pt;margin-top:-38.376347pt;width:451.35pt;height:295.0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5"/>
                    <w:gridCol w:w="1414"/>
                    <w:gridCol w:w="1419"/>
                    <w:gridCol w:w="994"/>
                    <w:gridCol w:w="994"/>
                    <w:gridCol w:w="996"/>
                    <w:gridCol w:w="891"/>
                  </w:tblGrid>
                  <w:tr>
                    <w:trPr>
                      <w:trHeight w:val="283" w:hRule="exact"/>
                    </w:trPr>
                    <w:tc>
                      <w:tcPr>
                        <w:tcW w:w="90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300" w:lineRule="exact"/>
                          <w:ind w:left="2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00" w:right="70" w:hanging="3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00" w:right="69" w:hanging="29"/>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21" w:right="122" w:firstLine="100"/>
                          <w:jc w:val="left"/>
                          <w:rPr>
                            <w:rFonts w:ascii="Calibri" w:hAnsi="Calibri" w:cs="Calibri" w:eastAsia="Calibri"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4"/>
                            <w:sz w:val="21"/>
                            <w:szCs w:val="21"/>
                          </w:rPr>
                          <w:t>增减（</w:t>
                        </w:r>
                        <w:r>
                          <w:rPr>
                            <w:rFonts w:ascii="Calibri" w:hAnsi="Calibri" w:cs="Calibri" w:eastAsia="Calibri" w:hint="default"/>
                            <w:spacing w:val="-14"/>
                            <w:sz w:val="21"/>
                            <w:szCs w:val="21"/>
                          </w:rPr>
                          <w:t>%</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通信行业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27,374.62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18,202.07</w:t>
                        </w:r>
                        <w:r>
                          <w:rPr>
                            <w:rFonts w:ascii="Calibri"/>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33.51%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43.98%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42.04%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0.91%</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电力水利铁路交通行业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42,072.98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28,807.95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31.53%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28.53%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26.95%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0.85%</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石油化工行业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7,089.23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4,919.74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30.60%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26.72%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27.25%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-0.29%</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29,182.05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19,714.97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32.44%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20.52%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17.79%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1.56%</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金融保险医保行业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109,431.66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75,747.84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30.78%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59.43%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59.03%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0.18%</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计算机服务业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14,765.92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10,734.27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25.19%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21.46%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2.24%</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8,944.23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6,263.16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29.98%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30.48%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25.49%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2.78%</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18,497.10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12,829.40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30.64%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27.19%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21.75%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3.10%</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257,357.80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177,219.39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31.14%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40.34%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38.34%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0.94%</w:t>
                        </w:r>
                      </w:p>
                    </w:tc>
                  </w:tr>
                  <w:tr>
                    <w:trPr>
                      <w:trHeight w:val="283" w:hRule="exact"/>
                    </w:trPr>
                    <w:tc>
                      <w:tcPr>
                        <w:tcW w:w="90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300" w:lineRule="exact"/>
                          <w:ind w:left="2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00" w:right="70" w:hanging="3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00" w:right="69" w:hanging="29"/>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21" w:right="122" w:firstLine="100"/>
                          <w:jc w:val="left"/>
                          <w:rPr>
                            <w:rFonts w:ascii="Calibri" w:hAnsi="Calibri" w:cs="Calibri" w:eastAsia="Calibri"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4"/>
                            <w:sz w:val="21"/>
                            <w:szCs w:val="21"/>
                          </w:rPr>
                          <w:t>增减（</w:t>
                        </w:r>
                        <w:r>
                          <w:rPr>
                            <w:rFonts w:ascii="Calibri" w:hAnsi="Calibri" w:cs="Calibri" w:eastAsia="Calibri" w:hint="default"/>
                            <w:spacing w:val="-14"/>
                            <w:sz w:val="21"/>
                            <w:szCs w:val="21"/>
                          </w:rPr>
                          <w:t>%</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184,883.15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157,192.30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14.98%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42.99%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28.82%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1.52%</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自制及定制软件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37,175.49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9,903.02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73.36%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16.10%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-0.80%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4.54%</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35,299.16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10,124.07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71.32%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59.93%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38.45%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-0.45%</w:t>
                        </w:r>
                      </w:p>
                    </w:tc>
                  </w:tr>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257,357.80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Calibri" w:hAnsi="Calibri" w:cs="Calibri" w:eastAsia="Calibri" w:hint="default"/>
                            <w:sz w:val="21"/>
                            <w:szCs w:val="21"/>
                          </w:rPr>
                        </w:pPr>
                        <w:r>
                          <w:rPr>
                            <w:rFonts w:ascii="Calibri"/>
                            <w:spacing w:val="-1"/>
                            <w:sz w:val="21"/>
                          </w:rPr>
                          <w:t>177,219.39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Calibri" w:hAnsi="Calibri" w:cs="Calibri" w:eastAsia="Calibri" w:hint="default"/>
                            <w:sz w:val="21"/>
                            <w:szCs w:val="21"/>
                          </w:rPr>
                        </w:pPr>
                        <w:r>
                          <w:rPr>
                            <w:rFonts w:ascii="Calibri"/>
                            <w:spacing w:val="-1"/>
                            <w:sz w:val="21"/>
                          </w:rPr>
                          <w:t>31.14%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40.34%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Calibri" w:hAnsi="Calibri" w:cs="Calibri" w:eastAsia="Calibri" w:hint="default"/>
                            <w:sz w:val="21"/>
                            <w:szCs w:val="21"/>
                          </w:rPr>
                        </w:pPr>
                        <w:r>
                          <w:rPr>
                            <w:rFonts w:ascii="Calibri"/>
                            <w:spacing w:val="-1"/>
                            <w:sz w:val="21"/>
                          </w:rPr>
                          <w:t>27.71%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Calibri" w:hAnsi="Calibri" w:cs="Calibri" w:eastAsia="Calibri" w:hint="default"/>
                            <w:sz w:val="21"/>
                            <w:szCs w:val="21"/>
                          </w:rPr>
                        </w:pPr>
                        <w:r>
                          <w:rPr>
                            <w:rFonts w:ascii="Calibri"/>
                            <w:spacing w:val="-1"/>
                            <w:sz w:val="21"/>
                          </w:rPr>
                          <w:t>1.00%</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6"/>
        <w:ind w:left="0" w:right="1534"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2240" w:h="15840"/>
          <w:pgMar w:top="1500" w:bottom="0" w:left="1500" w:right="0"/>
        </w:sectPr>
      </w:pPr>
    </w:p>
    <w:p>
      <w:pPr>
        <w:pStyle w:val="BodyText"/>
        <w:spacing w:line="240" w:lineRule="auto" w:before="26"/>
        <w:ind w:left="624" w:right="-19"/>
        <w:jc w:val="left"/>
      </w:pPr>
      <w:r>
        <w:rPr/>
        <w:t>（</w:t>
      </w:r>
      <w:r>
        <w:rPr>
          <w:rFonts w:ascii="Calibri" w:hAnsi="Calibri" w:cs="Calibri" w:eastAsia="Calibri" w:hint="default"/>
        </w:rPr>
        <w:t>2</w:t>
      </w:r>
      <w:r>
        <w:rPr/>
        <w:t>）主营业务分地区情况</w:t>
      </w:r>
    </w:p>
    <w:p>
      <w:pPr>
        <w:spacing w:line="240" w:lineRule="auto" w:before="10"/>
        <w:rPr>
          <w:rFonts w:ascii="宋体" w:hAnsi="宋体" w:cs="宋体" w:eastAsia="宋体" w:hint="default"/>
          <w:sz w:val="35"/>
          <w:szCs w:val="35"/>
        </w:rPr>
      </w:pPr>
      <w:r>
        <w:rPr/>
        <w:br w:type="column"/>
      </w:r>
      <w:r>
        <w:rPr>
          <w:rFonts w:ascii="宋体"/>
          <w:sz w:val="35"/>
        </w:rPr>
      </w:r>
    </w:p>
    <w:p>
      <w:pPr>
        <w:pStyle w:val="BodyText"/>
        <w:spacing w:line="240" w:lineRule="auto"/>
        <w:ind w:left="624" w:right="0"/>
        <w:jc w:val="left"/>
      </w:pPr>
      <w:r>
        <w:rPr/>
        <w:t>单位：万元</w:t>
      </w:r>
    </w:p>
    <w:p>
      <w:pPr>
        <w:spacing w:after="0" w:line="240" w:lineRule="auto"/>
        <w:jc w:val="left"/>
        <w:sectPr>
          <w:type w:val="continuous"/>
          <w:pgSz w:w="12240" w:h="15840"/>
          <w:pgMar w:top="1500" w:bottom="0" w:left="1500" w:right="0"/>
          <w:cols w:num="2" w:equalWidth="0">
            <w:col w:w="3387" w:space="3886"/>
            <w:col w:w="3467"/>
          </w:cols>
        </w:sectPr>
      </w:pPr>
    </w:p>
    <w:p>
      <w:pPr>
        <w:spacing w:line="240" w:lineRule="auto" w:before="1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47"/>
        <w:gridCol w:w="2835"/>
        <w:gridCol w:w="3030"/>
      </w:tblGrid>
      <w:tr>
        <w:trPr>
          <w:trHeight w:val="320" w:hRule="exact"/>
        </w:trPr>
        <w:tc>
          <w:tcPr>
            <w:tcW w:w="3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地区</w:t>
            </w:r>
          </w:p>
        </w:tc>
        <w:tc>
          <w:tcPr>
            <w:tcW w:w="2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93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0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Calibri" w:hAnsi="Calibri" w:cs="Calibri" w:eastAsia="Calibri" w:hint="default"/>
                <w:sz w:val="24"/>
                <w:szCs w:val="24"/>
              </w:rPr>
              <w:t>%</w:t>
            </w:r>
            <w:r>
              <w:rPr>
                <w:rFonts w:ascii="宋体" w:hAnsi="宋体" w:cs="宋体" w:eastAsia="宋体" w:hint="default"/>
                <w:sz w:val="24"/>
                <w:szCs w:val="24"/>
              </w:rPr>
              <w:t>）</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16,803.74</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35.04%</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143,434.42</w:t>
            </w:r>
            <w:r>
              <w:rPr>
                <w:rFonts w:ascii="Calibri"/>
                <w:sz w:val="24"/>
              </w:rPr>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28.90%</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华东地区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38,381.61</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28.66%</w:t>
            </w:r>
          </w:p>
        </w:tc>
      </w:tr>
    </w:tbl>
    <w:p>
      <w:pPr>
        <w:spacing w:after="0" w:line="240" w:lineRule="auto"/>
        <w:jc w:val="right"/>
        <w:rPr>
          <w:rFonts w:ascii="Calibri" w:hAnsi="Calibri" w:cs="Calibri" w:eastAsia="Calibri" w:hint="default"/>
          <w:sz w:val="24"/>
          <w:szCs w:val="24"/>
        </w:rPr>
        <w:sectPr>
          <w:type w:val="continuous"/>
          <w:pgSz w:w="12240" w:h="15840"/>
          <w:pgMar w:top="1500" w:bottom="0" w:left="1500" w:right="0"/>
        </w:sectPr>
      </w:pPr>
    </w:p>
    <w:p>
      <w:pPr>
        <w:spacing w:line="240" w:lineRule="auto" w:before="4"/>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3147"/>
        <w:gridCol w:w="2835"/>
        <w:gridCol w:w="3030"/>
      </w:tblGrid>
      <w:tr>
        <w:trPr>
          <w:trHeight w:val="333" w:hRule="exact"/>
        </w:trPr>
        <w:tc>
          <w:tcPr>
            <w:tcW w:w="3147"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28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pacing w:val="-1"/>
                <w:sz w:val="24"/>
              </w:rPr>
              <w:t>8,612.39</w:t>
            </w:r>
          </w:p>
        </w:tc>
        <w:tc>
          <w:tcPr>
            <w:tcW w:w="30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z w:val="24"/>
              </w:rPr>
              <w:t>7.65%</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11,412.55</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z w:val="24"/>
              </w:rPr>
              <w:t>242.83%</w:t>
            </w:r>
          </w:p>
        </w:tc>
      </w:tr>
      <w:tr>
        <w:trPr>
          <w:trHeight w:val="319"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20,997.82</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Calibri" w:hAnsi="Calibri" w:cs="Calibri" w:eastAsia="Calibri" w:hint="default"/>
                <w:sz w:val="24"/>
                <w:szCs w:val="24"/>
              </w:rPr>
            </w:pPr>
            <w:r>
              <w:rPr>
                <w:rFonts w:ascii="Calibri"/>
                <w:sz w:val="24"/>
              </w:rPr>
              <w:t>125.87%</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Calibri" w:hAnsi="Calibri" w:cs="Calibri" w:eastAsia="Calibri" w:hint="default"/>
                <w:sz w:val="24"/>
                <w:szCs w:val="24"/>
              </w:rPr>
            </w:pPr>
            <w:r>
              <w:rPr>
                <w:rFonts w:ascii="Calibri"/>
                <w:sz w:val="24"/>
              </w:rPr>
              <w:t>17,715.28</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92.34%</w:t>
            </w:r>
          </w:p>
        </w:tc>
      </w:tr>
      <w:tr>
        <w:trPr>
          <w:trHeight w:val="32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Calibri" w:hAnsi="Calibri" w:cs="Calibri" w:eastAsia="Calibri" w:hint="default"/>
                <w:sz w:val="24"/>
                <w:szCs w:val="24"/>
              </w:rPr>
            </w:pPr>
            <w:r>
              <w:rPr>
                <w:rFonts w:ascii="Calibri"/>
                <w:spacing w:val="-1"/>
                <w:sz w:val="24"/>
              </w:rPr>
              <w:t>257,357.80</w:t>
            </w:r>
            <w:r>
              <w:rPr>
                <w:rFonts w:ascii="Calibri"/>
                <w:sz w:val="24"/>
              </w:rPr>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Calibri" w:hAnsi="Calibri" w:cs="Calibri" w:eastAsia="Calibri" w:hint="default"/>
                <w:sz w:val="24"/>
                <w:szCs w:val="24"/>
              </w:rPr>
            </w:pPr>
            <w:r>
              <w:rPr>
                <w:rFonts w:ascii="Calibri"/>
                <w:spacing w:val="-1"/>
                <w:sz w:val="24"/>
              </w:rPr>
              <w:t>40.34%</w:t>
            </w:r>
          </w:p>
        </w:tc>
      </w:tr>
    </w:tbl>
    <w:p>
      <w:pPr>
        <w:pStyle w:val="BodyText"/>
        <w:spacing w:line="357" w:lineRule="auto" w:before="79"/>
        <w:ind w:left="224" w:right="1712" w:firstLine="479"/>
        <w:jc w:val="both"/>
      </w:pPr>
      <w:r>
        <w:rPr/>
        <w:t>报告期内，公司主营业务同比有较大增长，主要原因是公司承接的项目稳定增长 以及合并北京神州新桥科技有限公司。公司华中、西北、西南地区的收入大幅增长， 主要是因为公司大力开拓新的市场，卓有成效。</w:t>
      </w:r>
    </w:p>
    <w:p>
      <w:pPr>
        <w:spacing w:line="240" w:lineRule="auto" w:before="3"/>
        <w:rPr>
          <w:rFonts w:ascii="宋体" w:hAnsi="宋体" w:cs="宋体" w:eastAsia="宋体" w:hint="default"/>
          <w:sz w:val="27"/>
          <w:szCs w:val="27"/>
        </w:rPr>
      </w:pPr>
    </w:p>
    <w:p>
      <w:pPr>
        <w:pStyle w:val="BodyText"/>
        <w:spacing w:line="240" w:lineRule="auto"/>
        <w:ind w:left="704" w:right="1575"/>
        <w:jc w:val="left"/>
      </w:pPr>
      <w:r>
        <w:rPr/>
        <w:t>（</w:t>
      </w:r>
      <w:r>
        <w:rPr>
          <w:rFonts w:ascii="Calibri" w:hAnsi="Calibri" w:cs="Calibri" w:eastAsia="Calibri" w:hint="default"/>
        </w:rPr>
        <w:t>3</w:t>
      </w:r>
      <w:r>
        <w:rPr/>
        <w:t>）毛利率变动情况</w:t>
      </w: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834"/>
        <w:gridCol w:w="1834"/>
        <w:gridCol w:w="1834"/>
        <w:gridCol w:w="1834"/>
        <w:gridCol w:w="1834"/>
      </w:tblGrid>
      <w:tr>
        <w:trPr>
          <w:trHeight w:val="641" w:hRule="exact"/>
        </w:trPr>
        <w:tc>
          <w:tcPr>
            <w:tcW w:w="1834" w:type="dxa"/>
            <w:tcBorders>
              <w:top w:val="single" w:sz="12" w:space="0" w:color="000000"/>
              <w:left w:val="single" w:sz="4" w:space="0" w:color="000000"/>
              <w:bottom w:val="single" w:sz="4" w:space="0" w:color="000000"/>
              <w:right w:val="single" w:sz="4" w:space="0" w:color="000000"/>
            </w:tcBorders>
            <w:shd w:val="clear" w:color="auto" w:fill="E6E6E6"/>
          </w:tcPr>
          <w:p>
            <w:pPr/>
          </w:p>
        </w:tc>
        <w:tc>
          <w:tcPr>
            <w:tcW w:w="183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5"/>
              <w:ind w:left="3" w:right="0"/>
              <w:jc w:val="center"/>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83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5"/>
              <w:ind w:right="0"/>
              <w:jc w:val="center"/>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83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本年度比上年</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度增减</w:t>
            </w:r>
          </w:p>
        </w:tc>
        <w:tc>
          <w:tcPr>
            <w:tcW w:w="183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5"/>
              <w:ind w:left="518"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w:t>
            </w:r>
          </w:p>
        </w:tc>
      </w:tr>
      <w:tr>
        <w:trPr>
          <w:trHeight w:val="487" w:hRule="exact"/>
        </w:trPr>
        <w:tc>
          <w:tcPr>
            <w:tcW w:w="1834" w:type="dxa"/>
            <w:tcBorders>
              <w:top w:val="single" w:sz="4" w:space="0" w:color="000000"/>
              <w:left w:val="single" w:sz="4" w:space="0" w:color="000000"/>
              <w:bottom w:val="single" w:sz="12" w:space="0" w:color="000000"/>
              <w:right w:val="single" w:sz="4" w:space="0" w:color="000000"/>
            </w:tcBorders>
            <w:shd w:val="clear" w:color="auto" w:fill="E6E6E6"/>
          </w:tcPr>
          <w:p>
            <w:pPr>
              <w:pStyle w:val="TableParagraph"/>
              <w:spacing w:line="276" w:lineRule="exact"/>
              <w:ind w:left="551"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1" w:right="0"/>
              <w:jc w:val="center"/>
              <w:rPr>
                <w:rFonts w:ascii="Calibri" w:hAnsi="Calibri" w:cs="Calibri" w:eastAsia="Calibri" w:hint="default"/>
                <w:sz w:val="24"/>
                <w:szCs w:val="24"/>
              </w:rPr>
            </w:pPr>
            <w:r>
              <w:rPr>
                <w:rFonts w:ascii="Calibri"/>
                <w:sz w:val="24"/>
              </w:rPr>
              <w:t>30.99%</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
              <w:jc w:val="center"/>
              <w:rPr>
                <w:rFonts w:ascii="Calibri" w:hAnsi="Calibri" w:cs="Calibri" w:eastAsia="Calibri" w:hint="default"/>
                <w:sz w:val="24"/>
                <w:szCs w:val="24"/>
              </w:rPr>
            </w:pPr>
            <w:r>
              <w:rPr>
                <w:rFonts w:ascii="Calibri"/>
                <w:sz w:val="24"/>
              </w:rPr>
              <w:t>29.77%</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center"/>
              <w:rPr>
                <w:rFonts w:ascii="Calibri" w:hAnsi="Calibri" w:cs="Calibri" w:eastAsia="Calibri" w:hint="default"/>
                <w:sz w:val="24"/>
                <w:szCs w:val="24"/>
              </w:rPr>
            </w:pPr>
            <w:r>
              <w:rPr>
                <w:rFonts w:ascii="Calibri"/>
                <w:sz w:val="24"/>
              </w:rPr>
              <w:t>1.22%</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551" w:right="0"/>
              <w:jc w:val="left"/>
              <w:rPr>
                <w:rFonts w:ascii="Calibri" w:hAnsi="Calibri" w:cs="Calibri" w:eastAsia="Calibri" w:hint="default"/>
                <w:sz w:val="24"/>
                <w:szCs w:val="24"/>
              </w:rPr>
            </w:pPr>
            <w:r>
              <w:rPr>
                <w:rFonts w:ascii="Calibri"/>
                <w:sz w:val="24"/>
              </w:rPr>
              <w:t>26.46%</w:t>
            </w:r>
          </w:p>
        </w:tc>
      </w:tr>
    </w:tbl>
    <w:p>
      <w:pPr>
        <w:pStyle w:val="BodyText"/>
        <w:spacing w:line="340" w:lineRule="auto" w:before="82"/>
        <w:ind w:left="224" w:right="1712" w:firstLine="479"/>
        <w:jc w:val="both"/>
      </w:pPr>
      <w:r>
        <w:rPr/>
        <w:t>报告期内，公司毛利率为</w:t>
      </w:r>
      <w:r>
        <w:rPr>
          <w:spacing w:val="-62"/>
        </w:rPr>
        <w:t> </w:t>
      </w:r>
      <w:r>
        <w:rPr>
          <w:rFonts w:ascii="Calibri" w:hAnsi="Calibri" w:cs="Calibri" w:eastAsia="Calibri" w:hint="default"/>
        </w:rPr>
        <w:t>30.99%</w:t>
      </w:r>
      <w:r>
        <w:rPr/>
        <w:t>，比上年增长</w:t>
      </w:r>
      <w:r>
        <w:rPr>
          <w:spacing w:val="-62"/>
        </w:rPr>
        <w:t> </w:t>
      </w:r>
      <w:r>
        <w:rPr>
          <w:rFonts w:ascii="Calibri" w:hAnsi="Calibri" w:cs="Calibri" w:eastAsia="Calibri" w:hint="default"/>
        </w:rPr>
        <w:t>1.22%</w:t>
      </w:r>
      <w:r>
        <w:rPr/>
        <w:t>，主要原因是公司主营业务 中毛利率较高的软件和技术服务占比增加。公司利润构成、主营业务及其结构、主营 业务盈利能力未发生重大变化。</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even" r:id="rId34"/>
          <w:footerReference w:type="default" r:id="rId35"/>
          <w:pgSz w:w="12240" w:h="15840"/>
          <w:pgMar w:footer="987" w:header="847" w:top="1360" w:bottom="1180" w:left="1420" w:right="0"/>
          <w:pgNumType w:start="42"/>
        </w:sectPr>
      </w:pPr>
    </w:p>
    <w:p>
      <w:pPr>
        <w:pStyle w:val="BodyText"/>
        <w:spacing w:line="240" w:lineRule="auto" w:before="26"/>
        <w:ind w:left="704" w:right="-19"/>
        <w:jc w:val="left"/>
      </w:pPr>
      <w:r>
        <w:rPr/>
        <w:t>（</w:t>
      </w:r>
      <w:r>
        <w:rPr>
          <w:rFonts w:ascii="Calibri" w:hAnsi="Calibri" w:cs="Calibri" w:eastAsia="Calibri" w:hint="default"/>
        </w:rPr>
        <w:t>4</w:t>
      </w:r>
      <w:r>
        <w:rPr/>
        <w:t>）公司主要供应商、客户情况</w:t>
      </w:r>
    </w:p>
    <w:p>
      <w:pPr>
        <w:spacing w:line="240" w:lineRule="auto" w:before="10"/>
        <w:rPr>
          <w:rFonts w:ascii="宋体" w:hAnsi="宋体" w:cs="宋体" w:eastAsia="宋体" w:hint="default"/>
          <w:sz w:val="35"/>
          <w:szCs w:val="35"/>
        </w:rPr>
      </w:pPr>
      <w:r>
        <w:rPr/>
        <w:br w:type="column"/>
      </w:r>
      <w:r>
        <w:rPr>
          <w:rFonts w:ascii="宋体"/>
          <w:sz w:val="35"/>
        </w:rPr>
      </w:r>
    </w:p>
    <w:p>
      <w:pPr>
        <w:pStyle w:val="BodyText"/>
        <w:spacing w:line="240" w:lineRule="auto"/>
        <w:ind w:left="704" w:right="0"/>
        <w:jc w:val="left"/>
      </w:pPr>
      <w:r>
        <w:rPr/>
        <w:t>单位：元</w:t>
      </w:r>
    </w:p>
    <w:p>
      <w:pPr>
        <w:spacing w:after="0" w:line="240" w:lineRule="auto"/>
        <w:jc w:val="left"/>
        <w:sectPr>
          <w:type w:val="continuous"/>
          <w:pgSz w:w="12240" w:h="15840"/>
          <w:pgMar w:top="1500" w:bottom="0" w:left="1420" w:right="0"/>
          <w:cols w:num="2" w:equalWidth="0">
            <w:col w:w="4188" w:space="3326"/>
            <w:col w:w="330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17"/>
        <w:gridCol w:w="1735"/>
        <w:gridCol w:w="1736"/>
        <w:gridCol w:w="1347"/>
        <w:gridCol w:w="1736"/>
      </w:tblGrid>
      <w:tr>
        <w:trPr>
          <w:trHeight w:val="953" w:hRule="exact"/>
        </w:trPr>
        <w:tc>
          <w:tcPr>
            <w:tcW w:w="2617" w:type="dxa"/>
            <w:tcBorders>
              <w:top w:val="single" w:sz="12" w:space="0" w:color="000000"/>
              <w:left w:val="single" w:sz="4" w:space="0" w:color="000000"/>
              <w:bottom w:val="single" w:sz="4" w:space="0" w:color="000000"/>
              <w:right w:val="single" w:sz="4" w:space="0" w:color="000000"/>
            </w:tcBorders>
            <w:shd w:val="clear" w:color="auto" w:fill="E6E6E6"/>
          </w:tcPr>
          <w:p>
            <w:pPr/>
          </w:p>
        </w:tc>
        <w:tc>
          <w:tcPr>
            <w:tcW w:w="1735"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736"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1347"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73" w:lineRule="exact"/>
              <w:ind w:left="187" w:right="0"/>
              <w:jc w:val="left"/>
              <w:rPr>
                <w:rFonts w:ascii="宋体" w:hAnsi="宋体" w:cs="宋体" w:eastAsia="宋体" w:hint="default"/>
                <w:sz w:val="24"/>
                <w:szCs w:val="24"/>
              </w:rPr>
            </w:pPr>
            <w:r>
              <w:rPr>
                <w:rFonts w:ascii="宋体" w:hAnsi="宋体" w:cs="宋体" w:eastAsia="宋体" w:hint="default"/>
                <w:sz w:val="24"/>
                <w:szCs w:val="24"/>
              </w:rPr>
              <w:t>本年度比</w:t>
            </w:r>
          </w:p>
          <w:p>
            <w:pPr>
              <w:pStyle w:val="TableParagraph"/>
              <w:spacing w:line="310" w:lineRule="exact" w:before="31"/>
              <w:ind w:left="547" w:right="187" w:hanging="360"/>
              <w:jc w:val="left"/>
              <w:rPr>
                <w:rFonts w:ascii="宋体" w:hAnsi="宋体" w:cs="宋体" w:eastAsia="宋体" w:hint="default"/>
                <w:sz w:val="24"/>
                <w:szCs w:val="24"/>
              </w:rPr>
            </w:pPr>
            <w:r>
              <w:rPr>
                <w:rFonts w:ascii="宋体" w:hAnsi="宋体" w:cs="宋体" w:eastAsia="宋体" w:hint="default"/>
                <w:sz w:val="24"/>
                <w:szCs w:val="24"/>
              </w:rPr>
              <w:t>上年度增 减</w:t>
            </w:r>
          </w:p>
        </w:tc>
        <w:tc>
          <w:tcPr>
            <w:tcW w:w="1736"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24"/>
                <w:szCs w:val="24"/>
              </w:rPr>
            </w:pPr>
            <w:r>
              <w:rPr>
                <w:rFonts w:ascii="Calibri" w:hAnsi="Calibri" w:cs="Calibri" w:eastAsia="Calibri" w:hint="default"/>
                <w:sz w:val="24"/>
                <w:szCs w:val="24"/>
              </w:rPr>
              <w:t>2009</w:t>
            </w:r>
            <w:r>
              <w:rPr>
                <w:rFonts w:ascii="Calibri" w:hAnsi="Calibri" w:cs="Calibri" w:eastAsia="Calibri" w:hint="default"/>
                <w:spacing w:val="6"/>
                <w:sz w:val="24"/>
                <w:szCs w:val="24"/>
              </w:rPr>
              <w:t> </w:t>
            </w:r>
            <w:r>
              <w:rPr>
                <w:rFonts w:ascii="宋体" w:hAnsi="宋体" w:cs="宋体" w:eastAsia="宋体" w:hint="default"/>
                <w:sz w:val="24"/>
                <w:szCs w:val="24"/>
              </w:rPr>
              <w:t>年</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前五大供应商采购总额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4"/>
                <w:szCs w:val="24"/>
              </w:rPr>
            </w:pPr>
            <w:r>
              <w:rPr>
                <w:rFonts w:ascii="Calibri"/>
                <w:spacing w:val="-1"/>
                <w:sz w:val="24"/>
              </w:rPr>
              <w:t>488,805,424.50</w:t>
            </w:r>
            <w:r>
              <w:rPr>
                <w:rFonts w:ascii="Calibri"/>
                <w:sz w:val="24"/>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4"/>
                <w:szCs w:val="24"/>
              </w:rPr>
            </w:pPr>
            <w:r>
              <w:rPr>
                <w:rFonts w:ascii="Calibri"/>
                <w:spacing w:val="-1"/>
                <w:sz w:val="24"/>
              </w:rPr>
              <w:t>581,283,053.91</w:t>
            </w:r>
            <w:r>
              <w:rPr>
                <w:rFonts w:ascii="Calibri"/>
                <w:sz w:val="24"/>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-15.91%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390,076,219.02</w:t>
            </w:r>
            <w:r>
              <w:rPr>
                <w:rFonts w:ascii="Calibri"/>
                <w:sz w:val="24"/>
              </w:rPr>
            </w:r>
          </w:p>
        </w:tc>
      </w:tr>
      <w:tr>
        <w:trPr>
          <w:trHeight w:val="634" w:hRule="exact"/>
        </w:trPr>
        <w:tc>
          <w:tcPr>
            <w:tcW w:w="26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前五大供应商占采购总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额的比例</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31.30%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44.69%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-13.39%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37.34%</w:t>
            </w:r>
          </w:p>
        </w:tc>
      </w:tr>
      <w:tr>
        <w:trPr>
          <w:trHeight w:val="319" w:hRule="exact"/>
        </w:trPr>
        <w:tc>
          <w:tcPr>
            <w:tcW w:w="26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前五大客户销售总额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4"/>
                <w:szCs w:val="24"/>
              </w:rPr>
            </w:pPr>
            <w:r>
              <w:rPr>
                <w:rFonts w:ascii="Calibri"/>
                <w:spacing w:val="-1"/>
                <w:sz w:val="24"/>
              </w:rPr>
              <w:t>693,019,110.97</w:t>
            </w:r>
            <w:r>
              <w:rPr>
                <w:rFonts w:ascii="Calibri"/>
                <w:sz w:val="24"/>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4"/>
                <w:szCs w:val="24"/>
              </w:rPr>
            </w:pPr>
            <w:r>
              <w:rPr>
                <w:rFonts w:ascii="Calibri"/>
                <w:spacing w:val="-1"/>
                <w:sz w:val="24"/>
              </w:rPr>
              <w:t>298,907,626.56</w:t>
            </w:r>
            <w:r>
              <w:rPr>
                <w:rFonts w:ascii="Calibri"/>
                <w:sz w:val="24"/>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4"/>
                <w:szCs w:val="24"/>
              </w:rPr>
            </w:pPr>
            <w:r>
              <w:rPr>
                <w:rFonts w:ascii="Calibri"/>
                <w:sz w:val="24"/>
              </w:rPr>
              <w:t>131.85%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4"/>
                <w:szCs w:val="24"/>
              </w:rPr>
            </w:pPr>
            <w:r>
              <w:rPr>
                <w:rFonts w:ascii="Calibri"/>
                <w:spacing w:val="-1"/>
                <w:sz w:val="24"/>
              </w:rPr>
              <w:t>202,997,082.00</w:t>
            </w:r>
            <w:r>
              <w:rPr>
                <w:rFonts w:ascii="Calibri"/>
                <w:sz w:val="24"/>
              </w:rPr>
            </w:r>
          </w:p>
        </w:tc>
      </w:tr>
      <w:tr>
        <w:trPr>
          <w:trHeight w:val="641" w:hRule="exact"/>
        </w:trPr>
        <w:tc>
          <w:tcPr>
            <w:tcW w:w="2617" w:type="dxa"/>
            <w:tcBorders>
              <w:top w:val="single" w:sz="4" w:space="0" w:color="000000"/>
              <w:left w:val="single" w:sz="4" w:space="0" w:color="000000"/>
              <w:bottom w:val="single" w:sz="12" w:space="0" w:color="000000"/>
              <w:right w:val="single" w:sz="4" w:space="0" w:color="000000"/>
            </w:tcBorders>
            <w:shd w:val="clear" w:color="auto" w:fill="E6E6E6"/>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前五大客户占销售总额</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的比例</w:t>
            </w: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26.81%</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15.99%</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10.82%</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4"/>
                <w:szCs w:val="24"/>
              </w:rPr>
            </w:pPr>
            <w:r>
              <w:rPr>
                <w:rFonts w:ascii="Calibri"/>
                <w:spacing w:val="-1"/>
                <w:sz w:val="24"/>
              </w:rPr>
              <w:t>10.73%</w:t>
            </w:r>
          </w:p>
        </w:tc>
      </w:tr>
    </w:tbl>
    <w:p>
      <w:pPr>
        <w:pStyle w:val="BodyText"/>
        <w:spacing w:line="345" w:lineRule="auto" w:before="82"/>
        <w:ind w:left="224" w:right="1641" w:firstLine="479"/>
        <w:jc w:val="both"/>
      </w:pPr>
      <w:r>
        <w:rPr/>
        <w:t>报告期内，公司前五大供应商、前五大客户均未发生重大变化。前五大客户、前 五大供应商与上市公司均不存在关联关系，公司董事、监事、高级管理人员、核心技 </w:t>
      </w:r>
      <w:r>
        <w:rPr>
          <w:spacing w:val="-3"/>
        </w:rPr>
        <w:t>术人员、持股</w:t>
      </w:r>
      <w:r>
        <w:rPr>
          <w:spacing w:val="-85"/>
        </w:rPr>
        <w:t> </w:t>
      </w:r>
      <w:r>
        <w:rPr>
          <w:rFonts w:ascii="Calibri" w:hAnsi="Calibri" w:cs="Calibri" w:eastAsia="Calibri" w:hint="default"/>
        </w:rPr>
        <w:t>5%</w:t>
      </w:r>
      <w:r>
        <w:rPr/>
        <w:t>以上股东、实际控制人和其他关联方未在主要供应商、客户中直接或 间接拥有权益。</w:t>
      </w:r>
    </w:p>
    <w:p>
      <w:pPr>
        <w:spacing w:after="0" w:line="345" w:lineRule="auto"/>
        <w:jc w:val="both"/>
        <w:sectPr>
          <w:type w:val="continuous"/>
          <w:pgSz w:w="12240" w:h="15840"/>
          <w:pgMar w:top="1500" w:bottom="0" w:left="1420" w:right="0"/>
        </w:sectPr>
      </w:pPr>
    </w:p>
    <w:p>
      <w:pPr>
        <w:spacing w:line="240" w:lineRule="auto" w:before="4"/>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before="41"/>
        <w:ind w:left="224" w:right="1575"/>
        <w:jc w:val="left"/>
        <w:rPr>
          <w:b w:val="0"/>
          <w:bCs w:val="0"/>
        </w:rPr>
      </w:pPr>
      <w:r>
        <w:rPr>
          <w:rFonts w:ascii="Calibri" w:hAnsi="Calibri" w:cs="Calibri" w:eastAsia="Calibri" w:hint="default"/>
        </w:rPr>
        <w:t>3</w:t>
      </w:r>
      <w:r>
        <w:rPr/>
        <w:t>、主要资产和负债情况</w:t>
      </w:r>
      <w:r>
        <w:rPr>
          <w:b w:val="0"/>
          <w:bCs w:val="0"/>
        </w:rPr>
      </w:r>
    </w:p>
    <w:p>
      <w:pPr>
        <w:spacing w:line="240" w:lineRule="auto" w:before="6"/>
        <w:rPr>
          <w:rFonts w:ascii="黑体" w:hAnsi="黑体" w:cs="黑体" w:eastAsia="黑体" w:hint="default"/>
          <w:b/>
          <w:bCs/>
          <w:sz w:val="22"/>
          <w:szCs w:val="22"/>
        </w:rPr>
      </w:pPr>
    </w:p>
    <w:p>
      <w:pPr>
        <w:pStyle w:val="BodyText"/>
        <w:spacing w:line="240" w:lineRule="auto"/>
        <w:ind w:left="704" w:right="1575"/>
        <w:jc w:val="left"/>
      </w:pPr>
      <w:r>
        <w:rPr/>
        <w:t>（</w:t>
      </w:r>
      <w:r>
        <w:rPr>
          <w:rFonts w:ascii="Calibri" w:hAnsi="Calibri" w:cs="Calibri" w:eastAsia="Calibri" w:hint="default"/>
        </w:rPr>
        <w:t>1</w:t>
      </w:r>
      <w:r>
        <w:rPr/>
        <w:t>）资产构成情况</w:t>
      </w:r>
    </w:p>
    <w:p>
      <w:pPr>
        <w:spacing w:line="240" w:lineRule="auto" w:before="7"/>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855"/>
        <w:gridCol w:w="1803"/>
        <w:gridCol w:w="1049"/>
        <w:gridCol w:w="1824"/>
        <w:gridCol w:w="1090"/>
        <w:gridCol w:w="1548"/>
      </w:tblGrid>
      <w:tr>
        <w:trPr>
          <w:trHeight w:val="292" w:hRule="exact"/>
        </w:trPr>
        <w:tc>
          <w:tcPr>
            <w:tcW w:w="1855" w:type="dxa"/>
            <w:vMerge w:val="restart"/>
            <w:tcBorders>
              <w:top w:val="single" w:sz="12" w:space="0" w:color="000000"/>
              <w:left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2852"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9" w:lineRule="exact"/>
              <w:ind w:left="547"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914"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9" w:lineRule="exact"/>
              <w:ind w:left="57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1548" w:type="dxa"/>
            <w:vMerge w:val="restart"/>
            <w:tcBorders>
              <w:top w:val="single" w:sz="12" w:space="0" w:color="000000"/>
              <w:left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828" w:hRule="exact"/>
        </w:trPr>
        <w:tc>
          <w:tcPr>
            <w:tcW w:w="1855" w:type="dxa"/>
            <w:vMerge/>
            <w:tcBorders>
              <w:left w:val="single" w:sz="4" w:space="0" w:color="000000"/>
              <w:bottom w:val="single" w:sz="4" w:space="0" w:color="000000"/>
              <w:right w:val="single" w:sz="4" w:space="0" w:color="000000"/>
            </w:tcBorders>
            <w:shd w:val="clear" w:color="auto" w:fill="E6E6E6"/>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2" w:lineRule="exact" w:before="27"/>
              <w:ind w:left="412" w:right="201" w:hanging="209"/>
              <w:jc w:val="left"/>
              <w:rPr>
                <w:rFonts w:ascii="宋体" w:hAnsi="宋体" w:cs="宋体" w:eastAsia="宋体" w:hint="default"/>
                <w:sz w:val="21"/>
                <w:szCs w:val="21"/>
              </w:rPr>
            </w:pPr>
            <w:r>
              <w:rPr>
                <w:rFonts w:ascii="宋体" w:hAnsi="宋体" w:cs="宋体" w:eastAsia="宋体" w:hint="default"/>
                <w:sz w:val="21"/>
                <w:szCs w:val="21"/>
              </w:rPr>
              <w:t>产的比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6" w:hanging="104"/>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的比例</w:t>
            </w:r>
          </w:p>
        </w:tc>
        <w:tc>
          <w:tcPr>
            <w:tcW w:w="1548" w:type="dxa"/>
            <w:vMerge/>
            <w:tcBorders>
              <w:left w:val="single" w:sz="4" w:space="0" w:color="000000"/>
              <w:bottom w:val="single" w:sz="4" w:space="0" w:color="000000"/>
              <w:right w:val="single" w:sz="4" w:space="0" w:color="000000"/>
            </w:tcBorders>
            <w:shd w:val="clear" w:color="auto" w:fill="E6E6E6"/>
          </w:tcPr>
          <w:p>
            <w:pP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449,721,782.23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13.40%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432,230,533.86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18.17%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4.05%</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68,479,318.31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30,376,567.48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1.28%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125.43%</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650,674,396.86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19.39%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437,889,551.17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18.41%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48.59%</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89,168,901.60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105,957,319.01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4.45%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-15.84%</w:t>
            </w:r>
          </w:p>
        </w:tc>
      </w:tr>
      <w:tr>
        <w:trPr>
          <w:trHeight w:val="284"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137,900,451.60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4.11%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2"/>
                <w:sz w:val="21"/>
              </w:rPr>
              <w:t>113,765,086.45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1"/>
                <w:sz w:val="21"/>
              </w:rPr>
              <w:t>4.78%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21.22%</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1,202,015,331.31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35.82%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788,786,006.02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33.16%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52.39%</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40,717,000.00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1.21%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40,717,000.00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1.71%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5,825,506.64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16,700,605.56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0.70%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-65.12%</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214,314,172.12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6.39%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140,726,700.36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5.92%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52.29%</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8,916,239.49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13,777,846.28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0.58%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-35.29%</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6,005,923.42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5,576,901.93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0.23%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7.69%</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474,828,463.00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14.15%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247,618,632.50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10.41%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91.76%</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2,094,171.68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2,105,619.48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0.09%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-0.54%</w:t>
            </w:r>
          </w:p>
        </w:tc>
      </w:tr>
      <w:tr>
        <w:trPr>
          <w:trHeight w:val="290" w:hRule="exact"/>
        </w:trPr>
        <w:tc>
          <w:tcPr>
            <w:tcW w:w="1855" w:type="dxa"/>
            <w:tcBorders>
              <w:top w:val="single" w:sz="4" w:space="0" w:color="000000"/>
              <w:left w:val="single" w:sz="4" w:space="0" w:color="000000"/>
              <w:bottom w:val="single" w:sz="12"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5,040,318.03</w:t>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0.15%</w:t>
            </w:r>
          </w:p>
        </w:tc>
        <w:tc>
          <w:tcPr>
            <w:tcW w:w="1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2,575,087.41</w:t>
            </w: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0.11%</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95.73%</w:t>
            </w:r>
          </w:p>
        </w:tc>
      </w:tr>
    </w:tbl>
    <w:p>
      <w:pPr>
        <w:pStyle w:val="BodyText"/>
        <w:spacing w:line="240" w:lineRule="auto" w:before="82"/>
        <w:ind w:left="704" w:right="1575"/>
        <w:jc w:val="left"/>
      </w:pPr>
      <w:r>
        <w:rPr/>
        <w:t>变动原因分析及主要资产计量属性：</w:t>
      </w:r>
    </w:p>
    <w:p>
      <w:pPr>
        <w:spacing w:line="240" w:lineRule="auto" w:before="13"/>
        <w:rPr>
          <w:rFonts w:ascii="宋体" w:hAnsi="宋体" w:cs="宋体" w:eastAsia="宋体" w:hint="default"/>
          <w:sz w:val="20"/>
          <w:szCs w:val="20"/>
        </w:rPr>
      </w:pPr>
    </w:p>
    <w:p>
      <w:pPr>
        <w:pStyle w:val="BodyText"/>
        <w:spacing w:line="324" w:lineRule="auto"/>
        <w:ind w:left="224" w:right="1627" w:firstLine="479"/>
        <w:jc w:val="left"/>
      </w:pPr>
      <w:r>
        <w:rPr/>
        <w:t>应收票据较上年同期增长</w:t>
      </w:r>
      <w:r>
        <w:rPr>
          <w:spacing w:val="-59"/>
        </w:rPr>
        <w:t> </w:t>
      </w:r>
      <w:r>
        <w:rPr>
          <w:rFonts w:ascii="Calibri" w:hAnsi="Calibri" w:cs="Calibri" w:eastAsia="Calibri" w:hint="default"/>
          <w:spacing w:val="-4"/>
        </w:rPr>
        <w:t>125.43%</w:t>
      </w:r>
      <w:r>
        <w:rPr>
          <w:spacing w:val="-4"/>
        </w:rPr>
        <w:t>、主要原因系公司承接的项目大幅增加以及以应</w:t>
      </w:r>
      <w:r>
        <w:rPr/>
        <w:t> 收票据结算的项目款增加所致。</w:t>
      </w:r>
    </w:p>
    <w:p>
      <w:pPr>
        <w:pStyle w:val="BodyText"/>
        <w:spacing w:line="324" w:lineRule="auto" w:before="190"/>
        <w:ind w:left="224" w:right="1640" w:firstLine="479"/>
        <w:jc w:val="left"/>
      </w:pPr>
      <w:r>
        <w:rPr/>
        <w:t>应收账款较上年同期增长</w:t>
      </w:r>
      <w:r>
        <w:rPr>
          <w:spacing w:val="-62"/>
        </w:rPr>
        <w:t> </w:t>
      </w:r>
      <w:r>
        <w:rPr>
          <w:rFonts w:ascii="Calibri" w:hAnsi="Calibri" w:cs="Calibri" w:eastAsia="Calibri" w:hint="default"/>
        </w:rPr>
        <w:t>48.59%</w:t>
      </w:r>
      <w:r>
        <w:rPr/>
        <w:t>，主要原因为本期承接的项目大幅增加，已完工 尚未结算的款项增多，以及合并新增子公司所致。</w:t>
      </w:r>
    </w:p>
    <w:p>
      <w:pPr>
        <w:pStyle w:val="BodyText"/>
        <w:spacing w:line="324" w:lineRule="auto" w:before="190"/>
        <w:ind w:left="224" w:right="1640" w:firstLine="479"/>
        <w:jc w:val="left"/>
      </w:pPr>
      <w:r>
        <w:rPr/>
        <w:t>存货较上年同期增加</w:t>
      </w:r>
      <w:r>
        <w:rPr>
          <w:spacing w:val="-62"/>
        </w:rPr>
        <w:t> </w:t>
      </w:r>
      <w:r>
        <w:rPr>
          <w:rFonts w:ascii="Calibri" w:hAnsi="Calibri" w:cs="Calibri" w:eastAsia="Calibri" w:hint="default"/>
        </w:rPr>
        <w:t>52.39%</w:t>
      </w:r>
      <w:r>
        <w:rPr/>
        <w:t>，主要原因系本期公司承揽项目大幅增加，系统集成 项目中已代用户采购并发往现场、处于安装调试阶段、未经最终验收的产品增加。</w:t>
      </w:r>
    </w:p>
    <w:p>
      <w:pPr>
        <w:pStyle w:val="BodyText"/>
        <w:spacing w:line="324" w:lineRule="auto" w:before="190"/>
        <w:ind w:left="224" w:right="1512" w:firstLine="479"/>
        <w:jc w:val="left"/>
      </w:pPr>
      <w:r>
        <w:rPr/>
        <w:t>投资性房地产较上年同期减少</w:t>
      </w:r>
      <w:r>
        <w:rPr>
          <w:spacing w:val="-44"/>
        </w:rPr>
        <w:t> </w:t>
      </w:r>
      <w:r>
        <w:rPr>
          <w:rFonts w:ascii="Calibri" w:hAnsi="Calibri" w:cs="Calibri" w:eastAsia="Calibri" w:hint="default"/>
          <w:spacing w:val="-5"/>
        </w:rPr>
        <w:t>65.12%</w:t>
      </w:r>
      <w:r>
        <w:rPr>
          <w:spacing w:val="-5"/>
        </w:rPr>
        <w:t>，主要原因为系部分投资性房地产转为自用，</w:t>
      </w:r>
      <w:r>
        <w:rPr/>
        <w:t> 原值及累计折旧转回固定资产核算。</w:t>
      </w:r>
    </w:p>
    <w:p>
      <w:pPr>
        <w:pStyle w:val="BodyText"/>
        <w:spacing w:line="326" w:lineRule="auto" w:before="190"/>
        <w:ind w:left="224" w:right="1640" w:firstLine="479"/>
        <w:jc w:val="left"/>
      </w:pPr>
      <w:r>
        <w:rPr/>
        <w:t>固定资产较上年增加</w:t>
      </w:r>
      <w:r>
        <w:rPr>
          <w:spacing w:val="-62"/>
        </w:rPr>
        <w:t> </w:t>
      </w:r>
      <w:r>
        <w:rPr>
          <w:rFonts w:ascii="Calibri" w:hAnsi="Calibri" w:cs="Calibri" w:eastAsia="Calibri" w:hint="default"/>
        </w:rPr>
        <w:t>52.29%</w:t>
      </w:r>
      <w:r>
        <w:rPr/>
        <w:t>，主要原因系部分投资性房地产、在建工程转为固定 资产。</w:t>
      </w:r>
    </w:p>
    <w:p>
      <w:pPr>
        <w:pStyle w:val="BodyText"/>
        <w:spacing w:line="240" w:lineRule="auto" w:before="185"/>
        <w:ind w:left="704" w:right="1575"/>
        <w:jc w:val="left"/>
      </w:pPr>
      <w:r>
        <w:rPr/>
        <w:t>在建工程较上年减少</w:t>
      </w:r>
      <w:r>
        <w:rPr>
          <w:spacing w:val="-62"/>
        </w:rPr>
        <w:t> </w:t>
      </w:r>
      <w:r>
        <w:rPr>
          <w:rFonts w:ascii="Calibri" w:hAnsi="Calibri" w:cs="Calibri" w:eastAsia="Calibri" w:hint="default"/>
        </w:rPr>
        <w:t>35.29%</w:t>
      </w:r>
      <w:r>
        <w:rPr/>
        <w:t>，主要原因系部分在建工程转固定资产所致。</w:t>
      </w:r>
    </w:p>
    <w:p>
      <w:pPr>
        <w:spacing w:after="0" w:line="240" w:lineRule="auto"/>
        <w:jc w:val="left"/>
        <w:sectPr>
          <w:pgSz w:w="12240" w:h="15840"/>
          <w:pgMar w:header="847" w:footer="987" w:top="1360" w:bottom="1180" w:left="1420" w:right="0"/>
        </w:sectPr>
      </w:pPr>
    </w:p>
    <w:p>
      <w:pPr>
        <w:pStyle w:val="BodyText"/>
        <w:spacing w:line="340" w:lineRule="auto" w:before="11"/>
        <w:ind w:left="224" w:right="1507" w:firstLine="479"/>
        <w:jc w:val="left"/>
      </w:pPr>
      <w:r>
        <w:rPr/>
        <w:pict>
          <v:group style="position:absolute;margin-left:80.783997pt;margin-top:1.845647pt;width:450.6pt;height:.1pt;mso-position-horizontal-relative:page;mso-position-vertical-relative:paragraph;z-index:-864088" coordorigin="1616,37" coordsize="9012,2">
            <v:shape style="position:absolute;left:1616;top:37;width:9012;height:2" coordorigin="1616,37" coordsize="9012,0" path="m1616,37l10627,37e" filled="false" stroked="true" strokeweight=".71999pt" strokecolor="#000000">
              <v:path arrowok="t"/>
            </v:shape>
            <w10:wrap type="none"/>
          </v:group>
        </w:pict>
      </w:r>
      <w:r>
        <w:rPr/>
        <w:t>商誉较上年同期增加</w:t>
      </w:r>
      <w:r>
        <w:rPr>
          <w:spacing w:val="-61"/>
        </w:rPr>
        <w:t> </w:t>
      </w:r>
      <w:r>
        <w:rPr>
          <w:rFonts w:ascii="Calibri" w:hAnsi="Calibri" w:cs="Calibri" w:eastAsia="Calibri" w:hint="default"/>
        </w:rPr>
        <w:t>91.76%</w:t>
      </w:r>
      <w:r>
        <w:rPr/>
        <w:t>，主要原因系本期公司收购北京神州新桥科技有限公 </w:t>
      </w:r>
      <w:r>
        <w:rPr>
          <w:spacing w:val="-2"/>
        </w:rPr>
        <w:t>司，公司合并成本高于北京神州新桥科技有限公司可辨认净资产公允价值份额的差额，</w:t>
      </w:r>
      <w:r>
        <w:rPr>
          <w:spacing w:val="-92"/>
        </w:rPr>
        <w:t> </w:t>
      </w:r>
      <w:r>
        <w:rPr>
          <w:spacing w:val="-92"/>
        </w:rPr>
      </w:r>
      <w:r>
        <w:rPr/>
        <w:t>确认为商誉。</w:t>
      </w:r>
    </w:p>
    <w:p>
      <w:pPr>
        <w:pStyle w:val="BodyText"/>
        <w:spacing w:line="326" w:lineRule="auto" w:before="170"/>
        <w:ind w:left="224" w:right="1640" w:firstLine="479"/>
        <w:jc w:val="left"/>
      </w:pPr>
      <w:r>
        <w:rPr/>
        <w:t>递延所得税资产较上年同期增加</w:t>
      </w:r>
      <w:r>
        <w:rPr>
          <w:spacing w:val="-62"/>
        </w:rPr>
        <w:t> </w:t>
      </w:r>
      <w:r>
        <w:rPr>
          <w:rFonts w:ascii="Calibri" w:hAnsi="Calibri" w:cs="Calibri" w:eastAsia="Calibri" w:hint="default"/>
        </w:rPr>
        <w:t>95.73%</w:t>
      </w:r>
      <w:r>
        <w:rPr/>
        <w:t>，主要原因系计提资产减值准备所对应的 递延所得税资产增加所致。</w:t>
      </w:r>
    </w:p>
    <w:p>
      <w:pPr>
        <w:pStyle w:val="BodyText"/>
        <w:spacing w:line="357" w:lineRule="auto" w:before="185"/>
        <w:ind w:left="224" w:right="1713" w:firstLine="479"/>
        <w:jc w:val="both"/>
      </w:pPr>
      <w:r>
        <w:rPr/>
        <w:t>报告期内，公司主要资产计量属性未发生重大变化。公司资产计量原则采用历史 成本法，资产按购置时支付的现金或者现金等价物的金额，或者按购置资产时所付出 的对价的公允价值计量。资产如果发生减值，则按照相关规定计提相应的减值准备。</w:t>
      </w:r>
    </w:p>
    <w:p>
      <w:pPr>
        <w:spacing w:line="240" w:lineRule="auto" w:before="13"/>
        <w:rPr>
          <w:rFonts w:ascii="宋体" w:hAnsi="宋体" w:cs="宋体" w:eastAsia="宋体" w:hint="default"/>
          <w:sz w:val="26"/>
          <w:szCs w:val="26"/>
        </w:rPr>
      </w:pPr>
    </w:p>
    <w:p>
      <w:pPr>
        <w:pStyle w:val="BodyText"/>
        <w:spacing w:line="240" w:lineRule="auto"/>
        <w:ind w:left="704" w:right="1575"/>
        <w:jc w:val="left"/>
      </w:pPr>
      <w:r>
        <w:rPr/>
        <w:t>（</w:t>
      </w:r>
      <w:r>
        <w:rPr>
          <w:rFonts w:ascii="Calibri" w:hAnsi="Calibri" w:cs="Calibri" w:eastAsia="Calibri" w:hint="default"/>
        </w:rPr>
        <w:t>2</w:t>
      </w:r>
      <w:r>
        <w:rPr/>
        <w:t>）负债构成情况</w:t>
      </w: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807"/>
        <w:gridCol w:w="1844"/>
        <w:gridCol w:w="1056"/>
        <w:gridCol w:w="1824"/>
        <w:gridCol w:w="1090"/>
        <w:gridCol w:w="1548"/>
      </w:tblGrid>
      <w:tr>
        <w:trPr>
          <w:trHeight w:val="293" w:hRule="exact"/>
        </w:trPr>
        <w:tc>
          <w:tcPr>
            <w:tcW w:w="1807" w:type="dxa"/>
            <w:tcBorders>
              <w:top w:val="single" w:sz="12" w:space="0" w:color="000000"/>
              <w:left w:val="single" w:sz="4" w:space="0" w:color="000000"/>
              <w:bottom w:val="nil" w:sz="6" w:space="0" w:color="auto"/>
              <w:right w:val="single" w:sz="4" w:space="0" w:color="000000"/>
            </w:tcBorders>
            <w:shd w:val="clear" w:color="auto" w:fill="E6E6E6"/>
          </w:tcPr>
          <w:p>
            <w:pPr/>
          </w:p>
        </w:tc>
        <w:tc>
          <w:tcPr>
            <w:tcW w:w="2900"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8" w:lineRule="exact"/>
              <w:ind w:left="57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914"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8" w:lineRule="exact"/>
              <w:ind w:left="57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1548" w:type="dxa"/>
            <w:tcBorders>
              <w:top w:val="single" w:sz="12" w:space="0" w:color="000000"/>
              <w:left w:val="single" w:sz="4" w:space="0" w:color="000000"/>
              <w:bottom w:val="nil" w:sz="6" w:space="0" w:color="auto"/>
              <w:right w:val="single" w:sz="4" w:space="0" w:color="000000"/>
            </w:tcBorders>
            <w:shd w:val="clear" w:color="auto" w:fill="E6E6E6"/>
          </w:tcPr>
          <w:p>
            <w:pPr/>
          </w:p>
        </w:tc>
      </w:tr>
      <w:tr>
        <w:trPr>
          <w:trHeight w:val="554" w:hRule="exact"/>
        </w:trPr>
        <w:tc>
          <w:tcPr>
            <w:tcW w:w="1807"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占总负债</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占总负债</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54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203,900,000.00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140,000,000.00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17.38%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45.64%</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68,805,991.00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6.32%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150,253,462.00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18.65%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-54.21%</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169,757,208.94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15.60%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119,053,649.38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14.78%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42.59%</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569,014,606.83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52.29%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334,831,743.17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41.57%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69.94%</w:t>
            </w:r>
          </w:p>
        </w:tc>
      </w:tr>
      <w:tr>
        <w:trPr>
          <w:trHeight w:val="284"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354,245.36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202,275.58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75.13%</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19,461,603.00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16,319,894.02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2.03%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19.25%</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2,633,220.20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0.24%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19,125,290.10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2.37%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-86.23%</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15,801,725.71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8,017,171.92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97.10%</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38,475,839.66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17,755,839.66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2.20%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116.69%</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135.81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135.81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r>
    </w:tbl>
    <w:p>
      <w:pPr>
        <w:pStyle w:val="BodyText"/>
        <w:spacing w:line="240" w:lineRule="auto" w:before="79"/>
        <w:ind w:left="704" w:right="1575"/>
        <w:jc w:val="left"/>
      </w:pPr>
      <w:r>
        <w:rPr/>
        <w:t>变动原因分析：</w:t>
      </w:r>
    </w:p>
    <w:p>
      <w:pPr>
        <w:spacing w:line="240" w:lineRule="auto" w:before="12"/>
        <w:rPr>
          <w:rFonts w:ascii="宋体" w:hAnsi="宋体" w:cs="宋体" w:eastAsia="宋体" w:hint="default"/>
          <w:sz w:val="20"/>
          <w:szCs w:val="20"/>
        </w:rPr>
      </w:pPr>
    </w:p>
    <w:p>
      <w:pPr>
        <w:pStyle w:val="BodyText"/>
        <w:spacing w:line="326" w:lineRule="auto"/>
        <w:ind w:left="224" w:right="1640" w:firstLine="479"/>
        <w:jc w:val="left"/>
      </w:pPr>
      <w:r>
        <w:rPr/>
        <w:t>短期借款较上年同期增加</w:t>
      </w:r>
      <w:r>
        <w:rPr>
          <w:spacing w:val="-62"/>
        </w:rPr>
        <w:t> </w:t>
      </w:r>
      <w:r>
        <w:rPr>
          <w:rFonts w:ascii="Calibri" w:hAnsi="Calibri" w:cs="Calibri" w:eastAsia="Calibri" w:hint="default"/>
        </w:rPr>
        <w:t>45.64%</w:t>
      </w:r>
      <w:r>
        <w:rPr/>
        <w:t>，主要原因系公司本期承接项目大幅增加，为经 营借入流动资金所致。</w:t>
      </w:r>
    </w:p>
    <w:p>
      <w:pPr>
        <w:pStyle w:val="BodyText"/>
        <w:spacing w:line="326" w:lineRule="auto" w:before="185"/>
        <w:ind w:left="224" w:right="1640" w:firstLine="479"/>
        <w:jc w:val="left"/>
      </w:pPr>
      <w:r>
        <w:rPr/>
        <w:t>应付票据较上年同期减少</w:t>
      </w:r>
      <w:r>
        <w:rPr>
          <w:spacing w:val="-62"/>
        </w:rPr>
        <w:t> </w:t>
      </w:r>
      <w:r>
        <w:rPr>
          <w:rFonts w:ascii="Calibri" w:hAnsi="Calibri" w:cs="Calibri" w:eastAsia="Calibri" w:hint="default"/>
        </w:rPr>
        <w:t>54.21%</w:t>
      </w:r>
      <w:r>
        <w:rPr/>
        <w:t>，主要原因系公司本期以银行承兑汇票方式结算 的采购货款减少所致。</w:t>
      </w:r>
    </w:p>
    <w:p>
      <w:pPr>
        <w:pStyle w:val="BodyText"/>
        <w:spacing w:line="326" w:lineRule="auto" w:before="185"/>
        <w:ind w:left="224" w:right="1640" w:firstLine="479"/>
        <w:jc w:val="left"/>
      </w:pPr>
      <w:r>
        <w:rPr/>
        <w:t>应付账款较上年同期增加</w:t>
      </w:r>
      <w:r>
        <w:rPr>
          <w:spacing w:val="-62"/>
        </w:rPr>
        <w:t> </w:t>
      </w:r>
      <w:r>
        <w:rPr>
          <w:rFonts w:ascii="Calibri" w:hAnsi="Calibri" w:cs="Calibri" w:eastAsia="Calibri" w:hint="default"/>
        </w:rPr>
        <w:t>42.59%</w:t>
      </w:r>
      <w:r>
        <w:rPr/>
        <w:t>，主要原因系公司本期采购量增加，应付采购货 款相应增加，以及合并新增子公司所致。</w:t>
      </w:r>
    </w:p>
    <w:p>
      <w:pPr>
        <w:spacing w:after="0" w:line="326" w:lineRule="auto"/>
        <w:jc w:val="left"/>
        <w:sectPr>
          <w:pgSz w:w="12240" w:h="15840"/>
          <w:pgMar w:header="847" w:footer="987" w:top="1360" w:bottom="1180" w:left="1420" w:right="0"/>
        </w:sectPr>
      </w:pPr>
    </w:p>
    <w:p>
      <w:pPr>
        <w:pStyle w:val="BodyText"/>
        <w:spacing w:line="324" w:lineRule="auto" w:before="11"/>
        <w:ind w:left="224" w:right="1652" w:firstLine="479"/>
        <w:jc w:val="both"/>
      </w:pPr>
      <w:r>
        <w:rPr/>
        <w:pict>
          <v:group style="position:absolute;margin-left:80.783997pt;margin-top:1.845647pt;width:450.6pt;height:.1pt;mso-position-horizontal-relative:page;mso-position-vertical-relative:paragraph;z-index:-864064" coordorigin="1616,37" coordsize="9012,2">
            <v:shape style="position:absolute;left:1616;top:37;width:9012;height:2" coordorigin="1616,37" coordsize="9012,0" path="m1616,37l10627,37e" filled="false" stroked="true" strokeweight=".71999pt" strokecolor="#000000">
              <v:path arrowok="t"/>
            </v:shape>
            <w10:wrap type="none"/>
          </v:group>
        </w:pict>
      </w:r>
      <w:r>
        <w:rPr/>
        <w:t>预收账款较上年同期增加</w:t>
      </w:r>
      <w:r>
        <w:rPr>
          <w:spacing w:val="-62"/>
        </w:rPr>
        <w:t> </w:t>
      </w:r>
      <w:r>
        <w:rPr>
          <w:rFonts w:ascii="Calibri" w:hAnsi="Calibri" w:cs="Calibri" w:eastAsia="Calibri" w:hint="default"/>
        </w:rPr>
        <w:t>69.94%</w:t>
      </w:r>
      <w:r>
        <w:rPr/>
        <w:t>，主要原因系公司本期承接项目大辅增加，根据 合同预收货款增加。</w:t>
      </w:r>
    </w:p>
    <w:p>
      <w:pPr>
        <w:pStyle w:val="BodyText"/>
        <w:spacing w:line="324" w:lineRule="auto" w:before="190"/>
        <w:ind w:left="224" w:right="1652" w:firstLine="479"/>
        <w:jc w:val="both"/>
      </w:pPr>
      <w:r>
        <w:rPr/>
        <w:t>应付职工薪酬较上年同期增加</w:t>
      </w:r>
      <w:r>
        <w:rPr>
          <w:spacing w:val="-62"/>
        </w:rPr>
        <w:t> </w:t>
      </w:r>
      <w:r>
        <w:rPr>
          <w:rFonts w:ascii="Calibri" w:hAnsi="Calibri" w:cs="Calibri" w:eastAsia="Calibri" w:hint="default"/>
        </w:rPr>
        <w:t>75.31%</w:t>
      </w:r>
      <w:r>
        <w:rPr/>
        <w:t>，主要原因系公司员工人数增加、工资增加 所致。</w:t>
      </w:r>
    </w:p>
    <w:p>
      <w:pPr>
        <w:pStyle w:val="BodyText"/>
        <w:spacing w:line="324" w:lineRule="auto" w:before="190"/>
        <w:ind w:left="224" w:right="1638" w:firstLine="479"/>
        <w:jc w:val="both"/>
      </w:pPr>
      <w:r>
        <w:rPr/>
        <w:t>应付股利较上年同期减少</w:t>
      </w:r>
      <w:r>
        <w:rPr>
          <w:spacing w:val="-56"/>
        </w:rPr>
        <w:t> </w:t>
      </w:r>
      <w:r>
        <w:rPr>
          <w:rFonts w:ascii="Calibri" w:hAnsi="Calibri" w:cs="Calibri" w:eastAsia="Calibri" w:hint="default"/>
          <w:spacing w:val="-7"/>
        </w:rPr>
        <w:t>86.23%</w:t>
      </w:r>
      <w:r>
        <w:rPr>
          <w:spacing w:val="-7"/>
        </w:rPr>
        <w:t>，主要原因系公司本期实施</w:t>
      </w:r>
      <w:r>
        <w:rPr>
          <w:spacing w:val="-56"/>
        </w:rPr>
        <w:t> </w:t>
      </w:r>
      <w:r>
        <w:rPr>
          <w:rFonts w:ascii="Calibri" w:hAnsi="Calibri" w:cs="Calibri" w:eastAsia="Calibri" w:hint="default"/>
        </w:rPr>
        <w:t>2010</w:t>
      </w:r>
      <w:r>
        <w:rPr>
          <w:rFonts w:ascii="Calibri" w:hAnsi="Calibri" w:cs="Calibri" w:eastAsia="Calibri" w:hint="default"/>
          <w:spacing w:val="10"/>
        </w:rPr>
        <w:t> </w:t>
      </w:r>
      <w:r>
        <w:rPr>
          <w:spacing w:val="-1"/>
        </w:rPr>
        <w:t>年度利润分配方</w:t>
      </w:r>
      <w:r>
        <w:rPr/>
        <w:t> </w:t>
      </w:r>
      <w:r>
        <w:rPr>
          <w:spacing w:val="-4"/>
        </w:rPr>
        <w:t>案，每</w:t>
      </w:r>
      <w:r>
        <w:rPr>
          <w:spacing w:val="-69"/>
        </w:rPr>
        <w:t> </w:t>
      </w:r>
      <w:r>
        <w:rPr>
          <w:rFonts w:ascii="Calibri" w:hAnsi="Calibri" w:cs="Calibri" w:eastAsia="Calibri" w:hint="default"/>
        </w:rPr>
        <w:t>10</w:t>
      </w:r>
      <w:r>
        <w:rPr>
          <w:rFonts w:ascii="Calibri" w:hAnsi="Calibri" w:cs="Calibri" w:eastAsia="Calibri" w:hint="default"/>
          <w:spacing w:val="-2"/>
        </w:rPr>
        <w:t> </w:t>
      </w:r>
      <w:r>
        <w:rPr/>
        <w:t>股送</w:t>
      </w:r>
      <w:r>
        <w:rPr>
          <w:spacing w:val="-68"/>
        </w:rPr>
        <w:t> </w:t>
      </w:r>
      <w:r>
        <w:rPr>
          <w:rFonts w:ascii="Calibri" w:hAnsi="Calibri" w:cs="Calibri" w:eastAsia="Calibri" w:hint="default"/>
        </w:rPr>
        <w:t>2</w:t>
      </w:r>
      <w:r>
        <w:rPr>
          <w:rFonts w:ascii="Calibri" w:hAnsi="Calibri" w:cs="Calibri" w:eastAsia="Calibri" w:hint="default"/>
          <w:spacing w:val="-2"/>
        </w:rPr>
        <w:t> </w:t>
      </w:r>
      <w:r>
        <w:rPr/>
        <w:t>股红股、现金</w:t>
      </w:r>
      <w:r>
        <w:rPr>
          <w:spacing w:val="-68"/>
        </w:rPr>
        <w:t> </w:t>
      </w:r>
      <w:r>
        <w:rPr>
          <w:rFonts w:ascii="Calibri" w:hAnsi="Calibri" w:cs="Calibri" w:eastAsia="Calibri" w:hint="default"/>
        </w:rPr>
        <w:t>1</w:t>
      </w:r>
      <w:r>
        <w:rPr>
          <w:rFonts w:ascii="Calibri" w:hAnsi="Calibri" w:cs="Calibri" w:eastAsia="Calibri" w:hint="default"/>
          <w:spacing w:val="-2"/>
        </w:rPr>
        <w:t> </w:t>
      </w:r>
      <w:r>
        <w:rPr/>
        <w:t>元（含税），控股股东北京东华诚信电脑科技发展有 限公司尚未领取股利。</w:t>
      </w:r>
    </w:p>
    <w:p>
      <w:pPr>
        <w:pStyle w:val="BodyText"/>
        <w:spacing w:line="408" w:lineRule="auto" w:before="190"/>
        <w:ind w:left="704" w:right="1639"/>
        <w:jc w:val="left"/>
      </w:pPr>
      <w:r>
        <w:rPr/>
        <w:t>其他应付款较上年同期增加</w:t>
      </w:r>
      <w:r>
        <w:rPr>
          <w:spacing w:val="-62"/>
        </w:rPr>
        <w:t> </w:t>
      </w:r>
      <w:r>
        <w:rPr>
          <w:rFonts w:ascii="Calibri" w:hAnsi="Calibri" w:cs="Calibri" w:eastAsia="Calibri" w:hint="default"/>
        </w:rPr>
        <w:t>97.10%</w:t>
      </w:r>
      <w:r>
        <w:rPr/>
        <w:t>，主要原因系公司本期应付往来款增加所致。 其他流动负债较上年同期增加</w:t>
      </w:r>
      <w:r>
        <w:rPr>
          <w:spacing w:val="-62"/>
        </w:rPr>
        <w:t> </w:t>
      </w:r>
      <w:r>
        <w:rPr>
          <w:rFonts w:ascii="Calibri" w:hAnsi="Calibri" w:cs="Calibri" w:eastAsia="Calibri" w:hint="default"/>
        </w:rPr>
        <w:t>116.69%</w:t>
      </w:r>
      <w:r>
        <w:rPr/>
        <w:t>，主要原因系本期政府补助的增加所致。</w:t>
      </w:r>
    </w:p>
    <w:p>
      <w:pPr>
        <w:spacing w:line="240" w:lineRule="auto" w:before="2"/>
        <w:rPr>
          <w:rFonts w:ascii="宋体" w:hAnsi="宋体" w:cs="宋体" w:eastAsia="宋体" w:hint="default"/>
          <w:sz w:val="18"/>
          <w:szCs w:val="18"/>
        </w:rPr>
      </w:pPr>
    </w:p>
    <w:p>
      <w:pPr>
        <w:pStyle w:val="BodyText"/>
        <w:spacing w:line="240" w:lineRule="auto"/>
        <w:ind w:left="704" w:right="1575"/>
        <w:jc w:val="left"/>
      </w:pPr>
      <w:r>
        <w:rPr/>
        <w:t>（</w:t>
      </w:r>
      <w:r>
        <w:rPr>
          <w:rFonts w:ascii="Calibri" w:hAnsi="Calibri" w:cs="Calibri" w:eastAsia="Calibri" w:hint="default"/>
        </w:rPr>
        <w:t>3</w:t>
      </w:r>
      <w:r>
        <w:rPr/>
        <w:t>）主要费用情况</w:t>
      </w:r>
    </w:p>
    <w:p>
      <w:pPr>
        <w:spacing w:line="240" w:lineRule="auto" w:before="5"/>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807"/>
        <w:gridCol w:w="1844"/>
        <w:gridCol w:w="1056"/>
        <w:gridCol w:w="1824"/>
        <w:gridCol w:w="1090"/>
        <w:gridCol w:w="1548"/>
      </w:tblGrid>
      <w:tr>
        <w:trPr>
          <w:trHeight w:val="292" w:hRule="exact"/>
        </w:trPr>
        <w:tc>
          <w:tcPr>
            <w:tcW w:w="1807" w:type="dxa"/>
            <w:tcBorders>
              <w:top w:val="single" w:sz="12" w:space="0" w:color="000000"/>
              <w:left w:val="single" w:sz="4" w:space="0" w:color="000000"/>
              <w:bottom w:val="nil" w:sz="6" w:space="0" w:color="auto"/>
              <w:right w:val="single" w:sz="4" w:space="0" w:color="000000"/>
            </w:tcBorders>
            <w:shd w:val="clear" w:color="auto" w:fill="E6E6E6"/>
          </w:tcPr>
          <w:p>
            <w:pPr/>
          </w:p>
        </w:tc>
        <w:tc>
          <w:tcPr>
            <w:tcW w:w="2900"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9" w:lineRule="exact"/>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914"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69" w:lineRule="exact"/>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548" w:type="dxa"/>
            <w:tcBorders>
              <w:top w:val="single" w:sz="12" w:space="0" w:color="000000"/>
              <w:left w:val="single" w:sz="4" w:space="0" w:color="000000"/>
              <w:bottom w:val="nil" w:sz="6" w:space="0" w:color="auto"/>
              <w:right w:val="single" w:sz="4" w:space="0" w:color="000000"/>
            </w:tcBorders>
            <w:shd w:val="clear" w:color="auto" w:fill="E6E6E6"/>
          </w:tcPr>
          <w:p>
            <w:pPr/>
          </w:p>
        </w:tc>
      </w:tr>
      <w:tr>
        <w:trPr>
          <w:trHeight w:val="554" w:hRule="exact"/>
        </w:trPr>
        <w:tc>
          <w:tcPr>
            <w:tcW w:w="1807"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占总收入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54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Calibri" w:hAnsi="Calibri" w:cs="Calibri" w:eastAsia="Calibri" w:hint="default"/>
                <w:sz w:val="22"/>
                <w:szCs w:val="22"/>
              </w:rPr>
            </w:pPr>
            <w:r>
              <w:rPr>
                <w:rFonts w:ascii="Calibri"/>
                <w:spacing w:val="-1"/>
                <w:sz w:val="22"/>
              </w:rPr>
              <w:t>113,226,852.27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Calibri" w:hAnsi="Calibri" w:cs="Calibri" w:eastAsia="Calibri" w:hint="default"/>
                <w:sz w:val="22"/>
                <w:szCs w:val="22"/>
              </w:rPr>
            </w:pPr>
            <w:r>
              <w:rPr>
                <w:rFonts w:ascii="Calibri"/>
                <w:spacing w:val="-1"/>
                <w:sz w:val="22"/>
              </w:rPr>
              <w:t>4.38%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64,826,771.38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3.47%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Calibri" w:hAnsi="Calibri" w:cs="Calibri" w:eastAsia="Calibri" w:hint="default"/>
                <w:sz w:val="22"/>
                <w:szCs w:val="22"/>
              </w:rPr>
            </w:pPr>
            <w:r>
              <w:rPr>
                <w:rFonts w:ascii="Calibri"/>
                <w:spacing w:val="-1"/>
                <w:sz w:val="22"/>
              </w:rPr>
              <w:t>74.66%</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Calibri" w:hAnsi="Calibri" w:cs="Calibri" w:eastAsia="Calibri" w:hint="default"/>
                <w:sz w:val="22"/>
                <w:szCs w:val="22"/>
              </w:rPr>
            </w:pPr>
            <w:r>
              <w:rPr>
                <w:rFonts w:ascii="Calibri"/>
                <w:spacing w:val="-1"/>
                <w:sz w:val="22"/>
              </w:rPr>
              <w:t>194,186,414.52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Calibri" w:hAnsi="Calibri" w:cs="Calibri" w:eastAsia="Calibri" w:hint="default"/>
                <w:sz w:val="22"/>
                <w:szCs w:val="22"/>
              </w:rPr>
            </w:pPr>
            <w:r>
              <w:rPr>
                <w:rFonts w:ascii="Calibri"/>
                <w:spacing w:val="-1"/>
                <w:sz w:val="22"/>
              </w:rPr>
              <w:t>7.51%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136,910,799.70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7.32%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Calibri" w:hAnsi="Calibri" w:cs="Calibri" w:eastAsia="Calibri" w:hint="default"/>
                <w:sz w:val="22"/>
                <w:szCs w:val="22"/>
              </w:rPr>
            </w:pPr>
            <w:r>
              <w:rPr>
                <w:rFonts w:ascii="Calibri"/>
                <w:spacing w:val="-1"/>
                <w:sz w:val="22"/>
              </w:rPr>
              <w:t>41.83%</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Calibri" w:hAnsi="Calibri" w:cs="Calibri" w:eastAsia="Calibri" w:hint="default"/>
                <w:sz w:val="22"/>
                <w:szCs w:val="22"/>
              </w:rPr>
            </w:pPr>
            <w:r>
              <w:rPr>
                <w:rFonts w:ascii="Calibri"/>
                <w:spacing w:val="-1"/>
                <w:sz w:val="22"/>
              </w:rPr>
              <w:t>7,484,169.57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Calibri" w:hAnsi="Calibri" w:cs="Calibri" w:eastAsia="Calibri" w:hint="default"/>
                <w:sz w:val="22"/>
                <w:szCs w:val="22"/>
              </w:rPr>
            </w:pPr>
            <w:r>
              <w:rPr>
                <w:rFonts w:ascii="Calibri"/>
                <w:spacing w:val="-1"/>
                <w:sz w:val="22"/>
              </w:rPr>
              <w:t>0.29%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183,788.20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0.01%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Calibri" w:hAnsi="Calibri" w:cs="Calibri" w:eastAsia="Calibri" w:hint="default"/>
                <w:sz w:val="22"/>
                <w:szCs w:val="22"/>
              </w:rPr>
            </w:pPr>
            <w:r>
              <w:rPr>
                <w:rFonts w:ascii="Calibri"/>
                <w:spacing w:val="-1"/>
                <w:sz w:val="22"/>
              </w:rPr>
              <w:t>3972.17%</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Calibri" w:hAnsi="Calibri" w:cs="Calibri" w:eastAsia="Calibri" w:hint="default"/>
                <w:sz w:val="22"/>
                <w:szCs w:val="22"/>
              </w:rPr>
            </w:pPr>
            <w:r>
              <w:rPr>
                <w:rFonts w:ascii="Calibri"/>
                <w:spacing w:val="-1"/>
                <w:sz w:val="22"/>
              </w:rPr>
              <w:t>39,907,216.35</w:t>
            </w:r>
            <w:r>
              <w:rPr>
                <w:rFonts w:ascii="Calibri"/>
                <w:sz w:val="22"/>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Calibri" w:hAnsi="Calibri" w:cs="Calibri" w:eastAsia="Calibri" w:hint="default"/>
                <w:sz w:val="22"/>
                <w:szCs w:val="22"/>
              </w:rPr>
            </w:pPr>
            <w:r>
              <w:rPr>
                <w:rFonts w:ascii="Calibri"/>
                <w:spacing w:val="-1"/>
                <w:sz w:val="22"/>
              </w:rPr>
              <w:t>1.54%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28,839,684.45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1.54%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Calibri" w:hAnsi="Calibri" w:cs="Calibri" w:eastAsia="Calibri" w:hint="default"/>
                <w:sz w:val="22"/>
                <w:szCs w:val="22"/>
              </w:rPr>
            </w:pPr>
            <w:r>
              <w:rPr>
                <w:rFonts w:ascii="Calibri"/>
                <w:spacing w:val="-1"/>
                <w:sz w:val="22"/>
              </w:rPr>
              <w:t>38.38%</w:t>
            </w:r>
          </w:p>
        </w:tc>
      </w:tr>
    </w:tbl>
    <w:p>
      <w:pPr>
        <w:pStyle w:val="BodyText"/>
        <w:spacing w:line="240" w:lineRule="auto" w:before="79"/>
        <w:ind w:left="704" w:right="1575"/>
        <w:jc w:val="left"/>
      </w:pPr>
      <w:r>
        <w:rPr/>
        <w:t>变动原因分析：</w:t>
      </w:r>
    </w:p>
    <w:p>
      <w:pPr>
        <w:spacing w:line="240" w:lineRule="auto" w:before="12"/>
        <w:rPr>
          <w:rFonts w:ascii="宋体" w:hAnsi="宋体" w:cs="宋体" w:eastAsia="宋体" w:hint="default"/>
          <w:sz w:val="20"/>
          <w:szCs w:val="20"/>
        </w:rPr>
      </w:pPr>
    </w:p>
    <w:p>
      <w:pPr>
        <w:pStyle w:val="BodyText"/>
        <w:spacing w:line="324" w:lineRule="auto"/>
        <w:ind w:left="224" w:right="1640" w:firstLine="479"/>
        <w:jc w:val="left"/>
      </w:pPr>
      <w:r>
        <w:rPr/>
        <w:t>销售费用较上年同期增加</w:t>
      </w:r>
      <w:r>
        <w:rPr>
          <w:spacing w:val="-62"/>
        </w:rPr>
        <w:t> </w:t>
      </w:r>
      <w:r>
        <w:rPr>
          <w:rFonts w:ascii="Calibri" w:hAnsi="Calibri" w:cs="Calibri" w:eastAsia="Calibri" w:hint="default"/>
        </w:rPr>
        <w:t>74.66%</w:t>
      </w:r>
      <w:r>
        <w:rPr/>
        <w:t>，主要原因系公司本期业务规模扩大，发生的相 关销售费用增加。</w:t>
      </w:r>
    </w:p>
    <w:p>
      <w:pPr>
        <w:pStyle w:val="BodyText"/>
        <w:spacing w:line="324" w:lineRule="auto" w:before="190"/>
        <w:ind w:left="224" w:right="1510" w:firstLine="479"/>
        <w:jc w:val="left"/>
      </w:pPr>
      <w:r>
        <w:rPr/>
        <w:t>管理费用较上年同期增加</w:t>
      </w:r>
      <w:r>
        <w:rPr>
          <w:spacing w:val="-60"/>
        </w:rPr>
        <w:t> </w:t>
      </w:r>
      <w:r>
        <w:rPr>
          <w:rFonts w:ascii="Calibri" w:hAnsi="Calibri" w:cs="Calibri" w:eastAsia="Calibri" w:hint="default"/>
          <w:spacing w:val="-4"/>
        </w:rPr>
        <w:t>41.83%</w:t>
      </w:r>
      <w:r>
        <w:rPr>
          <w:spacing w:val="-4"/>
        </w:rPr>
        <w:t>，主要原因系公司本期发生的项目研发费用增加，</w:t>
      </w:r>
      <w:r>
        <w:rPr/>
        <w:t> 以及支付的职工薪酬增加。</w:t>
      </w:r>
    </w:p>
    <w:p>
      <w:pPr>
        <w:pStyle w:val="BodyText"/>
        <w:spacing w:line="586" w:lineRule="exact" w:before="2"/>
        <w:ind w:left="704" w:right="1639"/>
        <w:jc w:val="left"/>
      </w:pPr>
      <w:r>
        <w:rPr/>
        <w:t>财务费用较上年同期大幅增加，主要原因系公司本期银行借款利息支出增加。 所得税费用较上年同期增加</w:t>
      </w:r>
      <w:r>
        <w:rPr>
          <w:spacing w:val="-62"/>
        </w:rPr>
        <w:t> </w:t>
      </w:r>
      <w:r>
        <w:rPr>
          <w:rFonts w:ascii="Calibri" w:hAnsi="Calibri" w:cs="Calibri" w:eastAsia="Calibri" w:hint="default"/>
        </w:rPr>
        <w:t>37.63%</w:t>
      </w:r>
      <w:r>
        <w:rPr/>
        <w:t>，主要原因系本期公司盈利能力提高，导致应</w:t>
      </w:r>
    </w:p>
    <w:p>
      <w:pPr>
        <w:pStyle w:val="BodyText"/>
        <w:spacing w:line="240" w:lineRule="auto" w:before="70"/>
        <w:ind w:left="224" w:right="1575"/>
        <w:jc w:val="left"/>
      </w:pPr>
      <w:r>
        <w:rPr/>
        <w:t>缴纳的企业所得税增加所致。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847" w:footer="987" w:top="1360" w:bottom="1180" w:left="1420" w:right="0"/>
        </w:sectPr>
      </w:pPr>
    </w:p>
    <w:p>
      <w:pPr>
        <w:pStyle w:val="Heading4"/>
        <w:spacing w:line="240" w:lineRule="auto" w:before="26"/>
        <w:ind w:left="224" w:right="0"/>
        <w:jc w:val="left"/>
        <w:rPr>
          <w:b w:val="0"/>
          <w:bCs w:val="0"/>
        </w:rPr>
      </w:pPr>
      <w:r>
        <w:rPr>
          <w:rFonts w:ascii="Calibri" w:hAnsi="Calibri" w:cs="Calibri" w:eastAsia="Calibri" w:hint="default"/>
          <w:w w:val="95"/>
        </w:rPr>
        <w:t>4</w:t>
      </w:r>
      <w:r>
        <w:rPr>
          <w:w w:val="95"/>
        </w:rPr>
        <w:t>、现金流情况</w:t>
      </w:r>
      <w:r>
        <w:rPr>
          <w:b w:val="0"/>
          <w:bCs w:val="0"/>
        </w:rPr>
      </w:r>
    </w:p>
    <w:p>
      <w:pPr>
        <w:spacing w:line="240" w:lineRule="auto" w:before="9"/>
        <w:rPr>
          <w:rFonts w:ascii="黑体" w:hAnsi="黑体" w:cs="黑体" w:eastAsia="黑体" w:hint="default"/>
          <w:b/>
          <w:bCs/>
          <w:sz w:val="35"/>
          <w:szCs w:val="35"/>
        </w:rPr>
      </w:pPr>
      <w:r>
        <w:rPr/>
        <w:br w:type="column"/>
      </w:r>
      <w:r>
        <w:rPr>
          <w:rFonts w:ascii="黑体"/>
          <w:b/>
          <w:sz w:val="35"/>
        </w:rPr>
      </w:r>
    </w:p>
    <w:p>
      <w:pPr>
        <w:pStyle w:val="BodyText"/>
        <w:spacing w:line="240" w:lineRule="auto"/>
        <w:ind w:left="224" w:right="0"/>
        <w:jc w:val="left"/>
      </w:pPr>
      <w:r>
        <w:rPr/>
        <w:t>单位：元</w:t>
      </w:r>
    </w:p>
    <w:p>
      <w:pPr>
        <w:spacing w:after="0" w:line="240" w:lineRule="auto"/>
        <w:jc w:val="left"/>
        <w:sectPr>
          <w:type w:val="continuous"/>
          <w:pgSz w:w="12240" w:h="15840"/>
          <w:pgMar w:top="1500" w:bottom="0" w:left="1420" w:right="0"/>
          <w:cols w:num="2" w:equalWidth="0">
            <w:col w:w="1792" w:space="6201"/>
            <w:col w:w="2827"/>
          </w:cols>
        </w:sectPr>
      </w:pPr>
    </w:p>
    <w:p>
      <w:pPr>
        <w:spacing w:line="240" w:lineRule="auto" w:before="1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896"/>
        <w:gridCol w:w="1973"/>
        <w:gridCol w:w="1973"/>
        <w:gridCol w:w="1328"/>
      </w:tblGrid>
      <w:tr>
        <w:trPr>
          <w:trHeight w:val="531" w:hRule="exact"/>
        </w:trPr>
        <w:tc>
          <w:tcPr>
            <w:tcW w:w="389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tabs>
                <w:tab w:pos="631" w:val="left" w:leader="none"/>
              </w:tabs>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7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96"/>
              <w:ind w:left="636"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7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96"/>
              <w:ind w:left="636"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30"/>
              <w:ind w:right="1"/>
              <w:jc w:val="center"/>
              <w:rPr>
                <w:rFonts w:ascii="Calibri" w:hAnsi="Calibri" w:cs="Calibri" w:eastAsia="Calibri" w:hint="default"/>
                <w:sz w:val="21"/>
                <w:szCs w:val="21"/>
              </w:rPr>
            </w:pPr>
            <w:r>
              <w:rPr>
                <w:rFonts w:ascii="Calibri"/>
                <w:sz w:val="21"/>
              </w:rPr>
              <w:t>(%)</w:t>
            </w:r>
          </w:p>
        </w:tc>
      </w:tr>
      <w:tr>
        <w:trPr>
          <w:trHeight w:val="410"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75,677,588.04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27,215,318.94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178.07%</w:t>
            </w:r>
          </w:p>
        </w:tc>
      </w:tr>
      <w:tr>
        <w:trPr>
          <w:trHeight w:val="408"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Calibri" w:hAnsi="Calibri" w:cs="Calibri" w:eastAsia="Calibri" w:hint="default"/>
                <w:sz w:val="21"/>
                <w:szCs w:val="21"/>
              </w:rPr>
            </w:pPr>
            <w:r>
              <w:rPr>
                <w:rFonts w:ascii="Calibri"/>
                <w:spacing w:val="-2"/>
                <w:sz w:val="21"/>
              </w:rPr>
              <w:t>2,976,507,996.52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21"/>
                <w:szCs w:val="21"/>
              </w:rPr>
            </w:pPr>
            <w:r>
              <w:rPr>
                <w:rFonts w:ascii="Calibri"/>
                <w:spacing w:val="-2"/>
                <w:sz w:val="21"/>
              </w:rPr>
              <w:t>1,931,236,392.41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54.12%</w:t>
            </w:r>
          </w:p>
        </w:tc>
      </w:tr>
      <w:tr>
        <w:trPr>
          <w:trHeight w:val="407"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Calibri" w:hAnsi="Calibri" w:cs="Calibri" w:eastAsia="Calibri" w:hint="default"/>
                <w:sz w:val="21"/>
                <w:szCs w:val="21"/>
              </w:rPr>
            </w:pPr>
            <w:r>
              <w:rPr>
                <w:rFonts w:ascii="Calibri"/>
                <w:spacing w:val="-2"/>
                <w:sz w:val="21"/>
              </w:rPr>
              <w:t>2,900,830,408.48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Calibri" w:hAnsi="Calibri" w:cs="Calibri" w:eastAsia="Calibri" w:hint="default"/>
                <w:sz w:val="21"/>
                <w:szCs w:val="21"/>
              </w:rPr>
            </w:pPr>
            <w:r>
              <w:rPr>
                <w:rFonts w:ascii="Calibri"/>
                <w:spacing w:val="-1"/>
                <w:sz w:val="21"/>
              </w:rPr>
              <w:t>1,904,021,073.47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52.35%</w:t>
            </w:r>
          </w:p>
        </w:tc>
      </w:tr>
      <w:tr>
        <w:trPr>
          <w:trHeight w:val="407"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Calibri" w:hAnsi="Calibri" w:cs="Calibri" w:eastAsia="Calibri" w:hint="default"/>
                <w:sz w:val="21"/>
                <w:szCs w:val="21"/>
              </w:rPr>
            </w:pPr>
            <w:r>
              <w:rPr>
                <w:rFonts w:ascii="Calibri"/>
                <w:spacing w:val="-1"/>
                <w:sz w:val="21"/>
              </w:rPr>
              <w:t>-58,243,756.84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Calibri" w:hAnsi="Calibri" w:cs="Calibri" w:eastAsia="Calibri" w:hint="default"/>
                <w:sz w:val="21"/>
                <w:szCs w:val="21"/>
              </w:rPr>
            </w:pPr>
            <w:r>
              <w:rPr>
                <w:rFonts w:ascii="Calibri"/>
                <w:spacing w:val="-1"/>
                <w:sz w:val="21"/>
              </w:rPr>
              <w:t>-24,227,978.15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Calibri" w:hAnsi="Calibri" w:cs="Calibri" w:eastAsia="Calibri" w:hint="default"/>
                <w:sz w:val="21"/>
                <w:szCs w:val="21"/>
              </w:rPr>
            </w:pPr>
            <w:r>
              <w:rPr>
                <w:rFonts w:ascii="Calibri"/>
                <w:spacing w:val="-1"/>
                <w:sz w:val="21"/>
              </w:rPr>
              <w:t>-140.40%</w:t>
            </w:r>
          </w:p>
        </w:tc>
      </w:tr>
      <w:tr>
        <w:trPr>
          <w:trHeight w:val="408"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1"/>
                <w:szCs w:val="21"/>
              </w:rPr>
            </w:pPr>
            <w:r>
              <w:rPr>
                <w:rFonts w:ascii="Calibri"/>
                <w:spacing w:val="-2"/>
                <w:sz w:val="21"/>
              </w:rPr>
              <w:t>19,671,764.93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21"/>
                <w:szCs w:val="21"/>
              </w:rPr>
            </w:pPr>
            <w:r>
              <w:rPr>
                <w:rFonts w:ascii="Calibri"/>
                <w:spacing w:val="-1"/>
                <w:sz w:val="21"/>
              </w:rPr>
              <w:t>105,445.00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18555.95%</w:t>
            </w:r>
          </w:p>
        </w:tc>
      </w:tr>
      <w:tr>
        <w:trPr>
          <w:trHeight w:val="406"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1"/>
                <w:szCs w:val="21"/>
              </w:rPr>
            </w:pPr>
            <w:r>
              <w:rPr>
                <w:rFonts w:ascii="Calibri"/>
                <w:spacing w:val="-2"/>
                <w:sz w:val="21"/>
              </w:rPr>
              <w:t>77,915,521.77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Calibri" w:hAnsi="Calibri" w:cs="Calibri" w:eastAsia="Calibri" w:hint="default"/>
                <w:sz w:val="21"/>
                <w:szCs w:val="21"/>
              </w:rPr>
            </w:pPr>
            <w:r>
              <w:rPr>
                <w:rFonts w:ascii="Calibri"/>
                <w:spacing w:val="-2"/>
                <w:sz w:val="21"/>
              </w:rPr>
              <w:t>24,333,423.15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Calibri" w:hAnsi="Calibri" w:cs="Calibri" w:eastAsia="Calibri" w:hint="default"/>
                <w:sz w:val="21"/>
                <w:szCs w:val="21"/>
              </w:rPr>
            </w:pPr>
            <w:r>
              <w:rPr>
                <w:rFonts w:ascii="Calibri"/>
                <w:spacing w:val="-1"/>
                <w:sz w:val="21"/>
              </w:rPr>
              <w:t>220.20%</w:t>
            </w:r>
          </w:p>
        </w:tc>
      </w:tr>
      <w:tr>
        <w:trPr>
          <w:trHeight w:val="408"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-3,290,427.01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21"/>
                <w:szCs w:val="21"/>
              </w:rPr>
            </w:pPr>
            <w:r>
              <w:rPr>
                <w:rFonts w:ascii="Calibri"/>
                <w:spacing w:val="-2"/>
                <w:sz w:val="21"/>
              </w:rPr>
              <w:t>17,295,406.09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-119.02%</w:t>
            </w:r>
          </w:p>
        </w:tc>
      </w:tr>
      <w:tr>
        <w:trPr>
          <w:trHeight w:val="406"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94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1"/>
                <w:szCs w:val="21"/>
              </w:rPr>
            </w:pPr>
            <w:r>
              <w:rPr>
                <w:rFonts w:ascii="Calibri"/>
                <w:spacing w:val="-2"/>
                <w:sz w:val="21"/>
              </w:rPr>
              <w:t>243,900,000.00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Calibri" w:hAnsi="Calibri" w:cs="Calibri" w:eastAsia="Calibri" w:hint="default"/>
                <w:sz w:val="21"/>
                <w:szCs w:val="21"/>
              </w:rPr>
            </w:pPr>
            <w:r>
              <w:rPr>
                <w:rFonts w:ascii="Calibri"/>
                <w:spacing w:val="-2"/>
                <w:sz w:val="21"/>
              </w:rPr>
              <w:t>193,950,000.00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Calibri" w:hAnsi="Calibri" w:cs="Calibri" w:eastAsia="Calibri" w:hint="default"/>
                <w:sz w:val="21"/>
                <w:szCs w:val="21"/>
              </w:rPr>
            </w:pPr>
            <w:r>
              <w:rPr>
                <w:rFonts w:ascii="Calibri"/>
                <w:spacing w:val="-1"/>
                <w:sz w:val="21"/>
              </w:rPr>
              <w:t>25.75%</w:t>
            </w:r>
          </w:p>
        </w:tc>
      </w:tr>
      <w:tr>
        <w:trPr>
          <w:trHeight w:val="408"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94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1"/>
                <w:szCs w:val="21"/>
              </w:rPr>
            </w:pPr>
            <w:r>
              <w:rPr>
                <w:rFonts w:ascii="Calibri"/>
                <w:spacing w:val="-2"/>
                <w:sz w:val="21"/>
              </w:rPr>
              <w:t>247,190,427.01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21"/>
                <w:szCs w:val="21"/>
              </w:rPr>
            </w:pPr>
            <w:r>
              <w:rPr>
                <w:rFonts w:ascii="Calibri"/>
                <w:spacing w:val="-2"/>
                <w:sz w:val="21"/>
              </w:rPr>
              <w:t>176,654,593.91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39.93%</w:t>
            </w:r>
          </w:p>
        </w:tc>
      </w:tr>
      <w:tr>
        <w:trPr>
          <w:trHeight w:val="407" w:hRule="exact"/>
        </w:trPr>
        <w:tc>
          <w:tcPr>
            <w:tcW w:w="3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汇</w:t>
            </w:r>
            <w:r>
              <w:rPr>
                <w:rFonts w:ascii="宋体" w:hAnsi="宋体" w:cs="宋体" w:eastAsia="宋体" w:hint="default"/>
                <w:w w:val="100"/>
                <w:sz w:val="21"/>
                <w:szCs w:val="21"/>
              </w:rPr>
              <w:t>率</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对</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等价</w:t>
            </w:r>
            <w:r>
              <w:rPr>
                <w:rFonts w:ascii="宋体" w:hAnsi="宋体" w:cs="宋体" w:eastAsia="宋体" w:hint="default"/>
                <w:spacing w:val="-3"/>
                <w:w w:val="100"/>
                <w:sz w:val="21"/>
                <w:szCs w:val="21"/>
              </w:rPr>
              <w:t>物</w:t>
            </w:r>
            <w:r>
              <w:rPr>
                <w:rFonts w:ascii="宋体" w:hAnsi="宋体" w:cs="宋体" w:eastAsia="宋体" w:hint="default"/>
                <w:w w:val="100"/>
                <w:sz w:val="21"/>
                <w:szCs w:val="21"/>
              </w:rPr>
              <w:t>的</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21"/>
                <w:szCs w:val="21"/>
              </w:rPr>
            </w:pPr>
            <w:r>
              <w:rPr>
                <w:rFonts w:ascii="Calibri"/>
                <w:spacing w:val="-1"/>
                <w:sz w:val="21"/>
              </w:rPr>
              <w:t>-46,127.15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-39,363.30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Calibri" w:hAnsi="Calibri" w:cs="Calibri" w:eastAsia="Calibri" w:hint="default"/>
                <w:sz w:val="21"/>
                <w:szCs w:val="21"/>
              </w:rPr>
            </w:pPr>
            <w:r>
              <w:rPr>
                <w:rFonts w:ascii="Calibri"/>
                <w:spacing w:val="-1"/>
                <w:sz w:val="21"/>
              </w:rPr>
              <w:t>17.18%</w:t>
            </w:r>
          </w:p>
        </w:tc>
      </w:tr>
      <w:tr>
        <w:trPr>
          <w:trHeight w:val="416" w:hRule="exact"/>
        </w:trPr>
        <w:tc>
          <w:tcPr>
            <w:tcW w:w="3896" w:type="dxa"/>
            <w:tcBorders>
              <w:top w:val="single" w:sz="4"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03"/>
              <w:jc w:val="right"/>
              <w:rPr>
                <w:rFonts w:ascii="Calibri" w:hAnsi="Calibri" w:cs="Calibri" w:eastAsia="Calibri" w:hint="default"/>
                <w:sz w:val="21"/>
                <w:szCs w:val="21"/>
              </w:rPr>
            </w:pPr>
            <w:r>
              <w:rPr>
                <w:rFonts w:ascii="Calibri"/>
                <w:spacing w:val="-2"/>
                <w:sz w:val="21"/>
              </w:rPr>
              <w:t>17,491,248.37</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01"/>
              <w:jc w:val="right"/>
              <w:rPr>
                <w:rFonts w:ascii="Calibri" w:hAnsi="Calibri" w:cs="Calibri" w:eastAsia="Calibri" w:hint="default"/>
                <w:sz w:val="21"/>
                <w:szCs w:val="21"/>
              </w:rPr>
            </w:pPr>
            <w:r>
              <w:rPr>
                <w:rFonts w:ascii="Calibri"/>
                <w:spacing w:val="-2"/>
                <w:sz w:val="21"/>
              </w:rPr>
              <w:t>20,243,383.58</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00"/>
              <w:jc w:val="right"/>
              <w:rPr>
                <w:rFonts w:ascii="Calibri" w:hAnsi="Calibri" w:cs="Calibri" w:eastAsia="Calibri" w:hint="default"/>
                <w:sz w:val="21"/>
                <w:szCs w:val="21"/>
              </w:rPr>
            </w:pPr>
            <w:r>
              <w:rPr>
                <w:rFonts w:ascii="Calibri"/>
                <w:spacing w:val="-1"/>
                <w:sz w:val="21"/>
              </w:rPr>
              <w:t>-13.60%</w:t>
            </w:r>
          </w:p>
        </w:tc>
      </w:tr>
    </w:tbl>
    <w:p>
      <w:pPr>
        <w:pStyle w:val="BodyText"/>
        <w:spacing w:line="240" w:lineRule="auto" w:before="82"/>
        <w:ind w:left="704" w:right="1575"/>
        <w:jc w:val="left"/>
      </w:pPr>
      <w:r>
        <w:rPr/>
        <w:t>变动原因分析：</w:t>
      </w:r>
    </w:p>
    <w:p>
      <w:pPr>
        <w:spacing w:line="240" w:lineRule="auto" w:before="10"/>
        <w:rPr>
          <w:rFonts w:ascii="宋体" w:hAnsi="宋体" w:cs="宋体" w:eastAsia="宋体" w:hint="default"/>
          <w:sz w:val="20"/>
          <w:szCs w:val="20"/>
        </w:rPr>
      </w:pPr>
    </w:p>
    <w:p>
      <w:pPr>
        <w:pStyle w:val="BodyText"/>
        <w:spacing w:line="340" w:lineRule="auto"/>
        <w:ind w:left="224" w:right="1652" w:firstLine="479"/>
        <w:jc w:val="both"/>
      </w:pPr>
      <w:r>
        <w:rPr/>
        <w:t>经营活动现金流入较上年同期增加</w:t>
      </w:r>
      <w:r>
        <w:rPr>
          <w:spacing w:val="-62"/>
        </w:rPr>
        <w:t> </w:t>
      </w:r>
      <w:r>
        <w:rPr>
          <w:rFonts w:ascii="Calibri" w:hAnsi="Calibri" w:cs="Calibri" w:eastAsia="Calibri" w:hint="default"/>
        </w:rPr>
        <w:t>54.12%</w:t>
      </w:r>
      <w:r>
        <w:rPr/>
        <w:t>，主要原因系公司业务规模扩大的同时 收到的销售款大幅增加以及本期政府补助增加所致；经营活动现金流出较上年同期增 加</w:t>
      </w:r>
      <w:r>
        <w:rPr>
          <w:spacing w:val="-61"/>
        </w:rPr>
        <w:t> </w:t>
      </w:r>
      <w:r>
        <w:rPr>
          <w:rFonts w:ascii="Calibri" w:hAnsi="Calibri" w:cs="Calibri" w:eastAsia="Calibri" w:hint="default"/>
        </w:rPr>
        <w:t>52.35%</w:t>
      </w:r>
      <w:r>
        <w:rPr/>
        <w:t>，主要原因系公司员工人数增加、工资提高导致薪酬总额大幅增加，以及业 务规模的扩大导致相关税费增加所致；经营活动产生的现金流量净额较上年同期增加 </w:t>
      </w:r>
      <w:r>
        <w:rPr>
          <w:rFonts w:ascii="Calibri" w:hAnsi="Calibri" w:cs="Calibri" w:eastAsia="Calibri" w:hint="default"/>
        </w:rPr>
        <w:t>178.07%%</w:t>
      </w:r>
      <w:r>
        <w:rPr/>
        <w:t>，主要原因系公司业务规模扩大的同时回款状况大幅改善所致。</w:t>
      </w:r>
    </w:p>
    <w:p>
      <w:pPr>
        <w:pStyle w:val="BodyText"/>
        <w:spacing w:line="345" w:lineRule="auto" w:before="120"/>
        <w:ind w:left="224" w:right="1641" w:firstLine="479"/>
        <w:jc w:val="both"/>
      </w:pPr>
      <w:r>
        <w:rPr/>
        <w:t>投资活动现金流入较上年同期大幅增加，主要原因系合并北京神州新桥科技有限 </w:t>
      </w:r>
      <w:r>
        <w:rPr>
          <w:spacing w:val="-2"/>
        </w:rPr>
        <w:t>公司所带来的货币资金；投资活动现金流出较上年同期大幅增加</w:t>
      </w:r>
      <w:r>
        <w:rPr>
          <w:spacing w:val="-52"/>
        </w:rPr>
        <w:t> </w:t>
      </w:r>
      <w:r>
        <w:rPr>
          <w:rFonts w:ascii="Calibri" w:hAnsi="Calibri" w:cs="Calibri" w:eastAsia="Calibri" w:hint="default"/>
          <w:spacing w:val="-5"/>
        </w:rPr>
        <w:t>220.20%</w:t>
      </w:r>
      <w:r>
        <w:rPr>
          <w:spacing w:val="-5"/>
        </w:rPr>
        <w:t>，主要原因系</w:t>
      </w:r>
      <w:r>
        <w:rPr/>
        <w:t> 公司为促进研发购建设备及建设泰安软件园支出所致，同时导致投资活动产生的现金 流量净额较上年同期减少</w:t>
      </w:r>
      <w:r>
        <w:rPr>
          <w:spacing w:val="-59"/>
        </w:rPr>
        <w:t> </w:t>
      </w:r>
      <w:r>
        <w:rPr>
          <w:rFonts w:ascii="Calibri" w:hAnsi="Calibri" w:cs="Calibri" w:eastAsia="Calibri" w:hint="default"/>
        </w:rPr>
        <w:t>140.40%</w:t>
      </w:r>
      <w:r>
        <w:rPr/>
        <w:t>。</w:t>
      </w:r>
    </w:p>
    <w:p>
      <w:pPr>
        <w:pStyle w:val="BodyText"/>
        <w:spacing w:line="324" w:lineRule="auto" w:before="115"/>
        <w:ind w:left="224" w:right="1511" w:firstLine="479"/>
        <w:jc w:val="left"/>
      </w:pPr>
      <w:r>
        <w:rPr/>
        <w:t>筹资活动现金流入较上年同期增</w:t>
      </w:r>
      <w:r>
        <w:rPr>
          <w:spacing w:val="-48"/>
        </w:rPr>
        <w:t> </w:t>
      </w:r>
      <w:r>
        <w:rPr>
          <w:rFonts w:ascii="Calibri" w:hAnsi="Calibri" w:cs="Calibri" w:eastAsia="Calibri" w:hint="default"/>
          <w:spacing w:val="-5"/>
        </w:rPr>
        <w:t>25.75%</w:t>
      </w:r>
      <w:r>
        <w:rPr>
          <w:spacing w:val="-5"/>
        </w:rPr>
        <w:t>，主要原因系本期取得银行贷款增加所致；</w:t>
      </w:r>
      <w:r>
        <w:rPr/>
        <w:t> 筹资活动现金流出较上年同期增加</w:t>
      </w:r>
      <w:r>
        <w:rPr>
          <w:spacing w:val="-59"/>
        </w:rPr>
        <w:t> </w:t>
      </w:r>
      <w:r>
        <w:rPr>
          <w:rFonts w:ascii="Calibri" w:hAnsi="Calibri" w:cs="Calibri" w:eastAsia="Calibri" w:hint="default"/>
          <w:spacing w:val="-6"/>
        </w:rPr>
        <w:t>39.29%</w:t>
      </w:r>
      <w:r>
        <w:rPr>
          <w:spacing w:val="-6"/>
        </w:rPr>
        <w:t>，主要原因系偿还银行贷款及支付</w:t>
      </w:r>
      <w:r>
        <w:rPr>
          <w:spacing w:val="-59"/>
        </w:rPr>
        <w:t> </w:t>
      </w:r>
      <w:r>
        <w:rPr>
          <w:rFonts w:ascii="Calibri" w:hAnsi="Calibri" w:cs="Calibri" w:eastAsia="Calibri" w:hint="default"/>
        </w:rPr>
        <w:t>2012</w:t>
      </w:r>
      <w:r>
        <w:rPr>
          <w:rFonts w:ascii="Calibri" w:hAnsi="Calibri" w:cs="Calibri" w:eastAsia="Calibri" w:hint="default"/>
          <w:spacing w:val="7"/>
        </w:rPr>
        <w:t> </w:t>
      </w:r>
      <w:r>
        <w:rPr/>
        <w:t>年度</w:t>
      </w:r>
      <w:r>
        <w:rPr>
          <w:spacing w:val="-117"/>
        </w:rPr>
        <w:t> </w:t>
      </w:r>
      <w:r>
        <w:rPr/>
        <w:t>股利所致。</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847" w:footer="987" w:top="1360" w:bottom="1180" w:left="1420" w:right="0"/>
        </w:sectPr>
      </w:pPr>
    </w:p>
    <w:p>
      <w:pPr>
        <w:pStyle w:val="Heading4"/>
        <w:spacing w:line="240" w:lineRule="auto" w:before="26"/>
        <w:ind w:left="224" w:right="0"/>
        <w:jc w:val="left"/>
        <w:rPr>
          <w:b w:val="0"/>
          <w:bCs w:val="0"/>
        </w:rPr>
      </w:pPr>
      <w:r>
        <w:rPr/>
        <w:pict>
          <v:group style="position:absolute;margin-left:77.064003pt;margin-top:69.840012pt;width:458.75pt;height:2.550pt;mso-position-horizontal-relative:page;mso-position-vertical-relative:page;z-index:-864040" coordorigin="1541,1397" coordsize="9175,51">
            <v:group style="position:absolute;left:1616;top:1404;width:9012;height:2" coordorigin="1616,1404" coordsize="9012,2">
              <v:shape style="position:absolute;left:1616;top:1404;width:9012;height:2" coordorigin="1616,1404" coordsize="9012,0" path="m1616,1404l10627,1404e" filled="false" stroked="true" strokeweight=".71999pt" strokecolor="#000000">
                <v:path arrowok="t"/>
              </v:shape>
            </v:group>
            <v:group style="position:absolute;left:1541;top:1418;width:3886;height:29" coordorigin="1541,1418" coordsize="3886,29">
              <v:shape style="position:absolute;left:1541;top:1418;width:3886;height:29" coordorigin="1541,1418" coordsize="3886,29" path="m1541,1447l5427,1447,5427,1418,1541,1418,1541,1447xe" filled="true" fillcolor="#000000" stroked="false">
                <v:path arrowok="t"/>
                <v:fill type="solid"/>
              </v:shape>
            </v:group>
            <v:group style="position:absolute;left:5427;top:1433;width:29;height:2" coordorigin="5427,1433" coordsize="29,2">
              <v:shape style="position:absolute;left:5427;top:1433;width:29;height:2" coordorigin="5427,1433" coordsize="29,0" path="m5427,1433l5456,1433e" filled="false" stroked="true" strokeweight="1.44pt" strokecolor="#000000">
                <v:path arrowok="t"/>
              </v:shape>
            </v:group>
            <v:group style="position:absolute;left:5456;top:1433;width:1945;height:2" coordorigin="5456,1433" coordsize="1945,2">
              <v:shape style="position:absolute;left:5456;top:1433;width:1945;height:2" coordorigin="5456,1433" coordsize="1945,0" path="m5456,1433l7401,1433e" filled="false" stroked="true" strokeweight="1.44pt" strokecolor="#000000">
                <v:path arrowok="t"/>
              </v:shape>
            </v:group>
            <v:group style="position:absolute;left:7401;top:1433;width:29;height:2" coordorigin="7401,1433" coordsize="29,2">
              <v:shape style="position:absolute;left:7401;top:1433;width:29;height:2" coordorigin="7401,1433" coordsize="29,0" path="m7401,1433l7429,1433e" filled="false" stroked="true" strokeweight="1.44pt" strokecolor="#000000">
                <v:path arrowok="t"/>
              </v:shape>
            </v:group>
            <v:group style="position:absolute;left:7429;top:1433;width:1945;height:2" coordorigin="7429,1433" coordsize="1945,2">
              <v:shape style="position:absolute;left:7429;top:1433;width:1945;height:2" coordorigin="7429,1433" coordsize="1945,0" path="m7429,1433l9374,1433e" filled="false" stroked="true" strokeweight="1.44pt" strokecolor="#000000">
                <v:path arrowok="t"/>
              </v:shape>
            </v:group>
            <v:group style="position:absolute;left:9374;top:1433;width:29;height:2" coordorigin="9374,1433" coordsize="29,2">
              <v:shape style="position:absolute;left:9374;top:1433;width:29;height:2" coordorigin="9374,1433" coordsize="29,0" path="m9374,1433l9403,1433e" filled="false" stroked="true" strokeweight="1.44pt" strokecolor="#000000">
                <v:path arrowok="t"/>
              </v:shape>
            </v:group>
            <v:group style="position:absolute;left:9403;top:1433;width:1299;height:2" coordorigin="9403,1433" coordsize="1299,2">
              <v:shape style="position:absolute;left:9403;top:1433;width:1299;height:2" coordorigin="9403,1433" coordsize="1299,0" path="m9403,1433l10702,1433e" filled="false" stroked="true" strokeweight="1.44pt" strokecolor="#000000">
                <v:path arrowok="t"/>
              </v:shape>
            </v:group>
            <w10:wrap type="none"/>
          </v:group>
        </w:pict>
      </w:r>
      <w:r>
        <w:rPr>
          <w:rFonts w:ascii="Calibri" w:hAnsi="Calibri" w:cs="Calibri" w:eastAsia="Calibri" w:hint="default"/>
          <w:w w:val="95"/>
        </w:rPr>
        <w:t>5</w:t>
      </w:r>
      <w:r>
        <w:rPr>
          <w:w w:val="95"/>
        </w:rPr>
        <w:t>、订单签署情况</w:t>
      </w:r>
      <w:r>
        <w:rPr>
          <w:b w:val="0"/>
          <w:bCs w:val="0"/>
        </w:rPr>
      </w:r>
    </w:p>
    <w:p>
      <w:pPr>
        <w:spacing w:line="240" w:lineRule="auto" w:before="9"/>
        <w:rPr>
          <w:rFonts w:ascii="黑体" w:hAnsi="黑体" w:cs="黑体" w:eastAsia="黑体" w:hint="default"/>
          <w:b/>
          <w:bCs/>
          <w:sz w:val="35"/>
          <w:szCs w:val="35"/>
        </w:rPr>
      </w:pPr>
      <w:r>
        <w:rPr/>
        <w:br w:type="column"/>
      </w:r>
      <w:r>
        <w:rPr>
          <w:rFonts w:ascii="黑体"/>
          <w:b/>
          <w:sz w:val="35"/>
        </w:rPr>
      </w:r>
    </w:p>
    <w:p>
      <w:pPr>
        <w:pStyle w:val="BodyText"/>
        <w:spacing w:line="240" w:lineRule="auto"/>
        <w:ind w:left="224" w:right="0"/>
        <w:jc w:val="left"/>
      </w:pPr>
      <w:r>
        <w:rPr/>
        <w:t>单位：亿元</w:t>
      </w:r>
    </w:p>
    <w:p>
      <w:pPr>
        <w:spacing w:after="0" w:line="240" w:lineRule="auto"/>
        <w:jc w:val="left"/>
        <w:sectPr>
          <w:type w:val="continuous"/>
          <w:pgSz w:w="12240" w:h="15840"/>
          <w:pgMar w:top="1500" w:bottom="0" w:left="1420" w:right="0"/>
          <w:cols w:num="2" w:equalWidth="0">
            <w:col w:w="2032" w:space="5721"/>
            <w:col w:w="3067"/>
          </w:cols>
        </w:sectPr>
      </w:pPr>
    </w:p>
    <w:p>
      <w:pPr>
        <w:spacing w:line="240" w:lineRule="auto" w:before="4"/>
        <w:rPr>
          <w:rFonts w:ascii="宋体" w:hAnsi="宋体" w:cs="宋体" w:eastAsia="宋体" w:hint="default"/>
          <w:sz w:val="2"/>
          <w:szCs w:val="2"/>
        </w:rPr>
      </w:pPr>
    </w:p>
    <w:tbl>
      <w:tblPr>
        <w:tblW w:w="0" w:type="auto"/>
        <w:jc w:val="left"/>
        <w:tblInd w:w="991" w:type="dxa"/>
        <w:tblLayout w:type="fixed"/>
        <w:tblCellMar>
          <w:top w:w="0" w:type="dxa"/>
          <w:left w:w="0" w:type="dxa"/>
          <w:bottom w:w="0" w:type="dxa"/>
          <w:right w:w="0" w:type="dxa"/>
        </w:tblCellMar>
        <w:tblLook w:val="01E0"/>
      </w:tblPr>
      <w:tblGrid>
        <w:gridCol w:w="1536"/>
        <w:gridCol w:w="2266"/>
        <w:gridCol w:w="2266"/>
        <w:gridCol w:w="3102"/>
      </w:tblGrid>
      <w:tr>
        <w:trPr>
          <w:trHeight w:val="342" w:hRule="exact"/>
        </w:trPr>
        <w:tc>
          <w:tcPr>
            <w:tcW w:w="1536" w:type="dxa"/>
            <w:tcBorders>
              <w:top w:val="single" w:sz="20" w:space="0" w:color="000000"/>
              <w:left w:val="single" w:sz="4" w:space="0" w:color="000000"/>
              <w:bottom w:val="single" w:sz="4" w:space="0" w:color="000000"/>
              <w:right w:val="single" w:sz="4" w:space="0" w:color="000000"/>
            </w:tcBorders>
            <w:shd w:val="clear" w:color="auto" w:fill="E6E6E6"/>
          </w:tcPr>
          <w:p>
            <w:pPr/>
          </w:p>
        </w:tc>
        <w:tc>
          <w:tcPr>
            <w:tcW w:w="2266" w:type="dxa"/>
            <w:tcBorders>
              <w:top w:val="single" w:sz="20" w:space="0" w:color="000000"/>
              <w:left w:val="single" w:sz="4" w:space="0" w:color="000000"/>
              <w:bottom w:val="single" w:sz="4" w:space="0" w:color="000000"/>
              <w:right w:val="single" w:sz="4" w:space="0" w:color="000000"/>
            </w:tcBorders>
            <w:shd w:val="clear" w:color="auto" w:fill="E6E6E6"/>
          </w:tcPr>
          <w:p>
            <w:pPr>
              <w:pStyle w:val="TableParagraph"/>
              <w:spacing w:line="305" w:lineRule="exact"/>
              <w:ind w:left="735" w:right="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2266" w:type="dxa"/>
            <w:tcBorders>
              <w:top w:val="single" w:sz="20" w:space="0" w:color="000000"/>
              <w:left w:val="single" w:sz="4" w:space="0" w:color="000000"/>
              <w:bottom w:val="single" w:sz="4" w:space="0" w:color="000000"/>
              <w:right w:val="single" w:sz="4" w:space="0" w:color="000000"/>
            </w:tcBorders>
            <w:shd w:val="clear" w:color="auto" w:fill="E6E6E6"/>
          </w:tcPr>
          <w:p>
            <w:pPr>
              <w:pStyle w:val="TableParagraph"/>
              <w:spacing w:line="305" w:lineRule="exact"/>
              <w:ind w:left="734" w:right="0"/>
              <w:jc w:val="left"/>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w:t>
            </w:r>
          </w:p>
        </w:tc>
        <w:tc>
          <w:tcPr>
            <w:tcW w:w="3102" w:type="dxa"/>
            <w:tcBorders>
              <w:top w:val="single" w:sz="20" w:space="0" w:color="000000"/>
              <w:left w:val="single" w:sz="4" w:space="0" w:color="000000"/>
              <w:bottom w:val="single" w:sz="4" w:space="0" w:color="000000"/>
              <w:right w:val="single" w:sz="4" w:space="0" w:color="000000"/>
            </w:tcBorders>
            <w:shd w:val="clear" w:color="auto" w:fill="E6E6E6"/>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本年度比上年度增减</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订单总额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4"/>
                <w:szCs w:val="24"/>
              </w:rPr>
            </w:pPr>
            <w:r>
              <w:rPr>
                <w:rFonts w:ascii="Calibri"/>
                <w:spacing w:val="-1"/>
                <w:sz w:val="24"/>
              </w:rPr>
              <w:t>38.09</w:t>
            </w:r>
            <w:r>
              <w:rPr>
                <w:rFonts w:ascii="Calibri"/>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4"/>
                <w:szCs w:val="24"/>
              </w:rPr>
            </w:pPr>
            <w:r>
              <w:rPr>
                <w:rFonts w:ascii="Calibri"/>
                <w:spacing w:val="-1"/>
                <w:sz w:val="24"/>
              </w:rPr>
              <w:t>22.91</w:t>
            </w:r>
            <w:r>
              <w:rPr>
                <w:rFonts w:ascii="Calibri"/>
                <w:sz w:val="24"/>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66.26%</w:t>
            </w:r>
          </w:p>
        </w:tc>
      </w:tr>
    </w:tbl>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847" w:footer="987" w:top="1360" w:bottom="1180" w:left="540" w:right="0"/>
        </w:sectPr>
      </w:pPr>
    </w:p>
    <w:p>
      <w:pPr>
        <w:pStyle w:val="Heading4"/>
        <w:spacing w:line="240" w:lineRule="auto" w:before="26"/>
        <w:ind w:left="1104" w:right="0"/>
        <w:jc w:val="left"/>
        <w:rPr>
          <w:b w:val="0"/>
          <w:bCs w:val="0"/>
        </w:rPr>
      </w:pPr>
      <w:r>
        <w:rPr>
          <w:rFonts w:ascii="Calibri" w:hAnsi="Calibri" w:cs="Calibri" w:eastAsia="Calibri" w:hint="default"/>
          <w:w w:val="95"/>
        </w:rPr>
        <w:t>6</w:t>
      </w:r>
      <w:r>
        <w:rPr>
          <w:w w:val="95"/>
        </w:rPr>
        <w:t>、主要子公司的经营及业绩情况</w:t>
      </w:r>
      <w:r>
        <w:rPr>
          <w:b w:val="0"/>
          <w:bCs w:val="0"/>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3"/>
        <w:rPr>
          <w:rFonts w:ascii="黑体" w:hAnsi="黑体" w:cs="黑体" w:eastAsia="黑体" w:hint="default"/>
          <w:b/>
          <w:bCs/>
          <w:sz w:val="16"/>
          <w:szCs w:val="16"/>
        </w:rPr>
      </w:pPr>
    </w:p>
    <w:p>
      <w:pPr>
        <w:spacing w:before="0"/>
        <w:ind w:left="110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2240" w:h="15840"/>
          <w:pgMar w:top="1500" w:bottom="0" w:left="540" w:right="0"/>
          <w:cols w:num="2" w:equalWidth="0">
            <w:col w:w="4599" w:space="3303"/>
            <w:col w:w="379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37"/>
        <w:gridCol w:w="425"/>
        <w:gridCol w:w="708"/>
        <w:gridCol w:w="991"/>
        <w:gridCol w:w="992"/>
        <w:gridCol w:w="994"/>
        <w:gridCol w:w="992"/>
        <w:gridCol w:w="994"/>
        <w:gridCol w:w="1143"/>
        <w:gridCol w:w="842"/>
      </w:tblGrid>
      <w:tr>
        <w:trPr>
          <w:trHeight w:val="955"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2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06" w:lineRule="exact"/>
              <w:ind w:left="111" w:right="0"/>
              <w:jc w:val="both"/>
              <w:rPr>
                <w:rFonts w:ascii="宋体" w:hAnsi="宋体" w:cs="宋体" w:eastAsia="宋体" w:hint="default"/>
                <w:sz w:val="18"/>
                <w:szCs w:val="18"/>
              </w:rPr>
            </w:pPr>
            <w:r>
              <w:rPr>
                <w:rFonts w:ascii="宋体" w:hAnsi="宋体" w:cs="宋体" w:eastAsia="宋体" w:hint="default"/>
                <w:sz w:val="18"/>
                <w:szCs w:val="18"/>
              </w:rPr>
              <w:t>业</w:t>
            </w:r>
          </w:p>
          <w:p>
            <w:pPr>
              <w:pStyle w:val="TableParagraph"/>
              <w:spacing w:line="232" w:lineRule="exact" w:before="23"/>
              <w:ind w:left="111" w:right="113"/>
              <w:jc w:val="both"/>
              <w:rPr>
                <w:rFonts w:ascii="宋体" w:hAnsi="宋体" w:cs="宋体" w:eastAsia="宋体" w:hint="default"/>
                <w:sz w:val="18"/>
                <w:szCs w:val="18"/>
              </w:rPr>
            </w:pPr>
            <w:r>
              <w:rPr>
                <w:rFonts w:ascii="宋体" w:hAnsi="宋体" w:cs="宋体" w:eastAsia="宋体" w:hint="default"/>
                <w:sz w:val="18"/>
                <w:szCs w:val="18"/>
              </w:rPr>
              <w:t>务 性 质</w:t>
            </w:r>
          </w:p>
        </w:tc>
        <w:tc>
          <w:tcPr>
            <w:tcW w:w="708"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3"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9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15" w:right="98" w:hanging="11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 总资产</w:t>
            </w:r>
          </w:p>
        </w:tc>
        <w:tc>
          <w:tcPr>
            <w:tcW w:w="99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16" w:right="101" w:hanging="11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 净资产</w:t>
            </w:r>
          </w:p>
        </w:tc>
        <w:tc>
          <w:tcPr>
            <w:tcW w:w="99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4" w:right="99" w:hanging="204"/>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年净 利润</w:t>
            </w:r>
          </w:p>
        </w:tc>
        <w:tc>
          <w:tcPr>
            <w:tcW w:w="99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7" w:right="101" w:hanging="207"/>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年净 利润</w:t>
            </w:r>
          </w:p>
        </w:tc>
        <w:tc>
          <w:tcPr>
            <w:tcW w:w="114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01" w:right="111" w:hanging="92"/>
              <w:jc w:val="left"/>
              <w:rPr>
                <w:rFonts w:ascii="宋体" w:hAnsi="宋体" w:cs="宋体" w:eastAsia="宋体" w:hint="default"/>
                <w:sz w:val="18"/>
                <w:szCs w:val="18"/>
              </w:rPr>
            </w:pPr>
            <w:r>
              <w:rPr>
                <w:rFonts w:ascii="宋体" w:hAnsi="宋体" w:cs="宋体" w:eastAsia="宋体" w:hint="default"/>
                <w:sz w:val="18"/>
                <w:szCs w:val="18"/>
              </w:rPr>
              <w:t>净利润同比 变动比例</w:t>
            </w:r>
          </w:p>
        </w:tc>
        <w:tc>
          <w:tcPr>
            <w:tcW w:w="84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06" w:lineRule="exact"/>
              <w:ind w:left="139" w:right="0"/>
              <w:jc w:val="both"/>
              <w:rPr>
                <w:rFonts w:ascii="宋体" w:hAnsi="宋体" w:cs="宋体" w:eastAsia="宋体" w:hint="default"/>
                <w:sz w:val="18"/>
                <w:szCs w:val="18"/>
              </w:rPr>
            </w:pPr>
            <w:r>
              <w:rPr>
                <w:rFonts w:ascii="宋体" w:hAnsi="宋体" w:cs="宋体" w:eastAsia="宋体" w:hint="default"/>
                <w:sz w:val="18"/>
                <w:szCs w:val="18"/>
              </w:rPr>
              <w:t>对合并</w:t>
            </w:r>
          </w:p>
          <w:p>
            <w:pPr>
              <w:pStyle w:val="TableParagraph"/>
              <w:spacing w:line="232" w:lineRule="exact" w:before="23"/>
              <w:ind w:left="139" w:right="143"/>
              <w:jc w:val="both"/>
              <w:rPr>
                <w:rFonts w:ascii="宋体" w:hAnsi="宋体" w:cs="宋体" w:eastAsia="宋体" w:hint="default"/>
                <w:sz w:val="18"/>
                <w:szCs w:val="18"/>
              </w:rPr>
            </w:pPr>
            <w:r>
              <w:rPr>
                <w:rFonts w:ascii="宋体" w:hAnsi="宋体" w:cs="宋体" w:eastAsia="宋体" w:hint="default"/>
                <w:sz w:val="18"/>
                <w:szCs w:val="18"/>
              </w:rPr>
              <w:t>净利润 的影响 比例</w:t>
            </w:r>
          </w:p>
        </w:tc>
      </w:tr>
      <w:tr>
        <w:trPr>
          <w:trHeight w:val="36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4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11" w:right="113"/>
              <w:jc w:val="both"/>
              <w:rPr>
                <w:rFonts w:ascii="宋体" w:hAnsi="宋体" w:cs="宋体" w:eastAsia="宋体" w:hint="default"/>
                <w:sz w:val="18"/>
                <w:szCs w:val="18"/>
              </w:rPr>
            </w:pPr>
            <w:r>
              <w:rPr>
                <w:rFonts w:ascii="宋体" w:hAnsi="宋体" w:cs="宋体" w:eastAsia="宋体" w:hint="default"/>
                <w:sz w:val="18"/>
                <w:szCs w:val="18"/>
              </w:rPr>
              <w:t>系 统 集 成 和 软 件 开 发</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Calibri" w:hAnsi="Calibri" w:cs="Calibri" w:eastAsia="Calibri" w:hint="default"/>
                <w:sz w:val="18"/>
                <w:szCs w:val="18"/>
              </w:rPr>
            </w:pPr>
            <w:r>
              <w:rPr>
                <w:rFonts w:ascii="Calibri"/>
                <w:sz w:val="18"/>
              </w:rPr>
              <w:t>8,000.00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7"/>
              <w:jc w:val="right"/>
              <w:rPr>
                <w:rFonts w:ascii="Calibri" w:hAnsi="Calibri" w:cs="Calibri" w:eastAsia="Calibri" w:hint="default"/>
                <w:sz w:val="18"/>
                <w:szCs w:val="18"/>
              </w:rPr>
            </w:pPr>
            <w:r>
              <w:rPr>
                <w:rFonts w:ascii="Calibri"/>
                <w:sz w:val="18"/>
              </w:rPr>
              <w:t>19,996.70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Calibri" w:hAnsi="Calibri" w:cs="Calibri" w:eastAsia="Calibri" w:hint="default"/>
                <w:sz w:val="18"/>
                <w:szCs w:val="18"/>
              </w:rPr>
            </w:pPr>
            <w:r>
              <w:rPr>
                <w:rFonts w:ascii="Calibri"/>
                <w:sz w:val="18"/>
              </w:rPr>
              <w:t>16,023.67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7"/>
              <w:jc w:val="right"/>
              <w:rPr>
                <w:rFonts w:ascii="Calibri" w:hAnsi="Calibri" w:cs="Calibri" w:eastAsia="Calibri" w:hint="default"/>
                <w:sz w:val="18"/>
                <w:szCs w:val="18"/>
              </w:rPr>
            </w:pPr>
            <w:r>
              <w:rPr>
                <w:rFonts w:ascii="Calibri"/>
                <w:sz w:val="18"/>
              </w:rPr>
              <w:t>3,756.64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Calibri" w:hAnsi="Calibri" w:cs="Calibri" w:eastAsia="Calibri" w:hint="default"/>
                <w:sz w:val="18"/>
                <w:szCs w:val="18"/>
              </w:rPr>
            </w:pPr>
            <w:r>
              <w:rPr>
                <w:rFonts w:ascii="Calibri"/>
                <w:sz w:val="18"/>
              </w:rPr>
              <w:t>3,745.23</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7"/>
              <w:jc w:val="right"/>
              <w:rPr>
                <w:rFonts w:ascii="Calibri" w:hAnsi="Calibri" w:cs="Calibri" w:eastAsia="Calibri" w:hint="default"/>
                <w:sz w:val="18"/>
                <w:szCs w:val="18"/>
              </w:rPr>
            </w:pPr>
            <w:r>
              <w:rPr>
                <w:rFonts w:ascii="Calibri"/>
                <w:sz w:val="18"/>
              </w:rPr>
              <w:t>0.30%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80" w:right="0"/>
              <w:jc w:val="center"/>
              <w:rPr>
                <w:rFonts w:ascii="Calibri" w:hAnsi="Calibri" w:cs="Calibri" w:eastAsia="Calibri" w:hint="default"/>
                <w:sz w:val="18"/>
                <w:szCs w:val="18"/>
              </w:rPr>
            </w:pPr>
            <w:r>
              <w:rPr>
                <w:rFonts w:ascii="Calibri"/>
                <w:sz w:val="18"/>
              </w:rPr>
              <w:t>12.73%</w:t>
            </w:r>
          </w:p>
        </w:tc>
      </w:tr>
      <w:tr>
        <w:trPr>
          <w:trHeight w:val="31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1" w:lineRule="exact"/>
              <w:ind w:right="3"/>
              <w:jc w:val="center"/>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10,000.00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Calibri" w:hAnsi="Calibri" w:cs="Calibri" w:eastAsia="Calibri" w:hint="default"/>
                <w:sz w:val="18"/>
                <w:szCs w:val="18"/>
              </w:rPr>
            </w:pPr>
            <w:r>
              <w:rPr>
                <w:rFonts w:ascii="Calibri"/>
                <w:sz w:val="18"/>
              </w:rPr>
              <w:t>26,462.20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21,121.16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Calibri" w:hAnsi="Calibri" w:cs="Calibri" w:eastAsia="Calibri" w:hint="default"/>
                <w:sz w:val="18"/>
                <w:szCs w:val="18"/>
              </w:rPr>
            </w:pPr>
            <w:r>
              <w:rPr>
                <w:rFonts w:ascii="Calibri"/>
                <w:sz w:val="18"/>
              </w:rPr>
              <w:t>3,753.58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5,701.66</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Calibri" w:hAnsi="Calibri" w:cs="Calibri" w:eastAsia="Calibri" w:hint="default"/>
                <w:sz w:val="18"/>
                <w:szCs w:val="18"/>
              </w:rPr>
            </w:pPr>
            <w:r>
              <w:rPr>
                <w:rFonts w:ascii="Calibri"/>
                <w:sz w:val="18"/>
              </w:rPr>
              <w:t>-34.17%</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80" w:right="0"/>
              <w:jc w:val="center"/>
              <w:rPr>
                <w:rFonts w:ascii="Calibri" w:hAnsi="Calibri" w:cs="Calibri" w:eastAsia="Calibri" w:hint="default"/>
                <w:sz w:val="18"/>
                <w:szCs w:val="18"/>
              </w:rPr>
            </w:pPr>
            <w:r>
              <w:rPr>
                <w:rFonts w:ascii="Calibri"/>
                <w:sz w:val="18"/>
              </w:rPr>
              <w:t>12.72%</w:t>
            </w:r>
          </w:p>
        </w:tc>
      </w:tr>
      <w:tr>
        <w:trPr>
          <w:trHeight w:val="312"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79" w:right="0"/>
              <w:jc w:val="center"/>
              <w:rPr>
                <w:rFonts w:ascii="Calibri" w:hAnsi="Calibri" w:cs="Calibri" w:eastAsia="Calibri" w:hint="default"/>
                <w:sz w:val="18"/>
                <w:szCs w:val="18"/>
              </w:rPr>
            </w:pPr>
            <w:r>
              <w:rPr>
                <w:rFonts w:ascii="Calibri"/>
                <w:sz w:val="18"/>
              </w:rPr>
              <w:t>90%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247.63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96.31</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-2.28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-0.26</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776.92%</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16" w:right="0"/>
              <w:jc w:val="center"/>
              <w:rPr>
                <w:rFonts w:ascii="Calibri" w:hAnsi="Calibri" w:cs="Calibri" w:eastAsia="Calibri" w:hint="default"/>
                <w:sz w:val="18"/>
                <w:szCs w:val="18"/>
              </w:rPr>
            </w:pPr>
            <w:r>
              <w:rPr>
                <w:rFonts w:ascii="Calibri"/>
                <w:sz w:val="18"/>
              </w:rPr>
              <w:t>-0.01%</w:t>
            </w:r>
          </w:p>
        </w:tc>
      </w:tr>
      <w:tr>
        <w:trPr>
          <w:trHeight w:val="32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Calibri" w:hAnsi="Calibri" w:cs="Calibri" w:eastAsia="Calibri" w:hint="default"/>
                <w:sz w:val="18"/>
                <w:szCs w:val="18"/>
              </w:rPr>
            </w:pPr>
            <w:r>
              <w:rPr>
                <w:rFonts w:ascii="Calibri"/>
                <w:spacing w:val="-1"/>
                <w:sz w:val="18"/>
              </w:rPr>
              <w:t>3,800.00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Calibri" w:hAnsi="Calibri" w:cs="Calibri" w:eastAsia="Calibri" w:hint="default"/>
                <w:sz w:val="18"/>
                <w:szCs w:val="18"/>
              </w:rPr>
            </w:pPr>
            <w:r>
              <w:rPr>
                <w:rFonts w:ascii="Calibri"/>
                <w:sz w:val="18"/>
              </w:rPr>
              <w:t>4,108.75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Calibri" w:hAnsi="Calibri" w:cs="Calibri" w:eastAsia="Calibri" w:hint="default"/>
                <w:sz w:val="18"/>
                <w:szCs w:val="18"/>
              </w:rPr>
            </w:pPr>
            <w:r>
              <w:rPr>
                <w:rFonts w:ascii="Calibri"/>
                <w:sz w:val="18"/>
              </w:rPr>
              <w:t>4,026.17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Calibri" w:hAnsi="Calibri" w:cs="Calibri" w:eastAsia="Calibri" w:hint="default"/>
                <w:sz w:val="18"/>
                <w:szCs w:val="18"/>
              </w:rPr>
            </w:pPr>
            <w:r>
              <w:rPr>
                <w:rFonts w:ascii="Calibri"/>
                <w:sz w:val="18"/>
              </w:rPr>
              <w:t>89.65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Calibri" w:hAnsi="Calibri" w:cs="Calibri" w:eastAsia="Calibri" w:hint="default"/>
                <w:sz w:val="18"/>
                <w:szCs w:val="18"/>
              </w:rPr>
            </w:pPr>
            <w:r>
              <w:rPr>
                <w:rFonts w:ascii="Calibri"/>
                <w:sz w:val="18"/>
              </w:rPr>
              <w:t>646.55</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7"/>
              <w:jc w:val="right"/>
              <w:rPr>
                <w:rFonts w:ascii="Calibri" w:hAnsi="Calibri" w:cs="Calibri" w:eastAsia="Calibri" w:hint="default"/>
                <w:sz w:val="18"/>
                <w:szCs w:val="18"/>
              </w:rPr>
            </w:pPr>
            <w:r>
              <w:rPr>
                <w:rFonts w:ascii="Calibri"/>
                <w:sz w:val="18"/>
              </w:rPr>
              <w:t>-86.13%</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71" w:right="0"/>
              <w:jc w:val="center"/>
              <w:rPr>
                <w:rFonts w:ascii="Calibri" w:hAnsi="Calibri" w:cs="Calibri" w:eastAsia="Calibri" w:hint="default"/>
                <w:sz w:val="18"/>
                <w:szCs w:val="18"/>
              </w:rPr>
            </w:pPr>
            <w:r>
              <w:rPr>
                <w:rFonts w:ascii="Calibri"/>
                <w:sz w:val="18"/>
              </w:rPr>
              <w:t>0.30%</w:t>
            </w:r>
          </w:p>
        </w:tc>
      </w:tr>
      <w:tr>
        <w:trPr>
          <w:trHeight w:val="31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HKD1,000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610.29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40.30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-3.64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23.4</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-115.56%</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-0.01%</w:t>
            </w:r>
          </w:p>
        </w:tc>
      </w:tr>
      <w:tr>
        <w:trPr>
          <w:trHeight w:val="320"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pacing w:val="-1"/>
                <w:w w:val="95"/>
                <w:sz w:val="18"/>
              </w:rPr>
              <w:t>500</w:t>
            </w:r>
            <w:r>
              <w:rPr>
                <w:rFonts w:ascii="Calibri"/>
                <w:w w:val="95"/>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395.70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329.56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-199.96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-96.46</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-107.30%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-0.68%</w:t>
            </w:r>
          </w:p>
        </w:tc>
      </w:tr>
      <w:tr>
        <w:trPr>
          <w:trHeight w:val="32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7,707.77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6,637.12</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1,690.51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-53.47</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3261.60%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71" w:right="0"/>
              <w:jc w:val="center"/>
              <w:rPr>
                <w:rFonts w:ascii="Calibri" w:hAnsi="Calibri" w:cs="Calibri" w:eastAsia="Calibri" w:hint="default"/>
                <w:sz w:val="18"/>
                <w:szCs w:val="18"/>
              </w:rPr>
            </w:pPr>
            <w:r>
              <w:rPr>
                <w:rFonts w:ascii="Calibri"/>
                <w:sz w:val="18"/>
              </w:rPr>
              <w:t>5.73%</w:t>
            </w:r>
          </w:p>
        </w:tc>
      </w:tr>
      <w:tr>
        <w:trPr>
          <w:trHeight w:val="31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2,184.03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1,983.53</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-11.68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-4.79</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-143.84%</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-0.04%</w:t>
            </w:r>
          </w:p>
        </w:tc>
      </w:tr>
      <w:tr>
        <w:trPr>
          <w:trHeight w:val="320"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4,136.09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4,741.35</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-217.11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-41.54</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-422.65%</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-0.74%</w:t>
            </w:r>
          </w:p>
        </w:tc>
      </w:tr>
      <w:tr>
        <w:trPr>
          <w:trHeight w:val="32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3,921.13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2,984.86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42.78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-57.92</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173.86%</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71" w:right="0"/>
              <w:jc w:val="center"/>
              <w:rPr>
                <w:rFonts w:ascii="Calibri" w:hAnsi="Calibri" w:cs="Calibri" w:eastAsia="Calibri" w:hint="default"/>
                <w:sz w:val="18"/>
                <w:szCs w:val="18"/>
              </w:rPr>
            </w:pPr>
            <w:r>
              <w:rPr>
                <w:rFonts w:ascii="Calibri"/>
                <w:sz w:val="18"/>
              </w:rPr>
              <w:t>0.14%</w:t>
            </w:r>
          </w:p>
        </w:tc>
      </w:tr>
      <w:tr>
        <w:trPr>
          <w:trHeight w:val="31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1,000.62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pacing w:val="-1"/>
                <w:sz w:val="18"/>
              </w:rPr>
              <w:t>981.67</w:t>
            </w:r>
            <w:r>
              <w:rPr>
                <w:rFonts w:ascii="Calibri"/>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-8.67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-9.66</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10.25%</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-0.03%</w:t>
            </w:r>
          </w:p>
        </w:tc>
      </w:tr>
      <w:tr>
        <w:trPr>
          <w:trHeight w:val="320"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969.07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968.89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-20.94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-10.17</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-105.90%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-0.07%</w:t>
            </w:r>
          </w:p>
        </w:tc>
      </w:tr>
      <w:tr>
        <w:trPr>
          <w:trHeight w:val="32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2,000.00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499.19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193.90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-625.95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-180.15</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-247.46%</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16" w:right="0"/>
              <w:jc w:val="center"/>
              <w:rPr>
                <w:rFonts w:ascii="Calibri" w:hAnsi="Calibri" w:cs="Calibri" w:eastAsia="Calibri" w:hint="default"/>
                <w:sz w:val="18"/>
                <w:szCs w:val="18"/>
              </w:rPr>
            </w:pPr>
            <w:r>
              <w:rPr>
                <w:rFonts w:ascii="Calibri"/>
                <w:sz w:val="18"/>
              </w:rPr>
              <w:t>-2.12%</w:t>
            </w:r>
          </w:p>
        </w:tc>
      </w:tr>
      <w:tr>
        <w:trPr>
          <w:trHeight w:val="320"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390.56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390.56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-9.42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-0.02</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-47000.00%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-0.03%</w:t>
            </w:r>
          </w:p>
        </w:tc>
      </w:tr>
      <w:tr>
        <w:trPr>
          <w:trHeight w:val="320"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33,288.88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15,283.64</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4,930.12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4324.02</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14.02%</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0" w:right="0"/>
              <w:jc w:val="center"/>
              <w:rPr>
                <w:rFonts w:ascii="Calibri" w:hAnsi="Calibri" w:cs="Calibri" w:eastAsia="Calibri" w:hint="default"/>
                <w:sz w:val="18"/>
                <w:szCs w:val="18"/>
              </w:rPr>
            </w:pPr>
            <w:r>
              <w:rPr>
                <w:rFonts w:ascii="Calibri"/>
                <w:sz w:val="18"/>
              </w:rPr>
              <w:t>16.70%</w:t>
            </w:r>
          </w:p>
        </w:tc>
      </w:tr>
      <w:tr>
        <w:trPr>
          <w:trHeight w:val="321"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2,000.00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330.20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329.70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-70.3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Calibri" w:hAnsi="Calibri" w:cs="Calibri" w:eastAsia="Calibri" w:hint="default"/>
                <w:sz w:val="18"/>
                <w:szCs w:val="18"/>
              </w:rPr>
            </w:pPr>
            <w:r>
              <w:rPr>
                <w:rFonts w:ascii="Calibri"/>
                <w:sz w:val="18"/>
              </w:rPr>
              <w:t>0.00%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16" w:right="0"/>
              <w:jc w:val="center"/>
              <w:rPr>
                <w:rFonts w:ascii="Calibri" w:hAnsi="Calibri" w:cs="Calibri" w:eastAsia="Calibri" w:hint="default"/>
                <w:sz w:val="18"/>
                <w:szCs w:val="18"/>
              </w:rPr>
            </w:pPr>
            <w:r>
              <w:rPr>
                <w:rFonts w:ascii="Calibri"/>
                <w:sz w:val="18"/>
              </w:rPr>
              <w:t>-0.24%</w:t>
            </w:r>
          </w:p>
        </w:tc>
      </w:tr>
      <w:tr>
        <w:trPr>
          <w:trHeight w:val="31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1,293.79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1,292.20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-207.8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0.00%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-0.70%</w:t>
            </w:r>
          </w:p>
        </w:tc>
      </w:tr>
      <w:tr>
        <w:trPr>
          <w:trHeight w:val="328"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pacing w:val="-1"/>
                <w:sz w:val="18"/>
              </w:rPr>
              <w:t>0.00%</w:t>
            </w:r>
            <w:r>
              <w:rPr>
                <w:rFonts w:ascii="Calibri"/>
                <w:sz w:val="18"/>
              </w:rPr>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71" w:right="0"/>
              <w:jc w:val="center"/>
              <w:rPr>
                <w:rFonts w:ascii="Calibri" w:hAnsi="Calibri" w:cs="Calibri" w:eastAsia="Calibri" w:hint="default"/>
                <w:sz w:val="18"/>
                <w:szCs w:val="18"/>
              </w:rPr>
            </w:pPr>
            <w:r>
              <w:rPr>
                <w:rFonts w:ascii="Calibri"/>
                <w:sz w:val="18"/>
              </w:rPr>
              <w:t>0.00%</w:t>
            </w:r>
          </w:p>
        </w:tc>
      </w:tr>
      <w:tr>
        <w:trPr>
          <w:trHeight w:val="313"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5,000.00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1,000.00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1,000.00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Calibri" w:hAnsi="Calibri" w:cs="Calibri" w:eastAsia="Calibri" w:hint="default"/>
                <w:sz w:val="18"/>
                <w:szCs w:val="18"/>
              </w:rPr>
            </w:pPr>
            <w:r>
              <w:rPr>
                <w:rFonts w:ascii="Calibri"/>
                <w:sz w:val="18"/>
              </w:rPr>
              <w:t>0.00%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71" w:right="0"/>
              <w:jc w:val="center"/>
              <w:rPr>
                <w:rFonts w:ascii="Calibri" w:hAnsi="Calibri" w:cs="Calibri" w:eastAsia="Calibri" w:hint="default"/>
                <w:sz w:val="18"/>
                <w:szCs w:val="18"/>
              </w:rPr>
            </w:pPr>
            <w:r>
              <w:rPr>
                <w:rFonts w:ascii="Calibri"/>
                <w:sz w:val="18"/>
              </w:rPr>
              <w:t>0.00%</w:t>
            </w:r>
          </w:p>
        </w:tc>
      </w:tr>
      <w:tr>
        <w:trPr>
          <w:trHeight w:val="319"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425" w:type="dxa"/>
            <w:vMerge/>
            <w:tcBorders>
              <w:left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pacing w:val="-1"/>
                <w:w w:val="95"/>
                <w:sz w:val="18"/>
              </w:rPr>
              <w:t>108</w:t>
            </w:r>
            <w:r>
              <w:rPr>
                <w:rFonts w:ascii="Calibri"/>
                <w:w w:val="95"/>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76.26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-95.71</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-120.71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0.00%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-0.41%</w:t>
            </w:r>
          </w:p>
        </w:tc>
      </w:tr>
      <w:tr>
        <w:trPr>
          <w:trHeight w:val="322" w:hRule="exact"/>
        </w:trPr>
        <w:tc>
          <w:tcPr>
            <w:tcW w:w="283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425" w:type="dxa"/>
            <w:vMerge/>
            <w:tcBorders>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87" w:right="0"/>
              <w:jc w:val="center"/>
              <w:rPr>
                <w:rFonts w:ascii="Calibri" w:hAnsi="Calibri" w:cs="Calibri" w:eastAsia="Calibri" w:hint="default"/>
                <w:sz w:val="18"/>
                <w:szCs w:val="18"/>
              </w:rPr>
            </w:pPr>
            <w:r>
              <w:rPr>
                <w:rFonts w:ascii="Calibri"/>
                <w:sz w:val="18"/>
              </w:rPr>
              <w:t>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pacing w:val="-1"/>
                <w:w w:val="95"/>
                <w:sz w:val="18"/>
              </w:rPr>
              <w:t>200</w:t>
            </w:r>
            <w:r>
              <w:rPr>
                <w:rFonts w:ascii="Calibri"/>
                <w:w w:val="95"/>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278.71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-70.54</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-318.51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Calibri" w:hAnsi="Calibri" w:cs="Calibri" w:eastAsia="Calibri" w:hint="default"/>
                <w:sz w:val="18"/>
                <w:szCs w:val="18"/>
              </w:rPr>
            </w:pPr>
            <w:r>
              <w:rPr>
                <w:rFonts w:ascii="Calibri"/>
                <w:sz w:val="18"/>
              </w:rPr>
              <w:t>0</w:t>
            </w:r>
          </w:p>
        </w:tc>
        <w:tc>
          <w:tcPr>
            <w:tcW w:w="1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Calibri" w:hAnsi="Calibri" w:cs="Calibri" w:eastAsia="Calibri" w:hint="default"/>
                <w:sz w:val="18"/>
                <w:szCs w:val="18"/>
              </w:rPr>
            </w:pPr>
            <w:r>
              <w:rPr>
                <w:rFonts w:ascii="Calibri"/>
                <w:sz w:val="18"/>
              </w:rPr>
              <w:t>1.00%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16" w:right="0"/>
              <w:jc w:val="center"/>
              <w:rPr>
                <w:rFonts w:ascii="Calibri" w:hAnsi="Calibri" w:cs="Calibri" w:eastAsia="Calibri" w:hint="default"/>
                <w:sz w:val="18"/>
                <w:szCs w:val="18"/>
              </w:rPr>
            </w:pPr>
            <w:r>
              <w:rPr>
                <w:rFonts w:ascii="Calibri"/>
                <w:sz w:val="18"/>
              </w:rPr>
              <w:t>-1.08%</w:t>
            </w:r>
          </w:p>
        </w:tc>
      </w:tr>
    </w:tbl>
    <w:p>
      <w:pPr>
        <w:spacing w:line="240" w:lineRule="auto" w:before="5"/>
        <w:rPr>
          <w:rFonts w:ascii="宋体" w:hAnsi="宋体" w:cs="宋体" w:eastAsia="宋体" w:hint="default"/>
          <w:sz w:val="16"/>
          <w:szCs w:val="16"/>
        </w:rPr>
      </w:pPr>
    </w:p>
    <w:p>
      <w:pPr>
        <w:pStyle w:val="BodyText"/>
        <w:spacing w:line="324" w:lineRule="auto" w:before="26"/>
        <w:ind w:left="1104" w:right="1637" w:firstLine="479"/>
        <w:jc w:val="right"/>
      </w:pPr>
      <w:r>
        <w:rPr>
          <w:spacing w:val="2"/>
        </w:rPr>
        <w:t>（</w:t>
      </w:r>
      <w:r>
        <w:rPr>
          <w:rFonts w:ascii="Calibri" w:hAnsi="Calibri" w:cs="Calibri" w:eastAsia="Calibri" w:hint="default"/>
          <w:spacing w:val="2"/>
        </w:rPr>
        <w:t>1</w:t>
      </w:r>
      <w:r>
        <w:rPr>
          <w:spacing w:val="2"/>
        </w:rPr>
        <w:t>）北京联银通科技有限公司，成立于</w:t>
      </w:r>
      <w:r>
        <w:rPr>
          <w:rFonts w:ascii="Calibri" w:hAnsi="Calibri" w:cs="Calibri" w:eastAsia="Calibri" w:hint="default"/>
          <w:spacing w:val="2"/>
        </w:rPr>
        <w:t>2000</w:t>
      </w:r>
      <w:r>
        <w:rPr>
          <w:spacing w:val="2"/>
        </w:rPr>
        <w:t>年</w:t>
      </w:r>
      <w:r>
        <w:rPr>
          <w:rFonts w:ascii="Calibri" w:hAnsi="Calibri" w:cs="Calibri" w:eastAsia="Calibri" w:hint="default"/>
          <w:spacing w:val="2"/>
        </w:rPr>
        <w:t>2</w:t>
      </w:r>
      <w:r>
        <w:rPr>
          <w:spacing w:val="2"/>
        </w:rPr>
        <w:t>月</w:t>
      </w:r>
      <w:r>
        <w:rPr>
          <w:rFonts w:ascii="Calibri" w:hAnsi="Calibri" w:cs="Calibri" w:eastAsia="Calibri" w:hint="default"/>
          <w:spacing w:val="2"/>
        </w:rPr>
        <w:t>1</w:t>
      </w:r>
      <w:r>
        <w:rPr>
          <w:spacing w:val="2"/>
        </w:rPr>
        <w:t>日，注册资本：</w:t>
      </w:r>
      <w:r>
        <w:rPr>
          <w:rFonts w:ascii="Calibri" w:hAnsi="Calibri" w:cs="Calibri" w:eastAsia="Calibri" w:hint="default"/>
          <w:spacing w:val="2"/>
        </w:rPr>
        <w:t>8,000</w:t>
      </w:r>
      <w:r>
        <w:rPr>
          <w:spacing w:val="2"/>
        </w:rPr>
        <w:t>万元， </w:t>
      </w:r>
      <w:r>
        <w:rPr/>
        <w:t>注册地点：北京市，经营范围：金融行业软件开发和信息系统集成及相关服务业务。</w:t>
      </w:r>
    </w:p>
    <w:p>
      <w:pPr>
        <w:pStyle w:val="BodyText"/>
        <w:spacing w:line="240" w:lineRule="auto" w:before="187"/>
        <w:ind w:left="0" w:right="1637"/>
        <w:jc w:val="right"/>
      </w:pPr>
      <w:r>
        <w:rPr>
          <w:rFonts w:ascii="Calibri" w:hAnsi="Calibri" w:cs="Calibri" w:eastAsia="Calibri" w:hint="default"/>
        </w:rPr>
        <w:t>2011</w:t>
      </w:r>
      <w:r>
        <w:rPr>
          <w:rFonts w:ascii="Calibri" w:hAnsi="Calibri" w:cs="Calibri" w:eastAsia="Calibri" w:hint="default"/>
          <w:spacing w:val="1"/>
        </w:rPr>
        <w:t> </w:t>
      </w:r>
      <w:r>
        <w:rPr/>
        <w:t>年度实现</w:t>
      </w:r>
      <w:r>
        <w:rPr>
          <w:spacing w:val="-3"/>
        </w:rPr>
        <w:t>主</w:t>
      </w:r>
      <w:r>
        <w:rPr/>
        <w:t>营业务收入</w:t>
      </w:r>
      <w:r>
        <w:rPr>
          <w:spacing w:val="-65"/>
        </w:rPr>
        <w:t> </w:t>
      </w:r>
      <w:r>
        <w:rPr>
          <w:rFonts w:ascii="Arial" w:hAnsi="Arial" w:cs="Arial" w:eastAsia="Arial" w:hint="default"/>
          <w:w w:val="99"/>
        </w:rPr>
        <w:t>189</w:t>
      </w:r>
      <w:r>
        <w:rPr>
          <w:rFonts w:ascii="Arial" w:hAnsi="Arial" w:cs="Arial" w:eastAsia="Arial" w:hint="default"/>
          <w:spacing w:val="-2"/>
          <w:w w:val="100"/>
        </w:rPr>
        <w:t>,</w:t>
      </w:r>
      <w:r>
        <w:rPr>
          <w:rFonts w:ascii="Arial" w:hAnsi="Arial" w:cs="Arial" w:eastAsia="Arial" w:hint="default"/>
          <w:w w:val="99"/>
        </w:rPr>
        <w:t>16</w:t>
      </w:r>
      <w:r>
        <w:rPr>
          <w:rFonts w:ascii="Arial" w:hAnsi="Arial" w:cs="Arial" w:eastAsia="Arial" w:hint="default"/>
          <w:spacing w:val="-2"/>
          <w:w w:val="99"/>
        </w:rPr>
        <w:t>5</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w w:val="99"/>
        </w:rPr>
        <w:t>32</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5</w:t>
      </w:r>
      <w:r>
        <w:rPr>
          <w:rFonts w:ascii="Arial" w:hAnsi="Arial" w:cs="Arial" w:eastAsia="Arial" w:hint="default"/>
        </w:rPr>
        <w:t> </w:t>
      </w:r>
      <w:r>
        <w:rPr>
          <w:rFonts w:ascii="Arial" w:hAnsi="Arial" w:cs="Arial" w:eastAsia="Arial" w:hint="default"/>
          <w:spacing w:val="-11"/>
        </w:rPr>
        <w:t> </w:t>
      </w:r>
      <w:r>
        <w:rPr/>
        <w:t>元</w:t>
      </w:r>
      <w:r>
        <w:rPr>
          <w:spacing w:val="-120"/>
        </w:rPr>
        <w:t>，</w:t>
      </w:r>
      <w:r>
        <w:rPr/>
        <w:t>营业利润</w:t>
      </w:r>
      <w:r>
        <w:rPr>
          <w:spacing w:val="-65"/>
        </w:rPr>
        <w:t> </w:t>
      </w:r>
      <w:r>
        <w:rPr>
          <w:rFonts w:ascii="Arial" w:hAnsi="Arial" w:cs="Arial" w:eastAsia="Arial" w:hint="default"/>
          <w:w w:val="99"/>
        </w:rPr>
        <w:t>4</w:t>
      </w:r>
      <w:r>
        <w:rPr>
          <w:rFonts w:ascii="Arial" w:hAnsi="Arial" w:cs="Arial" w:eastAsia="Arial" w:hint="default"/>
          <w:spacing w:val="-2"/>
          <w:w w:val="99"/>
        </w:rPr>
        <w:t>2</w:t>
      </w:r>
      <w:r>
        <w:rPr>
          <w:rFonts w:ascii="Arial" w:hAnsi="Arial" w:cs="Arial" w:eastAsia="Arial" w:hint="default"/>
          <w:spacing w:val="-2"/>
          <w:w w:val="100"/>
        </w:rPr>
        <w:t>,</w:t>
      </w:r>
      <w:r>
        <w:rPr>
          <w:rFonts w:ascii="Arial" w:hAnsi="Arial" w:cs="Arial" w:eastAsia="Arial" w:hint="default"/>
          <w:w w:val="99"/>
        </w:rPr>
        <w:t>133</w:t>
      </w:r>
      <w:r>
        <w:rPr>
          <w:rFonts w:ascii="Arial" w:hAnsi="Arial" w:cs="Arial" w:eastAsia="Arial" w:hint="default"/>
          <w:spacing w:val="-2"/>
          <w:w w:val="100"/>
        </w:rPr>
        <w:t>,</w:t>
      </w:r>
      <w:r>
        <w:rPr>
          <w:rFonts w:ascii="Arial" w:hAnsi="Arial" w:cs="Arial" w:eastAsia="Arial" w:hint="default"/>
          <w:w w:val="99"/>
        </w:rPr>
        <w:t>49</w:t>
      </w:r>
      <w:r>
        <w:rPr>
          <w:rFonts w:ascii="Arial" w:hAnsi="Arial" w:cs="Arial" w:eastAsia="Arial" w:hint="default"/>
          <w:spacing w:val="-2"/>
          <w:w w:val="99"/>
        </w:rPr>
        <w:t>1</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w w:val="99"/>
        </w:rPr>
        <w:t>2</w:t>
      </w:r>
      <w:r>
        <w:rPr>
          <w:rFonts w:ascii="Arial" w:hAnsi="Arial" w:cs="Arial" w:eastAsia="Arial" w:hint="default"/>
          <w:spacing w:val="-9"/>
        </w:rPr>
        <w:t> </w:t>
      </w:r>
      <w:r>
        <w:rPr/>
        <w:t>元，净</w:t>
      </w:r>
    </w:p>
    <w:p>
      <w:pPr>
        <w:pStyle w:val="BodyText"/>
        <w:spacing w:line="240" w:lineRule="auto" w:before="123"/>
        <w:ind w:left="1104" w:right="0"/>
        <w:jc w:val="left"/>
      </w:pPr>
      <w:r>
        <w:rPr/>
        <w:t>利润</w:t>
      </w:r>
      <w:r>
        <w:rPr>
          <w:spacing w:val="-64"/>
        </w:rPr>
        <w:t> </w:t>
      </w:r>
      <w:r>
        <w:rPr>
          <w:rFonts w:ascii="Arial" w:hAnsi="Arial" w:cs="Arial" w:eastAsia="Arial" w:hint="default"/>
        </w:rPr>
        <w:t>37,566,399.76</w:t>
      </w:r>
      <w:r>
        <w:rPr>
          <w:rFonts w:ascii="Arial" w:hAnsi="Arial" w:cs="Arial" w:eastAsia="Arial" w:hint="default"/>
          <w:spacing w:val="-7"/>
        </w:rPr>
        <w:t> </w:t>
      </w:r>
      <w:r>
        <w:rPr>
          <w:spacing w:val="-3"/>
        </w:rPr>
        <w:t>元。</w:t>
      </w:r>
      <w:r>
        <w:rPr/>
      </w:r>
    </w:p>
    <w:p>
      <w:pPr>
        <w:spacing w:line="240" w:lineRule="auto" w:before="6"/>
        <w:rPr>
          <w:rFonts w:ascii="宋体" w:hAnsi="宋体" w:cs="宋体" w:eastAsia="宋体" w:hint="default"/>
          <w:sz w:val="19"/>
          <w:szCs w:val="19"/>
        </w:rPr>
      </w:pPr>
    </w:p>
    <w:p>
      <w:pPr>
        <w:pStyle w:val="BodyText"/>
        <w:spacing w:line="326" w:lineRule="auto"/>
        <w:ind w:left="1104" w:right="1637" w:firstLine="479"/>
        <w:jc w:val="right"/>
        <w:rPr>
          <w:rFonts w:ascii="Calibri" w:hAnsi="Calibri" w:cs="Calibri" w:eastAsia="Calibri" w:hint="default"/>
        </w:rPr>
      </w:pPr>
      <w:r>
        <w:rPr>
          <w:spacing w:val="-1"/>
        </w:rPr>
        <w:t>（</w:t>
      </w:r>
      <w:r>
        <w:rPr>
          <w:rFonts w:ascii="Calibri" w:hAnsi="Calibri" w:cs="Calibri" w:eastAsia="Calibri" w:hint="default"/>
          <w:spacing w:val="-1"/>
        </w:rPr>
        <w:t>2</w:t>
      </w:r>
      <w:r>
        <w:rPr>
          <w:spacing w:val="-1"/>
        </w:rPr>
        <w:t>）北京东华合创科技有限公司，成立于</w:t>
      </w:r>
      <w:r>
        <w:rPr>
          <w:rFonts w:ascii="Calibri" w:hAnsi="Calibri" w:cs="Calibri" w:eastAsia="Calibri" w:hint="default"/>
          <w:spacing w:val="-1"/>
        </w:rPr>
        <w:t>2006</w:t>
      </w:r>
      <w:r>
        <w:rPr>
          <w:spacing w:val="-1"/>
        </w:rPr>
        <w:t>年</w:t>
      </w:r>
      <w:r>
        <w:rPr>
          <w:rFonts w:ascii="Calibri" w:hAnsi="Calibri" w:cs="Calibri" w:eastAsia="Calibri" w:hint="default"/>
          <w:spacing w:val="-1"/>
        </w:rPr>
        <w:t>10</w:t>
      </w:r>
      <w:r>
        <w:rPr>
          <w:spacing w:val="-1"/>
        </w:rPr>
        <w:t>月</w:t>
      </w:r>
      <w:r>
        <w:rPr>
          <w:rFonts w:ascii="Calibri" w:hAnsi="Calibri" w:cs="Calibri" w:eastAsia="Calibri" w:hint="default"/>
          <w:spacing w:val="-1"/>
        </w:rPr>
        <w:t>13</w:t>
      </w:r>
      <w:r>
        <w:rPr>
          <w:spacing w:val="-1"/>
        </w:rPr>
        <w:t>日，注册资本：</w:t>
      </w:r>
      <w:r>
        <w:rPr>
          <w:rFonts w:ascii="Calibri" w:hAnsi="Calibri" w:cs="Calibri" w:eastAsia="Calibri" w:hint="default"/>
          <w:spacing w:val="-1"/>
        </w:rPr>
        <w:t>10,000</w:t>
      </w:r>
      <w:r>
        <w:rPr>
          <w:spacing w:val="-1"/>
        </w:rPr>
        <w:t>万</w:t>
      </w:r>
      <w:r>
        <w:rPr/>
        <w:t> 元，注册地点：北京市，经营范围：技术开发</w:t>
      </w:r>
      <w:r>
        <w:rPr>
          <w:rFonts w:ascii="Calibri" w:hAnsi="Calibri" w:cs="Calibri" w:eastAsia="Calibri" w:hint="default"/>
        </w:rPr>
        <w:t>,</w:t>
      </w:r>
      <w:r>
        <w:rPr/>
        <w:t>技术推广</w:t>
      </w:r>
      <w:r>
        <w:rPr>
          <w:rFonts w:ascii="Calibri" w:hAnsi="Calibri" w:cs="Calibri" w:eastAsia="Calibri" w:hint="default"/>
        </w:rPr>
        <w:t>,</w:t>
      </w:r>
      <w:r>
        <w:rPr/>
        <w:t>技术转让</w:t>
      </w:r>
      <w:r>
        <w:rPr>
          <w:rFonts w:ascii="Calibri" w:hAnsi="Calibri" w:cs="Calibri" w:eastAsia="Calibri" w:hint="default"/>
        </w:rPr>
        <w:t>,</w:t>
      </w:r>
      <w:r>
        <w:rPr/>
        <w:t>技术咨询</w:t>
      </w:r>
      <w:r>
        <w:rPr>
          <w:rFonts w:ascii="Calibri" w:hAnsi="Calibri" w:cs="Calibri" w:eastAsia="Calibri" w:hint="default"/>
        </w:rPr>
        <w:t>,</w:t>
      </w:r>
      <w:r>
        <w:rPr/>
        <w:t>技术服务</w:t>
      </w:r>
      <w:r>
        <w:rPr>
          <w:rFonts w:ascii="Calibri" w:hAnsi="Calibri" w:cs="Calibri" w:eastAsia="Calibri" w:hint="default"/>
        </w:rPr>
        <w:t>;</w:t>
      </w:r>
    </w:p>
    <w:p>
      <w:pPr>
        <w:spacing w:after="0" w:line="326" w:lineRule="auto"/>
        <w:jc w:val="right"/>
        <w:rPr>
          <w:rFonts w:ascii="Calibri" w:hAnsi="Calibri" w:cs="Calibri" w:eastAsia="Calibri" w:hint="default"/>
        </w:rPr>
        <w:sectPr>
          <w:type w:val="continuous"/>
          <w:pgSz w:w="12240" w:h="15840"/>
          <w:pgMar w:top="1500" w:bottom="0" w:left="540" w:right="0"/>
        </w:sectPr>
      </w:pPr>
    </w:p>
    <w:p>
      <w:pPr>
        <w:pStyle w:val="BodyText"/>
        <w:spacing w:line="324" w:lineRule="auto" w:before="11"/>
        <w:ind w:right="1506"/>
        <w:jc w:val="left"/>
      </w:pPr>
      <w:r>
        <w:rPr/>
        <w:pict>
          <v:group style="position:absolute;margin-left:80.783997pt;margin-top:1.845647pt;width:450.6pt;height:.1pt;mso-position-horizontal-relative:page;mso-position-vertical-relative:paragraph;z-index:-864016"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2"/>
        </w:rPr>
        <w:t>生产</w:t>
      </w:r>
      <w:r>
        <w:rPr>
          <w:rFonts w:ascii="Calibri" w:hAnsi="Calibri" w:cs="Calibri" w:eastAsia="Calibri" w:hint="default"/>
          <w:spacing w:val="2"/>
        </w:rPr>
        <w:t>,</w:t>
      </w:r>
      <w:r>
        <w:rPr>
          <w:spacing w:val="2"/>
        </w:rPr>
        <w:t>加工计算机软硬件</w:t>
      </w:r>
      <w:r>
        <w:rPr>
          <w:rFonts w:ascii="Calibri" w:hAnsi="Calibri" w:cs="Calibri" w:eastAsia="Calibri" w:hint="default"/>
          <w:spacing w:val="2"/>
        </w:rPr>
        <w:t>;</w:t>
      </w:r>
      <w:r>
        <w:rPr>
          <w:spacing w:val="2"/>
        </w:rPr>
        <w:t>计算机系统服务</w:t>
      </w:r>
      <w:r>
        <w:rPr>
          <w:rFonts w:ascii="Calibri" w:hAnsi="Calibri" w:cs="Calibri" w:eastAsia="Calibri" w:hint="default"/>
          <w:spacing w:val="2"/>
        </w:rPr>
        <w:t>,</w:t>
      </w:r>
      <w:r>
        <w:rPr>
          <w:spacing w:val="2"/>
        </w:rPr>
        <w:t>数据处理</w:t>
      </w:r>
      <w:r>
        <w:rPr>
          <w:rFonts w:ascii="Calibri" w:hAnsi="Calibri" w:cs="Calibri" w:eastAsia="Calibri" w:hint="default"/>
          <w:spacing w:val="2"/>
        </w:rPr>
        <w:t>,</w:t>
      </w:r>
      <w:r>
        <w:rPr>
          <w:spacing w:val="2"/>
        </w:rPr>
        <w:t>计算机维修</w:t>
      </w:r>
      <w:r>
        <w:rPr>
          <w:rFonts w:ascii="Calibri" w:hAnsi="Calibri" w:cs="Calibri" w:eastAsia="Calibri" w:hint="default"/>
          <w:spacing w:val="2"/>
        </w:rPr>
        <w:t>,</w:t>
      </w:r>
      <w:r>
        <w:rPr>
          <w:spacing w:val="2"/>
        </w:rPr>
        <w:t>计算机咨询</w:t>
      </w:r>
      <w:r>
        <w:rPr>
          <w:rFonts w:ascii="Calibri" w:hAnsi="Calibri" w:cs="Calibri" w:eastAsia="Calibri" w:hint="default"/>
          <w:spacing w:val="2"/>
        </w:rPr>
        <w:t>;</w:t>
      </w:r>
      <w:r>
        <w:rPr>
          <w:spacing w:val="2"/>
        </w:rPr>
        <w:t>软件服务</w:t>
      </w:r>
      <w:r>
        <w:rPr>
          <w:rFonts w:ascii="Calibri" w:hAnsi="Calibri" w:cs="Calibri" w:eastAsia="Calibri" w:hint="default"/>
          <w:spacing w:val="2"/>
        </w:rPr>
        <w:t>;</w:t>
      </w:r>
      <w:r>
        <w:rPr>
          <w:rFonts w:ascii="Calibri" w:hAnsi="Calibri" w:cs="Calibri" w:eastAsia="Calibri" w:hint="default"/>
          <w:spacing w:val="-33"/>
        </w:rPr>
        <w:t> </w:t>
      </w:r>
      <w:r>
        <w:rPr>
          <w:spacing w:val="-5"/>
        </w:rPr>
        <w:t>销售计算机及辅助设备</w:t>
      </w:r>
      <w:r>
        <w:rPr>
          <w:rFonts w:ascii="Calibri" w:hAnsi="Calibri" w:cs="Calibri" w:eastAsia="Calibri" w:hint="default"/>
          <w:spacing w:val="-5"/>
        </w:rPr>
        <w:t>;</w:t>
      </w:r>
      <w:r>
        <w:rPr>
          <w:spacing w:val="-5"/>
        </w:rPr>
        <w:t>计算机，通讯设备租赁</w:t>
      </w:r>
      <w:r>
        <w:rPr>
          <w:rFonts w:ascii="Calibri" w:hAnsi="Calibri" w:cs="Calibri" w:eastAsia="Calibri" w:hint="default"/>
          <w:spacing w:val="-5"/>
        </w:rPr>
        <w:t>;</w:t>
      </w:r>
      <w:r>
        <w:rPr>
          <w:spacing w:val="-5"/>
        </w:rPr>
        <w:t>货物进出口，技术进出口，代理进出口。</w:t>
      </w:r>
    </w:p>
    <w:p>
      <w:pPr>
        <w:pStyle w:val="BodyText"/>
        <w:spacing w:line="324" w:lineRule="auto" w:before="140"/>
        <w:ind w:right="1697" w:firstLine="479"/>
        <w:jc w:val="left"/>
      </w:pPr>
      <w:r>
        <w:rPr>
          <w:rFonts w:ascii="Calibri" w:hAnsi="Calibri" w:cs="Calibri" w:eastAsia="Calibri" w:hint="default"/>
        </w:rPr>
        <w:t>2011</w:t>
      </w:r>
      <w:r>
        <w:rPr/>
        <w:t>年度实现主营业务收入</w:t>
      </w:r>
      <w:r>
        <w:rPr>
          <w:rFonts w:ascii="Arial" w:hAnsi="Arial" w:cs="Arial" w:eastAsia="Arial" w:hint="default"/>
        </w:rPr>
        <w:t>206,825,093.56 </w:t>
      </w:r>
      <w:r>
        <w:rPr>
          <w:spacing w:val="-4"/>
        </w:rPr>
        <w:t>元，营业利润</w:t>
      </w:r>
      <w:r>
        <w:rPr>
          <w:rFonts w:ascii="Arial" w:hAnsi="Arial" w:cs="Arial" w:eastAsia="Arial" w:hint="default"/>
          <w:spacing w:val="-4"/>
        </w:rPr>
        <w:t>39,781,183.73 </w:t>
      </w:r>
      <w:r>
        <w:rPr/>
        <w:t>元，</w:t>
      </w:r>
      <w:r>
        <w:rPr>
          <w:spacing w:val="-93"/>
        </w:rPr>
        <w:t> </w:t>
      </w:r>
      <w:r>
        <w:rPr/>
        <w:t>净</w:t>
      </w:r>
      <w:r>
        <w:rPr/>
        <w:t> 利润</w:t>
      </w:r>
      <w:r>
        <w:rPr>
          <w:rFonts w:ascii="Arial" w:hAnsi="Arial" w:cs="Arial" w:eastAsia="Arial" w:hint="default"/>
        </w:rPr>
        <w:t>37,535,814.07</w:t>
      </w:r>
      <w:r>
        <w:rPr>
          <w:rFonts w:ascii="Arial" w:hAnsi="Arial" w:cs="Arial" w:eastAsia="Arial" w:hint="default"/>
          <w:spacing w:val="50"/>
        </w:rPr>
        <w:t> </w:t>
      </w:r>
      <w:r>
        <w:rPr>
          <w:spacing w:val="-3"/>
        </w:rPr>
        <w:t>元。</w:t>
      </w:r>
      <w:r>
        <w:rPr/>
      </w:r>
    </w:p>
    <w:p>
      <w:pPr>
        <w:pStyle w:val="BodyText"/>
        <w:spacing w:line="340" w:lineRule="auto" w:before="163"/>
        <w:ind w:right="1635" w:firstLine="479"/>
        <w:jc w:val="both"/>
      </w:pPr>
      <w:r>
        <w:rPr/>
        <w:t>（</w:t>
      </w:r>
      <w:r>
        <w:rPr>
          <w:rFonts w:ascii="Calibri" w:hAnsi="Calibri" w:cs="Calibri" w:eastAsia="Calibri" w:hint="default"/>
        </w:rPr>
        <w:t>3</w:t>
      </w:r>
      <w:r>
        <w:rPr/>
        <w:t>）广州东华合创数码科技有限公司，成立于</w:t>
      </w:r>
      <w:r>
        <w:rPr>
          <w:rFonts w:ascii="Calibri" w:hAnsi="Calibri" w:cs="Calibri" w:eastAsia="Calibri" w:hint="default"/>
        </w:rPr>
        <w:t>2001</w:t>
      </w:r>
      <w:r>
        <w:rPr/>
        <w:t>年</w:t>
      </w:r>
      <w:r>
        <w:rPr>
          <w:rFonts w:ascii="Calibri" w:hAnsi="Calibri" w:cs="Calibri" w:eastAsia="Calibri" w:hint="default"/>
        </w:rPr>
        <w:t>9</w:t>
      </w:r>
      <w:r>
        <w:rPr/>
        <w:t>月</w:t>
      </w:r>
      <w:r>
        <w:rPr>
          <w:rFonts w:ascii="Calibri" w:hAnsi="Calibri" w:cs="Calibri" w:eastAsia="Calibri" w:hint="default"/>
        </w:rPr>
        <w:t>6</w:t>
      </w:r>
      <w:r>
        <w:rPr/>
        <w:t>日，注册资本：</w:t>
      </w:r>
      <w:r>
        <w:rPr>
          <w:rFonts w:ascii="Calibri" w:hAnsi="Calibri" w:cs="Calibri" w:eastAsia="Calibri" w:hint="default"/>
        </w:rPr>
        <w:t>100</w:t>
      </w:r>
      <w:r>
        <w:rPr/>
        <w:t>万 元，注册地点：广东省广州市，经营范围：计算机技术开发、转让、咨询；销售计算</w:t>
      </w:r>
      <w:r>
        <w:rPr>
          <w:spacing w:val="-61"/>
        </w:rPr>
        <w:t> </w:t>
      </w:r>
      <w:r>
        <w:rPr>
          <w:spacing w:val="-61"/>
        </w:rPr>
      </w:r>
      <w:r>
        <w:rPr/>
        <w:t>机软硬件及外围设备的销售业务。</w:t>
      </w:r>
    </w:p>
    <w:p>
      <w:pPr>
        <w:pStyle w:val="BodyText"/>
        <w:spacing w:line="340" w:lineRule="auto" w:before="173"/>
        <w:ind w:right="1506" w:firstLine="479"/>
        <w:jc w:val="left"/>
      </w:pPr>
      <w:r>
        <w:rPr>
          <w:spacing w:val="-4"/>
        </w:rPr>
        <w:t>（</w:t>
      </w:r>
      <w:r>
        <w:rPr>
          <w:rFonts w:ascii="Calibri" w:hAnsi="Calibri" w:cs="Calibri" w:eastAsia="Calibri" w:hint="default"/>
          <w:spacing w:val="-4"/>
        </w:rPr>
        <w:t>4</w:t>
      </w:r>
      <w:r>
        <w:rPr>
          <w:spacing w:val="-4"/>
        </w:rPr>
        <w:t>）泰安东华合创软件有限公司，成立于</w:t>
      </w:r>
      <w:r>
        <w:rPr>
          <w:rFonts w:ascii="Calibri" w:hAnsi="Calibri" w:cs="Calibri" w:eastAsia="Calibri" w:hint="default"/>
          <w:spacing w:val="-4"/>
        </w:rPr>
        <w:t>2006</w:t>
      </w:r>
      <w:r>
        <w:rPr>
          <w:spacing w:val="-4"/>
        </w:rPr>
        <w:t>年</w:t>
      </w:r>
      <w:r>
        <w:rPr>
          <w:rFonts w:ascii="Calibri" w:hAnsi="Calibri" w:cs="Calibri" w:eastAsia="Calibri" w:hint="default"/>
          <w:spacing w:val="-4"/>
        </w:rPr>
        <w:t>5</w:t>
      </w:r>
      <w:r>
        <w:rPr>
          <w:spacing w:val="-4"/>
        </w:rPr>
        <w:t>月</w:t>
      </w:r>
      <w:r>
        <w:rPr>
          <w:rFonts w:ascii="Calibri" w:hAnsi="Calibri" w:cs="Calibri" w:eastAsia="Calibri" w:hint="default"/>
          <w:spacing w:val="-4"/>
        </w:rPr>
        <w:t>25</w:t>
      </w:r>
      <w:r>
        <w:rPr>
          <w:spacing w:val="-4"/>
        </w:rPr>
        <w:t>日，注册资本：</w:t>
      </w:r>
      <w:r>
        <w:rPr>
          <w:rFonts w:ascii="Calibri" w:hAnsi="Calibri" w:cs="Calibri" w:eastAsia="Calibri" w:hint="default"/>
          <w:spacing w:val="-4"/>
        </w:rPr>
        <w:t>3,800</w:t>
      </w:r>
      <w:r>
        <w:rPr>
          <w:spacing w:val="-4"/>
        </w:rPr>
        <w:t>万元，</w:t>
      </w:r>
      <w:r>
        <w:rPr/>
        <w:t> 注册地点：山东省泰安市，经营范围：机电设备的设计、制造、销售</w:t>
      </w:r>
      <w:r>
        <w:rPr>
          <w:rFonts w:ascii="Calibri" w:hAnsi="Calibri" w:cs="Calibri" w:eastAsia="Calibri" w:hint="default"/>
        </w:rPr>
        <w:t>;</w:t>
      </w:r>
      <w:r>
        <w:rPr/>
        <w:t>计算机技术的开</w:t>
      </w:r>
      <w:r>
        <w:rPr>
          <w:spacing w:val="-114"/>
        </w:rPr>
        <w:t> </w:t>
      </w:r>
      <w:r>
        <w:rPr/>
        <w:t>发、生产、销售、转让、培训；软件外包；开发、生产、销售销售计算机软硬件及外</w:t>
      </w:r>
      <w:r>
        <w:rPr>
          <w:spacing w:val="-61"/>
        </w:rPr>
        <w:t> </w:t>
      </w:r>
      <w:r>
        <w:rPr>
          <w:spacing w:val="-61"/>
        </w:rPr>
      </w:r>
      <w:r>
        <w:rPr/>
        <w:t>围设备；承接计算机网络工程；工业自动化控制系统工程</w:t>
      </w:r>
      <w:r>
        <w:rPr>
          <w:rFonts w:ascii="Calibri" w:hAnsi="Calibri" w:cs="Calibri" w:eastAsia="Calibri" w:hint="default"/>
        </w:rPr>
        <w:t>;</w:t>
      </w:r>
      <w:r>
        <w:rPr/>
        <w:t>开发电子商务系统</w:t>
      </w:r>
      <w:r>
        <w:rPr>
          <w:rFonts w:ascii="Calibri" w:hAnsi="Calibri" w:cs="Calibri" w:eastAsia="Calibri" w:hint="default"/>
        </w:rPr>
        <w:t>;</w:t>
      </w:r>
      <w:r>
        <w:rPr/>
        <w:t>自营和代 </w:t>
      </w:r>
      <w:r>
        <w:rPr>
          <w:spacing w:val="-5"/>
        </w:rPr>
        <w:t>理各类商品及技术的进出口，但国家限定公司经营或禁止进出口的商品和技术除外（涉</w:t>
      </w:r>
      <w:r>
        <w:rPr>
          <w:spacing w:val="-98"/>
        </w:rPr>
        <w:t> </w:t>
      </w:r>
      <w:r>
        <w:rPr>
          <w:spacing w:val="-98"/>
        </w:rPr>
      </w:r>
      <w:r>
        <w:rPr>
          <w:spacing w:val="8"/>
        </w:rPr>
        <w:t>及法律行政法规规定必须报经审批的项目，应凭国家有关部门的批准文件或证件经</w:t>
      </w:r>
      <w:r>
        <w:rPr>
          <w:spacing w:val="-118"/>
        </w:rPr>
        <w:t> </w:t>
      </w:r>
      <w:r>
        <w:rPr>
          <w:spacing w:val="-118"/>
        </w:rPr>
      </w:r>
      <w:r>
        <w:rPr/>
        <w:t>营）。</w:t>
      </w:r>
    </w:p>
    <w:p>
      <w:pPr>
        <w:pStyle w:val="BodyText"/>
        <w:spacing w:line="326" w:lineRule="auto" w:before="171"/>
        <w:ind w:right="1507" w:firstLine="479"/>
        <w:jc w:val="left"/>
      </w:pPr>
      <w:r>
        <w:rPr>
          <w:spacing w:val="-4"/>
        </w:rPr>
        <w:t>（</w:t>
      </w:r>
      <w:r>
        <w:rPr>
          <w:rFonts w:ascii="Calibri" w:hAnsi="Calibri" w:cs="Calibri" w:eastAsia="Calibri" w:hint="default"/>
          <w:spacing w:val="-4"/>
        </w:rPr>
        <w:t>5</w:t>
      </w:r>
      <w:r>
        <w:rPr>
          <w:spacing w:val="-4"/>
        </w:rPr>
        <w:t>）北京东华合创香港有限公司</w:t>
      </w:r>
      <w:r>
        <w:rPr>
          <w:rFonts w:ascii="宋体" w:hAnsi="宋体" w:cs="宋体" w:eastAsia="宋体" w:hint="default"/>
          <w:spacing w:val="-4"/>
        </w:rPr>
        <w:t>,</w:t>
      </w:r>
      <w:r>
        <w:rPr>
          <w:spacing w:val="-4"/>
        </w:rPr>
        <w:t>成立于</w:t>
      </w:r>
      <w:r>
        <w:rPr>
          <w:rFonts w:ascii="宋体" w:hAnsi="宋体" w:cs="宋体" w:eastAsia="宋体" w:hint="default"/>
          <w:spacing w:val="-4"/>
        </w:rPr>
        <w:t>2008</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w:t>
      </w:r>
      <w:r>
        <w:rPr>
          <w:spacing w:val="-4"/>
        </w:rPr>
        <w:t>日，注册资本：</w:t>
      </w:r>
      <w:r>
        <w:rPr>
          <w:rFonts w:ascii="宋体" w:hAnsi="宋体" w:cs="宋体" w:eastAsia="宋体" w:hint="default"/>
          <w:spacing w:val="-4"/>
        </w:rPr>
        <w:t>1,000</w:t>
      </w:r>
      <w:r>
        <w:rPr>
          <w:spacing w:val="-4"/>
        </w:rPr>
        <w:t>万港元，</w:t>
      </w:r>
      <w:r>
        <w:rPr/>
        <w:t> 注册地点：香港，主要负责代理母公司进口设备等业务。</w:t>
      </w:r>
    </w:p>
    <w:p>
      <w:pPr>
        <w:pStyle w:val="BodyText"/>
        <w:spacing w:line="357" w:lineRule="auto" w:before="185"/>
        <w:ind w:right="1506" w:firstLine="479"/>
        <w:jc w:val="left"/>
      </w:pPr>
      <w:r>
        <w:rPr/>
        <w:t>（</w:t>
      </w:r>
      <w:r>
        <w:rPr>
          <w:rFonts w:ascii="宋体" w:hAnsi="宋体" w:cs="宋体" w:eastAsia="宋体" w:hint="default"/>
        </w:rPr>
        <w:t>6</w:t>
      </w:r>
      <w:r>
        <w:rPr/>
        <w:t>）东华软件工程有限公司，成立于</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16</w:t>
      </w:r>
      <w:r>
        <w:rPr/>
        <w:t>日，注册资本：</w:t>
      </w:r>
      <w:r>
        <w:rPr>
          <w:rFonts w:ascii="宋体" w:hAnsi="宋体" w:cs="宋体" w:eastAsia="宋体" w:hint="default"/>
        </w:rPr>
        <w:t>5,000</w:t>
      </w:r>
      <w:r>
        <w:rPr/>
        <w:t>万元，</w:t>
      </w:r>
      <w:r>
        <w:rPr>
          <w:spacing w:val="2"/>
        </w:rPr>
        <w:t> </w:t>
      </w:r>
      <w:r>
        <w:rPr/>
        <w:t>注册地点：安徽省马鞍山市，经营范围：计算机应用软件开发、服务及销售、代理软</w:t>
      </w:r>
      <w:r>
        <w:rPr>
          <w:spacing w:val="-61"/>
        </w:rPr>
        <w:t> </w:t>
      </w:r>
      <w:r>
        <w:rPr>
          <w:spacing w:val="-61"/>
        </w:rPr>
      </w:r>
      <w:r>
        <w:rPr/>
        <w:t>件产品销售及服务，信息系统集成和服务，计算机和网络信息系统相关硬件产品的研</w:t>
      </w:r>
      <w:r>
        <w:rPr>
          <w:spacing w:val="-59"/>
        </w:rPr>
        <w:t> </w:t>
      </w:r>
      <w:r>
        <w:rPr>
          <w:spacing w:val="-59"/>
        </w:rPr>
      </w:r>
      <w:r>
        <w:rPr>
          <w:spacing w:val="-2"/>
        </w:rPr>
        <w:t>制、开发、销售及维护服务，自动控制系统、监控系统、弱电工程、容灾系统的研制、</w:t>
      </w:r>
      <w:r>
        <w:rPr>
          <w:spacing w:val="-99"/>
        </w:rPr>
        <w:t> </w:t>
      </w:r>
      <w:r>
        <w:rPr>
          <w:spacing w:val="-99"/>
        </w:rPr>
      </w:r>
      <w:r>
        <w:rPr/>
        <w:t>开发、销售、施工及服务。</w:t>
      </w:r>
    </w:p>
    <w:p>
      <w:pPr>
        <w:pStyle w:val="BodyText"/>
        <w:spacing w:line="357" w:lineRule="auto" w:before="157"/>
        <w:ind w:right="1639" w:firstLine="479"/>
        <w:jc w:val="both"/>
      </w:pPr>
      <w:r>
        <w:rPr>
          <w:spacing w:val="-2"/>
        </w:rPr>
        <w:t>（</w:t>
      </w:r>
      <w:r>
        <w:rPr>
          <w:rFonts w:ascii="宋体" w:hAnsi="宋体" w:cs="宋体" w:eastAsia="宋体" w:hint="default"/>
          <w:spacing w:val="-2"/>
        </w:rPr>
        <w:t>7</w:t>
      </w:r>
      <w:r>
        <w:rPr>
          <w:spacing w:val="-2"/>
        </w:rPr>
        <w:t>）北京厚盾科技有限公司，成立于</w:t>
      </w:r>
      <w:r>
        <w:rPr>
          <w:rFonts w:ascii="宋体" w:hAnsi="宋体" w:cs="宋体" w:eastAsia="宋体" w:hint="default"/>
          <w:spacing w:val="-2"/>
        </w:rPr>
        <w:t>2003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日，注册资本：</w:t>
      </w:r>
      <w:r>
        <w:rPr>
          <w:rFonts w:ascii="宋体" w:hAnsi="宋体" w:cs="宋体" w:eastAsia="宋体" w:hint="default"/>
          <w:spacing w:val="-2"/>
        </w:rPr>
        <w:t>500</w:t>
      </w:r>
      <w:r>
        <w:rPr>
          <w:spacing w:val="-2"/>
        </w:rPr>
        <w:t>万元，注册</w:t>
      </w:r>
      <w:r>
        <w:rPr/>
        <w:t> 地点：北京市，经营范围：法律、行政法规、国务院决定禁止的，不得经营；法律、</w:t>
      </w:r>
      <w:r>
        <w:rPr>
          <w:spacing w:val="-60"/>
        </w:rPr>
        <w:t> </w:t>
      </w:r>
      <w:r>
        <w:rPr>
          <w:spacing w:val="-60"/>
        </w:rPr>
      </w:r>
      <w:r>
        <w:rPr/>
        <w:t>行政法规、国务院决定规定应经许可的，经审批机关批准并工商行政管理机关登记注</w:t>
      </w:r>
      <w:r>
        <w:rPr>
          <w:spacing w:val="-59"/>
        </w:rPr>
        <w:t> </w:t>
      </w:r>
      <w:r>
        <w:rPr>
          <w:spacing w:val="-59"/>
        </w:rPr>
      </w:r>
      <w:r>
        <w:rPr/>
        <w:t>册后方可经营；法律、行政法规、国务院决定未规定许可的，自主选择经营项目开展</w:t>
      </w:r>
      <w:r>
        <w:rPr>
          <w:spacing w:val="-61"/>
        </w:rPr>
        <w:t> </w:t>
      </w:r>
      <w:r>
        <w:rPr>
          <w:spacing w:val="-61"/>
        </w:rPr>
      </w:r>
      <w:r>
        <w:rPr/>
        <w:t>经营活动。</w:t>
      </w:r>
    </w:p>
    <w:p>
      <w:pPr>
        <w:spacing w:after="0" w:line="357" w:lineRule="auto"/>
        <w:jc w:val="both"/>
        <w:sectPr>
          <w:pgSz w:w="12240" w:h="15840"/>
          <w:pgMar w:header="847" w:footer="987" w:top="1360" w:bottom="1180" w:left="1500" w:right="0"/>
        </w:sectPr>
      </w:pPr>
    </w:p>
    <w:p>
      <w:pPr>
        <w:pStyle w:val="BodyText"/>
        <w:spacing w:line="340" w:lineRule="auto" w:before="11"/>
        <w:ind w:right="1637" w:firstLine="479"/>
        <w:jc w:val="both"/>
      </w:pPr>
      <w:r>
        <w:rPr/>
        <w:pict>
          <v:group style="position:absolute;margin-left:80.783997pt;margin-top:1.845647pt;width:450.6pt;height:.1pt;mso-position-horizontal-relative:page;mso-position-vertical-relative:paragraph;z-index:-863992" coordorigin="1616,37" coordsize="9012,2">
            <v:shape style="position:absolute;left:1616;top:37;width:9012;height:2" coordorigin="1616,37" coordsize="9012,0" path="m1616,37l10627,37e" filled="false" stroked="true" strokeweight=".71999pt" strokecolor="#000000">
              <v:path arrowok="t"/>
            </v:shape>
            <w10:wrap type="none"/>
          </v:group>
        </w:pict>
      </w:r>
      <w:r>
        <w:rPr/>
        <w:t>（</w:t>
      </w:r>
      <w:r>
        <w:rPr>
          <w:rFonts w:ascii="Calibri" w:hAnsi="Calibri" w:cs="Calibri" w:eastAsia="Calibri" w:hint="default"/>
        </w:rPr>
        <w:t>8</w:t>
      </w:r>
      <w:r>
        <w:rPr/>
        <w:t>）哈尔滨东华软件有限公司，成立于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6</w:t>
      </w:r>
      <w:r>
        <w:rPr/>
        <w:t>日，注册资本</w:t>
      </w:r>
      <w:r>
        <w:rPr>
          <w:rFonts w:ascii="宋体" w:hAnsi="宋体" w:cs="宋体" w:eastAsia="宋体" w:hint="default"/>
        </w:rPr>
        <w:t>2,000</w:t>
      </w:r>
      <w:r>
        <w:rPr/>
        <w:t>万元，注 册地点：黑龙江省哈尔滨市，经营范围：计算机软硬件技术开发、技术服务及相关产</w:t>
      </w:r>
      <w:r>
        <w:rPr>
          <w:spacing w:val="-61"/>
        </w:rPr>
        <w:t> </w:t>
      </w:r>
      <w:r>
        <w:rPr>
          <w:spacing w:val="-61"/>
        </w:rPr>
      </w:r>
      <w:r>
        <w:rPr/>
        <w:t>品销售；计算机系统集成及技术服务；网络工程、弱电工程的设计、施工。</w:t>
      </w:r>
    </w:p>
    <w:p>
      <w:pPr>
        <w:pStyle w:val="BodyText"/>
        <w:spacing w:line="350" w:lineRule="auto" w:before="170"/>
        <w:ind w:right="1637" w:firstLine="479"/>
        <w:jc w:val="both"/>
      </w:pPr>
      <w:r>
        <w:rPr>
          <w:spacing w:val="-2"/>
        </w:rPr>
        <w:t>（</w:t>
      </w:r>
      <w:r>
        <w:rPr>
          <w:rFonts w:ascii="Calibri" w:hAnsi="Calibri" w:cs="Calibri" w:eastAsia="Calibri" w:hint="default"/>
          <w:spacing w:val="-2"/>
        </w:rPr>
        <w:t>9</w:t>
      </w:r>
      <w:r>
        <w:rPr>
          <w:spacing w:val="-2"/>
        </w:rPr>
        <w:t>）东华合创软件有限公司，成立于</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日，注册资本：</w:t>
      </w:r>
      <w:r>
        <w:rPr>
          <w:rFonts w:ascii="宋体" w:hAnsi="宋体" w:cs="宋体" w:eastAsia="宋体" w:hint="default"/>
          <w:spacing w:val="-2"/>
        </w:rPr>
        <w:t>5,000</w:t>
      </w:r>
      <w:r>
        <w:rPr>
          <w:spacing w:val="-2"/>
        </w:rPr>
        <w:t>万元，注</w:t>
      </w:r>
      <w:r>
        <w:rPr/>
        <w:t> 册地点：天津市，经营范围：软件制作；机电一体化，软件技术开发、咨询、服务、</w:t>
      </w:r>
      <w:r>
        <w:rPr>
          <w:spacing w:val="-61"/>
        </w:rPr>
        <w:t> </w:t>
      </w:r>
      <w:r>
        <w:rPr>
          <w:spacing w:val="-61"/>
        </w:rPr>
      </w:r>
      <w:r>
        <w:rPr/>
        <w:t>转让；计算机系统集成；计算机及外围设备、机械设备、电器设备的批发兼零售；安</w:t>
      </w:r>
      <w:r>
        <w:rPr>
          <w:spacing w:val="-58"/>
        </w:rPr>
        <w:t> </w:t>
      </w:r>
      <w:r>
        <w:rPr>
          <w:spacing w:val="-58"/>
        </w:rPr>
      </w:r>
      <w:r>
        <w:rPr/>
        <w:t>全技术防范工程设计、施工；楼宇智能化工程设计、施工；楼宇智能化工程设计、施</w:t>
      </w:r>
      <w:r>
        <w:rPr>
          <w:spacing w:val="-59"/>
        </w:rPr>
        <w:t> </w:t>
      </w:r>
      <w:r>
        <w:rPr>
          <w:spacing w:val="-59"/>
        </w:rPr>
      </w:r>
      <w:r>
        <w:rPr/>
        <w:t>工；货物和技术进出口业务。</w:t>
      </w:r>
    </w:p>
    <w:p>
      <w:pPr>
        <w:pStyle w:val="BodyText"/>
        <w:spacing w:line="345" w:lineRule="auto" w:before="161"/>
        <w:ind w:right="1637" w:firstLine="479"/>
        <w:jc w:val="both"/>
      </w:pPr>
      <w:r>
        <w:rPr>
          <w:spacing w:val="-2"/>
        </w:rPr>
        <w:t>（</w:t>
      </w:r>
      <w:r>
        <w:rPr>
          <w:rFonts w:ascii="Calibri" w:hAnsi="Calibri" w:cs="Calibri" w:eastAsia="Calibri" w:hint="default"/>
          <w:spacing w:val="-2"/>
        </w:rPr>
        <w:t>10</w:t>
      </w:r>
      <w:r>
        <w:rPr>
          <w:spacing w:val="-2"/>
        </w:rPr>
        <w:t>）东华软件技术有限公司，成立于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日，注册资本：</w:t>
      </w:r>
      <w:r>
        <w:rPr>
          <w:rFonts w:ascii="宋体" w:hAnsi="宋体" w:cs="宋体" w:eastAsia="宋体" w:hint="default"/>
          <w:spacing w:val="-2"/>
        </w:rPr>
        <w:t>5,000</w:t>
      </w:r>
      <w:r>
        <w:rPr>
          <w:spacing w:val="-2"/>
        </w:rPr>
        <w:t>万元，注</w:t>
      </w:r>
      <w:r>
        <w:rPr/>
        <w:t> 册地点：江苏省南京市，经营范围：计算机、自动化、网络通讯系统及软硬件产品的</w:t>
      </w:r>
      <w:r>
        <w:rPr>
          <w:spacing w:val="-61"/>
        </w:rPr>
        <w:t> </w:t>
      </w:r>
      <w:r>
        <w:rPr>
          <w:spacing w:val="-61"/>
        </w:rPr>
      </w:r>
      <w:r>
        <w:rPr/>
        <w:t>研发、销售、系统集成、维修、咨询服务；智能交通、智能建筑、机电一体化系统及</w:t>
      </w:r>
      <w:r>
        <w:rPr>
          <w:spacing w:val="-59"/>
        </w:rPr>
        <w:t> </w:t>
      </w:r>
      <w:r>
        <w:rPr>
          <w:spacing w:val="-59"/>
        </w:rPr>
      </w:r>
      <w:r>
        <w:rPr/>
        <w:t>产品的研发、销售、施工。</w:t>
      </w:r>
    </w:p>
    <w:p>
      <w:pPr>
        <w:pStyle w:val="BodyText"/>
        <w:spacing w:line="348" w:lineRule="auto" w:before="166"/>
        <w:ind w:right="1637" w:firstLine="479"/>
        <w:jc w:val="both"/>
      </w:pPr>
      <w:r>
        <w:rPr/>
        <w:t>（</w:t>
      </w:r>
      <w:r>
        <w:rPr>
          <w:rFonts w:ascii="Calibri" w:hAnsi="Calibri" w:cs="Calibri" w:eastAsia="Calibri" w:hint="default"/>
        </w:rPr>
        <w:t>11</w:t>
      </w:r>
      <w:r>
        <w:rPr/>
        <w:t>）东华合创科技有限公司，成立于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23</w:t>
      </w:r>
      <w:r>
        <w:rPr/>
        <w:t>日，注册资本：</w:t>
      </w:r>
      <w:r>
        <w:rPr>
          <w:rFonts w:ascii="宋体" w:hAnsi="宋体" w:cs="宋体" w:eastAsia="宋体" w:hint="default"/>
        </w:rPr>
        <w:t>5,000</w:t>
      </w:r>
      <w:r>
        <w:rPr/>
        <w:t>万元，</w:t>
      </w:r>
      <w:r>
        <w:rPr>
          <w:spacing w:val="2"/>
        </w:rPr>
        <w:t> </w:t>
      </w:r>
      <w:r>
        <w:rPr/>
        <w:t>注册地点：安徽省合肥市，经营范围：计算机、自动化、网络通讯系统及软硬件产品</w:t>
      </w:r>
      <w:r>
        <w:rPr>
          <w:spacing w:val="-58"/>
        </w:rPr>
        <w:t> </w:t>
      </w:r>
      <w:r>
        <w:rPr>
          <w:spacing w:val="-58"/>
        </w:rPr>
      </w:r>
      <w:r>
        <w:rPr/>
        <w:t>的研究、设计、开发、外包、维修、咨询服务，系统集成；智能交通、智能建筑、机</w:t>
      </w:r>
      <w:r>
        <w:rPr>
          <w:spacing w:val="-59"/>
        </w:rPr>
        <w:t> </w:t>
      </w:r>
      <w:r>
        <w:rPr>
          <w:spacing w:val="-59"/>
        </w:rPr>
      </w:r>
      <w:r>
        <w:rPr/>
        <w:t>电一体化系统及产品的研究、设计、开发、销售、施工、服务，公共安全防范工程、</w:t>
      </w:r>
      <w:r>
        <w:rPr>
          <w:spacing w:val="-59"/>
        </w:rPr>
        <w:t> </w:t>
      </w:r>
      <w:r>
        <w:rPr>
          <w:spacing w:val="-59"/>
        </w:rPr>
      </w:r>
      <w:r>
        <w:rPr/>
        <w:t>信息系统安全工程的设计、施工、服务。</w:t>
      </w:r>
    </w:p>
    <w:p>
      <w:pPr>
        <w:pStyle w:val="BodyText"/>
        <w:spacing w:line="345" w:lineRule="auto" w:before="166"/>
        <w:ind w:right="1639" w:firstLine="479"/>
        <w:jc w:val="both"/>
      </w:pPr>
      <w:r>
        <w:rPr/>
        <w:t>（</w:t>
      </w:r>
      <w:r>
        <w:rPr>
          <w:rFonts w:ascii="Calibri" w:hAnsi="Calibri" w:cs="Calibri" w:eastAsia="Calibri" w:hint="default"/>
        </w:rPr>
        <w:t>12</w:t>
      </w:r>
      <w:r>
        <w:rPr/>
        <w:t>）北京东华厚盾软件有限公司，成立于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22</w:t>
      </w:r>
      <w:r>
        <w:rPr/>
        <w:t>日，注册资本：</w:t>
      </w:r>
      <w:r>
        <w:rPr>
          <w:rFonts w:ascii="宋体" w:hAnsi="宋体" w:cs="宋体" w:eastAsia="宋体" w:hint="default"/>
        </w:rPr>
        <w:t>1,000</w:t>
      </w:r>
      <w:r>
        <w:rPr/>
        <w:t>万 元，注册地点：北京市，经营范围：应用软件服务；货物进出口；技术进出口；代理</w:t>
      </w:r>
      <w:r>
        <w:rPr>
          <w:spacing w:val="-61"/>
        </w:rPr>
        <w:t> </w:t>
      </w:r>
      <w:r>
        <w:rPr>
          <w:spacing w:val="-61"/>
        </w:rPr>
      </w:r>
      <w:r>
        <w:rPr/>
        <w:t>进出口；销售计算机软硬件及外围设备（不含计算机信息系统安全专用产品）；技术</w:t>
      </w:r>
      <w:r>
        <w:rPr>
          <w:spacing w:val="-59"/>
        </w:rPr>
        <w:t> </w:t>
      </w:r>
      <w:r>
        <w:rPr>
          <w:spacing w:val="-59"/>
        </w:rPr>
      </w:r>
      <w:r>
        <w:rPr/>
        <w:t>开发；技术咨询；技术服务；技术转让；计算机系统设计、集成。</w:t>
      </w:r>
    </w:p>
    <w:p>
      <w:pPr>
        <w:pStyle w:val="BodyText"/>
        <w:spacing w:line="357" w:lineRule="auto" w:before="169"/>
        <w:ind w:right="1639" w:firstLine="479"/>
        <w:jc w:val="both"/>
      </w:pPr>
      <w:r>
        <w:rPr/>
        <w:t>（</w:t>
      </w:r>
      <w:r>
        <w:rPr>
          <w:rFonts w:ascii="宋体" w:hAnsi="宋体" w:cs="宋体" w:eastAsia="宋体" w:hint="default"/>
        </w:rPr>
        <w:t>13</w:t>
      </w:r>
      <w:r>
        <w:rPr/>
        <w:t>）北京东华易时科技有限公司，成立于</w:t>
      </w:r>
      <w:r>
        <w:rPr>
          <w:spacing w:val="-68"/>
        </w:rPr>
        <w:t> </w:t>
      </w: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w:t>
      </w:r>
      <w:r>
        <w:rPr>
          <w:spacing w:val="-68"/>
        </w:rPr>
        <w:t> </w:t>
      </w:r>
      <w:r>
        <w:rPr>
          <w:rFonts w:ascii="宋体" w:hAnsi="宋体" w:cs="宋体" w:eastAsia="宋体" w:hint="default"/>
        </w:rPr>
        <w:t>11</w:t>
      </w:r>
      <w:r>
        <w:rPr>
          <w:rFonts w:ascii="宋体" w:hAnsi="宋体" w:cs="宋体" w:eastAsia="宋体" w:hint="default"/>
          <w:spacing w:val="-68"/>
        </w:rPr>
        <w:t> </w:t>
      </w:r>
      <w:r>
        <w:rPr/>
        <w:t>日，注册资本：</w:t>
      </w:r>
      <w:r>
        <w:rPr>
          <w:rFonts w:ascii="宋体" w:hAnsi="宋体" w:cs="宋体" w:eastAsia="宋体" w:hint="default"/>
        </w:rPr>
        <w:t>2,000 </w:t>
      </w:r>
      <w:r>
        <w:rPr/>
        <w:t>万元，注册地点：北京市，经营范围：技术开发、技术咨询、技术转让、技术服务；</w:t>
      </w:r>
      <w:r>
        <w:rPr>
          <w:spacing w:val="-61"/>
        </w:rPr>
        <w:t> </w:t>
      </w:r>
      <w:r>
        <w:rPr>
          <w:spacing w:val="-61"/>
        </w:rPr>
      </w:r>
      <w:r>
        <w:rPr/>
        <w:t>货物进出口、技术进出口、代理进出口；销售计算机软硬件及外围设备（不含计算机</w:t>
      </w:r>
      <w:r>
        <w:rPr>
          <w:spacing w:val="-59"/>
        </w:rPr>
        <w:t> </w:t>
      </w:r>
      <w:r>
        <w:rPr>
          <w:spacing w:val="-59"/>
        </w:rPr>
      </w:r>
      <w:r>
        <w:rPr/>
        <w:t>信息系统安全专用产品）、机械设备、五金交电、通信终端设备；安装机械设备；工</w:t>
      </w:r>
      <w:r>
        <w:rPr>
          <w:spacing w:val="-59"/>
        </w:rPr>
        <w:t> </w:t>
      </w:r>
      <w:r>
        <w:rPr>
          <w:spacing w:val="-59"/>
        </w:rPr>
      </w:r>
      <w:r>
        <w:rPr/>
        <w:t>程项目管理；计算机系统集成。</w:t>
      </w:r>
    </w:p>
    <w:p>
      <w:pPr>
        <w:spacing w:after="0" w:line="357" w:lineRule="auto"/>
        <w:jc w:val="both"/>
        <w:sectPr>
          <w:pgSz w:w="12240" w:h="15840"/>
          <w:pgMar w:header="847" w:footer="987" w:top="1360" w:bottom="1180" w:left="1500" w:right="0"/>
        </w:sectPr>
      </w:pPr>
    </w:p>
    <w:p>
      <w:pPr>
        <w:pStyle w:val="BodyText"/>
        <w:spacing w:line="357" w:lineRule="auto" w:before="11"/>
        <w:ind w:right="1641" w:firstLine="479"/>
        <w:jc w:val="both"/>
      </w:pPr>
      <w:r>
        <w:rPr/>
        <w:pict>
          <v:group style="position:absolute;margin-left:80.783997pt;margin-top:1.845647pt;width:450.6pt;height:.1pt;mso-position-horizontal-relative:page;mso-position-vertical-relative:paragraph;z-index:-863968"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5"/>
        </w:rPr>
        <w:t>（</w:t>
      </w:r>
      <w:r>
        <w:rPr>
          <w:rFonts w:ascii="宋体" w:hAnsi="宋体" w:cs="宋体" w:eastAsia="宋体" w:hint="default"/>
          <w:spacing w:val="-5"/>
        </w:rPr>
        <w:t>14</w:t>
      </w:r>
      <w:r>
        <w:rPr>
          <w:spacing w:val="-5"/>
        </w:rPr>
        <w:t>）北京东华软件开发有限公司，成立于</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spacing w:val="-8"/>
        </w:rPr>
        <w:t>日，注册资本：</w:t>
      </w:r>
      <w:r>
        <w:rPr>
          <w:rFonts w:ascii="宋体" w:hAnsi="宋体" w:cs="宋体" w:eastAsia="宋体" w:hint="default"/>
          <w:spacing w:val="-8"/>
        </w:rPr>
        <w:t>2,000</w:t>
      </w:r>
      <w:r>
        <w:rPr>
          <w:rFonts w:ascii="宋体" w:hAnsi="宋体" w:cs="宋体" w:eastAsia="宋体" w:hint="default"/>
        </w:rPr>
        <w:t> </w:t>
      </w:r>
      <w:r>
        <w:rPr/>
        <w:t>万元，注册地点：北京市，经营范围：软件开发；基础软件服务；货物进出口；技术</w:t>
      </w:r>
      <w:r>
        <w:rPr>
          <w:spacing w:val="-61"/>
        </w:rPr>
        <w:t> </w:t>
      </w:r>
      <w:r>
        <w:rPr>
          <w:spacing w:val="-61"/>
        </w:rPr>
      </w:r>
      <w:r>
        <w:rPr/>
        <w:t>进出口；代理进出口；计算机系统服务；技术推广。</w:t>
      </w:r>
    </w:p>
    <w:p>
      <w:pPr>
        <w:pStyle w:val="BodyText"/>
        <w:spacing w:line="357" w:lineRule="auto" w:before="84"/>
        <w:ind w:right="1641" w:firstLine="479"/>
        <w:jc w:val="both"/>
      </w:pPr>
      <w:r>
        <w:rPr/>
        <w:t>（</w:t>
      </w:r>
      <w:r>
        <w:rPr>
          <w:rFonts w:ascii="宋体" w:hAnsi="宋体" w:cs="宋体" w:eastAsia="宋体" w:hint="default"/>
        </w:rPr>
        <w:t>15</w:t>
      </w:r>
      <w:r>
        <w:rPr/>
        <w:t>）北京神州新桥科技有限公司，成立于</w:t>
      </w:r>
      <w:r>
        <w:rPr>
          <w:spacing w:val="-68"/>
        </w:rPr>
        <w:t> </w:t>
      </w:r>
      <w:r>
        <w:rPr>
          <w:rFonts w:ascii="宋体" w:hAnsi="宋体" w:cs="宋体" w:eastAsia="宋体" w:hint="default"/>
        </w:rPr>
        <w:t>2001</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w:t>
      </w:r>
      <w:r>
        <w:rPr>
          <w:spacing w:val="-68"/>
        </w:rPr>
        <w:t> </w:t>
      </w:r>
      <w:r>
        <w:rPr>
          <w:rFonts w:ascii="宋体" w:hAnsi="宋体" w:cs="宋体" w:eastAsia="宋体" w:hint="default"/>
        </w:rPr>
        <w:t>30</w:t>
      </w:r>
      <w:r>
        <w:rPr>
          <w:rFonts w:ascii="宋体" w:hAnsi="宋体" w:cs="宋体" w:eastAsia="宋体" w:hint="default"/>
          <w:spacing w:val="-68"/>
        </w:rPr>
        <w:t> </w:t>
      </w:r>
      <w:r>
        <w:rPr/>
        <w:t>日，注册资本：</w:t>
      </w:r>
      <w:r>
        <w:rPr>
          <w:rFonts w:ascii="宋体" w:hAnsi="宋体" w:cs="宋体" w:eastAsia="宋体" w:hint="default"/>
        </w:rPr>
        <w:t>9,000 </w:t>
      </w:r>
      <w:r>
        <w:rPr/>
        <w:t>万元，注册地点：北京市，经营范围：技术开发、技术转让、技术咨询、技术服务；</w:t>
      </w:r>
      <w:r>
        <w:rPr>
          <w:spacing w:val="-61"/>
        </w:rPr>
        <w:t> </w:t>
      </w:r>
      <w:r>
        <w:rPr>
          <w:spacing w:val="-61"/>
        </w:rPr>
      </w:r>
      <w:r>
        <w:rPr/>
        <w:t>计算机系统服务；销售电子产品、计算机及辅助设备、机械设备、通讯设备。</w:t>
      </w:r>
    </w:p>
    <w:p>
      <w:pPr>
        <w:pStyle w:val="BodyText"/>
        <w:spacing w:line="240" w:lineRule="auto" w:before="86"/>
        <w:ind w:left="624" w:right="1557"/>
        <w:jc w:val="left"/>
      </w:pPr>
      <w:r>
        <w:rPr/>
        <w:t>北京神州新桥科技有限公司系本公司</w:t>
      </w:r>
      <w:r>
        <w:rPr>
          <w:spacing w:val="-71"/>
        </w:rPr>
        <w:t> </w:t>
      </w:r>
      <w:r>
        <w:rPr>
          <w:rFonts w:ascii="宋体" w:hAnsi="宋体" w:cs="宋体" w:eastAsia="宋体" w:hint="default"/>
        </w:rPr>
        <w:t>2011</w:t>
      </w:r>
      <w:r>
        <w:rPr>
          <w:rFonts w:ascii="宋体" w:hAnsi="宋体" w:cs="宋体" w:eastAsia="宋体" w:hint="default"/>
          <w:spacing w:val="-72"/>
        </w:rPr>
        <w:t> </w:t>
      </w:r>
      <w:r>
        <w:rPr/>
        <w:t>年</w:t>
      </w:r>
      <w:r>
        <w:rPr>
          <w:spacing w:val="-72"/>
        </w:rPr>
        <w:t> </w:t>
      </w:r>
      <w:r>
        <w:rPr>
          <w:rFonts w:ascii="宋体" w:hAnsi="宋体" w:cs="宋体" w:eastAsia="宋体" w:hint="default"/>
        </w:rPr>
        <w:t>2</w:t>
      </w:r>
      <w:r>
        <w:rPr>
          <w:rFonts w:ascii="宋体" w:hAnsi="宋体" w:cs="宋体" w:eastAsia="宋体" w:hint="default"/>
          <w:spacing w:val="-72"/>
        </w:rPr>
        <w:t> </w:t>
      </w:r>
      <w:r>
        <w:rPr/>
        <w:t>月以发行股份购买的非同一控制下</w:t>
      </w:r>
    </w:p>
    <w:p>
      <w:pPr>
        <w:pStyle w:val="BodyText"/>
        <w:spacing w:line="357" w:lineRule="auto" w:before="151"/>
        <w:ind w:right="1627"/>
        <w:jc w:val="left"/>
      </w:pPr>
      <w:r>
        <w:rPr>
          <w:spacing w:val="-7"/>
        </w:rPr>
        <w:t>的子公司，</w:t>
      </w:r>
      <w:r>
        <w:rPr>
          <w:rFonts w:ascii="宋体" w:hAnsi="宋体" w:cs="宋体" w:eastAsia="宋体" w:hint="default"/>
          <w:spacing w:val="-7"/>
        </w:rPr>
        <w:t>2011</w:t>
      </w:r>
      <w:r>
        <w:rPr>
          <w:rFonts w:ascii="宋体" w:hAnsi="宋体" w:cs="宋体" w:eastAsia="宋体" w:hint="default"/>
          <w:spacing w:val="-59"/>
        </w:rPr>
        <w:t> </w:t>
      </w:r>
      <w:r>
        <w:rPr/>
        <w:t>年度实现主营业务收入</w:t>
      </w:r>
      <w:r>
        <w:rPr>
          <w:spacing w:val="-59"/>
        </w:rPr>
        <w:t> </w:t>
      </w:r>
      <w:r>
        <w:rPr>
          <w:rFonts w:ascii="宋体" w:hAnsi="宋体" w:cs="宋体" w:eastAsia="宋体" w:hint="default"/>
        </w:rPr>
        <w:t>521,062,508.70</w:t>
      </w:r>
      <w:r>
        <w:rPr>
          <w:rFonts w:ascii="宋体" w:hAnsi="宋体" w:cs="宋体" w:eastAsia="宋体" w:hint="default"/>
          <w:spacing w:val="3"/>
        </w:rPr>
        <w:t> </w:t>
      </w:r>
      <w:r>
        <w:rPr>
          <w:spacing w:val="-9"/>
        </w:rPr>
        <w:t>元，营业利润</w:t>
      </w:r>
      <w:r>
        <w:rPr>
          <w:spacing w:val="-59"/>
        </w:rPr>
        <w:t> </w:t>
      </w:r>
      <w:r>
        <w:rPr>
          <w:rFonts w:ascii="宋体" w:hAnsi="宋体" w:cs="宋体" w:eastAsia="宋体" w:hint="default"/>
        </w:rPr>
        <w:t>57,748,958.84 </w:t>
      </w:r>
      <w:r>
        <w:rPr/>
        <w:t>元， 净利润 </w:t>
      </w:r>
      <w:r>
        <w:rPr>
          <w:rFonts w:ascii="宋体" w:hAnsi="宋体" w:cs="宋体" w:eastAsia="宋体" w:hint="default"/>
        </w:rPr>
        <w:t>49,301,182.48</w:t>
      </w:r>
      <w:r>
        <w:rPr>
          <w:rFonts w:ascii="宋体" w:hAnsi="宋体" w:cs="宋体" w:eastAsia="宋体" w:hint="default"/>
          <w:spacing w:val="-61"/>
        </w:rPr>
        <w:t> </w:t>
      </w:r>
      <w:r>
        <w:rPr/>
        <w:t>元。</w:t>
      </w:r>
    </w:p>
    <w:p>
      <w:pPr>
        <w:pStyle w:val="BodyText"/>
        <w:spacing w:line="357" w:lineRule="auto" w:before="84"/>
        <w:ind w:right="1638" w:firstLine="479"/>
        <w:jc w:val="both"/>
      </w:pPr>
      <w:r>
        <w:rPr/>
        <w:t>（</w:t>
      </w:r>
      <w:r>
        <w:rPr>
          <w:rFonts w:ascii="宋体" w:hAnsi="宋体" w:cs="宋体" w:eastAsia="宋体" w:hint="default"/>
        </w:rPr>
        <w:t>16</w:t>
      </w:r>
      <w:r>
        <w:rPr/>
        <w:t>）沈阳东华合创科技有限公司，成立于</w:t>
      </w:r>
      <w:r>
        <w:rPr>
          <w:spacing w:val="-47"/>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3</w:t>
      </w:r>
      <w:r>
        <w:rPr>
          <w:rFonts w:ascii="宋体" w:hAnsi="宋体" w:cs="宋体" w:eastAsia="宋体" w:hint="default"/>
          <w:spacing w:val="-48"/>
        </w:rPr>
        <w:t> </w:t>
      </w:r>
      <w:r>
        <w:rPr/>
        <w:t>日，注册资本：</w:t>
      </w:r>
      <w:r>
        <w:rPr>
          <w:rFonts w:ascii="宋体" w:hAnsi="宋体" w:cs="宋体" w:eastAsia="宋体" w:hint="default"/>
        </w:rPr>
        <w:t>1,000 </w:t>
      </w:r>
      <w:r>
        <w:rPr/>
        <w:t>万元，注册地点：辽宁省沈阳市，经营范围：软件技术开发；应用软件服务；各类商</w:t>
      </w:r>
      <w:r>
        <w:rPr>
          <w:spacing w:val="-58"/>
        </w:rPr>
        <w:t> </w:t>
      </w:r>
      <w:r>
        <w:rPr>
          <w:spacing w:val="-58"/>
        </w:rPr>
      </w:r>
      <w:r>
        <w:rPr/>
        <w:t>品和技术的进出口业务；信息系统集成和服务；计算机、软件和计算机辅助设备、通</w:t>
      </w:r>
      <w:r>
        <w:rPr>
          <w:spacing w:val="-59"/>
        </w:rPr>
        <w:t> </w:t>
      </w:r>
      <w:r>
        <w:rPr>
          <w:spacing w:val="-59"/>
        </w:rPr>
      </w:r>
      <w:r>
        <w:rPr/>
        <w:t>信设备及配件销售。</w:t>
      </w:r>
    </w:p>
    <w:p>
      <w:pPr>
        <w:pStyle w:val="BodyText"/>
        <w:spacing w:line="357" w:lineRule="auto" w:before="84"/>
        <w:ind w:right="1514" w:firstLine="479"/>
        <w:jc w:val="left"/>
      </w:pPr>
      <w:r>
        <w:rPr>
          <w:spacing w:val="-7"/>
        </w:rPr>
        <w:t>（</w:t>
      </w:r>
      <w:r>
        <w:rPr>
          <w:rFonts w:ascii="宋体" w:hAnsi="宋体" w:cs="宋体" w:eastAsia="宋体" w:hint="default"/>
          <w:spacing w:val="-7"/>
        </w:rPr>
        <w:t>17</w:t>
      </w:r>
      <w:r>
        <w:rPr>
          <w:spacing w:val="-7"/>
        </w:rPr>
        <w:t>）西安东华软件有限公司，成立于</w:t>
      </w:r>
      <w:r>
        <w:rPr>
          <w:spacing w:val="-57"/>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18</w:t>
      </w:r>
      <w:r>
        <w:rPr>
          <w:rFonts w:ascii="宋体" w:hAnsi="宋体" w:cs="宋体" w:eastAsia="宋体" w:hint="default"/>
          <w:spacing w:val="-59"/>
        </w:rPr>
        <w:t> </w:t>
      </w:r>
      <w:r>
        <w:rPr>
          <w:spacing w:val="-10"/>
        </w:rPr>
        <w:t>日，注册资本：</w:t>
      </w:r>
      <w:r>
        <w:rPr>
          <w:rFonts w:ascii="宋体" w:hAnsi="宋体" w:cs="宋体" w:eastAsia="宋体" w:hint="default"/>
          <w:spacing w:val="-10"/>
        </w:rPr>
        <w:t>5,000</w:t>
      </w:r>
      <w:r>
        <w:rPr>
          <w:rFonts w:ascii="宋体" w:hAnsi="宋体" w:cs="宋体" w:eastAsia="宋体" w:hint="default"/>
          <w:spacing w:val="-59"/>
        </w:rPr>
        <w:t> </w:t>
      </w:r>
      <w:r>
        <w:rPr/>
        <w:t>万元， 注册地点：陕西省西安市，经营范围：计算机、自动化、网络通讯系统及软硬件产品</w:t>
      </w:r>
      <w:r>
        <w:rPr>
          <w:spacing w:val="-61"/>
        </w:rPr>
        <w:t> </w:t>
      </w:r>
      <w:r>
        <w:rPr>
          <w:spacing w:val="-61"/>
        </w:rPr>
      </w:r>
      <w:r>
        <w:rPr/>
        <w:t>的研发、销售、集成、维修、咨询服务；智能交通、智能建筑、机电一体化系统及产</w:t>
      </w:r>
      <w:r>
        <w:rPr>
          <w:spacing w:val="-59"/>
        </w:rPr>
        <w:t> </w:t>
      </w:r>
      <w:r>
        <w:rPr>
          <w:spacing w:val="-59"/>
        </w:rPr>
      </w:r>
      <w:r>
        <w:rPr/>
        <w:t>品的研发、制造、销售、施工及服务。</w:t>
      </w:r>
    </w:p>
    <w:p>
      <w:pPr>
        <w:pStyle w:val="BodyText"/>
        <w:spacing w:line="357" w:lineRule="auto" w:before="84"/>
        <w:ind w:right="1637" w:firstLine="479"/>
        <w:jc w:val="both"/>
      </w:pPr>
      <w:r>
        <w:rPr/>
        <w:t>（</w:t>
      </w:r>
      <w:r>
        <w:rPr>
          <w:rFonts w:ascii="宋体" w:hAnsi="宋体" w:cs="宋体" w:eastAsia="宋体" w:hint="default"/>
        </w:rPr>
        <w:t>18</w:t>
      </w:r>
      <w:r>
        <w:rPr/>
        <w:t>）南昌东华软件有限公司，成立于</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t>日，注册资本：</w:t>
      </w:r>
      <w:r>
        <w:rPr>
          <w:rFonts w:ascii="宋体" w:hAnsi="宋体" w:cs="宋体" w:eastAsia="宋体" w:hint="default"/>
        </w:rPr>
        <w:t>5,000</w:t>
      </w:r>
      <w:r>
        <w:rPr>
          <w:rFonts w:ascii="宋体" w:hAnsi="宋体" w:cs="宋体" w:eastAsia="宋体" w:hint="default"/>
          <w:spacing w:val="-59"/>
        </w:rPr>
        <w:t> </w:t>
      </w:r>
      <w:r>
        <w:rPr/>
        <w:t>万 元，注册地点：江西省南昌市，经营范围：计算机软硬件产品研发、生产、销售；建</w:t>
      </w:r>
      <w:r>
        <w:rPr>
          <w:spacing w:val="-61"/>
        </w:rPr>
        <w:t> </w:t>
      </w:r>
      <w:r>
        <w:rPr>
          <w:spacing w:val="-61"/>
        </w:rPr>
      </w:r>
      <w:r>
        <w:rPr/>
        <w:t>筑智能化、机电一体化、智能交通系统的研发、销售；安防工程；信息系统集成；网</w:t>
      </w:r>
      <w:r>
        <w:rPr>
          <w:spacing w:val="-61"/>
        </w:rPr>
        <w:t> </w:t>
      </w:r>
      <w:r>
        <w:rPr>
          <w:spacing w:val="-61"/>
        </w:rPr>
      </w:r>
      <w:r>
        <w:rPr/>
        <w:t>络通讯系统的研发、设计、维修、咨询服务。</w:t>
      </w:r>
    </w:p>
    <w:p>
      <w:pPr>
        <w:pStyle w:val="BodyText"/>
        <w:spacing w:line="357" w:lineRule="auto" w:before="85"/>
        <w:ind w:right="1512" w:firstLine="479"/>
        <w:jc w:val="left"/>
      </w:pPr>
      <w:r>
        <w:rPr>
          <w:spacing w:val="-7"/>
        </w:rPr>
        <w:t>（</w:t>
      </w:r>
      <w:r>
        <w:rPr>
          <w:rFonts w:ascii="宋体" w:hAnsi="宋体" w:cs="宋体" w:eastAsia="宋体" w:hint="default"/>
          <w:spacing w:val="-7"/>
        </w:rPr>
        <w:t>19</w:t>
      </w:r>
      <w:r>
        <w:rPr>
          <w:spacing w:val="-7"/>
        </w:rPr>
        <w:t>）山西东华软件有限公司，成立于</w:t>
      </w:r>
      <w:r>
        <w:rPr>
          <w:spacing w:val="-58"/>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4</w:t>
      </w:r>
      <w:r>
        <w:rPr>
          <w:rFonts w:ascii="宋体" w:hAnsi="宋体" w:cs="宋体" w:eastAsia="宋体" w:hint="default"/>
          <w:spacing w:val="-59"/>
        </w:rPr>
        <w:t> </w:t>
      </w:r>
      <w:r>
        <w:rPr>
          <w:spacing w:val="-10"/>
        </w:rPr>
        <w:t>日，注册资本：</w:t>
      </w:r>
      <w:r>
        <w:rPr>
          <w:rFonts w:ascii="宋体" w:hAnsi="宋体" w:cs="宋体" w:eastAsia="宋体" w:hint="default"/>
          <w:spacing w:val="-10"/>
        </w:rPr>
        <w:t>5,000</w:t>
      </w:r>
      <w:r>
        <w:rPr>
          <w:rFonts w:ascii="宋体" w:hAnsi="宋体" w:cs="宋体" w:eastAsia="宋体" w:hint="default"/>
          <w:spacing w:val="-59"/>
        </w:rPr>
        <w:t> </w:t>
      </w:r>
      <w:r>
        <w:rPr/>
        <w:t>万元</w:t>
      </w:r>
      <w:r>
        <w:rPr>
          <w:spacing w:val="3"/>
        </w:rPr>
        <w:t> </w:t>
      </w:r>
      <w:r>
        <w:rPr/>
        <w:t>， 注册地点：山西省太原市，经营范围：计算机软件的开发；计算机系统集成。</w:t>
      </w:r>
    </w:p>
    <w:p>
      <w:pPr>
        <w:pStyle w:val="BodyText"/>
        <w:spacing w:line="357" w:lineRule="auto" w:before="84"/>
        <w:ind w:right="1638" w:firstLine="479"/>
        <w:jc w:val="both"/>
      </w:pPr>
      <w:r>
        <w:rPr/>
        <w:t>（</w:t>
      </w:r>
      <w:r>
        <w:rPr>
          <w:rFonts w:ascii="宋体" w:hAnsi="宋体" w:cs="宋体" w:eastAsia="宋体" w:hint="default"/>
        </w:rPr>
        <w:t>20</w:t>
      </w:r>
      <w:r>
        <w:rPr/>
        <w:t>）北京卓讯科信技术有限公司，成立于</w:t>
      </w:r>
      <w:r>
        <w:rPr>
          <w:spacing w:val="-28"/>
        </w:rPr>
        <w:t> </w:t>
      </w:r>
      <w:r>
        <w:rPr>
          <w:rFonts w:ascii="宋体" w:hAnsi="宋体" w:cs="宋体" w:eastAsia="宋体" w:hint="default"/>
        </w:rPr>
        <w:t>2011</w:t>
      </w:r>
      <w:r>
        <w:rPr>
          <w:rFonts w:ascii="宋体" w:hAnsi="宋体" w:cs="宋体" w:eastAsia="宋体" w:hint="default"/>
          <w:spacing w:val="-29"/>
        </w:rPr>
        <w:t> </w:t>
      </w:r>
      <w:r>
        <w:rPr/>
        <w:t>年</w:t>
      </w:r>
      <w:r>
        <w:rPr>
          <w:spacing w:val="-29"/>
        </w:rPr>
        <w:t> </w:t>
      </w:r>
      <w:r>
        <w:rPr>
          <w:rFonts w:ascii="宋体" w:hAnsi="宋体" w:cs="宋体" w:eastAsia="宋体" w:hint="default"/>
        </w:rPr>
        <w:t>2</w:t>
      </w:r>
      <w:r>
        <w:rPr>
          <w:rFonts w:ascii="宋体" w:hAnsi="宋体" w:cs="宋体" w:eastAsia="宋体" w:hint="default"/>
          <w:spacing w:val="-29"/>
        </w:rPr>
        <w:t> </w:t>
      </w:r>
      <w:r>
        <w:rPr/>
        <w:t>月</w:t>
      </w:r>
      <w:r>
        <w:rPr>
          <w:spacing w:val="-29"/>
        </w:rPr>
        <w:t> </w:t>
      </w:r>
      <w:r>
        <w:rPr>
          <w:rFonts w:ascii="宋体" w:hAnsi="宋体" w:cs="宋体" w:eastAsia="宋体" w:hint="default"/>
        </w:rPr>
        <w:t>23</w:t>
      </w:r>
      <w:r>
        <w:rPr>
          <w:rFonts w:ascii="宋体" w:hAnsi="宋体" w:cs="宋体" w:eastAsia="宋体" w:hint="default"/>
          <w:spacing w:val="-29"/>
        </w:rPr>
        <w:t> </w:t>
      </w:r>
      <w:r>
        <w:rPr/>
        <w:t>日，注册资本：</w:t>
      </w:r>
      <w:r>
        <w:rPr>
          <w:rFonts w:ascii="宋体" w:hAnsi="宋体" w:cs="宋体" w:eastAsia="宋体" w:hint="default"/>
        </w:rPr>
        <w:t>108 </w:t>
      </w:r>
      <w:r>
        <w:rPr/>
        <w:t>万元，注册地点：北京市，经营范围：技术开发、技术推广、技术转让、技术咨询、</w:t>
      </w:r>
      <w:r>
        <w:rPr>
          <w:spacing w:val="-60"/>
        </w:rPr>
        <w:t> </w:t>
      </w:r>
      <w:r>
        <w:rPr>
          <w:spacing w:val="-60"/>
        </w:rPr>
      </w:r>
      <w:r>
        <w:rPr/>
        <w:t>技术服务；经济贸易咨询；市场调查；投资咨询、企业管理咨询、企业计划、设计；</w:t>
      </w:r>
    </w:p>
    <w:p>
      <w:pPr>
        <w:spacing w:after="0" w:line="357" w:lineRule="auto"/>
        <w:jc w:val="both"/>
        <w:sectPr>
          <w:footerReference w:type="even" r:id="rId36"/>
          <w:footerReference w:type="default" r:id="rId37"/>
          <w:pgSz w:w="12240" w:h="15840"/>
          <w:pgMar w:footer="987" w:header="847" w:top="1360" w:bottom="1180" w:left="1500" w:right="0"/>
        </w:sectPr>
      </w:pPr>
    </w:p>
    <w:p>
      <w:pPr>
        <w:pStyle w:val="BodyText"/>
        <w:spacing w:line="355" w:lineRule="auto" w:before="11"/>
        <w:ind w:right="1557"/>
        <w:jc w:val="left"/>
      </w:pPr>
      <w:r>
        <w:rPr/>
        <w:pict>
          <v:group style="position:absolute;margin-left:80.783997pt;margin-top:1.845647pt;width:450.6pt;height:.1pt;mso-position-horizontal-relative:page;mso-position-vertical-relative:paragraph;z-index:-863944" coordorigin="1616,37" coordsize="9012,2">
            <v:shape style="position:absolute;left:1616;top:37;width:9012;height:2" coordorigin="1616,37" coordsize="9012,0" path="m1616,37l10627,37e" filled="false" stroked="true" strokeweight=".71999pt" strokecolor="#000000">
              <v:path arrowok="t"/>
            </v:shape>
            <w10:wrap type="none"/>
          </v:group>
        </w:pict>
      </w:r>
      <w:r>
        <w:rPr/>
        <w:t>销售电子产品、器件和元件、计算机、软件及辅助设备、通讯设备、机械设备、五金</w:t>
      </w:r>
      <w:r>
        <w:rPr>
          <w:spacing w:val="-59"/>
        </w:rPr>
        <w:t> </w:t>
      </w:r>
      <w:r>
        <w:rPr>
          <w:spacing w:val="-59"/>
        </w:rPr>
      </w:r>
      <w:r>
        <w:rPr/>
        <w:t>交电。</w:t>
      </w:r>
    </w:p>
    <w:p>
      <w:pPr>
        <w:pStyle w:val="BodyText"/>
        <w:spacing w:line="355" w:lineRule="auto" w:before="89"/>
        <w:ind w:right="1624" w:firstLine="479"/>
        <w:jc w:val="left"/>
      </w:pPr>
      <w:r>
        <w:rPr/>
        <w:t>北京卓讯科信技术有限公司系本公司于</w:t>
      </w:r>
      <w:r>
        <w:rPr>
          <w:spacing w:val="-71"/>
        </w:rPr>
        <w:t> </w:t>
      </w:r>
      <w:r>
        <w:rPr>
          <w:rFonts w:ascii="宋体" w:hAnsi="宋体" w:cs="宋体" w:eastAsia="宋体" w:hint="default"/>
        </w:rPr>
        <w:t>2011</w:t>
      </w:r>
      <w:r>
        <w:rPr>
          <w:rFonts w:ascii="宋体" w:hAnsi="宋体" w:cs="宋体" w:eastAsia="宋体" w:hint="default"/>
          <w:spacing w:val="-72"/>
        </w:rPr>
        <w:t> </w:t>
      </w:r>
      <w:r>
        <w:rPr/>
        <w:t>年</w:t>
      </w:r>
      <w:r>
        <w:rPr>
          <w:spacing w:val="-72"/>
        </w:rPr>
        <w:t> </w:t>
      </w:r>
      <w:r>
        <w:rPr>
          <w:rFonts w:ascii="宋体" w:hAnsi="宋体" w:cs="宋体" w:eastAsia="宋体" w:hint="default"/>
        </w:rPr>
        <w:t>8</w:t>
      </w:r>
      <w:r>
        <w:rPr>
          <w:rFonts w:ascii="宋体" w:hAnsi="宋体" w:cs="宋体" w:eastAsia="宋体" w:hint="default"/>
          <w:spacing w:val="-72"/>
        </w:rPr>
        <w:t> </w:t>
      </w:r>
      <w:r>
        <w:rPr/>
        <w:t>月以货币资金出资购买的非同一 控制下的子公司。</w:t>
      </w:r>
    </w:p>
    <w:p>
      <w:pPr>
        <w:pStyle w:val="BodyText"/>
        <w:spacing w:line="357" w:lineRule="auto" w:before="89"/>
        <w:ind w:right="1506" w:firstLine="479"/>
        <w:jc w:val="left"/>
      </w:pPr>
      <w:r>
        <w:rPr/>
        <w:t>（</w:t>
      </w:r>
      <w:r>
        <w:rPr>
          <w:rFonts w:ascii="宋体" w:hAnsi="宋体" w:cs="宋体" w:eastAsia="宋体" w:hint="default"/>
        </w:rPr>
        <w:t>21</w:t>
      </w:r>
      <w:r>
        <w:rPr/>
        <w:t>）北京东方易维软件有限公司，成立于</w:t>
      </w:r>
      <w:r>
        <w:rPr>
          <w:spacing w:val="-28"/>
        </w:rPr>
        <w:t> </w:t>
      </w:r>
      <w:r>
        <w:rPr>
          <w:rFonts w:ascii="宋体" w:hAnsi="宋体" w:cs="宋体" w:eastAsia="宋体" w:hint="default"/>
        </w:rPr>
        <w:t>2006</w:t>
      </w:r>
      <w:r>
        <w:rPr>
          <w:rFonts w:ascii="宋体" w:hAnsi="宋体" w:cs="宋体" w:eastAsia="宋体" w:hint="default"/>
          <w:spacing w:val="-29"/>
        </w:rPr>
        <w:t> </w:t>
      </w:r>
      <w:r>
        <w:rPr/>
        <w:t>年</w:t>
      </w:r>
      <w:r>
        <w:rPr>
          <w:spacing w:val="-29"/>
        </w:rPr>
        <w:t> </w:t>
      </w:r>
      <w:r>
        <w:rPr>
          <w:rFonts w:ascii="宋体" w:hAnsi="宋体" w:cs="宋体" w:eastAsia="宋体" w:hint="default"/>
        </w:rPr>
        <w:t>4</w:t>
      </w:r>
      <w:r>
        <w:rPr>
          <w:rFonts w:ascii="宋体" w:hAnsi="宋体" w:cs="宋体" w:eastAsia="宋体" w:hint="default"/>
          <w:spacing w:val="-29"/>
        </w:rPr>
        <w:t> </w:t>
      </w:r>
      <w:r>
        <w:rPr/>
        <w:t>月</w:t>
      </w:r>
      <w:r>
        <w:rPr>
          <w:spacing w:val="-29"/>
        </w:rPr>
        <w:t> </w:t>
      </w:r>
      <w:r>
        <w:rPr>
          <w:rFonts w:ascii="宋体" w:hAnsi="宋体" w:cs="宋体" w:eastAsia="宋体" w:hint="default"/>
        </w:rPr>
        <w:t>14</w:t>
      </w:r>
      <w:r>
        <w:rPr>
          <w:rFonts w:ascii="宋体" w:hAnsi="宋体" w:cs="宋体" w:eastAsia="宋体" w:hint="default"/>
          <w:spacing w:val="-29"/>
        </w:rPr>
        <w:t> </w:t>
      </w:r>
      <w:r>
        <w:rPr/>
        <w:t>日，注册资本：</w:t>
      </w:r>
      <w:r>
        <w:rPr>
          <w:rFonts w:ascii="宋体" w:hAnsi="宋体" w:cs="宋体" w:eastAsia="宋体" w:hint="default"/>
        </w:rPr>
        <w:t>200 </w:t>
      </w:r>
      <w:r>
        <w:rPr/>
        <w:t>万元，注册地点：北京市，经营范围：应用软件服务；基础软件服务；计算机系统服</w:t>
      </w:r>
      <w:r>
        <w:rPr>
          <w:spacing w:val="-61"/>
        </w:rPr>
        <w:t> </w:t>
      </w:r>
      <w:r>
        <w:rPr>
          <w:spacing w:val="-61"/>
        </w:rPr>
      </w:r>
      <w:r>
        <w:rPr>
          <w:spacing w:val="-2"/>
        </w:rPr>
        <w:t>务；销售计算机、软件及辅助设备、电子产品、机械设备；自然科学研究与试验发展；</w:t>
      </w:r>
      <w:r>
        <w:rPr>
          <w:spacing w:val="-94"/>
        </w:rPr>
        <w:t> </w:t>
      </w:r>
      <w:r>
        <w:rPr>
          <w:spacing w:val="-94"/>
        </w:rPr>
      </w:r>
      <w:r>
        <w:rPr/>
        <w:t>教学咨询。</w:t>
      </w:r>
    </w:p>
    <w:p>
      <w:pPr>
        <w:pStyle w:val="BodyText"/>
        <w:spacing w:line="355" w:lineRule="auto" w:before="87"/>
        <w:ind w:right="1625" w:firstLine="479"/>
        <w:jc w:val="left"/>
      </w:pPr>
      <w:r>
        <w:rPr/>
        <w:t>北京东方易维有限公司系本公司于</w:t>
      </w:r>
      <w:r>
        <w:rPr>
          <w:spacing w:val="-42"/>
        </w:rPr>
        <w:t> </w:t>
      </w: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月以货币资金出资购买的非同一控 制下的子公司。</w:t>
      </w:r>
    </w:p>
    <w:p>
      <w:pPr>
        <w:pStyle w:val="BodyText"/>
        <w:spacing w:line="357" w:lineRule="auto" w:before="86"/>
        <w:ind w:right="1557" w:firstLine="479"/>
        <w:jc w:val="left"/>
      </w:pPr>
      <w:r>
        <w:rPr/>
        <w:t>（</w:t>
      </w:r>
      <w:r>
        <w:rPr>
          <w:rFonts w:ascii="宋体" w:hAnsi="宋体" w:cs="宋体" w:eastAsia="宋体" w:hint="default"/>
        </w:rPr>
        <w:t>22</w:t>
      </w:r>
      <w:r>
        <w:rPr/>
        <w:t>）内蒙古合创信息技术有限公司，本期不再纳入合并范围，相应股权已全部 转让。</w:t>
      </w:r>
    </w:p>
    <w:p>
      <w:pPr>
        <w:spacing w:line="240" w:lineRule="auto" w:before="3"/>
        <w:rPr>
          <w:rFonts w:ascii="宋体" w:hAnsi="宋体" w:cs="宋体" w:eastAsia="宋体" w:hint="default"/>
          <w:sz w:val="25"/>
          <w:szCs w:val="25"/>
        </w:rPr>
      </w:pPr>
    </w:p>
    <w:p>
      <w:pPr>
        <w:pStyle w:val="Heading3"/>
        <w:spacing w:line="240" w:lineRule="auto"/>
        <w:ind w:right="1697"/>
        <w:jc w:val="left"/>
        <w:rPr>
          <w:b w:val="0"/>
          <w:bCs w:val="0"/>
        </w:rPr>
      </w:pPr>
      <w:r>
        <w:rPr/>
        <w:t>（二）对公司未来发展的展望</w:t>
      </w:r>
      <w:r>
        <w:rPr>
          <w:b w:val="0"/>
          <w:bCs w:val="0"/>
        </w:rPr>
      </w:r>
    </w:p>
    <w:p>
      <w:pPr>
        <w:spacing w:line="240" w:lineRule="auto" w:before="10"/>
        <w:rPr>
          <w:rFonts w:ascii="黑体" w:hAnsi="黑体" w:cs="黑体" w:eastAsia="黑体" w:hint="default"/>
          <w:b/>
          <w:bCs/>
          <w:sz w:val="24"/>
          <w:szCs w:val="24"/>
        </w:rPr>
      </w:pPr>
    </w:p>
    <w:p>
      <w:pPr>
        <w:pStyle w:val="Heading4"/>
        <w:spacing w:line="240" w:lineRule="auto"/>
        <w:ind w:right="1697"/>
        <w:jc w:val="left"/>
        <w:rPr>
          <w:b w:val="0"/>
          <w:bCs w:val="0"/>
        </w:rPr>
      </w:pPr>
      <w:r>
        <w:rPr>
          <w:rFonts w:ascii="宋体" w:hAnsi="宋体" w:cs="宋体" w:eastAsia="宋体" w:hint="default"/>
          <w:b w:val="0"/>
          <w:bCs w:val="0"/>
          <w:sz w:val="21"/>
          <w:szCs w:val="21"/>
        </w:rPr>
        <w:t>1</w:t>
      </w:r>
      <w:r>
        <w:rPr>
          <w:rFonts w:ascii="宋体" w:hAnsi="宋体" w:cs="宋体" w:eastAsia="宋体" w:hint="default"/>
          <w:b w:val="0"/>
          <w:bCs w:val="0"/>
          <w:sz w:val="21"/>
          <w:szCs w:val="21"/>
        </w:rPr>
        <w:t>、</w:t>
      </w:r>
      <w:r>
        <w:rPr>
          <w:rFonts w:ascii="宋体" w:hAnsi="宋体" w:cs="宋体" w:eastAsia="宋体" w:hint="default"/>
          <w:b w:val="0"/>
          <w:bCs w:val="0"/>
          <w:spacing w:val="-50"/>
          <w:sz w:val="21"/>
          <w:szCs w:val="21"/>
        </w:rPr>
        <w:t> </w:t>
      </w:r>
      <w:r>
        <w:rPr/>
        <w:t>行业发展趋势及公司面临的市场竞争格局</w:t>
      </w:r>
      <w:r>
        <w:rPr>
          <w:b w:val="0"/>
          <w:bCs w:val="0"/>
        </w:rPr>
      </w:r>
    </w:p>
    <w:p>
      <w:pPr>
        <w:pStyle w:val="BodyText"/>
        <w:spacing w:line="240" w:lineRule="auto" w:before="127"/>
        <w:ind w:left="624" w:right="1557"/>
        <w:jc w:val="left"/>
      </w:pPr>
      <w:r>
        <w:rPr>
          <w:rFonts w:ascii="宋体" w:hAnsi="宋体" w:cs="宋体" w:eastAsia="宋体" w:hint="default"/>
        </w:rPr>
        <w:t>2011</w:t>
      </w:r>
      <w:r>
        <w:rPr>
          <w:rFonts w:ascii="宋体" w:hAnsi="宋体" w:cs="宋体" w:eastAsia="宋体" w:hint="default"/>
          <w:spacing w:val="-60"/>
        </w:rPr>
        <w:t> </w:t>
      </w:r>
      <w:r>
        <w:rPr/>
        <w:t>年以来，在国家</w:t>
      </w:r>
      <w:r>
        <w:rPr>
          <w:spacing w:val="-60"/>
        </w:rPr>
        <w:t> </w:t>
      </w:r>
      <w:r>
        <w:rPr>
          <w:rFonts w:ascii="宋体" w:hAnsi="宋体" w:cs="宋体" w:eastAsia="宋体" w:hint="default"/>
        </w:rPr>
        <w:t>4</w:t>
      </w:r>
      <w:r>
        <w:rPr>
          <w:rFonts w:ascii="宋体" w:hAnsi="宋体" w:cs="宋体" w:eastAsia="宋体" w:hint="default"/>
          <w:spacing w:val="-60"/>
        </w:rPr>
        <w:t> </w:t>
      </w:r>
      <w:r>
        <w:rPr/>
        <w:t>号文等产业扶持政策的推动下，我国软件产业步入新的快</w:t>
      </w:r>
    </w:p>
    <w:p>
      <w:pPr>
        <w:pStyle w:val="BodyText"/>
        <w:spacing w:line="357" w:lineRule="auto" w:before="151"/>
        <w:ind w:right="1626"/>
        <w:jc w:val="left"/>
      </w:pPr>
      <w:r>
        <w:rPr/>
        <w:t>速发展阶段，产业规模超过</w:t>
      </w:r>
      <w:r>
        <w:rPr>
          <w:spacing w:val="-85"/>
        </w:rPr>
        <w:t> </w:t>
      </w:r>
      <w:r>
        <w:rPr>
          <w:rFonts w:ascii="宋体" w:hAnsi="宋体" w:cs="宋体" w:eastAsia="宋体" w:hint="default"/>
        </w:rPr>
        <w:t>1.84</w:t>
      </w:r>
      <w:r>
        <w:rPr>
          <w:rFonts w:ascii="宋体" w:hAnsi="宋体" w:cs="宋体" w:eastAsia="宋体" w:hint="default"/>
          <w:spacing w:val="-85"/>
        </w:rPr>
        <w:t> </w:t>
      </w:r>
      <w:r>
        <w:rPr/>
        <w:t>万亿元，新兴信息技术服务增势突出，中心城市集聚 效应明显，运行中呈现出如下发展特点：</w:t>
      </w:r>
    </w:p>
    <w:p>
      <w:pPr>
        <w:pStyle w:val="BodyText"/>
        <w:spacing w:line="240" w:lineRule="auto" w:before="154"/>
        <w:ind w:left="624" w:right="1557"/>
        <w:jc w:val="left"/>
      </w:pPr>
      <w:r>
        <w:rPr>
          <w:spacing w:val="-3"/>
        </w:rPr>
        <w:t>（</w:t>
      </w:r>
      <w:r>
        <w:rPr>
          <w:rFonts w:ascii="宋体" w:hAnsi="宋体" w:cs="宋体" w:eastAsia="宋体" w:hint="default"/>
          <w:spacing w:val="-3"/>
        </w:rPr>
        <w:t>1</w:t>
      </w:r>
      <w:r>
        <w:rPr>
          <w:spacing w:val="-3"/>
        </w:rPr>
        <w:t>）产业规模快速增长。根据</w:t>
      </w:r>
      <w:r>
        <w:rPr>
          <w:spacing w:val="-63"/>
        </w:rPr>
        <w:t> </w:t>
      </w:r>
      <w:r>
        <w:rPr>
          <w:rFonts w:ascii="宋体" w:hAnsi="宋体" w:cs="宋体" w:eastAsia="宋体" w:hint="default"/>
        </w:rPr>
        <w:t>12</w:t>
      </w:r>
      <w:r>
        <w:rPr>
          <w:rFonts w:ascii="宋体" w:hAnsi="宋体" w:cs="宋体" w:eastAsia="宋体" w:hint="default"/>
          <w:spacing w:val="-63"/>
        </w:rPr>
        <w:t> </w:t>
      </w:r>
      <w:r>
        <w:rPr/>
        <w:t>月快报数据显示，我国软件产业</w:t>
      </w:r>
      <w:r>
        <w:rPr>
          <w:spacing w:val="-62"/>
        </w:rPr>
        <w:t> </w:t>
      </w:r>
      <w:r>
        <w:rPr>
          <w:rFonts w:ascii="宋体" w:hAnsi="宋体" w:cs="宋体" w:eastAsia="宋体" w:hint="default"/>
        </w:rPr>
        <w:t>2011</w:t>
      </w:r>
      <w:r>
        <w:rPr>
          <w:rFonts w:ascii="宋体" w:hAnsi="宋体" w:cs="宋体" w:eastAsia="宋体" w:hint="default"/>
          <w:spacing w:val="-63"/>
        </w:rPr>
        <w:t> </w:t>
      </w:r>
      <w:r>
        <w:rPr/>
        <w:t>年共实现</w:t>
      </w:r>
    </w:p>
    <w:p>
      <w:pPr>
        <w:pStyle w:val="BodyText"/>
        <w:spacing w:line="240" w:lineRule="auto" w:before="154"/>
        <w:ind w:right="1557"/>
        <w:jc w:val="left"/>
        <w:rPr>
          <w:rFonts w:ascii="宋体" w:hAnsi="宋体" w:cs="宋体" w:eastAsia="宋体" w:hint="default"/>
        </w:rPr>
      </w:pPr>
      <w:r>
        <w:rPr/>
        <w:t>软件业务收入超过</w:t>
      </w:r>
      <w:r>
        <w:rPr>
          <w:spacing w:val="-61"/>
        </w:rPr>
        <w:t> </w:t>
      </w:r>
      <w:r>
        <w:rPr>
          <w:rFonts w:ascii="宋体" w:hAnsi="宋体" w:cs="宋体" w:eastAsia="宋体" w:hint="default"/>
        </w:rPr>
        <w:t>1.84</w:t>
      </w:r>
      <w:r>
        <w:rPr>
          <w:rFonts w:ascii="宋体" w:hAnsi="宋体" w:cs="宋体" w:eastAsia="宋体" w:hint="default"/>
          <w:spacing w:val="-61"/>
        </w:rPr>
        <w:t> </w:t>
      </w:r>
      <w:r>
        <w:rPr/>
        <w:t>万亿元，同比增长</w:t>
      </w:r>
      <w:r>
        <w:rPr>
          <w:spacing w:val="-61"/>
        </w:rPr>
        <w:t> </w:t>
      </w:r>
      <w:r>
        <w:rPr>
          <w:rFonts w:ascii="宋体" w:hAnsi="宋体" w:cs="宋体" w:eastAsia="宋体" w:hint="default"/>
        </w:rPr>
        <w:t>32.4%</w:t>
      </w:r>
      <w:r>
        <w:rPr/>
        <w:t>，超过“十一五”期间平均增速</w:t>
      </w:r>
      <w:r>
        <w:rPr>
          <w:spacing w:val="-61"/>
        </w:rPr>
        <w:t> </w:t>
      </w:r>
      <w:r>
        <w:rPr>
          <w:rFonts w:ascii="宋体" w:hAnsi="宋体" w:cs="宋体" w:eastAsia="宋体" w:hint="default"/>
        </w:rPr>
        <w:t>4.4</w:t>
      </w:r>
    </w:p>
    <w:p>
      <w:pPr>
        <w:pStyle w:val="BodyText"/>
        <w:spacing w:line="355" w:lineRule="auto" w:before="154"/>
        <w:ind w:right="1624"/>
        <w:jc w:val="left"/>
      </w:pPr>
      <w:r>
        <w:rPr/>
        <w:t>个百分点，并超过同期电子信息制造业增速</w:t>
      </w:r>
      <w:r>
        <w:rPr>
          <w:spacing w:val="-84"/>
        </w:rPr>
        <w:t> </w:t>
      </w:r>
      <w:r>
        <w:rPr>
          <w:rFonts w:ascii="宋体" w:hAnsi="宋体" w:cs="宋体" w:eastAsia="宋体" w:hint="default"/>
        </w:rPr>
        <w:t>10</w:t>
      </w:r>
      <w:r>
        <w:rPr>
          <w:rFonts w:ascii="宋体" w:hAnsi="宋体" w:cs="宋体" w:eastAsia="宋体" w:hint="default"/>
          <w:spacing w:val="-84"/>
        </w:rPr>
        <w:t> </w:t>
      </w:r>
      <w:r>
        <w:rPr/>
        <w:t>个百分点以上，实现了“十二五”软件 产业的良好开局。</w:t>
      </w:r>
    </w:p>
    <w:p>
      <w:pPr>
        <w:pStyle w:val="BodyText"/>
        <w:spacing w:line="357" w:lineRule="auto" w:before="158"/>
        <w:ind w:right="1641" w:firstLine="479"/>
        <w:jc w:val="both"/>
      </w:pPr>
      <w:r>
        <w:rPr/>
        <w:t>（</w:t>
      </w:r>
      <w:r>
        <w:rPr>
          <w:rFonts w:ascii="宋体" w:hAnsi="宋体" w:cs="宋体" w:eastAsia="宋体" w:hint="default"/>
        </w:rPr>
        <w:t>2</w:t>
      </w:r>
      <w:r>
        <w:rPr/>
        <w:t>）新兴信息技术服务增势突出。累计到</w:t>
      </w:r>
      <w:r>
        <w:rPr>
          <w:spacing w:val="-60"/>
        </w:rPr>
        <w:t> </w:t>
      </w:r>
      <w:r>
        <w:rPr>
          <w:rFonts w:ascii="宋体" w:hAnsi="宋体" w:cs="宋体" w:eastAsia="宋体" w:hint="default"/>
        </w:rPr>
        <w:t>12</w:t>
      </w:r>
      <w:r>
        <w:rPr>
          <w:rFonts w:ascii="宋体" w:hAnsi="宋体" w:cs="宋体" w:eastAsia="宋体" w:hint="default"/>
          <w:spacing w:val="-60"/>
        </w:rPr>
        <w:t> </w:t>
      </w:r>
      <w:r>
        <w:rPr/>
        <w:t>月底，信息技术咨询服务、数据处 理和运营服务分别实现收入</w:t>
      </w:r>
      <w:r>
        <w:rPr>
          <w:spacing w:val="-58"/>
        </w:rPr>
        <w:t> </w:t>
      </w:r>
      <w:r>
        <w:rPr>
          <w:rFonts w:ascii="宋体" w:hAnsi="宋体" w:cs="宋体" w:eastAsia="宋体" w:hint="default"/>
        </w:rPr>
        <w:t>1864</w:t>
      </w:r>
      <w:r>
        <w:rPr>
          <w:rFonts w:ascii="宋体" w:hAnsi="宋体" w:cs="宋体" w:eastAsia="宋体" w:hint="default"/>
          <w:spacing w:val="-58"/>
        </w:rPr>
        <w:t> </w:t>
      </w:r>
      <w:r>
        <w:rPr/>
        <w:t>和</w:t>
      </w:r>
      <w:r>
        <w:rPr>
          <w:spacing w:val="-58"/>
        </w:rPr>
        <w:t> </w:t>
      </w:r>
      <w:r>
        <w:rPr>
          <w:rFonts w:ascii="宋体" w:hAnsi="宋体" w:cs="宋体" w:eastAsia="宋体" w:hint="default"/>
        </w:rPr>
        <w:t>3028</w:t>
      </w:r>
      <w:r>
        <w:rPr>
          <w:rFonts w:ascii="宋体" w:hAnsi="宋体" w:cs="宋体" w:eastAsia="宋体" w:hint="default"/>
          <w:spacing w:val="-58"/>
        </w:rPr>
        <w:t> </w:t>
      </w:r>
      <w:r>
        <w:rPr>
          <w:spacing w:val="-4"/>
        </w:rPr>
        <w:t>亿元，同比增长</w:t>
      </w:r>
      <w:r>
        <w:rPr>
          <w:spacing w:val="-58"/>
        </w:rPr>
        <w:t> </w:t>
      </w:r>
      <w:r>
        <w:rPr>
          <w:rFonts w:ascii="宋体" w:hAnsi="宋体" w:cs="宋体" w:eastAsia="宋体" w:hint="default"/>
        </w:rPr>
        <w:t>42.7%</w:t>
      </w:r>
      <w:r>
        <w:rPr/>
        <w:t>和</w:t>
      </w:r>
      <w:r>
        <w:rPr>
          <w:spacing w:val="-58"/>
        </w:rPr>
        <w:t> </w:t>
      </w:r>
      <w:r>
        <w:rPr>
          <w:rFonts w:ascii="宋体" w:hAnsi="宋体" w:cs="宋体" w:eastAsia="宋体" w:hint="default"/>
          <w:spacing w:val="-3"/>
        </w:rPr>
        <w:t>42.2%</w:t>
      </w:r>
      <w:r>
        <w:rPr>
          <w:spacing w:val="-3"/>
        </w:rPr>
        <w:t>，增速高于全</w:t>
      </w:r>
      <w:r>
        <w:rPr/>
        <w:t> 行业</w:t>
      </w:r>
      <w:r>
        <w:rPr>
          <w:spacing w:val="-60"/>
        </w:rPr>
        <w:t> </w:t>
      </w:r>
      <w:r>
        <w:rPr>
          <w:rFonts w:ascii="宋体" w:hAnsi="宋体" w:cs="宋体" w:eastAsia="宋体" w:hint="default"/>
        </w:rPr>
        <w:t>10.4</w:t>
      </w:r>
      <w:r>
        <w:rPr>
          <w:rFonts w:ascii="宋体" w:hAnsi="宋体" w:cs="宋体" w:eastAsia="宋体" w:hint="default"/>
          <w:spacing w:val="-59"/>
        </w:rPr>
        <w:t> </w:t>
      </w:r>
      <w:r>
        <w:rPr/>
        <w:t>和</w:t>
      </w:r>
      <w:r>
        <w:rPr>
          <w:spacing w:val="-59"/>
        </w:rPr>
        <w:t> </w:t>
      </w:r>
      <w:r>
        <w:rPr>
          <w:rFonts w:ascii="宋体" w:hAnsi="宋体" w:cs="宋体" w:eastAsia="宋体" w:hint="default"/>
        </w:rPr>
        <w:t>10.1</w:t>
      </w:r>
      <w:r>
        <w:rPr>
          <w:rFonts w:ascii="宋体" w:hAnsi="宋体" w:cs="宋体" w:eastAsia="宋体" w:hint="default"/>
          <w:spacing w:val="-59"/>
        </w:rPr>
        <w:t> </w:t>
      </w:r>
      <w:r>
        <w:rPr>
          <w:spacing w:val="-4"/>
        </w:rPr>
        <w:t>个百分点，两者占比达到</w:t>
      </w:r>
      <w:r>
        <w:rPr>
          <w:spacing w:val="-59"/>
        </w:rPr>
        <w:t> </w:t>
      </w:r>
      <w:r>
        <w:rPr>
          <w:rFonts w:ascii="宋体" w:hAnsi="宋体" w:cs="宋体" w:eastAsia="宋体" w:hint="default"/>
          <w:spacing w:val="-3"/>
        </w:rPr>
        <w:t>26.5%</w:t>
      </w:r>
      <w:r>
        <w:rPr>
          <w:spacing w:val="-3"/>
        </w:rPr>
        <w:t>，比上年同期提高</w:t>
      </w:r>
      <w:r>
        <w:rPr>
          <w:spacing w:val="-59"/>
        </w:rPr>
        <w:t> </w:t>
      </w:r>
      <w:r>
        <w:rPr>
          <w:rFonts w:ascii="宋体" w:hAnsi="宋体" w:cs="宋体" w:eastAsia="宋体" w:hint="default"/>
        </w:rPr>
        <w:t>1.9</w:t>
      </w:r>
      <w:r>
        <w:rPr>
          <w:rFonts w:ascii="宋体" w:hAnsi="宋体" w:cs="宋体" w:eastAsia="宋体" w:hint="default"/>
          <w:spacing w:val="-59"/>
        </w:rPr>
        <w:t> </w:t>
      </w:r>
      <w:r>
        <w:rPr>
          <w:spacing w:val="-6"/>
        </w:rPr>
        <w:t>个百分点。嵌</w:t>
      </w:r>
    </w:p>
    <w:p>
      <w:pPr>
        <w:pStyle w:val="BodyText"/>
        <w:spacing w:line="240" w:lineRule="auto" w:before="34"/>
        <w:ind w:right="1557"/>
        <w:jc w:val="left"/>
        <w:rPr>
          <w:rFonts w:ascii="宋体" w:hAnsi="宋体" w:cs="宋体" w:eastAsia="宋体" w:hint="default"/>
        </w:rPr>
      </w:pPr>
      <w:r>
        <w:rPr>
          <w:spacing w:val="-6"/>
        </w:rPr>
        <w:t>入式系统软件增长快于去年，实现收入</w:t>
      </w:r>
      <w:r>
        <w:rPr>
          <w:spacing w:val="-58"/>
        </w:rPr>
        <w:t> </w:t>
      </w:r>
      <w:r>
        <w:rPr>
          <w:rFonts w:ascii="宋体" w:hAnsi="宋体" w:cs="宋体" w:eastAsia="宋体" w:hint="default"/>
        </w:rPr>
        <w:t>2805</w:t>
      </w:r>
      <w:r>
        <w:rPr>
          <w:rFonts w:ascii="宋体" w:hAnsi="宋体" w:cs="宋体" w:eastAsia="宋体" w:hint="default"/>
          <w:spacing w:val="-58"/>
        </w:rPr>
        <w:t> </w:t>
      </w:r>
      <w:r>
        <w:rPr>
          <w:spacing w:val="-14"/>
        </w:rPr>
        <w:t>亿元，同比增长</w:t>
      </w:r>
      <w:r>
        <w:rPr>
          <w:spacing w:val="-58"/>
        </w:rPr>
        <w:t> </w:t>
      </w:r>
      <w:r>
        <w:rPr>
          <w:rFonts w:ascii="宋体" w:hAnsi="宋体" w:cs="宋体" w:eastAsia="宋体" w:hint="default"/>
          <w:spacing w:val="-8"/>
        </w:rPr>
        <w:t>30.9%</w:t>
      </w:r>
      <w:r>
        <w:rPr>
          <w:spacing w:val="-8"/>
        </w:rPr>
        <w:t>，比上年同期高</w:t>
      </w:r>
      <w:r>
        <w:rPr>
          <w:spacing w:val="-58"/>
        </w:rPr>
        <w:t> </w:t>
      </w:r>
      <w:r>
        <w:rPr>
          <w:rFonts w:ascii="宋体" w:hAnsi="宋体" w:cs="宋体" w:eastAsia="宋体" w:hint="default"/>
        </w:rPr>
        <w:t>15.8</w:t>
      </w:r>
    </w:p>
    <w:p>
      <w:pPr>
        <w:spacing w:after="0" w:line="240" w:lineRule="auto"/>
        <w:jc w:val="left"/>
        <w:rPr>
          <w:rFonts w:ascii="宋体" w:hAnsi="宋体" w:cs="宋体" w:eastAsia="宋体" w:hint="default"/>
        </w:rPr>
        <w:sectPr>
          <w:pgSz w:w="12240" w:h="15840"/>
          <w:pgMar w:header="847" w:footer="987" w:top="1360" w:bottom="1180" w:left="1500" w:right="0"/>
        </w:sectPr>
      </w:pPr>
    </w:p>
    <w:p>
      <w:pPr>
        <w:pStyle w:val="BodyText"/>
        <w:spacing w:line="355" w:lineRule="auto" w:before="11"/>
        <w:ind w:right="1506"/>
        <w:jc w:val="left"/>
      </w:pPr>
      <w:r>
        <w:rPr/>
        <w:pict>
          <v:group style="position:absolute;margin-left:80.783997pt;margin-top:1.845647pt;width:450.6pt;height:.1pt;mso-position-horizontal-relative:page;mso-position-vertical-relative:paragraph;z-index:-863920"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8"/>
        </w:rPr>
        <w:t>个百分点。软件产品、信息系统集成服务和</w:t>
      </w:r>
      <w:r>
        <w:rPr>
          <w:spacing w:val="-56"/>
        </w:rPr>
        <w:t> </w:t>
      </w:r>
      <w:r>
        <w:rPr>
          <w:rFonts w:ascii="宋体" w:hAnsi="宋体" w:cs="宋体" w:eastAsia="宋体" w:hint="default"/>
        </w:rPr>
        <w:t>IC</w:t>
      </w:r>
      <w:r>
        <w:rPr>
          <w:rFonts w:ascii="宋体" w:hAnsi="宋体" w:cs="宋体" w:eastAsia="宋体" w:hint="default"/>
          <w:spacing w:val="-56"/>
        </w:rPr>
        <w:t> </w:t>
      </w:r>
      <w:r>
        <w:rPr>
          <w:spacing w:val="-6"/>
        </w:rPr>
        <w:t>设计增长较为平稳，分别实现收入</w:t>
      </w:r>
      <w:r>
        <w:rPr>
          <w:spacing w:val="-56"/>
        </w:rPr>
        <w:t> </w:t>
      </w:r>
      <w:r>
        <w:rPr>
          <w:rFonts w:ascii="宋体" w:hAnsi="宋体" w:cs="宋体" w:eastAsia="宋体" w:hint="default"/>
        </w:rPr>
        <w:t>6158</w:t>
      </w:r>
      <w:r>
        <w:rPr/>
        <w:t>、 </w:t>
      </w:r>
      <w:r>
        <w:rPr>
          <w:rFonts w:ascii="宋体" w:hAnsi="宋体" w:cs="宋体" w:eastAsia="宋体" w:hint="default"/>
        </w:rPr>
        <w:t>3921</w:t>
      </w:r>
      <w:r>
        <w:rPr>
          <w:rFonts w:ascii="宋体" w:hAnsi="宋体" w:cs="宋体" w:eastAsia="宋体" w:hint="default"/>
          <w:spacing w:val="-61"/>
        </w:rPr>
        <w:t> </w:t>
      </w:r>
      <w:r>
        <w:rPr/>
        <w:t>和</w:t>
      </w:r>
      <w:r>
        <w:rPr>
          <w:spacing w:val="-60"/>
        </w:rPr>
        <w:t> </w:t>
      </w:r>
      <w:r>
        <w:rPr>
          <w:rFonts w:ascii="宋体" w:hAnsi="宋体" w:cs="宋体" w:eastAsia="宋体" w:hint="default"/>
        </w:rPr>
        <w:t>691</w:t>
      </w:r>
      <w:r>
        <w:rPr>
          <w:rFonts w:ascii="宋体" w:hAnsi="宋体" w:cs="宋体" w:eastAsia="宋体" w:hint="default"/>
          <w:spacing w:val="-60"/>
        </w:rPr>
        <w:t> </w:t>
      </w:r>
      <w:r>
        <w:rPr/>
        <w:t>亿元，同比增长</w:t>
      </w:r>
      <w:r>
        <w:rPr>
          <w:spacing w:val="-60"/>
        </w:rPr>
        <w:t> </w:t>
      </w:r>
      <w:r>
        <w:rPr>
          <w:rFonts w:ascii="宋体" w:hAnsi="宋体" w:cs="宋体" w:eastAsia="宋体" w:hint="default"/>
        </w:rPr>
        <w:t>28.5%</w:t>
      </w:r>
      <w:r>
        <w:rPr/>
        <w:t>、</w:t>
      </w:r>
      <w:r>
        <w:rPr>
          <w:rFonts w:ascii="宋体" w:hAnsi="宋体" w:cs="宋体" w:eastAsia="宋体" w:hint="default"/>
        </w:rPr>
        <w:t>28.4%</w:t>
      </w:r>
      <w:r>
        <w:rPr/>
        <w:t>和</w:t>
      </w:r>
      <w:r>
        <w:rPr>
          <w:spacing w:val="-60"/>
        </w:rPr>
        <w:t> </w:t>
      </w:r>
      <w:r>
        <w:rPr>
          <w:rFonts w:ascii="宋体" w:hAnsi="宋体" w:cs="宋体" w:eastAsia="宋体" w:hint="default"/>
        </w:rPr>
        <w:t>33%</w:t>
      </w:r>
      <w:r>
        <w:rPr/>
        <w:t>。</w:t>
      </w:r>
    </w:p>
    <w:p>
      <w:pPr>
        <w:pStyle w:val="BodyText"/>
        <w:spacing w:line="357" w:lineRule="auto" w:before="158"/>
        <w:ind w:right="1510" w:firstLine="479"/>
        <w:jc w:val="left"/>
      </w:pPr>
      <w:r>
        <w:rPr>
          <w:spacing w:val="-6"/>
        </w:rPr>
        <w:t>（</w:t>
      </w:r>
      <w:r>
        <w:rPr>
          <w:rFonts w:ascii="宋体" w:hAnsi="宋体" w:cs="宋体" w:eastAsia="宋体" w:hint="default"/>
          <w:spacing w:val="-6"/>
        </w:rPr>
        <w:t>3</w:t>
      </w:r>
      <w:r>
        <w:rPr>
          <w:spacing w:val="-6"/>
        </w:rPr>
        <w:t>）软件出口增速放缓。</w:t>
      </w:r>
      <w:r>
        <w:rPr>
          <w:rFonts w:ascii="宋体" w:hAnsi="宋体" w:cs="宋体" w:eastAsia="宋体" w:hint="default"/>
          <w:spacing w:val="-6"/>
        </w:rPr>
        <w:t>1-12</w:t>
      </w:r>
      <w:r>
        <w:rPr>
          <w:rFonts w:ascii="宋体" w:hAnsi="宋体" w:cs="宋体" w:eastAsia="宋体" w:hint="default"/>
          <w:spacing w:val="-56"/>
        </w:rPr>
        <w:t> </w:t>
      </w:r>
      <w:r>
        <w:rPr>
          <w:spacing w:val="-5"/>
        </w:rPr>
        <w:t>月，软件业实现出口</w:t>
      </w:r>
      <w:r>
        <w:rPr>
          <w:spacing w:val="-56"/>
        </w:rPr>
        <w:t> </w:t>
      </w:r>
      <w:r>
        <w:rPr>
          <w:rFonts w:ascii="宋体" w:hAnsi="宋体" w:cs="宋体" w:eastAsia="宋体" w:hint="default"/>
        </w:rPr>
        <w:t>304</w:t>
      </w:r>
      <w:r>
        <w:rPr>
          <w:rFonts w:ascii="宋体" w:hAnsi="宋体" w:cs="宋体" w:eastAsia="宋体" w:hint="default"/>
          <w:spacing w:val="-56"/>
        </w:rPr>
        <w:t> </w:t>
      </w:r>
      <w:r>
        <w:rPr>
          <w:spacing w:val="-6"/>
        </w:rPr>
        <w:t>亿美元，同比增长</w:t>
      </w:r>
      <w:r>
        <w:rPr>
          <w:spacing w:val="-56"/>
        </w:rPr>
        <w:t> </w:t>
      </w:r>
      <w:r>
        <w:rPr>
          <w:rFonts w:ascii="宋体" w:hAnsi="宋体" w:cs="宋体" w:eastAsia="宋体" w:hint="default"/>
        </w:rPr>
        <w:t>18.5%</w:t>
      </w:r>
      <w:r>
        <w:rPr/>
        <w:t>， 增速低于上年</w:t>
      </w:r>
      <w:r>
        <w:rPr>
          <w:spacing w:val="-61"/>
        </w:rPr>
        <w:t> </w:t>
      </w:r>
      <w:r>
        <w:rPr>
          <w:rFonts w:ascii="宋体" w:hAnsi="宋体" w:cs="宋体" w:eastAsia="宋体" w:hint="default"/>
        </w:rPr>
        <w:t>18</w:t>
      </w:r>
      <w:r>
        <w:rPr>
          <w:rFonts w:ascii="宋体" w:hAnsi="宋体" w:cs="宋体" w:eastAsia="宋体" w:hint="default"/>
          <w:spacing w:val="-60"/>
        </w:rPr>
        <w:t> </w:t>
      </w:r>
      <w:r>
        <w:rPr/>
        <w:t>个百分点。其中，嵌入式系统软件出口持续低迷，同比仅增长</w:t>
      </w:r>
      <w:r>
        <w:rPr>
          <w:spacing w:val="-59"/>
        </w:rPr>
        <w:t> </w:t>
      </w:r>
      <w:r>
        <w:rPr>
          <w:rFonts w:ascii="宋体" w:hAnsi="宋体" w:cs="宋体" w:eastAsia="宋体" w:hint="default"/>
        </w:rPr>
        <w:t>7.6%</w:t>
      </w:r>
      <w:r>
        <w:rPr/>
        <w:t>， 拉低行业出口增速</w:t>
      </w:r>
      <w:r>
        <w:rPr>
          <w:spacing w:val="-66"/>
        </w:rPr>
        <w:t> </w:t>
      </w:r>
      <w:r>
        <w:rPr>
          <w:rFonts w:ascii="宋体" w:hAnsi="宋体" w:cs="宋体" w:eastAsia="宋体" w:hint="default"/>
        </w:rPr>
        <w:t>7</w:t>
      </w:r>
      <w:r>
        <w:rPr>
          <w:rFonts w:ascii="宋体" w:hAnsi="宋体" w:cs="宋体" w:eastAsia="宋体" w:hint="default"/>
          <w:spacing w:val="-66"/>
        </w:rPr>
        <w:t> </w:t>
      </w:r>
      <w:r>
        <w:rPr/>
        <w:t>个百分点；外包服务出口保持较快增长，实现收入</w:t>
      </w:r>
      <w:r>
        <w:rPr>
          <w:spacing w:val="-65"/>
        </w:rPr>
        <w:t> </w:t>
      </w:r>
      <w:r>
        <w:rPr>
          <w:rFonts w:ascii="宋体" w:hAnsi="宋体" w:cs="宋体" w:eastAsia="宋体" w:hint="default"/>
        </w:rPr>
        <w:t>59</w:t>
      </w:r>
      <w:r>
        <w:rPr>
          <w:rFonts w:ascii="宋体" w:hAnsi="宋体" w:cs="宋体" w:eastAsia="宋体" w:hint="default"/>
          <w:spacing w:val="-66"/>
        </w:rPr>
        <w:t> </w:t>
      </w:r>
      <w:r>
        <w:rPr>
          <w:spacing w:val="-4"/>
        </w:rPr>
        <w:t>亿美元，同</w:t>
      </w:r>
      <w:r>
        <w:rPr/>
        <w:t> 比增长</w:t>
      </w:r>
      <w:r>
        <w:rPr>
          <w:spacing w:val="-61"/>
        </w:rPr>
        <w:t> </w:t>
      </w:r>
      <w:r>
        <w:rPr>
          <w:rFonts w:ascii="宋体" w:hAnsi="宋体" w:cs="宋体" w:eastAsia="宋体" w:hint="default"/>
        </w:rPr>
        <w:t>40.3%</w:t>
      </w:r>
      <w:r>
        <w:rPr/>
        <w:t>，高于软件出口增速</w:t>
      </w:r>
      <w:r>
        <w:rPr>
          <w:spacing w:val="-60"/>
        </w:rPr>
        <w:t> </w:t>
      </w:r>
      <w:r>
        <w:rPr>
          <w:rFonts w:ascii="宋体" w:hAnsi="宋体" w:cs="宋体" w:eastAsia="宋体" w:hint="default"/>
        </w:rPr>
        <w:t>21.8</w:t>
      </w:r>
      <w:r>
        <w:rPr>
          <w:rFonts w:ascii="宋体" w:hAnsi="宋体" w:cs="宋体" w:eastAsia="宋体" w:hint="default"/>
          <w:spacing w:val="-60"/>
        </w:rPr>
        <w:t> </w:t>
      </w:r>
      <w:r>
        <w:rPr/>
        <w:t>个百分点。</w:t>
      </w:r>
    </w:p>
    <w:p>
      <w:pPr>
        <w:pStyle w:val="BodyText"/>
        <w:spacing w:line="240" w:lineRule="auto" w:before="156"/>
        <w:ind w:left="624" w:right="1557"/>
        <w:jc w:val="left"/>
      </w:pPr>
      <w:r>
        <w:rPr/>
        <w:t>（</w:t>
      </w:r>
      <w:r>
        <w:rPr>
          <w:rFonts w:ascii="宋体" w:hAnsi="宋体" w:cs="宋体" w:eastAsia="宋体" w:hint="default"/>
        </w:rPr>
        <w:t>4</w:t>
      </w:r>
      <w:r>
        <w:rPr/>
        <w:t>）产业集聚发展特点显著。</w:t>
      </w:r>
      <w:r>
        <w:rPr>
          <w:rFonts w:ascii="宋体" w:hAnsi="宋体" w:cs="宋体" w:eastAsia="宋体" w:hint="default"/>
        </w:rPr>
        <w:t>1-12</w:t>
      </w:r>
      <w:r>
        <w:rPr>
          <w:rFonts w:ascii="宋体" w:hAnsi="宋体" w:cs="宋体" w:eastAsia="宋体" w:hint="default"/>
          <w:spacing w:val="-60"/>
        </w:rPr>
        <w:t> </w:t>
      </w:r>
      <w:r>
        <w:rPr/>
        <w:t>月，全国</w:t>
      </w:r>
      <w:r>
        <w:rPr>
          <w:spacing w:val="-60"/>
        </w:rPr>
        <w:t> </w:t>
      </w:r>
      <w:r>
        <w:rPr>
          <w:rFonts w:ascii="宋体" w:hAnsi="宋体" w:cs="宋体" w:eastAsia="宋体" w:hint="default"/>
        </w:rPr>
        <w:t>4</w:t>
      </w:r>
      <w:r>
        <w:rPr>
          <w:rFonts w:ascii="宋体" w:hAnsi="宋体" w:cs="宋体" w:eastAsia="宋体" w:hint="default"/>
          <w:spacing w:val="-60"/>
        </w:rPr>
        <w:t> </w:t>
      </w:r>
      <w:r>
        <w:rPr/>
        <w:t>个直辖市和</w:t>
      </w:r>
      <w:r>
        <w:rPr>
          <w:spacing w:val="-60"/>
        </w:rPr>
        <w:t> </w:t>
      </w:r>
      <w:r>
        <w:rPr>
          <w:rFonts w:ascii="宋体" w:hAnsi="宋体" w:cs="宋体" w:eastAsia="宋体" w:hint="default"/>
        </w:rPr>
        <w:t>15</w:t>
      </w:r>
      <w:r>
        <w:rPr>
          <w:rFonts w:ascii="宋体" w:hAnsi="宋体" w:cs="宋体" w:eastAsia="宋体" w:hint="default"/>
          <w:spacing w:val="-60"/>
        </w:rPr>
        <w:t> </w:t>
      </w:r>
      <w:r>
        <w:rPr/>
        <w:t>个副省级城市实现</w:t>
      </w:r>
    </w:p>
    <w:p>
      <w:pPr>
        <w:pStyle w:val="BodyText"/>
        <w:spacing w:line="240" w:lineRule="auto" w:before="154"/>
        <w:ind w:right="0"/>
        <w:jc w:val="both"/>
      </w:pPr>
      <w:r>
        <w:rPr/>
        <w:t>软件业务收入</w:t>
      </w:r>
      <w:r>
        <w:rPr>
          <w:spacing w:val="-58"/>
        </w:rPr>
        <w:t> </w:t>
      </w:r>
      <w:r>
        <w:rPr>
          <w:rFonts w:ascii="宋体" w:hAnsi="宋体" w:cs="宋体" w:eastAsia="宋体" w:hint="default"/>
        </w:rPr>
        <w:t>15008</w:t>
      </w:r>
      <w:r>
        <w:rPr>
          <w:rFonts w:ascii="宋体" w:hAnsi="宋体" w:cs="宋体" w:eastAsia="宋体" w:hint="default"/>
          <w:spacing w:val="-57"/>
        </w:rPr>
        <w:t> </w:t>
      </w:r>
      <w:r>
        <w:rPr>
          <w:spacing w:val="-6"/>
        </w:rPr>
        <w:t>亿元，同比增长</w:t>
      </w:r>
      <w:r>
        <w:rPr>
          <w:spacing w:val="-57"/>
        </w:rPr>
        <w:t> </w:t>
      </w:r>
      <w:r>
        <w:rPr>
          <w:rFonts w:ascii="宋体" w:hAnsi="宋体" w:cs="宋体" w:eastAsia="宋体" w:hint="default"/>
          <w:spacing w:val="-3"/>
        </w:rPr>
        <w:t>34%</w:t>
      </w:r>
      <w:r>
        <w:rPr>
          <w:spacing w:val="-3"/>
        </w:rPr>
        <w:t>，增速快于全国平均水平</w:t>
      </w:r>
      <w:r>
        <w:rPr>
          <w:spacing w:val="-56"/>
        </w:rPr>
        <w:t> </w:t>
      </w:r>
      <w:r>
        <w:rPr>
          <w:rFonts w:ascii="宋体" w:hAnsi="宋体" w:cs="宋体" w:eastAsia="宋体" w:hint="default"/>
        </w:rPr>
        <w:t>1.7</w:t>
      </w:r>
      <w:r>
        <w:rPr>
          <w:rFonts w:ascii="宋体" w:hAnsi="宋体" w:cs="宋体" w:eastAsia="宋体" w:hint="default"/>
          <w:spacing w:val="-57"/>
        </w:rPr>
        <w:t> </w:t>
      </w:r>
      <w:r>
        <w:rPr>
          <w:spacing w:val="-6"/>
        </w:rPr>
        <w:t>个百分点，占全</w:t>
      </w:r>
    </w:p>
    <w:p>
      <w:pPr>
        <w:pStyle w:val="BodyText"/>
        <w:spacing w:line="357" w:lineRule="auto" w:before="151"/>
        <w:ind w:right="1653"/>
        <w:jc w:val="both"/>
      </w:pPr>
      <w:r>
        <w:rPr/>
        <w:t>国软件业务收入的</w:t>
      </w:r>
      <w:r>
        <w:rPr>
          <w:spacing w:val="-60"/>
        </w:rPr>
        <w:t> </w:t>
      </w:r>
      <w:r>
        <w:rPr>
          <w:rFonts w:ascii="宋体" w:hAnsi="宋体" w:cs="宋体" w:eastAsia="宋体" w:hint="default"/>
        </w:rPr>
        <w:t>81%</w:t>
      </w:r>
      <w:r>
        <w:rPr/>
        <w:t>，其中软件业务规模超过</w:t>
      </w:r>
      <w:r>
        <w:rPr>
          <w:spacing w:val="-60"/>
        </w:rPr>
        <w:t> </w:t>
      </w:r>
      <w:r>
        <w:rPr>
          <w:rFonts w:ascii="宋体" w:hAnsi="宋体" w:cs="宋体" w:eastAsia="宋体" w:hint="default"/>
        </w:rPr>
        <w:t>500</w:t>
      </w:r>
      <w:r>
        <w:rPr>
          <w:rFonts w:ascii="宋体" w:hAnsi="宋体" w:cs="宋体" w:eastAsia="宋体" w:hint="default"/>
          <w:spacing w:val="-60"/>
        </w:rPr>
        <w:t> </w:t>
      </w:r>
      <w:r>
        <w:rPr/>
        <w:t>亿元的城市达到</w:t>
      </w:r>
      <w:r>
        <w:rPr>
          <w:spacing w:val="-60"/>
        </w:rPr>
        <w:t> </w:t>
      </w:r>
      <w:r>
        <w:rPr>
          <w:rFonts w:ascii="宋体" w:hAnsi="宋体" w:cs="宋体" w:eastAsia="宋体" w:hint="default"/>
        </w:rPr>
        <w:t>10</w:t>
      </w:r>
      <w:r>
        <w:rPr>
          <w:rFonts w:ascii="宋体" w:hAnsi="宋体" w:cs="宋体" w:eastAsia="宋体" w:hint="default"/>
          <w:spacing w:val="-60"/>
        </w:rPr>
        <w:t> </w:t>
      </w:r>
      <w:r>
        <w:rPr/>
        <w:t>个，中心城市 成为软件产业发展的主要聚集地。东部省市继续领先全国发展，共完成软件业务收入 </w:t>
      </w:r>
      <w:r>
        <w:rPr>
          <w:rFonts w:ascii="宋体" w:hAnsi="宋体" w:cs="宋体" w:eastAsia="宋体" w:hint="default"/>
        </w:rPr>
        <w:t>15656</w:t>
      </w:r>
      <w:r>
        <w:rPr>
          <w:rFonts w:ascii="宋体" w:hAnsi="宋体" w:cs="宋体" w:eastAsia="宋体" w:hint="default"/>
          <w:spacing w:val="-61"/>
        </w:rPr>
        <w:t> </w:t>
      </w:r>
      <w:r>
        <w:rPr/>
        <w:t>亿元，同比增长</w:t>
      </w:r>
      <w:r>
        <w:rPr>
          <w:spacing w:val="-60"/>
        </w:rPr>
        <w:t> </w:t>
      </w:r>
      <w:r>
        <w:rPr>
          <w:rFonts w:ascii="宋体" w:hAnsi="宋体" w:cs="宋体" w:eastAsia="宋体" w:hint="default"/>
        </w:rPr>
        <w:t>31.7%</w:t>
      </w:r>
      <w:r>
        <w:rPr/>
        <w:t>，占全国比重达</w:t>
      </w:r>
      <w:r>
        <w:rPr>
          <w:spacing w:val="-60"/>
        </w:rPr>
        <w:t> </w:t>
      </w:r>
      <w:r>
        <w:rPr>
          <w:rFonts w:ascii="宋体" w:hAnsi="宋体" w:cs="宋体" w:eastAsia="宋体" w:hint="default"/>
        </w:rPr>
        <w:t>84.8%</w:t>
      </w:r>
      <w:r>
        <w:rPr/>
        <w:t>，江苏、福建和山东等省的增速均 超过</w:t>
      </w:r>
      <w:r>
        <w:rPr>
          <w:spacing w:val="-61"/>
        </w:rPr>
        <w:t> </w:t>
      </w:r>
      <w:r>
        <w:rPr>
          <w:rFonts w:ascii="宋体" w:hAnsi="宋体" w:cs="宋体" w:eastAsia="宋体" w:hint="default"/>
        </w:rPr>
        <w:t>35%</w:t>
      </w:r>
      <w:r>
        <w:rPr/>
        <w:t>。</w:t>
      </w:r>
    </w:p>
    <w:p>
      <w:pPr>
        <w:pStyle w:val="BodyText"/>
        <w:spacing w:line="357" w:lineRule="auto" w:before="154"/>
        <w:ind w:right="1516" w:firstLine="479"/>
        <w:jc w:val="left"/>
      </w:pPr>
      <w:r>
        <w:rPr>
          <w:spacing w:val="-8"/>
        </w:rPr>
        <w:t>（</w:t>
      </w:r>
      <w:r>
        <w:rPr>
          <w:rFonts w:ascii="宋体" w:hAnsi="宋体" w:cs="宋体" w:eastAsia="宋体" w:hint="default"/>
          <w:spacing w:val="-8"/>
        </w:rPr>
        <w:t>5</w:t>
      </w:r>
      <w:r>
        <w:rPr>
          <w:spacing w:val="-8"/>
        </w:rPr>
        <w:t>）骨干企业运行态势良好。根据我部重点监测的软件前百家企业数据显示，</w:t>
      </w:r>
      <w:r>
        <w:rPr>
          <w:rFonts w:ascii="宋体" w:hAnsi="宋体" w:cs="宋体" w:eastAsia="宋体" w:hint="default"/>
          <w:spacing w:val="-8"/>
        </w:rPr>
        <w:t>2011</w:t>
      </w:r>
      <w:r>
        <w:rPr>
          <w:rFonts w:ascii="宋体" w:hAnsi="宋体" w:cs="宋体" w:eastAsia="宋体" w:hint="default"/>
        </w:rPr>
        <w:t> </w:t>
      </w:r>
      <w:r>
        <w:rPr/>
        <w:t>年百家企业累计完成软件业务收入</w:t>
      </w:r>
      <w:r>
        <w:rPr>
          <w:spacing w:val="-60"/>
        </w:rPr>
        <w:t> </w:t>
      </w:r>
      <w:r>
        <w:rPr>
          <w:rFonts w:ascii="宋体" w:hAnsi="宋体" w:cs="宋体" w:eastAsia="宋体" w:hint="default"/>
        </w:rPr>
        <w:t>3423</w:t>
      </w:r>
      <w:r>
        <w:rPr>
          <w:rFonts w:ascii="宋体" w:hAnsi="宋体" w:cs="宋体" w:eastAsia="宋体" w:hint="default"/>
          <w:spacing w:val="-60"/>
        </w:rPr>
        <w:t> </w:t>
      </w:r>
      <w:r>
        <w:rPr/>
        <w:t>亿元，同比增长</w:t>
      </w:r>
      <w:r>
        <w:rPr>
          <w:spacing w:val="-60"/>
        </w:rPr>
        <w:t> </w:t>
      </w:r>
      <w:r>
        <w:rPr>
          <w:rFonts w:ascii="宋体" w:hAnsi="宋体" w:cs="宋体" w:eastAsia="宋体" w:hint="default"/>
        </w:rPr>
        <w:t>15%</w:t>
      </w:r>
      <w:r>
        <w:rPr/>
        <w:t>，占全国收入的</w:t>
      </w:r>
      <w:r>
        <w:rPr>
          <w:spacing w:val="-60"/>
        </w:rPr>
        <w:t> </w:t>
      </w:r>
      <w:r>
        <w:rPr>
          <w:rFonts w:ascii="宋体" w:hAnsi="宋体" w:cs="宋体" w:eastAsia="宋体" w:hint="default"/>
        </w:rPr>
        <w:t>18.6%</w:t>
      </w:r>
      <w:r>
        <w:rPr/>
        <w:t>。 如去掉大型通信类软件企业业务调整的影响因素，其他企业的软件业务收入增长</w:t>
      </w:r>
      <w:r>
        <w:rPr>
          <w:spacing w:val="-60"/>
        </w:rPr>
        <w:t> </w:t>
      </w:r>
      <w:r>
        <w:rPr>
          <w:rFonts w:ascii="宋体" w:hAnsi="宋体" w:cs="宋体" w:eastAsia="宋体" w:hint="default"/>
        </w:rPr>
        <w:t>25%</w:t>
      </w:r>
      <w:r>
        <w:rPr/>
        <w:t>， 利润增长</w:t>
      </w:r>
      <w:r>
        <w:rPr>
          <w:spacing w:val="-60"/>
        </w:rPr>
        <w:t> </w:t>
      </w:r>
      <w:r>
        <w:rPr>
          <w:rFonts w:ascii="宋体" w:hAnsi="宋体" w:cs="宋体" w:eastAsia="宋体" w:hint="default"/>
          <w:spacing w:val="-7"/>
        </w:rPr>
        <w:t>22%</w:t>
      </w:r>
      <w:r>
        <w:rPr>
          <w:spacing w:val="-7"/>
        </w:rPr>
        <w:t>。百家企业全年研发经费投入达</w:t>
      </w:r>
      <w:r>
        <w:rPr>
          <w:spacing w:val="-58"/>
        </w:rPr>
        <w:t> </w:t>
      </w:r>
      <w:r>
        <w:rPr>
          <w:rFonts w:ascii="宋体" w:hAnsi="宋体" w:cs="宋体" w:eastAsia="宋体" w:hint="default"/>
        </w:rPr>
        <w:t>461</w:t>
      </w:r>
      <w:r>
        <w:rPr>
          <w:rFonts w:ascii="宋体" w:hAnsi="宋体" w:cs="宋体" w:eastAsia="宋体" w:hint="default"/>
          <w:spacing w:val="-59"/>
        </w:rPr>
        <w:t> </w:t>
      </w:r>
      <w:r>
        <w:rPr>
          <w:spacing w:val="-17"/>
        </w:rPr>
        <w:t>亿元，占收入的</w:t>
      </w:r>
      <w:r>
        <w:rPr>
          <w:spacing w:val="-59"/>
        </w:rPr>
        <w:t> </w:t>
      </w:r>
      <w:r>
        <w:rPr>
          <w:rFonts w:ascii="宋体" w:hAnsi="宋体" w:cs="宋体" w:eastAsia="宋体" w:hint="default"/>
          <w:spacing w:val="-12"/>
        </w:rPr>
        <w:t>13.5%</w:t>
      </w:r>
      <w:r>
        <w:rPr>
          <w:spacing w:val="-12"/>
        </w:rPr>
        <w:t>，同比增长</w:t>
      </w:r>
      <w:r>
        <w:rPr>
          <w:spacing w:val="-59"/>
        </w:rPr>
        <w:t> </w:t>
      </w:r>
      <w:r>
        <w:rPr>
          <w:rFonts w:ascii="宋体" w:hAnsi="宋体" w:cs="宋体" w:eastAsia="宋体" w:hint="default"/>
        </w:rPr>
        <w:t>13%;</w:t>
      </w:r>
      <w:r>
        <w:rPr>
          <w:rFonts w:ascii="宋体" w:hAnsi="宋体" w:cs="宋体" w:eastAsia="宋体" w:hint="default"/>
          <w:spacing w:val="-118"/>
        </w:rPr>
        <w:t> </w:t>
      </w:r>
      <w:r>
        <w:rPr/>
        <w:t>从业人员平均人数超过</w:t>
      </w:r>
      <w:r>
        <w:rPr>
          <w:spacing w:val="-60"/>
        </w:rPr>
        <w:t> </w:t>
      </w:r>
      <w:r>
        <w:rPr>
          <w:rFonts w:ascii="宋体" w:hAnsi="宋体" w:cs="宋体" w:eastAsia="宋体" w:hint="default"/>
        </w:rPr>
        <w:t>50</w:t>
      </w:r>
      <w:r>
        <w:rPr>
          <w:rFonts w:ascii="宋体" w:hAnsi="宋体" w:cs="宋体" w:eastAsia="宋体" w:hint="default"/>
          <w:spacing w:val="-60"/>
        </w:rPr>
        <w:t> </w:t>
      </w:r>
      <w:r>
        <w:rPr/>
        <w:t>万人，同比增长</w:t>
      </w:r>
      <w:r>
        <w:rPr>
          <w:spacing w:val="-60"/>
        </w:rPr>
        <w:t> </w:t>
      </w:r>
      <w:r>
        <w:rPr>
          <w:rFonts w:ascii="宋体" w:hAnsi="宋体" w:cs="宋体" w:eastAsia="宋体" w:hint="default"/>
        </w:rPr>
        <w:t>24%;</w:t>
      </w:r>
      <w:r>
        <w:rPr/>
        <w:t>订单金额呈增长态势的企业接近九成， 企业对未来预期较为良好。</w:t>
      </w:r>
    </w:p>
    <w:p>
      <w:pPr>
        <w:spacing w:line="240" w:lineRule="auto" w:before="13"/>
        <w:rPr>
          <w:rFonts w:ascii="宋体" w:hAnsi="宋体" w:cs="宋体" w:eastAsia="宋体" w:hint="default"/>
          <w:sz w:val="26"/>
          <w:szCs w:val="26"/>
        </w:rPr>
      </w:pPr>
    </w:p>
    <w:p>
      <w:pPr>
        <w:pStyle w:val="Heading4"/>
        <w:spacing w:line="240" w:lineRule="auto"/>
        <w:ind w:right="0"/>
        <w:jc w:val="both"/>
        <w:rPr>
          <w:b w:val="0"/>
          <w:bCs w:val="0"/>
        </w:rPr>
      </w:pPr>
      <w:r>
        <w:rPr>
          <w:rFonts w:ascii="Calibri" w:hAnsi="Calibri" w:cs="Calibri" w:eastAsia="Calibri" w:hint="default"/>
        </w:rPr>
        <w:t>2</w:t>
      </w:r>
      <w:r>
        <w:rPr/>
        <w:t>、未来公司发展机遇和挑战</w:t>
      </w:r>
      <w:r>
        <w:rPr>
          <w:b w:val="0"/>
          <w:bCs w:val="0"/>
        </w:rPr>
      </w:r>
    </w:p>
    <w:p>
      <w:pPr>
        <w:pStyle w:val="BodyText"/>
        <w:spacing w:line="357" w:lineRule="auto" w:before="97"/>
        <w:ind w:right="1714" w:firstLine="479"/>
        <w:jc w:val="both"/>
      </w:pPr>
      <w:r>
        <w:rPr/>
        <w:t>公司的愿景是成为国内领先的计算机信息系统综合解决方案服务商，从而能够持 续为股东创造最大价值，公司主营业务包括应用软件开发、计算机信息系统集成及相 关服务。</w:t>
      </w:r>
    </w:p>
    <w:p>
      <w:pPr>
        <w:pStyle w:val="BodyText"/>
        <w:spacing w:line="355" w:lineRule="auto" w:before="156"/>
        <w:ind w:right="1713" w:firstLine="479"/>
        <w:jc w:val="both"/>
      </w:pPr>
      <w:r>
        <w:rPr/>
        <w:t>公司所从事的行业发展趋势呈现以下特点：软件业向开发与运维并行发展快速转 型，自主开发的产品平台将成为全面提高竞争力的基础；计算机信息系统综合服务将 成为重要的收入来源；系统集成行业有向服务转型的趋势，从单纯的硬件销售导向转 为以硬件销售为基础提供全面应用服务。</w:t>
      </w:r>
    </w:p>
    <w:p>
      <w:pPr>
        <w:spacing w:after="0" w:line="355" w:lineRule="auto"/>
        <w:jc w:val="both"/>
        <w:sectPr>
          <w:footerReference w:type="even" r:id="rId38"/>
          <w:footerReference w:type="default" r:id="rId39"/>
          <w:pgSz w:w="12240" w:h="15840"/>
          <w:pgMar w:footer="987" w:header="847" w:top="1360" w:bottom="1180" w:left="1500" w:right="0"/>
          <w:pgNumType w:start="52"/>
        </w:sectPr>
      </w:pPr>
    </w:p>
    <w:p>
      <w:pPr>
        <w:pStyle w:val="BodyText"/>
        <w:spacing w:line="357" w:lineRule="auto" w:before="11"/>
        <w:ind w:right="1713" w:firstLine="479"/>
        <w:jc w:val="both"/>
      </w:pPr>
      <w:r>
        <w:rPr/>
        <w:pict>
          <v:group style="position:absolute;margin-left:80.783997pt;margin-top:1.845647pt;width:450.6pt;height:.1pt;mso-position-horizontal-relative:page;mso-position-vertical-relative:paragraph;z-index:-863896" coordorigin="1616,37" coordsize="9012,2">
            <v:shape style="position:absolute;left:1616;top:37;width:9012;height:2" coordorigin="1616,37" coordsize="9012,0" path="m1616,37l10627,37e" filled="false" stroked="true" strokeweight=".71999pt" strokecolor="#000000">
              <v:path arrowok="t"/>
            </v:shape>
            <w10:wrap type="none"/>
          </v:group>
        </w:pict>
      </w:r>
      <w:r>
        <w:rPr/>
        <w:t>根据公司所从事行业的发展趋势，为了实现公司愿景，公司在积极保持系统集成 业务竞争优势的同时，努力扩大软件业务和技术服务业务的规模，并在行业应用服务 领域和软件领域逐步加强核心竞争力，与相关系统集成业务形成良好互动。</w:t>
      </w:r>
    </w:p>
    <w:p>
      <w:pPr>
        <w:pStyle w:val="BodyText"/>
        <w:spacing w:line="350" w:lineRule="auto" w:before="154"/>
        <w:ind w:right="1506" w:firstLine="479"/>
        <w:jc w:val="left"/>
      </w:pPr>
      <w:r>
        <w:rPr/>
        <w:t>公司对客户坚守诚信，面对不断成长的客户需求</w:t>
      </w:r>
      <w:r>
        <w:rPr>
          <w:rFonts w:ascii="Calibri" w:hAnsi="Calibri" w:cs="Calibri" w:eastAsia="Calibri" w:hint="default"/>
        </w:rPr>
        <w:t>“</w:t>
      </w:r>
      <w:r>
        <w:rPr/>
        <w:t>随需而动</w:t>
      </w:r>
      <w:r>
        <w:rPr>
          <w:rFonts w:ascii="Calibri" w:hAnsi="Calibri" w:cs="Calibri" w:eastAsia="Calibri" w:hint="default"/>
        </w:rPr>
        <w:t>”</w:t>
      </w:r>
      <w:r>
        <w:rPr/>
        <w:t>，及时满足客户的产 品需求，狠抓服务质量，提高了客户忠诚度。同时公司拥有业内顶尖的各项资质，保 证了服务水平，有利于公司业务稳定发展。另外，公司还具备在人才、技术、营销网 </w:t>
      </w:r>
      <w:r>
        <w:rPr>
          <w:spacing w:val="-2"/>
        </w:rPr>
        <w:t>络和客户资源等方面的综合竞争优势，通过可靠的资信保证、完备的技术力量和科学、</w:t>
      </w:r>
      <w:r>
        <w:rPr>
          <w:spacing w:val="-92"/>
        </w:rPr>
        <w:t> </w:t>
      </w:r>
      <w:r>
        <w:rPr>
          <w:spacing w:val="-92"/>
        </w:rPr>
      </w:r>
      <w:r>
        <w:rPr/>
        <w:t>完善、有效的工程管理体系，公司在细分市场上竞争优势明显。</w:t>
      </w:r>
    </w:p>
    <w:p>
      <w:pPr>
        <w:pStyle w:val="BodyText"/>
        <w:spacing w:line="357" w:lineRule="auto" w:before="161"/>
        <w:ind w:right="1712" w:firstLine="479"/>
        <w:jc w:val="both"/>
      </w:pPr>
      <w:r>
        <w:rPr/>
        <w:t>公司坚持内生式成长与外延式发展并举的战略，一是继续以国家对信息产业的整 体发展规划为基础，以客户为中心、市场为导向、技术创新为动力，通过不断提高企 业专业服务的增值能力来保持业务规模和经营效益的持续增长，以一流的管理团队为 核心，以卓越的技术队伍和营销队伍为后盾，为行业信息化需求客户提供整体解决方 案；二是继续扩大与国内外知名软件企业的技术交流与合作，以资本市场为依托，适 时实施战略联盟、合作开发、资产重组或企业购并战略，实现低成本快速扩张。</w:t>
      </w:r>
    </w:p>
    <w:p>
      <w:pPr>
        <w:pStyle w:val="BodyText"/>
        <w:spacing w:line="240" w:lineRule="auto" w:before="154"/>
        <w:ind w:left="624" w:right="1697"/>
        <w:jc w:val="left"/>
      </w:pPr>
      <w:r>
        <w:rPr/>
        <w:t>为此，公司重点采取如下发展计划：</w:t>
      </w:r>
    </w:p>
    <w:p>
      <w:pPr>
        <w:spacing w:line="240" w:lineRule="auto" w:before="12"/>
        <w:rPr>
          <w:rFonts w:ascii="宋体" w:hAnsi="宋体" w:cs="宋体" w:eastAsia="宋体" w:hint="default"/>
          <w:sz w:val="20"/>
          <w:szCs w:val="20"/>
        </w:rPr>
      </w:pPr>
    </w:p>
    <w:p>
      <w:pPr>
        <w:pStyle w:val="BodyText"/>
        <w:spacing w:line="408" w:lineRule="auto"/>
        <w:ind w:left="624" w:right="1696"/>
        <w:jc w:val="left"/>
      </w:pPr>
      <w:r>
        <w:rPr>
          <w:rFonts w:ascii="Calibri" w:hAnsi="Calibri" w:cs="Calibri" w:eastAsia="Calibri" w:hint="default"/>
        </w:rPr>
        <w:t>1</w:t>
      </w:r>
      <w:r>
        <w:rPr/>
        <w:t>、加大高毛利业务的比重 公司主营业务中，应用软件开发、计算机服务业务具有较高毛利率，因此应用软</w:t>
      </w:r>
    </w:p>
    <w:p>
      <w:pPr>
        <w:pStyle w:val="BodyText"/>
        <w:spacing w:line="357" w:lineRule="auto"/>
        <w:ind w:right="1713"/>
        <w:jc w:val="both"/>
      </w:pPr>
      <w:r>
        <w:rPr/>
        <w:t>件业务与计算机服务业务的发展对东华软件盈利能力的提高起着至关重要的作用，未 来公司在保持计算机系统集成业务优势的同时，将重点发展应用软件开发、计算机服 务业务，提高高毛利业务的比重。公司应用软件开发和计算机服务业务的收入占总收 入的比重逐年提高，这也是公司近几年净利润增速高于营业收入增速的重要原因。公 司计划在未来将继续提升应用软件开发和计算机服务业务的收入占总收入的比重。</w:t>
      </w:r>
    </w:p>
    <w:p>
      <w:pPr>
        <w:pStyle w:val="BodyText"/>
        <w:spacing w:line="408" w:lineRule="auto" w:before="156"/>
        <w:ind w:left="624" w:right="1696"/>
        <w:jc w:val="left"/>
      </w:pPr>
      <w:r>
        <w:rPr>
          <w:rFonts w:ascii="Calibri" w:hAnsi="Calibri" w:cs="Calibri" w:eastAsia="Calibri" w:hint="default"/>
        </w:rPr>
        <w:t>2</w:t>
      </w:r>
      <w:r>
        <w:rPr/>
        <w:t>、加强业务整合 公司近年来连续收购数家以软件和服务业务为主的公司，公司未来还将继续收购</w:t>
      </w:r>
    </w:p>
    <w:p>
      <w:pPr>
        <w:pStyle w:val="BodyText"/>
        <w:spacing w:line="355" w:lineRule="auto"/>
        <w:ind w:right="1713"/>
        <w:jc w:val="both"/>
      </w:pPr>
      <w:r>
        <w:rPr/>
        <w:t>在细分行业拥有独特竞争能力或能够与公司原有业务产生协同效应的同行业公司。为 了保证收购的公司能够与公司现有业务顺利实现整合，公司拟采取以下措施：</w:t>
      </w:r>
    </w:p>
    <w:p>
      <w:pPr>
        <w:spacing w:after="0" w:line="355" w:lineRule="auto"/>
        <w:jc w:val="both"/>
        <w:sectPr>
          <w:pgSz w:w="12240" w:h="15840"/>
          <w:pgMar w:header="847" w:footer="987" w:top="1360" w:bottom="1180" w:left="1500" w:right="0"/>
        </w:sectPr>
      </w:pPr>
    </w:p>
    <w:p>
      <w:pPr>
        <w:pStyle w:val="BodyText"/>
        <w:spacing w:line="324" w:lineRule="auto" w:before="11"/>
        <w:ind w:right="1641" w:firstLine="479"/>
        <w:jc w:val="both"/>
      </w:pPr>
      <w:r>
        <w:rPr/>
        <w:pict>
          <v:group style="position:absolute;margin-left:80.783997pt;margin-top:1.845647pt;width:450.6pt;height:.1pt;mso-position-horizontal-relative:page;mso-position-vertical-relative:paragraph;z-index:-863872"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2"/>
        </w:rPr>
        <w:t>（</w:t>
      </w:r>
      <w:r>
        <w:rPr>
          <w:rFonts w:ascii="Calibri" w:hAnsi="Calibri" w:cs="Calibri" w:eastAsia="Calibri" w:hint="default"/>
          <w:spacing w:val="-2"/>
        </w:rPr>
        <w:t>1</w:t>
      </w:r>
      <w:r>
        <w:rPr>
          <w:spacing w:val="-2"/>
        </w:rPr>
        <w:t>）公司组织专门人员负责对拟收购公司进行调研，以确定收购公司的业务发展</w:t>
      </w:r>
      <w:r>
        <w:rPr/>
        <w:t> 能够与东华软件产生协同效应或提升公司整体服务能力。</w:t>
      </w:r>
    </w:p>
    <w:p>
      <w:pPr>
        <w:pStyle w:val="BodyText"/>
        <w:spacing w:line="340" w:lineRule="auto" w:before="190"/>
        <w:ind w:right="1575" w:firstLine="479"/>
        <w:jc w:val="left"/>
      </w:pPr>
      <w:r>
        <w:rPr/>
        <w:t>（</w:t>
      </w:r>
      <w:r>
        <w:rPr>
          <w:rFonts w:ascii="Calibri" w:hAnsi="Calibri" w:cs="Calibri" w:eastAsia="Calibri" w:hint="default"/>
        </w:rPr>
        <w:t>2</w:t>
      </w:r>
      <w:r>
        <w:rPr/>
        <w:t>）公司组织由高级管理人员和已收购公司高级管理人员组成的并购整合小组， 通过整体规划以保证所收购的公司业务发展和运营符合东华软件整体战略的要求，以 利于协同效应的实现。</w:t>
      </w:r>
    </w:p>
    <w:p>
      <w:pPr>
        <w:pStyle w:val="BodyText"/>
        <w:spacing w:line="410" w:lineRule="auto" w:before="170"/>
        <w:ind w:left="624" w:right="1696"/>
        <w:jc w:val="left"/>
      </w:pPr>
      <w:r>
        <w:rPr>
          <w:rFonts w:ascii="Calibri" w:hAnsi="Calibri" w:cs="Calibri" w:eastAsia="Calibri" w:hint="default"/>
        </w:rPr>
        <w:t>3</w:t>
      </w:r>
      <w:r>
        <w:rPr/>
        <w:t>、提高技术力量，完善产品体系 公司坚持吸收高素质的人才加入，同时不断提升现有员工的能力与素质。为了充</w:t>
      </w:r>
    </w:p>
    <w:p>
      <w:pPr>
        <w:pStyle w:val="BodyText"/>
        <w:spacing w:line="298" w:lineRule="exact"/>
        <w:ind w:right="0"/>
        <w:jc w:val="both"/>
      </w:pPr>
      <w:r>
        <w:rPr/>
        <w:t>分调动科研技术人员的积极性，公司建立起了一整套吸引人才、使用人才、培养人才、</w:t>
      </w:r>
    </w:p>
    <w:p>
      <w:pPr>
        <w:pStyle w:val="BodyText"/>
        <w:spacing w:line="357" w:lineRule="auto" w:before="151"/>
        <w:ind w:right="1713"/>
        <w:jc w:val="both"/>
      </w:pPr>
      <w:r>
        <w:rPr/>
        <w:t>激励人才的创新机制，在满足公司快速发展对人才需求的同时，提高了公司的技术创 新水平。</w:t>
      </w:r>
    </w:p>
    <w:p>
      <w:pPr>
        <w:pStyle w:val="BodyText"/>
        <w:spacing w:line="357" w:lineRule="auto" w:before="154"/>
        <w:ind w:right="1711" w:firstLine="482"/>
        <w:jc w:val="both"/>
      </w:pPr>
      <w:r>
        <w:rPr/>
        <w:t>未来公司将继续加强科技创新和产品研发，在现有业务的基础上，根据行业用户 的需求变化情况，提高行业应用软件的开发水平；加大研发投入力度，跟踪当前最新 技术，并坚持相关技术和产品在行业应用的研究，完善公司的软件产品体系。</w:t>
      </w:r>
    </w:p>
    <w:p>
      <w:pPr>
        <w:spacing w:line="240" w:lineRule="auto" w:before="3"/>
        <w:rPr>
          <w:rFonts w:ascii="宋体" w:hAnsi="宋体" w:cs="宋体" w:eastAsia="宋体" w:hint="default"/>
          <w:sz w:val="27"/>
          <w:szCs w:val="27"/>
        </w:rPr>
      </w:pPr>
    </w:p>
    <w:p>
      <w:pPr>
        <w:pStyle w:val="Heading4"/>
        <w:spacing w:line="240" w:lineRule="auto"/>
        <w:ind w:right="0"/>
        <w:jc w:val="both"/>
        <w:rPr>
          <w:b w:val="0"/>
          <w:bCs w:val="0"/>
        </w:rPr>
      </w:pPr>
      <w:r>
        <w:rPr>
          <w:rFonts w:ascii="Calibri" w:hAnsi="Calibri" w:cs="Calibri" w:eastAsia="Calibri" w:hint="default"/>
        </w:rPr>
        <w:t>3</w:t>
      </w:r>
      <w:r>
        <w:rPr/>
        <w:t>、公司新年度经营计划</w:t>
      </w:r>
      <w:r>
        <w:rPr>
          <w:b w:val="0"/>
          <w:bCs w:val="0"/>
        </w:rPr>
      </w:r>
    </w:p>
    <w:p>
      <w:pPr>
        <w:pStyle w:val="BodyText"/>
        <w:spacing w:line="345" w:lineRule="auto" w:before="94"/>
        <w:ind w:right="1714" w:firstLine="482"/>
        <w:jc w:val="both"/>
      </w:pPr>
      <w:r>
        <w:rPr/>
        <w:t>公司在</w:t>
      </w:r>
      <w:r>
        <w:rPr>
          <w:spacing w:val="-62"/>
        </w:rPr>
        <w:t> </w:t>
      </w:r>
      <w:r>
        <w:rPr>
          <w:rFonts w:ascii="Calibri" w:hAnsi="Calibri" w:cs="Calibri" w:eastAsia="Calibri" w:hint="default"/>
        </w:rPr>
        <w:t>2011</w:t>
      </w:r>
      <w:r>
        <w:rPr>
          <w:rFonts w:ascii="Calibri" w:hAnsi="Calibri" w:cs="Calibri" w:eastAsia="Calibri" w:hint="default"/>
          <w:spacing w:val="4"/>
        </w:rPr>
        <w:t> </w:t>
      </w:r>
      <w:r>
        <w:rPr/>
        <w:t>年实现了业绩的稳定增长，</w:t>
      </w:r>
      <w:r>
        <w:rPr>
          <w:rFonts w:ascii="Calibri" w:hAnsi="Calibri" w:cs="Calibri" w:eastAsia="Calibri" w:hint="default"/>
        </w:rPr>
        <w:t>2012</w:t>
      </w:r>
      <w:r>
        <w:rPr>
          <w:rFonts w:ascii="Calibri" w:hAnsi="Calibri" w:cs="Calibri" w:eastAsia="Calibri" w:hint="default"/>
          <w:spacing w:val="4"/>
        </w:rPr>
        <w:t> </w:t>
      </w:r>
      <w:r>
        <w:rPr/>
        <w:t>年，公司将继续围绕企业的发展战 略，坚定不移的坚持发展主业，以拥有自主知识产权的软件产品和领先的系统集成技 术以及全方位的信息服务来提高公司的盈利能力和盈利水平，保持在主要行业细分市 场的领先地位的同时，不断拓展新的市场，以实现持续稳定的发展。</w:t>
      </w:r>
    </w:p>
    <w:p>
      <w:pPr>
        <w:pStyle w:val="BodyText"/>
        <w:spacing w:line="408" w:lineRule="auto" w:before="168"/>
        <w:ind w:left="626" w:right="1694"/>
        <w:jc w:val="left"/>
      </w:pPr>
      <w:r>
        <w:rPr/>
        <w:t>（</w:t>
      </w:r>
      <w:r>
        <w:rPr>
          <w:rFonts w:ascii="Calibri" w:hAnsi="Calibri" w:cs="Calibri" w:eastAsia="Calibri" w:hint="default"/>
        </w:rPr>
        <w:t>1</w:t>
      </w:r>
      <w:r>
        <w:rPr/>
        <w:t>）坚定不移地坚持主业，即软件开发和系统集成 以拥有自主知识产权的软件产品和领先的系统集成技术以及全方位的信息服务来</w:t>
      </w:r>
    </w:p>
    <w:p>
      <w:pPr>
        <w:pStyle w:val="BodyText"/>
        <w:spacing w:line="340" w:lineRule="auto"/>
        <w:ind w:right="1640"/>
        <w:jc w:val="both"/>
      </w:pPr>
      <w:r>
        <w:rPr/>
        <w:t>提高公司的盈利能力和盈利水平，保持在主要行业细分市场（如医疗、金融、能源、 农产品等）及行业细分产品（如流量分析、流量控制、</w:t>
      </w:r>
      <w:r>
        <w:rPr>
          <w:rFonts w:ascii="Calibri" w:hAnsi="Calibri" w:cs="Calibri" w:eastAsia="Calibri" w:hint="default"/>
        </w:rPr>
        <w:t>ITSM</w:t>
      </w:r>
      <w:r>
        <w:rPr>
          <w:rFonts w:ascii="Calibri" w:hAnsi="Calibri" w:cs="Calibri" w:eastAsia="Calibri" w:hint="default"/>
          <w:spacing w:val="4"/>
        </w:rPr>
        <w:t> </w:t>
      </w:r>
      <w:r>
        <w:rPr/>
        <w:t>及全面预算软件等）的领 先地位。</w:t>
      </w:r>
    </w:p>
    <w:p>
      <w:pPr>
        <w:pStyle w:val="BodyText"/>
        <w:spacing w:line="240" w:lineRule="auto" w:before="170"/>
        <w:ind w:left="626" w:right="1697"/>
        <w:jc w:val="left"/>
      </w:pPr>
      <w:r>
        <w:rPr/>
        <w:t>（</w:t>
      </w:r>
      <w:r>
        <w:rPr>
          <w:rFonts w:ascii="Calibri" w:hAnsi="Calibri" w:cs="Calibri" w:eastAsia="Calibri" w:hint="default"/>
        </w:rPr>
        <w:t>2</w:t>
      </w:r>
      <w:r>
        <w:rPr/>
        <w:t>）专业化，加大产品化力度</w:t>
      </w:r>
    </w:p>
    <w:p>
      <w:pPr>
        <w:spacing w:after="0" w:line="240" w:lineRule="auto"/>
        <w:jc w:val="left"/>
        <w:sectPr>
          <w:pgSz w:w="12240" w:h="15840"/>
          <w:pgMar w:header="847" w:footer="987" w:top="1360" w:bottom="1180" w:left="1500" w:right="0"/>
        </w:sectPr>
      </w:pPr>
    </w:p>
    <w:p>
      <w:pPr>
        <w:pStyle w:val="BodyText"/>
        <w:spacing w:line="357" w:lineRule="auto" w:before="11"/>
        <w:ind w:right="1510" w:firstLine="482"/>
        <w:jc w:val="left"/>
      </w:pPr>
      <w:r>
        <w:rPr/>
        <w:pict>
          <v:group style="position:absolute;margin-left:80.783997pt;margin-top:1.845647pt;width:450.6pt;height:.1pt;mso-position-horizontal-relative:page;mso-position-vertical-relative:paragraph;z-index:-863848" coordorigin="1616,37" coordsize="9012,2">
            <v:shape style="position:absolute;left:1616;top:37;width:9012;height:2" coordorigin="1616,37" coordsize="9012,0" path="m1616,37l10627,37e" filled="false" stroked="true" strokeweight=".71999pt" strokecolor="#000000">
              <v:path arrowok="t"/>
            </v:shape>
            <w10:wrap type="none"/>
          </v:group>
        </w:pict>
      </w:r>
      <w:r>
        <w:rPr/>
        <w:t>加强科技创新和产品研发，在主要业务领域打造出</w:t>
      </w:r>
      <w:r>
        <w:rPr>
          <w:spacing w:val="-59"/>
        </w:rPr>
        <w:t> </w:t>
      </w:r>
      <w:r>
        <w:rPr>
          <w:rFonts w:ascii="宋体" w:hAnsi="宋体" w:cs="宋体" w:eastAsia="宋体" w:hint="default"/>
        </w:rPr>
        <w:t>1-3</w:t>
      </w:r>
      <w:r>
        <w:rPr>
          <w:rFonts w:ascii="宋体" w:hAnsi="宋体" w:cs="宋体" w:eastAsia="宋体" w:hint="default"/>
          <w:spacing w:val="-60"/>
        </w:rPr>
        <w:t> </w:t>
      </w:r>
      <w:r>
        <w:rPr/>
        <w:t>个系列的拳头产品，如基 </w:t>
      </w:r>
      <w:r>
        <w:rPr>
          <w:spacing w:val="-6"/>
        </w:rPr>
        <w:t>于多核技术的流量分析、流量控制、上网行为管理、负载均衡、高端防火墙及 </w:t>
      </w:r>
      <w:r>
        <w:rPr>
          <w:rFonts w:ascii="宋体" w:hAnsi="宋体" w:cs="宋体" w:eastAsia="宋体" w:hint="default"/>
        </w:rPr>
        <w:t>ITSM</w:t>
      </w:r>
      <w:r>
        <w:rPr>
          <w:rFonts w:ascii="宋体" w:hAnsi="宋体" w:cs="宋体" w:eastAsia="宋体" w:hint="default"/>
          <w:spacing w:val="-84"/>
        </w:rPr>
        <w:t> </w:t>
      </w:r>
      <w:r>
        <w:rPr/>
        <w:t>等； 同时在现有业务的基础上，根据行业用户的需求变化情况，利用世界先进技术，加快 数字化医疗解决方案、区域协同医疗、农村合作医疗、农产品流通领域数字平台、银 行会计系统、基于影像系统的流程银行全面预算管理系统、房地产管理系统、企业门 户系统、企业生产指挥系统（</w:t>
      </w:r>
      <w:r>
        <w:rPr>
          <w:rFonts w:ascii="宋体" w:hAnsi="宋体" w:cs="宋体" w:eastAsia="宋体" w:hint="default"/>
        </w:rPr>
        <w:t>MES</w:t>
      </w:r>
      <w:r>
        <w:rPr/>
        <w:t>）等软件产品的研发和升级工作，提高行业应用软件 的开发水平。</w:t>
      </w:r>
    </w:p>
    <w:p>
      <w:pPr>
        <w:pStyle w:val="BodyText"/>
        <w:spacing w:line="355" w:lineRule="auto" w:before="157"/>
        <w:ind w:right="1639" w:firstLine="482"/>
        <w:jc w:val="both"/>
      </w:pPr>
      <w:r>
        <w:rPr>
          <w:spacing w:val="-5"/>
        </w:rPr>
        <w:t>加大研发投入力度，跟踪当前最新技术，加快“云中心”特别是“健康云”和“金</w:t>
      </w:r>
      <w:r>
        <w:rPr/>
        <w:t> 融云”的安全性、易用性研究，保持公司在此领域的国内领先地位。</w:t>
      </w:r>
    </w:p>
    <w:p>
      <w:pPr>
        <w:pStyle w:val="BodyText"/>
        <w:spacing w:line="357" w:lineRule="auto" w:before="158"/>
        <w:ind w:right="1711" w:firstLine="482"/>
        <w:jc w:val="both"/>
      </w:pPr>
      <w:r>
        <w:rPr/>
        <w:t>继续加大“智慧城市”和“物联网”相关技术和产品在行业应用的研究，特别是 在区域协同医疗、社区医疗服务、企业集团资产管理、农产品溯源、智能电网等领域 的研究，尽快推出相关行业应用产品和解决方案，并扩大市场占有率。</w:t>
      </w:r>
    </w:p>
    <w:p>
      <w:pPr>
        <w:pStyle w:val="BodyText"/>
        <w:spacing w:line="410" w:lineRule="auto" w:before="154"/>
        <w:ind w:left="626" w:right="1694"/>
        <w:jc w:val="left"/>
      </w:pPr>
      <w:r>
        <w:rPr/>
        <w:t>（</w:t>
      </w:r>
      <w:r>
        <w:rPr>
          <w:rFonts w:ascii="Calibri" w:hAnsi="Calibri" w:cs="Calibri" w:eastAsia="Calibri" w:hint="default"/>
        </w:rPr>
        <w:t>3</w:t>
      </w:r>
      <w:r>
        <w:rPr/>
        <w:t>）继续深耕行业市场，做大做强优势项目 金融保险行业：继续扩大在国有银行等老客户的市场份额，同时加大对政策性银</w:t>
      </w:r>
    </w:p>
    <w:p>
      <w:pPr>
        <w:pStyle w:val="BodyText"/>
        <w:spacing w:line="296" w:lineRule="exact"/>
        <w:ind w:right="0"/>
        <w:jc w:val="both"/>
      </w:pPr>
      <w:r>
        <w:rPr/>
        <w:t>行的开拓力度；把公司的新一代银行财务管理系统等软件推广到农村信用社、城市商</w:t>
      </w:r>
    </w:p>
    <w:p>
      <w:pPr>
        <w:pStyle w:val="BodyText"/>
        <w:spacing w:line="357" w:lineRule="auto" w:before="154"/>
        <w:ind w:right="1712"/>
        <w:jc w:val="both"/>
      </w:pPr>
      <w:r>
        <w:rPr/>
        <w:t>业银行以及股份制商业银行；在扩大中国人寿、太平洋保险、中华联合保险等老客户 的同时，加大在中国人保、新华人寿、华泰保险等客户的市场开拓及产品研发力度， 争取更多商机。</w:t>
      </w:r>
    </w:p>
    <w:p>
      <w:pPr>
        <w:pStyle w:val="BodyText"/>
        <w:spacing w:line="357" w:lineRule="auto" w:before="154"/>
        <w:ind w:right="1710" w:firstLine="482"/>
        <w:jc w:val="both"/>
      </w:pPr>
      <w:r>
        <w:rPr/>
        <w:t>电力行业：对国家电网、南方电网、中电投、大唐电力、华能、华电、国电电力 等老客户，在前期项目进展成功的基础上，推广公司的其他产品及第三方产品；同时 加强地方发电企业及各种所有制电力企业的市场开拓力度。</w:t>
      </w:r>
    </w:p>
    <w:p>
      <w:pPr>
        <w:pStyle w:val="BodyText"/>
        <w:spacing w:line="357" w:lineRule="auto" w:before="157"/>
        <w:ind w:right="1711" w:firstLine="482"/>
        <w:jc w:val="both"/>
      </w:pPr>
      <w:r>
        <w:rPr/>
        <w:t>通信行业：继续扩大在电信、移动、联通等电信运营商集中采购的占有率，同时 软件产品的推广力度；大力拓展在广电行业的市场，把在青岛广电、黑龙江广电的项 目经验推广到其他广电市场，并加大自主品牌产品</w:t>
      </w:r>
      <w:r>
        <w:rPr>
          <w:spacing w:val="-61"/>
        </w:rPr>
        <w:t> </w:t>
      </w:r>
      <w:r>
        <w:rPr>
          <w:rFonts w:ascii="Calibri" w:hAnsi="Calibri" w:cs="Calibri" w:eastAsia="Calibri" w:hint="default"/>
        </w:rPr>
        <w:t>EOC</w:t>
      </w:r>
      <w:r>
        <w:rPr>
          <w:rFonts w:ascii="Calibri" w:hAnsi="Calibri" w:cs="Calibri" w:eastAsia="Calibri" w:hint="default"/>
          <w:spacing w:val="4"/>
        </w:rPr>
        <w:t> </w:t>
      </w:r>
      <w:r>
        <w:rPr/>
        <w:t>的研发力度。</w:t>
      </w:r>
    </w:p>
    <w:p>
      <w:pPr>
        <w:pStyle w:val="BodyText"/>
        <w:spacing w:line="355" w:lineRule="auto" w:before="99"/>
        <w:ind w:right="1637" w:firstLine="482"/>
        <w:jc w:val="both"/>
      </w:pPr>
      <w:r>
        <w:rPr/>
        <w:t>交通运输行业：继续扩大在铁道部、国航、中航信、中航油等优质客户中的市场 份额，同时在高速铁路、高速公路、地铁及各省交通厅系统开拓新客户。利用</w:t>
      </w:r>
      <w:r>
        <w:rPr>
          <w:spacing w:val="-89"/>
        </w:rPr>
        <w:t> </w:t>
      </w:r>
      <w:r>
        <w:rPr>
          <w:rFonts w:ascii="Calibri" w:hAnsi="Calibri" w:cs="Calibri" w:eastAsia="Calibri" w:hint="default"/>
        </w:rPr>
        <w:t>2012</w:t>
      </w:r>
      <w:r>
        <w:rPr>
          <w:rFonts w:ascii="Calibri" w:hAnsi="Calibri" w:cs="Calibri" w:eastAsia="Calibri" w:hint="default"/>
          <w:spacing w:val="-23"/>
        </w:rPr>
        <w:t> </w:t>
      </w:r>
      <w:r>
        <w:rPr/>
        <w:t>年</w:t>
      </w:r>
    </w:p>
    <w:p>
      <w:pPr>
        <w:spacing w:after="0" w:line="355" w:lineRule="auto"/>
        <w:jc w:val="both"/>
        <w:sectPr>
          <w:pgSz w:w="12240" w:h="15840"/>
          <w:pgMar w:header="847" w:footer="987" w:top="1360" w:bottom="1180" w:left="1500" w:right="0"/>
        </w:sectPr>
      </w:pPr>
    </w:p>
    <w:p>
      <w:pPr>
        <w:pStyle w:val="BodyText"/>
        <w:spacing w:line="357" w:lineRule="auto" w:before="11"/>
        <w:ind w:right="1714"/>
        <w:jc w:val="both"/>
      </w:pPr>
      <w:r>
        <w:rPr/>
        <w:pict>
          <v:group style="position:absolute;margin-left:80.783997pt;margin-top:1.845647pt;width:450.6pt;height:.1pt;mso-position-horizontal-relative:page;mso-position-vertical-relative:paragraph;z-index:-863824" coordorigin="1616,37" coordsize="9012,2">
            <v:shape style="position:absolute;left:1616;top:37;width:9012;height:2" coordorigin="1616,37" coordsize="9012,0" path="m1616,37l10627,37e" filled="false" stroked="true" strokeweight=".71999pt" strokecolor="#000000">
              <v:path arrowok="t"/>
            </v:shape>
            <w10:wrap type="none"/>
          </v:group>
        </w:pict>
      </w:r>
      <w:r>
        <w:rPr/>
        <w:t>初中标北京交通委“极端天气道路交通保畅物联网综合应用平台开发项目”的契机， 加快云技术及物联网技术在交通行业的应用研究、并将优秀的产品及解决方案推广到 全国各主要城市。</w:t>
      </w:r>
    </w:p>
    <w:p>
      <w:pPr>
        <w:pStyle w:val="BodyText"/>
        <w:spacing w:line="336" w:lineRule="auto" w:before="154"/>
        <w:ind w:right="1645" w:firstLine="482"/>
        <w:jc w:val="both"/>
      </w:pPr>
      <w:r>
        <w:rPr/>
        <w:t>医疗行业：扩大业务覆盖范围，在保持全国最大前</w:t>
      </w:r>
      <w:r>
        <w:rPr>
          <w:spacing w:val="-60"/>
        </w:rPr>
        <w:t> </w:t>
      </w:r>
      <w:r>
        <w:rPr>
          <w:rFonts w:ascii="Calibri" w:hAnsi="Calibri" w:cs="Calibri" w:eastAsia="Calibri" w:hint="default"/>
        </w:rPr>
        <w:t>100</w:t>
      </w:r>
      <w:r>
        <w:rPr>
          <w:rFonts w:ascii="Calibri" w:hAnsi="Calibri" w:cs="Calibri" w:eastAsia="Calibri" w:hint="default"/>
          <w:spacing w:val="5"/>
        </w:rPr>
        <w:t> </w:t>
      </w:r>
      <w:r>
        <w:rPr/>
        <w:t>名甲级医院市场占有率最 高的前提下，争取在社区医疗及新农村合作医疗软件市场争取更大的份额，同时积极 参与卫生部“</w:t>
      </w:r>
      <w:r>
        <w:rPr>
          <w:rFonts w:ascii="Calibri" w:hAnsi="Calibri" w:cs="Calibri" w:eastAsia="Calibri" w:hint="default"/>
        </w:rPr>
        <w:t>3521</w:t>
      </w:r>
      <w:r>
        <w:rPr>
          <w:rFonts w:ascii="Calibri" w:hAnsi="Calibri" w:cs="Calibri" w:eastAsia="Calibri" w:hint="default"/>
          <w:spacing w:val="3"/>
        </w:rPr>
        <w:t> </w:t>
      </w:r>
      <w:r>
        <w:rPr/>
        <w:t>工程”、公立医院改革、县级医院能力建设等相关的软件及系统集 成项目。</w:t>
      </w:r>
    </w:p>
    <w:p>
      <w:pPr>
        <w:pStyle w:val="BodyText"/>
        <w:spacing w:line="357" w:lineRule="auto" w:before="178"/>
        <w:ind w:right="1711" w:firstLine="482"/>
        <w:jc w:val="both"/>
      </w:pPr>
      <w:r>
        <w:rPr/>
        <w:t>政府：继续在“智慧城市”、水利部应急中心、“平安城市”、国税、财政等政 府项目中扩大份额，推广软件产品在国家气象局、测绘局等部门的应用，继续保持公 司软件在气象局软件采购中占有率第一，积极参与山洪预警等国家重点项目。</w:t>
      </w:r>
    </w:p>
    <w:p>
      <w:pPr>
        <w:pStyle w:val="BodyText"/>
        <w:spacing w:line="324" w:lineRule="auto" w:before="154"/>
        <w:ind w:right="1677" w:firstLine="482"/>
        <w:jc w:val="left"/>
      </w:pPr>
      <w:r>
        <w:rPr/>
        <w:t>制造业：加强与美国</w:t>
      </w:r>
      <w:r>
        <w:rPr>
          <w:spacing w:val="-61"/>
        </w:rPr>
        <w:t> </w:t>
      </w:r>
      <w:r>
        <w:rPr>
          <w:rFonts w:ascii="Calibri" w:hAnsi="Calibri" w:cs="Calibri" w:eastAsia="Calibri" w:hint="default"/>
        </w:rPr>
        <w:t>Epicor</w:t>
      </w:r>
      <w:r>
        <w:rPr>
          <w:rFonts w:ascii="Calibri" w:hAnsi="Calibri" w:cs="Calibri" w:eastAsia="Calibri" w:hint="default"/>
          <w:spacing w:val="5"/>
        </w:rPr>
        <w:t> </w:t>
      </w:r>
      <w:r>
        <w:rPr/>
        <w:t>公司在终端</w:t>
      </w:r>
      <w:r>
        <w:rPr>
          <w:spacing w:val="-61"/>
        </w:rPr>
        <w:t> </w:t>
      </w:r>
      <w:r>
        <w:rPr>
          <w:rFonts w:ascii="Calibri" w:hAnsi="Calibri" w:cs="Calibri" w:eastAsia="Calibri" w:hint="default"/>
        </w:rPr>
        <w:t>ERP</w:t>
      </w:r>
      <w:r>
        <w:rPr>
          <w:rFonts w:ascii="Calibri" w:hAnsi="Calibri" w:cs="Calibri" w:eastAsia="Calibri" w:hint="default"/>
          <w:spacing w:val="3"/>
        </w:rPr>
        <w:t> </w:t>
      </w:r>
      <w:r>
        <w:rPr/>
        <w:t>产品的研发及市场推广、实施服务等 方面的全面合作；在全国央企、地方国企及上市公司中大力推广</w:t>
      </w:r>
      <w:r>
        <w:rPr>
          <w:spacing w:val="-61"/>
        </w:rPr>
        <w:t> </w:t>
      </w:r>
      <w:r>
        <w:rPr>
          <w:rFonts w:ascii="Calibri" w:hAnsi="Calibri" w:cs="Calibri" w:eastAsia="Calibri" w:hint="default"/>
        </w:rPr>
        <w:t>ERP+</w:t>
      </w:r>
      <w:r>
        <w:rPr/>
        <w:t>全面预算</w:t>
      </w:r>
      <w:r>
        <w:rPr>
          <w:rFonts w:ascii="Calibri" w:hAnsi="Calibri" w:cs="Calibri" w:eastAsia="Calibri" w:hint="default"/>
        </w:rPr>
        <w:t>+EMS </w:t>
      </w:r>
      <w:r>
        <w:rPr/>
        <w:t>的解决方案。</w:t>
      </w:r>
    </w:p>
    <w:p>
      <w:pPr>
        <w:pStyle w:val="BodyText"/>
        <w:spacing w:line="355" w:lineRule="auto" w:before="190"/>
        <w:ind w:right="1709" w:firstLine="482"/>
        <w:jc w:val="both"/>
      </w:pPr>
      <w:r>
        <w:rPr/>
        <w:t>石油石化行业：继续扩大在中石油、中石化、中海油三大国有石油企业及延长油 田的市场份额，并进一步完善与其相关的应用软件的功能。</w:t>
      </w:r>
    </w:p>
    <w:p>
      <w:pPr>
        <w:pStyle w:val="BodyText"/>
        <w:spacing w:line="357" w:lineRule="auto" w:before="158"/>
        <w:ind w:right="1711" w:firstLine="482"/>
        <w:jc w:val="both"/>
      </w:pPr>
      <w:r>
        <w:rPr/>
        <w:t>煤炭行业：以山东能源集团及下属新汶矿业公司的矿级应用平台、局级应用平台 等一体化软件为样板，大力推广到神华宁煤、淮北矿业、山西潞安等多个煤业公司。 同时，继续完善综合自动化系统及矿用以太网交换机的产品性能、可靠性及稳定性， 并启动矿用</w:t>
      </w:r>
      <w:r>
        <w:rPr>
          <w:spacing w:val="-61"/>
        </w:rPr>
        <w:t> </w:t>
      </w:r>
      <w:r>
        <w:rPr>
          <w:rFonts w:ascii="Calibri" w:hAnsi="Calibri" w:cs="Calibri" w:eastAsia="Calibri" w:hint="default"/>
        </w:rPr>
        <w:t>3G</w:t>
      </w:r>
      <w:r>
        <w:rPr>
          <w:rFonts w:ascii="Calibri" w:hAnsi="Calibri" w:cs="Calibri" w:eastAsia="Calibri" w:hint="default"/>
          <w:spacing w:val="5"/>
        </w:rPr>
        <w:t> </w:t>
      </w:r>
      <w:r>
        <w:rPr/>
        <w:t>等无线新技术、新产品的研发。</w:t>
      </w:r>
    </w:p>
    <w:p>
      <w:pPr>
        <w:pStyle w:val="BodyText"/>
        <w:spacing w:line="336" w:lineRule="auto" w:before="99"/>
        <w:ind w:right="1642" w:firstLine="482"/>
        <w:jc w:val="both"/>
      </w:pPr>
      <w:r>
        <w:rPr/>
        <w:t>房地产行业：随着政府对房地产市场的调控，各城市房管部门对信息系统的要求 </w:t>
      </w:r>
      <w:r>
        <w:rPr>
          <w:spacing w:val="-4"/>
        </w:rPr>
        <w:t>愈来愈高。公司</w:t>
      </w:r>
      <w:r>
        <w:rPr>
          <w:spacing w:val="-74"/>
        </w:rPr>
        <w:t> </w:t>
      </w:r>
      <w:r>
        <w:rPr>
          <w:rFonts w:ascii="Calibri" w:hAnsi="Calibri" w:cs="Calibri" w:eastAsia="Calibri" w:hint="default"/>
        </w:rPr>
        <w:t>2011</w:t>
      </w:r>
      <w:r>
        <w:rPr>
          <w:rFonts w:ascii="Calibri" w:hAnsi="Calibri" w:cs="Calibri" w:eastAsia="Calibri" w:hint="default"/>
          <w:spacing w:val="-9"/>
        </w:rPr>
        <w:t> </w:t>
      </w:r>
      <w:r>
        <w:rPr/>
        <w:t>年新成立了房产管理软件事业部，以加强住房管理软件的研发和 市场推广，</w:t>
      </w:r>
      <w:r>
        <w:rPr>
          <w:rFonts w:ascii="Calibri" w:hAnsi="Calibri" w:cs="Calibri" w:eastAsia="Calibri" w:hint="default"/>
        </w:rPr>
        <w:t>2012</w:t>
      </w:r>
      <w:r>
        <w:rPr>
          <w:rFonts w:ascii="Calibri" w:hAnsi="Calibri" w:cs="Calibri" w:eastAsia="Calibri" w:hint="default"/>
          <w:spacing w:val="2"/>
        </w:rPr>
        <w:t> </w:t>
      </w:r>
      <w:r>
        <w:rPr/>
        <w:t>年重点跟踪广州、大连、济南、南京、银川、乌鲁木齐等十几个城市 的相关软件项目。</w:t>
      </w:r>
    </w:p>
    <w:p>
      <w:pPr>
        <w:pStyle w:val="BodyText"/>
        <w:spacing w:line="357" w:lineRule="auto" w:before="175"/>
        <w:ind w:right="1711" w:firstLine="482"/>
        <w:jc w:val="both"/>
      </w:pPr>
      <w:r>
        <w:rPr/>
        <w:t>农产品与物流行业：继续做好国家发改委农产品市场专项，扩大产品功能及市场 占有率，同时，从政府和企业两端入手，加大“农产品物联网溯源系统”的研发及市 场推广力度。</w:t>
      </w:r>
    </w:p>
    <w:p>
      <w:pPr>
        <w:spacing w:after="0" w:line="357" w:lineRule="auto"/>
        <w:jc w:val="both"/>
        <w:sectPr>
          <w:pgSz w:w="12240" w:h="15840"/>
          <w:pgMar w:header="847" w:footer="987" w:top="1360" w:bottom="1180" w:left="1500" w:right="0"/>
        </w:sectPr>
      </w:pPr>
    </w:p>
    <w:p>
      <w:pPr>
        <w:pStyle w:val="BodyText"/>
        <w:spacing w:line="408" w:lineRule="auto" w:before="11"/>
        <w:ind w:left="626" w:right="1694"/>
        <w:jc w:val="left"/>
      </w:pPr>
      <w:r>
        <w:rPr/>
        <w:pict>
          <v:group style="position:absolute;margin-left:80.783997pt;margin-top:1.845647pt;width:450.6pt;height:.1pt;mso-position-horizontal-relative:page;mso-position-vertical-relative:paragraph;z-index:-863800" coordorigin="1616,37" coordsize="9012,2">
            <v:shape style="position:absolute;left:1616;top:37;width:9012;height:2" coordorigin="1616,37" coordsize="9012,0" path="m1616,37l10627,37e" filled="false" stroked="true" strokeweight=".71999pt" strokecolor="#000000">
              <v:path arrowok="t"/>
            </v:shape>
            <w10:wrap type="none"/>
          </v:group>
        </w:pict>
      </w:r>
      <w:r>
        <w:rPr/>
        <w:t>（</w:t>
      </w:r>
      <w:r>
        <w:rPr>
          <w:rFonts w:ascii="Calibri" w:hAnsi="Calibri" w:cs="Calibri" w:eastAsia="Calibri" w:hint="default"/>
        </w:rPr>
        <w:t>4</w:t>
      </w:r>
      <w:r>
        <w:rPr/>
        <w:t>）跟踪新技术，研发新产品 公司紧跟行业热点的发展，在云计算领域进行了云中心建设、云安全、云应用的</w:t>
      </w:r>
    </w:p>
    <w:p>
      <w:pPr>
        <w:pStyle w:val="BodyText"/>
        <w:spacing w:line="357" w:lineRule="auto"/>
        <w:ind w:right="1506"/>
        <w:jc w:val="left"/>
      </w:pPr>
      <w:r>
        <w:rPr/>
        <w:t>研究；在物联网领域重点研发了交通、农产品溯源、电力和医疗行业的应用。随着研 发和投入的加大，公司在上述领域已初有成效，成功签约北京交通委“极端天气道路 </w:t>
      </w:r>
      <w:r>
        <w:rPr>
          <w:spacing w:val="-8"/>
        </w:rPr>
        <w:t>交通保畅物联网应用平台开发项目”及吉林联通“基于物联网技术的农产品溯源系统”，</w:t>
      </w:r>
      <w:r>
        <w:rPr>
          <w:spacing w:val="-96"/>
        </w:rPr>
        <w:t> </w:t>
      </w:r>
      <w:r>
        <w:rPr>
          <w:spacing w:val="-96"/>
        </w:rPr>
      </w:r>
      <w:r>
        <w:rPr/>
        <w:t>在金融云应用方面已有</w:t>
      </w:r>
      <w:r>
        <w:rPr>
          <w:spacing w:val="-62"/>
        </w:rPr>
        <w:t> </w:t>
      </w:r>
      <w:r>
        <w:rPr>
          <w:rFonts w:ascii="Calibri" w:hAnsi="Calibri" w:cs="Calibri" w:eastAsia="Calibri" w:hint="default"/>
        </w:rPr>
        <w:t>10</w:t>
      </w:r>
      <w:r>
        <w:rPr>
          <w:rFonts w:ascii="Calibri" w:hAnsi="Calibri" w:cs="Calibri" w:eastAsia="Calibri" w:hint="default"/>
          <w:spacing w:val="4"/>
        </w:rPr>
        <w:t> </w:t>
      </w:r>
      <w:r>
        <w:rPr/>
        <w:t>多家村镇银行使用东华金融云服务。</w:t>
      </w:r>
    </w:p>
    <w:p>
      <w:pPr>
        <w:pStyle w:val="BodyText"/>
        <w:spacing w:line="345" w:lineRule="auto" w:before="99"/>
        <w:ind w:right="1641" w:firstLine="482"/>
        <w:jc w:val="both"/>
      </w:pPr>
      <w:r>
        <w:rPr>
          <w:rFonts w:ascii="Calibri" w:hAnsi="Calibri" w:cs="Calibri" w:eastAsia="Calibri" w:hint="default"/>
        </w:rPr>
        <w:t>2012</w:t>
      </w:r>
      <w:r>
        <w:rPr>
          <w:rFonts w:ascii="Calibri" w:hAnsi="Calibri" w:cs="Calibri" w:eastAsia="Calibri" w:hint="default"/>
          <w:spacing w:val="33"/>
        </w:rPr>
        <w:t> </w:t>
      </w:r>
      <w:r>
        <w:rPr>
          <w:spacing w:val="-8"/>
        </w:rPr>
        <w:t>年公司将加大产品研发和市场推广力度，一方面提高公司在“金融云”及“医</w:t>
      </w:r>
      <w:r>
        <w:rPr/>
        <w:t> 疗云”领域的技术应用水平，扩大客户群；另一方面，争取在电力、通信、港口等行 业实现突破；另外，进一步完善云计算及物联网技术在交通行业和农产品溯源方面的 解决方案，并大力拓展相关市场。</w:t>
      </w:r>
    </w:p>
    <w:p>
      <w:pPr>
        <w:pStyle w:val="BodyText"/>
        <w:spacing w:line="410" w:lineRule="auto" w:before="166"/>
        <w:ind w:left="626" w:right="1694"/>
        <w:jc w:val="left"/>
      </w:pPr>
      <w:r>
        <w:rPr/>
        <w:t>（</w:t>
      </w:r>
      <w:r>
        <w:rPr>
          <w:rFonts w:ascii="Calibri" w:hAnsi="Calibri" w:cs="Calibri" w:eastAsia="Calibri" w:hint="default"/>
        </w:rPr>
        <w:t>5</w:t>
      </w:r>
      <w:r>
        <w:rPr/>
        <w:t>）加强队伍建设，提高全员能力 公司坚持以事业留人、以感情留人等多种渠道并举的人才政策，通过不断健全组</w:t>
      </w:r>
    </w:p>
    <w:p>
      <w:pPr>
        <w:pStyle w:val="BodyText"/>
        <w:spacing w:line="295" w:lineRule="exact"/>
        <w:ind w:right="1557"/>
        <w:jc w:val="left"/>
      </w:pPr>
      <w:r>
        <w:rPr/>
        <w:t>织管理制度，为员工营造良好的工作氛围和创造了发展机遇，将员工个人的职业规划</w:t>
      </w:r>
    </w:p>
    <w:p>
      <w:pPr>
        <w:pStyle w:val="BodyText"/>
        <w:spacing w:line="348" w:lineRule="auto" w:before="154"/>
        <w:ind w:right="1509"/>
        <w:jc w:val="left"/>
      </w:pPr>
      <w:r>
        <w:rPr/>
        <w:t>与公司的发展结合在一起：营造良好的企业文化氛围，在经营中充分相信员工、为员 </w:t>
      </w:r>
      <w:r>
        <w:rPr>
          <w:spacing w:val="-4"/>
        </w:rPr>
        <w:t>工搭建施展其才华的平台；重视对员工的职业教育，公司将 </w:t>
      </w:r>
      <w:r>
        <w:rPr>
          <w:rFonts w:ascii="Calibri" w:hAnsi="Calibri" w:cs="Calibri" w:eastAsia="Calibri" w:hint="default"/>
        </w:rPr>
        <w:t>2012</w:t>
      </w:r>
      <w:r>
        <w:rPr>
          <w:rFonts w:ascii="Calibri" w:hAnsi="Calibri" w:cs="Calibri" w:eastAsia="Calibri" w:hint="default"/>
          <w:spacing w:val="-26"/>
        </w:rPr>
        <w:t> </w:t>
      </w:r>
      <w:r>
        <w:rPr>
          <w:spacing w:val="-10"/>
        </w:rPr>
        <w:t>年定位成“培训年”，</w:t>
      </w:r>
      <w:r>
        <w:rPr/>
        <w:t> 将培训考试成绩记入员工档案及年度考核，与其工资、奖金、升降级直接挂钩，以此 举措大力加强员工教育，提升员工职业水平；建立良好的激励机制、合理科学的考核 机制，把员工的个人收入与其贡献紧密结合。</w:t>
      </w:r>
    </w:p>
    <w:p>
      <w:pPr>
        <w:pStyle w:val="BodyText"/>
        <w:spacing w:line="345" w:lineRule="auto" w:before="163"/>
        <w:ind w:right="1638" w:firstLine="482"/>
        <w:jc w:val="both"/>
      </w:pPr>
      <w:r>
        <w:rPr/>
        <w:t>随着公司业务规模的扩大和涉足领域的拓展，</w:t>
      </w:r>
      <w:r>
        <w:rPr>
          <w:rFonts w:ascii="Calibri" w:hAnsi="Calibri" w:cs="Calibri" w:eastAsia="Calibri" w:hint="default"/>
        </w:rPr>
        <w:t>2012</w:t>
      </w:r>
      <w:r>
        <w:rPr>
          <w:rFonts w:ascii="Calibri" w:hAnsi="Calibri" w:cs="Calibri" w:eastAsia="Calibri" w:hint="default"/>
          <w:spacing w:val="7"/>
        </w:rPr>
        <w:t> </w:t>
      </w:r>
      <w:r>
        <w:rPr/>
        <w:t>年我们仍将不断吸收新的高素 质的人才加入，同时不断提升现有员工的能力与素质。人力资源部将制定并实施各方 面的培训计划，并为员工进行职业生涯设计，把员工的个人成长与公司发展紧密结合 起来，促使人人成才。</w:t>
      </w:r>
    </w:p>
    <w:p>
      <w:pPr>
        <w:pStyle w:val="BodyText"/>
        <w:spacing w:line="408" w:lineRule="auto" w:before="168"/>
        <w:ind w:left="626" w:right="1694"/>
        <w:jc w:val="left"/>
      </w:pPr>
      <w:r>
        <w:rPr/>
        <w:t>（</w:t>
      </w:r>
      <w:r>
        <w:rPr>
          <w:rFonts w:ascii="Calibri" w:hAnsi="Calibri" w:cs="Calibri" w:eastAsia="Calibri" w:hint="default"/>
        </w:rPr>
        <w:t>6</w:t>
      </w:r>
      <w:r>
        <w:rPr/>
        <w:t>）收购兼并及对外扩张 从整体上看，目前我国软件行业企业规模普遍偏小，行业集中度不高，抗风险能</w:t>
      </w:r>
    </w:p>
    <w:p>
      <w:pPr>
        <w:pStyle w:val="BodyText"/>
        <w:spacing w:line="300" w:lineRule="exact"/>
        <w:ind w:right="1557"/>
        <w:jc w:val="left"/>
      </w:pPr>
      <w:r>
        <w:rPr/>
        <w:t>力较低。为保持并加强公司在行业内的领先地位，公司在立足主业的同时，积极寻找</w:t>
      </w:r>
    </w:p>
    <w:p>
      <w:pPr>
        <w:pStyle w:val="BodyText"/>
        <w:spacing w:line="240" w:lineRule="auto" w:before="151"/>
        <w:ind w:right="1697"/>
        <w:jc w:val="left"/>
      </w:pPr>
      <w:r>
        <w:rPr>
          <w:rFonts w:ascii="Calibri" w:hAnsi="Calibri" w:cs="Calibri" w:eastAsia="Calibri" w:hint="default"/>
        </w:rPr>
        <w:t>IT</w:t>
      </w:r>
      <w:r>
        <w:rPr>
          <w:rFonts w:ascii="Calibri" w:hAnsi="Calibri" w:cs="Calibri" w:eastAsia="Calibri" w:hint="default"/>
          <w:spacing w:val="4"/>
        </w:rPr>
        <w:t> </w:t>
      </w:r>
      <w:r>
        <w:rPr/>
        <w:t>行业的优秀公司，适时进行收购兼并，实现低成本快速扩张。</w:t>
      </w:r>
    </w:p>
    <w:p>
      <w:pPr>
        <w:spacing w:after="0" w:line="240" w:lineRule="auto"/>
        <w:jc w:val="left"/>
        <w:sectPr>
          <w:pgSz w:w="12240" w:h="15840"/>
          <w:pgMar w:header="847" w:footer="987" w:top="1360" w:bottom="1180" w:left="1500" w:right="0"/>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before="41"/>
        <w:ind w:right="1697"/>
        <w:jc w:val="left"/>
        <w:rPr>
          <w:b w:val="0"/>
          <w:bCs w:val="0"/>
        </w:rPr>
      </w:pPr>
      <w:r>
        <w:rPr>
          <w:rFonts w:ascii="Calibri" w:hAnsi="Calibri" w:cs="Calibri" w:eastAsia="Calibri" w:hint="default"/>
          <w:b w:val="0"/>
          <w:bCs w:val="0"/>
        </w:rPr>
        <w:t>4</w:t>
      </w:r>
      <w:r>
        <w:rPr>
          <w:rFonts w:ascii="宋体" w:hAnsi="宋体" w:cs="宋体" w:eastAsia="宋体" w:hint="default"/>
          <w:b w:val="0"/>
          <w:bCs w:val="0"/>
        </w:rPr>
        <w:t>、</w:t>
      </w:r>
      <w:r>
        <w:rPr/>
        <w:t>资金需求及使用计划</w:t>
      </w:r>
      <w:r>
        <w:rPr>
          <w:b w:val="0"/>
          <w:bCs w:val="0"/>
        </w:rPr>
      </w:r>
    </w:p>
    <w:p>
      <w:pPr>
        <w:pStyle w:val="BodyText"/>
        <w:spacing w:line="357" w:lineRule="auto" w:before="94"/>
        <w:ind w:right="1713" w:firstLine="479"/>
        <w:jc w:val="both"/>
      </w:pPr>
      <w:r>
        <w:rPr/>
        <w:t>公司将结合未来发展战略目标，根据公司发展的实际情况，合理筹资、安排和使 用资金。公司是北京辖区的上市公司，又是中关村地区的高新技术企业，银行信贷信 誉良好，资金充裕，融资渠道畅通，未来资金来源应有充足保证。</w:t>
      </w:r>
    </w:p>
    <w:p>
      <w:pPr>
        <w:spacing w:line="240" w:lineRule="auto" w:before="13"/>
        <w:rPr>
          <w:rFonts w:ascii="宋体" w:hAnsi="宋体" w:cs="宋体" w:eastAsia="宋体" w:hint="default"/>
          <w:sz w:val="26"/>
          <w:szCs w:val="26"/>
        </w:rPr>
      </w:pPr>
    </w:p>
    <w:p>
      <w:pPr>
        <w:pStyle w:val="Heading4"/>
        <w:spacing w:line="240" w:lineRule="auto"/>
        <w:ind w:right="1697"/>
        <w:jc w:val="left"/>
        <w:rPr>
          <w:b w:val="0"/>
          <w:bCs w:val="0"/>
        </w:rPr>
      </w:pPr>
      <w:r>
        <w:rPr>
          <w:rFonts w:ascii="Calibri" w:hAnsi="Calibri" w:cs="Calibri" w:eastAsia="Calibri" w:hint="default"/>
        </w:rPr>
        <w:t>5</w:t>
      </w:r>
      <w:r>
        <w:rPr/>
        <w:t>、公司未来发展的主要风险和对策</w:t>
      </w:r>
      <w:r>
        <w:rPr>
          <w:b w:val="0"/>
          <w:bCs w:val="0"/>
        </w:rPr>
      </w:r>
    </w:p>
    <w:p>
      <w:pPr>
        <w:pStyle w:val="BodyText"/>
        <w:spacing w:line="408" w:lineRule="auto" w:before="97"/>
        <w:ind w:left="624" w:right="1506"/>
        <w:jc w:val="left"/>
      </w:pPr>
      <w:r>
        <w:rPr/>
        <w:t>（</w:t>
      </w:r>
      <w:r>
        <w:rPr>
          <w:rFonts w:ascii="Calibri" w:hAnsi="Calibri" w:cs="Calibri" w:eastAsia="Calibri" w:hint="default"/>
        </w:rPr>
        <w:t>1</w:t>
      </w:r>
      <w:r>
        <w:rPr/>
        <w:t>）人力资源风险 </w:t>
      </w:r>
      <w:r>
        <w:rPr>
          <w:spacing w:val="-2"/>
        </w:rPr>
        <w:t>公司市场规模和资产规模逐年扩大，能否稳定和引进足够的管理人才、技术人才，</w:t>
      </w:r>
    </w:p>
    <w:p>
      <w:pPr>
        <w:pStyle w:val="BodyText"/>
        <w:spacing w:line="301" w:lineRule="exact"/>
        <w:ind w:right="1697"/>
        <w:jc w:val="left"/>
      </w:pPr>
      <w:r>
        <w:rPr/>
        <w:t>将直接影响到公司的长期经营和发展。</w:t>
      </w:r>
    </w:p>
    <w:p>
      <w:pPr>
        <w:spacing w:line="240" w:lineRule="auto" w:before="10"/>
        <w:rPr>
          <w:rFonts w:ascii="宋体" w:hAnsi="宋体" w:cs="宋体" w:eastAsia="宋体" w:hint="default"/>
          <w:sz w:val="20"/>
          <w:szCs w:val="20"/>
        </w:rPr>
      </w:pPr>
    </w:p>
    <w:p>
      <w:pPr>
        <w:pStyle w:val="BodyText"/>
        <w:spacing w:line="345" w:lineRule="auto"/>
        <w:ind w:right="1713" w:firstLine="479"/>
        <w:jc w:val="both"/>
      </w:pPr>
      <w:r>
        <w:rPr/>
        <w:t>针对上述风险，公司加强</w:t>
      </w:r>
      <w:r>
        <w:rPr>
          <w:rFonts w:ascii="Calibri" w:hAnsi="Calibri" w:cs="Calibri" w:eastAsia="Calibri" w:hint="default"/>
        </w:rPr>
        <w:t>“</w:t>
      </w:r>
      <w:r>
        <w:rPr/>
        <w:t>以人为本</w:t>
      </w:r>
      <w:r>
        <w:rPr>
          <w:rFonts w:ascii="Calibri" w:hAnsi="Calibri" w:cs="Calibri" w:eastAsia="Calibri" w:hint="default"/>
        </w:rPr>
        <w:t>”</w:t>
      </w:r>
      <w:r>
        <w:rPr/>
        <w:t>的企业文化建设，增强企业凝聚力，完善激 励机制，加强现有员工在素质、技术和管理等方面的培训，稳定公司的人才队伍。公 司将尽快实施股权激励，同时加大对公司需求人才的引进力度，解决核心骨干员工的 北京落户问题，不断提高公司的管理效率与管理效益，降低人力资源风险。</w:t>
      </w:r>
    </w:p>
    <w:p>
      <w:pPr>
        <w:pStyle w:val="BodyText"/>
        <w:spacing w:line="410" w:lineRule="auto" w:before="166"/>
        <w:ind w:left="624" w:right="1696"/>
        <w:jc w:val="left"/>
      </w:pPr>
      <w:r>
        <w:rPr/>
        <w:t>（</w:t>
      </w:r>
      <w:r>
        <w:rPr>
          <w:rFonts w:ascii="Calibri" w:hAnsi="Calibri" w:cs="Calibri" w:eastAsia="Calibri" w:hint="default"/>
        </w:rPr>
        <w:t>2</w:t>
      </w:r>
      <w:r>
        <w:rPr/>
        <w:t>）市场风险 电信、金融、能源等行业具有资金雄厚、信息化建设投入力度大等特点，但若这</w:t>
      </w:r>
    </w:p>
    <w:p>
      <w:pPr>
        <w:pStyle w:val="BodyText"/>
        <w:spacing w:line="298" w:lineRule="exact"/>
        <w:ind w:right="1557"/>
        <w:jc w:val="left"/>
      </w:pPr>
      <w:r>
        <w:rPr/>
        <w:t>些行业本身的业务受国家产业政策、需求关系、市场竞争等因素的影响而出现波动，</w:t>
      </w:r>
    </w:p>
    <w:p>
      <w:pPr>
        <w:pStyle w:val="BodyText"/>
        <w:spacing w:line="448" w:lineRule="auto" w:before="151"/>
        <w:ind w:left="624" w:right="1506" w:hanging="480"/>
        <w:jc w:val="left"/>
      </w:pPr>
      <w:r>
        <w:rPr/>
        <w:t>其对信息化建设的资金投入量必将随之发生变化，从而对公司的业务带来影响。 </w:t>
      </w:r>
      <w:r>
        <w:rPr>
          <w:spacing w:val="-2"/>
        </w:rPr>
        <w:t>针对上述风险，公司将继续加大对市场的投入，巩固已有的优势产品和行业领域，</w:t>
      </w:r>
    </w:p>
    <w:p>
      <w:pPr>
        <w:pStyle w:val="BodyText"/>
        <w:spacing w:line="257" w:lineRule="exact"/>
        <w:ind w:right="0"/>
        <w:jc w:val="left"/>
      </w:pPr>
      <w:r>
        <w:rPr/>
        <w:t>扩大市场份额；密切关注国民经济各行业、各部门在信息化建设方面的需求变化情况，</w:t>
      </w:r>
    </w:p>
    <w:p>
      <w:pPr>
        <w:pStyle w:val="BodyText"/>
        <w:spacing w:line="355" w:lineRule="auto" w:before="154"/>
        <w:ind w:right="1696"/>
        <w:jc w:val="left"/>
      </w:pPr>
      <w:r>
        <w:rPr/>
        <w:t>根据市场的动态及时调整自身的经营，以规避相关行业景气度变化对本公司造成的市 场风险。</w:t>
      </w:r>
    </w:p>
    <w:p>
      <w:pPr>
        <w:pStyle w:val="BodyText"/>
        <w:spacing w:line="408" w:lineRule="auto" w:before="159"/>
        <w:ind w:left="624" w:right="1696"/>
        <w:jc w:val="left"/>
      </w:pPr>
      <w:r>
        <w:rPr/>
        <w:t>（</w:t>
      </w:r>
      <w:r>
        <w:rPr>
          <w:rFonts w:ascii="Calibri" w:hAnsi="Calibri" w:cs="Calibri" w:eastAsia="Calibri" w:hint="default"/>
        </w:rPr>
        <w:t>3</w:t>
      </w:r>
      <w:r>
        <w:rPr/>
        <w:t>）技术风险 公司所属行业具有高技术含量、高附加值、技术和产品更新快、产品生命周期短</w:t>
      </w:r>
    </w:p>
    <w:p>
      <w:pPr>
        <w:pStyle w:val="BodyText"/>
        <w:spacing w:line="355" w:lineRule="auto"/>
        <w:ind w:right="1696"/>
        <w:jc w:val="left"/>
      </w:pPr>
      <w:r>
        <w:rPr/>
        <w:t>的特点。公司对关键技术、新产品研发和市场需求的把握是否准确会影响公司的市场 竞争力和发展速度。</w:t>
      </w:r>
    </w:p>
    <w:p>
      <w:pPr>
        <w:spacing w:after="0" w:line="355" w:lineRule="auto"/>
        <w:jc w:val="left"/>
        <w:sectPr>
          <w:pgSz w:w="12240" w:h="15840"/>
          <w:pgMar w:header="847" w:footer="987" w:top="1360" w:bottom="1180" w:left="1500" w:right="0"/>
        </w:sectPr>
      </w:pPr>
    </w:p>
    <w:p>
      <w:pPr>
        <w:pStyle w:val="BodyText"/>
        <w:spacing w:line="357" w:lineRule="auto" w:before="11"/>
        <w:ind w:right="1506" w:firstLine="479"/>
        <w:jc w:val="left"/>
      </w:pPr>
      <w:r>
        <w:rPr/>
        <w:pict>
          <v:group style="position:absolute;margin-left:80.783997pt;margin-top:1.845647pt;width:450.6pt;height:.1pt;mso-position-horizontal-relative:page;mso-position-vertical-relative:paragraph;z-index:-863752" coordorigin="1616,37" coordsize="9012,2">
            <v:shape style="position:absolute;left:1616;top:37;width:9012;height:2" coordorigin="1616,37" coordsize="9012,0" path="m1616,37l10627,37e" filled="false" stroked="true" strokeweight=".71999pt" strokecolor="#000000">
              <v:path arrowok="t"/>
            </v:shape>
            <w10:wrap type="none"/>
          </v:group>
        </w:pict>
      </w:r>
      <w:r>
        <w:rPr/>
        <w:t>针对上述风险，公司将加强自身研发队伍的建设，以市场需求为导向，研究行业 技术发展方向，及时掌握国外技术和产品的最新发展动态；强化公司核心技术，积极 </w:t>
      </w:r>
      <w:r>
        <w:rPr>
          <w:spacing w:val="-2"/>
        </w:rPr>
        <w:t>发展有自主知识产权的计算机软件产品，促进软件产品实现系列化、市场化和产业化，</w:t>
      </w:r>
      <w:r>
        <w:rPr>
          <w:spacing w:val="-92"/>
        </w:rPr>
        <w:t> </w:t>
      </w:r>
      <w:r>
        <w:rPr>
          <w:spacing w:val="-92"/>
        </w:rPr>
      </w:r>
      <w:r>
        <w:rPr/>
        <w:t>降低公司面临的技术风险。</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ind w:right="1697"/>
        <w:jc w:val="left"/>
        <w:rPr>
          <w:b w:val="0"/>
          <w:bCs w:val="0"/>
        </w:rPr>
      </w:pPr>
      <w:r>
        <w:rPr/>
        <w:t>三、报告期内投资情况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（一）募集资金使用情况</w:t>
      </w:r>
      <w:r>
        <w:rPr>
          <w:b w:val="0"/>
          <w:bCs w:val="0"/>
        </w:rPr>
      </w:r>
    </w:p>
    <w:p>
      <w:pPr>
        <w:pStyle w:val="BodyText"/>
        <w:spacing w:line="240" w:lineRule="auto" w:before="123"/>
        <w:ind w:left="624" w:right="1697"/>
        <w:jc w:val="left"/>
      </w:pPr>
      <w:r>
        <w:rPr/>
        <w:t>报告期内，公司无募集资金使用情况。</w:t>
      </w:r>
    </w:p>
    <w:p>
      <w:pPr>
        <w:spacing w:line="240" w:lineRule="auto" w:before="5"/>
        <w:rPr>
          <w:rFonts w:ascii="宋体" w:hAnsi="宋体" w:cs="宋体" w:eastAsia="宋体" w:hint="default"/>
          <w:sz w:val="34"/>
          <w:szCs w:val="34"/>
        </w:rPr>
      </w:pPr>
    </w:p>
    <w:p>
      <w:pPr>
        <w:pStyle w:val="Heading3"/>
        <w:spacing w:line="240" w:lineRule="auto"/>
        <w:ind w:right="1697"/>
        <w:jc w:val="left"/>
        <w:rPr>
          <w:b w:val="0"/>
          <w:bCs w:val="0"/>
        </w:rPr>
      </w:pPr>
      <w:r>
        <w:rPr/>
        <w:t>（二）报告期内非募集资金投资情况</w:t>
      </w:r>
      <w:r>
        <w:rPr>
          <w:b w:val="0"/>
          <w:bCs w:val="0"/>
        </w:rPr>
      </w:r>
    </w:p>
    <w:p>
      <w:pPr>
        <w:pStyle w:val="BodyText"/>
        <w:spacing w:line="328" w:lineRule="auto" w:before="122"/>
        <w:ind w:right="1637" w:firstLine="479"/>
        <w:jc w:val="both"/>
      </w:pPr>
      <w:r>
        <w:rPr>
          <w:rFonts w:ascii="Times New Roman" w:hAnsi="Times New Roman" w:cs="Times New Roman" w:eastAsia="Times New Roman" w:hint="default"/>
          <w:spacing w:val="-2"/>
        </w:rPr>
        <w:t>1</w:t>
      </w:r>
      <w:r>
        <w:rPr>
          <w:spacing w:val="-2"/>
        </w:rPr>
        <w:t>、根据公司第三届董事会第三十二次会议决议，公司与全资子公司北京东华合创</w:t>
      </w:r>
      <w:r>
        <w:rPr/>
        <w:t> 科技有限公司共同出资</w:t>
      </w:r>
      <w:r>
        <w:rPr>
          <w:spacing w:val="-56"/>
        </w:rPr>
        <w:t> </w:t>
      </w:r>
      <w:r>
        <w:rPr>
          <w:rFonts w:ascii="Calibri" w:hAnsi="Calibri" w:cs="Calibri" w:eastAsia="Calibri" w:hint="default"/>
        </w:rPr>
        <w:t>2,000</w:t>
      </w:r>
      <w:r>
        <w:rPr>
          <w:rFonts w:ascii="Calibri" w:hAnsi="Calibri" w:cs="Calibri" w:eastAsia="Calibri" w:hint="default"/>
          <w:spacing w:val="11"/>
        </w:rPr>
        <w:t> </w:t>
      </w:r>
      <w:r>
        <w:rPr>
          <w:spacing w:val="-4"/>
        </w:rPr>
        <w:t>万元，设立沈阳子公司，其中本公司出资人民币</w:t>
      </w:r>
      <w:r>
        <w:rPr>
          <w:spacing w:val="-56"/>
        </w:rPr>
        <w:t> </w:t>
      </w:r>
      <w:r>
        <w:rPr>
          <w:rFonts w:ascii="Calibri" w:hAnsi="Calibri" w:cs="Calibri" w:eastAsia="Calibri" w:hint="default"/>
        </w:rPr>
        <w:t>1,980</w:t>
      </w:r>
      <w:r>
        <w:rPr>
          <w:rFonts w:ascii="Calibri" w:hAnsi="Calibri" w:cs="Calibri" w:eastAsia="Calibri" w:hint="default"/>
          <w:spacing w:val="10"/>
        </w:rPr>
        <w:t> </w:t>
      </w:r>
      <w:r>
        <w:rPr/>
        <w:t>万 元，占注册资本的</w:t>
      </w:r>
      <w:r>
        <w:rPr>
          <w:spacing w:val="-75"/>
        </w:rPr>
        <w:t> </w:t>
      </w:r>
      <w:r>
        <w:rPr>
          <w:rFonts w:ascii="Calibri" w:hAnsi="Calibri" w:cs="Calibri" w:eastAsia="Calibri" w:hint="default"/>
        </w:rPr>
        <w:t>99%</w:t>
      </w:r>
      <w:r>
        <w:rPr/>
        <w:t>，北京东华合创科技有限公司出资人民币</w:t>
      </w:r>
      <w:r>
        <w:rPr>
          <w:spacing w:val="-75"/>
        </w:rPr>
        <w:t> </w:t>
      </w:r>
      <w:r>
        <w:rPr>
          <w:rFonts w:ascii="Calibri" w:hAnsi="Calibri" w:cs="Calibri" w:eastAsia="Calibri" w:hint="default"/>
        </w:rPr>
        <w:t>20</w:t>
      </w:r>
      <w:r>
        <w:rPr>
          <w:rFonts w:ascii="Calibri" w:hAnsi="Calibri" w:cs="Calibri" w:eastAsia="Calibri" w:hint="default"/>
          <w:spacing w:val="-11"/>
        </w:rPr>
        <w:t> </w:t>
      </w:r>
      <w:r>
        <w:rPr/>
        <w:t>万元，占注册资本 的</w:t>
      </w:r>
      <w:r>
        <w:rPr>
          <w:spacing w:val="-61"/>
        </w:rPr>
        <w:t> </w:t>
      </w:r>
      <w:r>
        <w:rPr>
          <w:rFonts w:ascii="Calibri" w:hAnsi="Calibri" w:cs="Calibri" w:eastAsia="Calibri" w:hint="default"/>
        </w:rPr>
        <w:t>1%</w:t>
      </w:r>
      <w:r>
        <w:rPr/>
        <w:t>。沈阳东华合创科技有限公司与</w:t>
      </w:r>
      <w:r>
        <w:rPr>
          <w:spacing w:val="-61"/>
        </w:rPr>
        <w:t> </w:t>
      </w:r>
      <w:r>
        <w:rPr>
          <w:rFonts w:ascii="Calibri" w:hAnsi="Calibri" w:cs="Calibri" w:eastAsia="Calibri" w:hint="default"/>
        </w:rPr>
        <w:t>2011</w:t>
      </w:r>
      <w:r>
        <w:rPr>
          <w:rFonts w:ascii="Calibri" w:hAnsi="Calibri" w:cs="Calibri" w:eastAsia="Calibri" w:hint="default"/>
          <w:spacing w:val="3"/>
        </w:rPr>
        <w:t> </w:t>
      </w:r>
      <w:r>
        <w:rPr/>
        <w:t>年</w:t>
      </w:r>
      <w:r>
        <w:rPr>
          <w:spacing w:val="-61"/>
        </w:rPr>
        <w:t> </w:t>
      </w:r>
      <w:r>
        <w:rPr>
          <w:rFonts w:ascii="Calibri" w:hAnsi="Calibri" w:cs="Calibri" w:eastAsia="Calibri" w:hint="default"/>
        </w:rPr>
        <w:t>3</w:t>
      </w:r>
      <w:r>
        <w:rPr>
          <w:rFonts w:ascii="Calibri" w:hAnsi="Calibri" w:cs="Calibri" w:eastAsia="Calibri" w:hint="default"/>
          <w:spacing w:val="5"/>
        </w:rPr>
        <w:t> </w:t>
      </w:r>
      <w:r>
        <w:rPr/>
        <w:t>月</w:t>
      </w:r>
      <w:r>
        <w:rPr>
          <w:spacing w:val="-61"/>
        </w:rPr>
        <w:t> </w:t>
      </w:r>
      <w:r>
        <w:rPr>
          <w:rFonts w:ascii="Calibri" w:hAnsi="Calibri" w:cs="Calibri" w:eastAsia="Calibri" w:hint="default"/>
        </w:rPr>
        <w:t>23</w:t>
      </w:r>
      <w:r>
        <w:rPr>
          <w:rFonts w:ascii="Calibri" w:hAnsi="Calibri" w:cs="Calibri" w:eastAsia="Calibri" w:hint="default"/>
          <w:spacing w:val="5"/>
        </w:rPr>
        <w:t> </w:t>
      </w:r>
      <w:r>
        <w:rPr/>
        <w:t>日完成工商注册登记。</w:t>
      </w:r>
    </w:p>
    <w:p>
      <w:pPr>
        <w:pStyle w:val="BodyText"/>
        <w:spacing w:line="324" w:lineRule="auto" w:before="135"/>
        <w:ind w:right="1593" w:firstLine="479"/>
        <w:jc w:val="both"/>
      </w:pPr>
      <w:r>
        <w:rPr>
          <w:rFonts w:ascii="Calibri" w:hAnsi="Calibri" w:cs="Calibri" w:eastAsia="Calibri" w:hint="default"/>
          <w:spacing w:val="-2"/>
        </w:rPr>
        <w:t>2</w:t>
      </w:r>
      <w:r>
        <w:rPr>
          <w:spacing w:val="-2"/>
        </w:rPr>
        <w:t>、根据公司第三届董事会第三十二次会议决议，公司与全资子公司北京东华合创</w:t>
      </w:r>
      <w:r>
        <w:rPr/>
        <w:t> 科技有限公司共同出资</w:t>
      </w:r>
      <w:r>
        <w:rPr>
          <w:spacing w:val="-58"/>
        </w:rPr>
        <w:t> </w:t>
      </w:r>
      <w:r>
        <w:rPr>
          <w:rFonts w:ascii="Calibri" w:hAnsi="Calibri" w:cs="Calibri" w:eastAsia="Calibri" w:hint="default"/>
        </w:rPr>
        <w:t>5,000</w:t>
      </w:r>
      <w:r>
        <w:rPr>
          <w:rFonts w:ascii="Calibri" w:hAnsi="Calibri" w:cs="Calibri" w:eastAsia="Calibri" w:hint="default"/>
          <w:spacing w:val="8"/>
        </w:rPr>
        <w:t> </w:t>
      </w:r>
      <w:r>
        <w:rPr>
          <w:spacing w:val="-3"/>
        </w:rPr>
        <w:t>万元，设立西安子公司，其中本公司出资</w:t>
      </w:r>
      <w:r>
        <w:rPr>
          <w:spacing w:val="-58"/>
        </w:rPr>
        <w:t> </w:t>
      </w:r>
      <w:r>
        <w:rPr>
          <w:rFonts w:ascii="Calibri" w:hAnsi="Calibri" w:cs="Calibri" w:eastAsia="Calibri" w:hint="default"/>
        </w:rPr>
        <w:t>4,950</w:t>
      </w:r>
      <w:r>
        <w:rPr>
          <w:rFonts w:ascii="Calibri" w:hAnsi="Calibri" w:cs="Calibri" w:eastAsia="Calibri" w:hint="default"/>
          <w:spacing w:val="9"/>
        </w:rPr>
        <w:t> </w:t>
      </w:r>
      <w:r>
        <w:rPr>
          <w:spacing w:val="-6"/>
        </w:rPr>
        <w:t>万元，占</w:t>
      </w:r>
      <w:r>
        <w:rPr/>
        <w:t> 注册资本的</w:t>
      </w:r>
      <w:r>
        <w:rPr>
          <w:spacing w:val="-63"/>
        </w:rPr>
        <w:t> </w:t>
      </w:r>
      <w:r>
        <w:rPr>
          <w:rFonts w:ascii="Calibri" w:hAnsi="Calibri" w:cs="Calibri" w:eastAsia="Calibri" w:hint="default"/>
        </w:rPr>
        <w:t>99.00%</w:t>
      </w:r>
      <w:r>
        <w:rPr/>
        <w:t>，北京东华合创科技有限公司出资</w:t>
      </w:r>
      <w:r>
        <w:rPr>
          <w:spacing w:val="-62"/>
        </w:rPr>
        <w:t> </w:t>
      </w:r>
      <w:r>
        <w:rPr>
          <w:rFonts w:ascii="Calibri" w:hAnsi="Calibri" w:cs="Calibri" w:eastAsia="Calibri" w:hint="default"/>
        </w:rPr>
        <w:t>50</w:t>
      </w:r>
      <w:r>
        <w:rPr>
          <w:rFonts w:ascii="Calibri" w:hAnsi="Calibri" w:cs="Calibri" w:eastAsia="Calibri" w:hint="default"/>
          <w:spacing w:val="4"/>
        </w:rPr>
        <w:t> </w:t>
      </w:r>
      <w:r>
        <w:rPr/>
        <w:t>万元，占注册资本的</w:t>
      </w:r>
      <w:r>
        <w:rPr>
          <w:spacing w:val="-62"/>
        </w:rPr>
        <w:t> </w:t>
      </w:r>
      <w:r>
        <w:rPr>
          <w:rFonts w:ascii="Calibri" w:hAnsi="Calibri" w:cs="Calibri" w:eastAsia="Calibri" w:hint="default"/>
        </w:rPr>
        <w:t>1.00%</w:t>
      </w:r>
      <w:r>
        <w:rPr/>
        <w:t>。 西安东华软件有限公司与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4</w:t>
      </w:r>
      <w:r>
        <w:rPr>
          <w:rFonts w:ascii="Calibri" w:hAnsi="Calibri" w:cs="Calibri" w:eastAsia="Calibri" w:hint="default"/>
          <w:spacing w:val="5"/>
        </w:rPr>
        <w:t> </w:t>
      </w:r>
      <w:r>
        <w:rPr/>
        <w:t>月</w:t>
      </w:r>
      <w:r>
        <w:rPr>
          <w:spacing w:val="-61"/>
        </w:rPr>
        <w:t> </w:t>
      </w:r>
      <w:r>
        <w:rPr>
          <w:rFonts w:ascii="Calibri" w:hAnsi="Calibri" w:cs="Calibri" w:eastAsia="Calibri" w:hint="default"/>
        </w:rPr>
        <w:t>18</w:t>
      </w:r>
      <w:r>
        <w:rPr>
          <w:rFonts w:ascii="Calibri" w:hAnsi="Calibri" w:cs="Calibri" w:eastAsia="Calibri" w:hint="default"/>
          <w:spacing w:val="5"/>
        </w:rPr>
        <w:t> </w:t>
      </w:r>
      <w:r>
        <w:rPr/>
        <w:t>日完成工商注册登记。</w:t>
      </w:r>
    </w:p>
    <w:p>
      <w:pPr>
        <w:pStyle w:val="BodyText"/>
        <w:spacing w:line="324" w:lineRule="auto" w:before="140"/>
        <w:ind w:right="1637" w:firstLine="479"/>
        <w:jc w:val="both"/>
      </w:pPr>
      <w:r>
        <w:rPr>
          <w:rFonts w:ascii="Calibri" w:hAnsi="Calibri" w:cs="Calibri" w:eastAsia="Calibri" w:hint="default"/>
          <w:spacing w:val="-2"/>
        </w:rPr>
        <w:t>3</w:t>
      </w:r>
      <w:r>
        <w:rPr>
          <w:spacing w:val="-2"/>
        </w:rPr>
        <w:t>、根据公司第四届董事会第三次会议决议，公司与全资子公司北京东华合创科技</w:t>
      </w:r>
      <w:r>
        <w:rPr/>
        <w:t> 有限公司共同出资</w:t>
      </w:r>
      <w:r>
        <w:rPr>
          <w:spacing w:val="-58"/>
        </w:rPr>
        <w:t> </w:t>
      </w:r>
      <w:r>
        <w:rPr>
          <w:rFonts w:ascii="Calibri" w:hAnsi="Calibri" w:cs="Calibri" w:eastAsia="Calibri" w:hint="default"/>
        </w:rPr>
        <w:t>5,000</w:t>
      </w:r>
      <w:r>
        <w:rPr>
          <w:rFonts w:ascii="Calibri" w:hAnsi="Calibri" w:cs="Calibri" w:eastAsia="Calibri" w:hint="default"/>
          <w:spacing w:val="8"/>
        </w:rPr>
        <w:t> </w:t>
      </w:r>
      <w:r>
        <w:rPr>
          <w:spacing w:val="-3"/>
        </w:rPr>
        <w:t>万元，设立南昌子公司，其中本公司出资</w:t>
      </w:r>
      <w:r>
        <w:rPr>
          <w:spacing w:val="-58"/>
        </w:rPr>
        <w:t> </w:t>
      </w:r>
      <w:r>
        <w:rPr>
          <w:rFonts w:ascii="Calibri" w:hAnsi="Calibri" w:cs="Calibri" w:eastAsia="Calibri" w:hint="default"/>
        </w:rPr>
        <w:t>4,950</w:t>
      </w:r>
      <w:r>
        <w:rPr>
          <w:rFonts w:ascii="Calibri" w:hAnsi="Calibri" w:cs="Calibri" w:eastAsia="Calibri" w:hint="default"/>
          <w:spacing w:val="8"/>
        </w:rPr>
        <w:t> </w:t>
      </w:r>
      <w:r>
        <w:rPr>
          <w:spacing w:val="-4"/>
        </w:rPr>
        <w:t>万元，占注册</w:t>
      </w:r>
      <w:r>
        <w:rPr/>
        <w:t> 资本的</w:t>
      </w:r>
      <w:r>
        <w:rPr>
          <w:spacing w:val="-68"/>
        </w:rPr>
        <w:t> </w:t>
      </w:r>
      <w:r>
        <w:rPr>
          <w:rFonts w:ascii="Calibri" w:hAnsi="Calibri" w:cs="Calibri" w:eastAsia="Calibri" w:hint="default"/>
        </w:rPr>
        <w:t>99.00%</w:t>
      </w:r>
      <w:r>
        <w:rPr/>
        <w:t>，北京东华合创科技有限公司出资</w:t>
      </w:r>
      <w:r>
        <w:rPr>
          <w:spacing w:val="-67"/>
        </w:rPr>
        <w:t> </w:t>
      </w:r>
      <w:r>
        <w:rPr>
          <w:rFonts w:ascii="Calibri" w:hAnsi="Calibri" w:cs="Calibri" w:eastAsia="Calibri" w:hint="default"/>
        </w:rPr>
        <w:t>50</w:t>
      </w:r>
      <w:r>
        <w:rPr>
          <w:rFonts w:ascii="Calibri" w:hAnsi="Calibri" w:cs="Calibri" w:eastAsia="Calibri" w:hint="default"/>
          <w:spacing w:val="-2"/>
        </w:rPr>
        <w:t> </w:t>
      </w:r>
      <w:r>
        <w:rPr/>
        <w:t>万元，占注册资本的</w:t>
      </w:r>
      <w:r>
        <w:rPr>
          <w:spacing w:val="-68"/>
        </w:rPr>
        <w:t> </w:t>
      </w:r>
      <w:r>
        <w:rPr>
          <w:rFonts w:ascii="Calibri" w:hAnsi="Calibri" w:cs="Calibri" w:eastAsia="Calibri" w:hint="default"/>
          <w:spacing w:val="-3"/>
        </w:rPr>
        <w:t>1.00%</w:t>
      </w:r>
      <w:r>
        <w:rPr>
          <w:spacing w:val="-3"/>
        </w:rPr>
        <w:t>。南昌</w:t>
      </w:r>
      <w:r>
        <w:rPr/>
        <w:t> 东华软件有限公司与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29</w:t>
      </w:r>
      <w:r>
        <w:rPr>
          <w:rFonts w:ascii="Calibri" w:hAnsi="Calibri" w:cs="Calibri" w:eastAsia="Calibri" w:hint="default"/>
          <w:spacing w:val="5"/>
        </w:rPr>
        <w:t> </w:t>
      </w:r>
      <w:r>
        <w:rPr/>
        <w:t>日完成工商注册登记。</w:t>
      </w:r>
    </w:p>
    <w:p>
      <w:pPr>
        <w:pStyle w:val="BodyText"/>
        <w:spacing w:line="324" w:lineRule="auto" w:before="140"/>
        <w:ind w:right="1635" w:firstLine="479"/>
        <w:jc w:val="both"/>
      </w:pPr>
      <w:r>
        <w:rPr>
          <w:rFonts w:ascii="Calibri" w:hAnsi="Calibri" w:cs="Calibri" w:eastAsia="Calibri" w:hint="default"/>
          <w:spacing w:val="-2"/>
        </w:rPr>
        <w:t>4</w:t>
      </w:r>
      <w:r>
        <w:rPr>
          <w:spacing w:val="-2"/>
        </w:rPr>
        <w:t>、根据公司第四届董事会第十三次会议决议，公司与全资子公司北京东华合创科</w:t>
      </w:r>
      <w:r>
        <w:rPr/>
        <w:t> 技有限公司共同出资</w:t>
      </w:r>
      <w:r>
        <w:rPr>
          <w:spacing w:val="-57"/>
        </w:rPr>
        <w:t> </w:t>
      </w:r>
      <w:r>
        <w:rPr>
          <w:rFonts w:ascii="Calibri" w:hAnsi="Calibri" w:cs="Calibri" w:eastAsia="Calibri" w:hint="default"/>
        </w:rPr>
        <w:t>5,000</w:t>
      </w:r>
      <w:r>
        <w:rPr>
          <w:rFonts w:ascii="Calibri" w:hAnsi="Calibri" w:cs="Calibri" w:eastAsia="Calibri" w:hint="default"/>
          <w:spacing w:val="9"/>
        </w:rPr>
        <w:t> </w:t>
      </w:r>
      <w:r>
        <w:rPr>
          <w:spacing w:val="-3"/>
        </w:rPr>
        <w:t>万元，设立太原子公司，其中本公司出资</w:t>
      </w:r>
      <w:r>
        <w:rPr>
          <w:spacing w:val="-57"/>
        </w:rPr>
        <w:t> </w:t>
      </w:r>
      <w:r>
        <w:rPr>
          <w:rFonts w:ascii="Calibri" w:hAnsi="Calibri" w:cs="Calibri" w:eastAsia="Calibri" w:hint="default"/>
        </w:rPr>
        <w:t>4,950</w:t>
      </w:r>
      <w:r>
        <w:rPr>
          <w:rFonts w:ascii="Calibri" w:hAnsi="Calibri" w:cs="Calibri" w:eastAsia="Calibri" w:hint="default"/>
          <w:spacing w:val="10"/>
        </w:rPr>
        <w:t> </w:t>
      </w:r>
      <w:r>
        <w:rPr>
          <w:spacing w:val="-5"/>
        </w:rPr>
        <w:t>万元，占注</w:t>
      </w:r>
      <w:r>
        <w:rPr/>
        <w:t> 册资本的</w:t>
      </w:r>
      <w:r>
        <w:rPr>
          <w:spacing w:val="-69"/>
        </w:rPr>
        <w:t> </w:t>
      </w:r>
      <w:r>
        <w:rPr>
          <w:rFonts w:ascii="Calibri" w:hAnsi="Calibri" w:cs="Calibri" w:eastAsia="Calibri" w:hint="default"/>
        </w:rPr>
        <w:t>99.00%</w:t>
      </w:r>
      <w:r>
        <w:rPr/>
        <w:t>，北京东华合创科技有限公司出资</w:t>
      </w:r>
      <w:r>
        <w:rPr>
          <w:spacing w:val="-68"/>
        </w:rPr>
        <w:t> </w:t>
      </w:r>
      <w:r>
        <w:rPr>
          <w:rFonts w:ascii="Calibri" w:hAnsi="Calibri" w:cs="Calibri" w:eastAsia="Calibri" w:hint="default"/>
        </w:rPr>
        <w:t>50</w:t>
      </w:r>
      <w:r>
        <w:rPr>
          <w:rFonts w:ascii="Calibri" w:hAnsi="Calibri" w:cs="Calibri" w:eastAsia="Calibri" w:hint="default"/>
          <w:spacing w:val="-2"/>
        </w:rPr>
        <w:t> </w:t>
      </w:r>
      <w:r>
        <w:rPr/>
        <w:t>万元，占注册资本的</w:t>
      </w:r>
      <w:r>
        <w:rPr>
          <w:spacing w:val="-68"/>
        </w:rPr>
        <w:t> </w:t>
      </w:r>
      <w:r>
        <w:rPr>
          <w:rFonts w:ascii="Calibri" w:hAnsi="Calibri" w:cs="Calibri" w:eastAsia="Calibri" w:hint="default"/>
          <w:spacing w:val="-5"/>
        </w:rPr>
        <w:t>1.00%</w:t>
      </w:r>
      <w:r>
        <w:rPr>
          <w:spacing w:val="-5"/>
        </w:rPr>
        <w:t>。山</w:t>
      </w:r>
      <w:r>
        <w:rPr>
          <w:spacing w:val="-17"/>
        </w:rPr>
        <w:t> </w:t>
      </w:r>
      <w:r>
        <w:rPr/>
        <w:t>西东华软件有限公司与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29</w:t>
      </w:r>
      <w:r>
        <w:rPr>
          <w:rFonts w:ascii="Calibri" w:hAnsi="Calibri" w:cs="Calibri" w:eastAsia="Calibri" w:hint="default"/>
          <w:spacing w:val="5"/>
        </w:rPr>
        <w:t> </w:t>
      </w:r>
      <w:r>
        <w:rPr/>
        <w:t>日完成工商注册登记。</w:t>
      </w:r>
    </w:p>
    <w:p>
      <w:pPr>
        <w:spacing w:after="0" w:line="324" w:lineRule="auto"/>
        <w:jc w:val="both"/>
        <w:sectPr>
          <w:pgSz w:w="12240" w:h="15840"/>
          <w:pgMar w:header="847" w:footer="987" w:top="1360" w:bottom="1180" w:left="1500" w:right="0"/>
        </w:sectPr>
      </w:pPr>
    </w:p>
    <w:p>
      <w:pPr>
        <w:pStyle w:val="BodyText"/>
        <w:spacing w:line="324" w:lineRule="auto" w:before="11"/>
        <w:ind w:left="224" w:right="1637" w:firstLine="479"/>
        <w:jc w:val="both"/>
      </w:pPr>
      <w:r>
        <w:rPr/>
        <w:pict>
          <v:group style="position:absolute;margin-left:80.783997pt;margin-top:1.845647pt;width:450.6pt;height:.1pt;mso-position-horizontal-relative:page;mso-position-vertical-relative:paragraph;z-index:-863728"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Times New Roman" w:hAnsi="Times New Roman" w:cs="Times New Roman" w:eastAsia="Times New Roman" w:hint="default"/>
          <w:spacing w:val="-4"/>
        </w:rPr>
        <w:t>5</w:t>
      </w:r>
      <w:r>
        <w:rPr>
          <w:spacing w:val="-4"/>
        </w:rPr>
        <w:t>、根据公司总经理办公会议决议，公司于</w:t>
      </w:r>
      <w:r>
        <w:rPr>
          <w:spacing w:val="-58"/>
        </w:rPr>
        <w:t> </w:t>
      </w:r>
      <w:r>
        <w:rPr>
          <w:rFonts w:ascii="Calibri" w:hAnsi="Calibri" w:cs="Calibri" w:eastAsia="Calibri" w:hint="default"/>
        </w:rPr>
        <w:t>2011</w:t>
      </w:r>
      <w:r>
        <w:rPr>
          <w:rFonts w:ascii="Calibri" w:hAnsi="Calibri" w:cs="Calibri" w:eastAsia="Calibri" w:hint="default"/>
          <w:spacing w:val="9"/>
        </w:rPr>
        <w:t> </w:t>
      </w:r>
      <w:r>
        <w:rPr/>
        <w:t>年</w:t>
      </w:r>
      <w:r>
        <w:rPr>
          <w:spacing w:val="-58"/>
        </w:rPr>
        <w:t> </w:t>
      </w:r>
      <w:r>
        <w:rPr>
          <w:rFonts w:ascii="Calibri" w:hAnsi="Calibri" w:cs="Calibri" w:eastAsia="Calibri" w:hint="default"/>
        </w:rPr>
        <w:t>8</w:t>
      </w:r>
      <w:r>
        <w:rPr>
          <w:rFonts w:ascii="Calibri" w:hAnsi="Calibri" w:cs="Calibri" w:eastAsia="Calibri" w:hint="default"/>
          <w:spacing w:val="8"/>
        </w:rPr>
        <w:t> </w:t>
      </w:r>
      <w:r>
        <w:rPr/>
        <w:t>月以自有货币资金</w:t>
      </w:r>
      <w:r>
        <w:rPr>
          <w:spacing w:val="-58"/>
        </w:rPr>
        <w:t> </w:t>
      </w:r>
      <w:r>
        <w:rPr>
          <w:rFonts w:ascii="Calibri" w:hAnsi="Calibri" w:cs="Calibri" w:eastAsia="Calibri" w:hint="default"/>
        </w:rPr>
        <w:t>25</w:t>
      </w:r>
      <w:r>
        <w:rPr>
          <w:rFonts w:ascii="Calibri" w:hAnsi="Calibri" w:cs="Calibri" w:eastAsia="Calibri" w:hint="default"/>
          <w:spacing w:val="8"/>
        </w:rPr>
        <w:t> </w:t>
      </w:r>
      <w:r>
        <w:rPr/>
        <w:t>万元出 资购买北京卓讯科信技术有限公司。</w:t>
      </w:r>
    </w:p>
    <w:p>
      <w:pPr>
        <w:pStyle w:val="BodyText"/>
        <w:spacing w:line="324" w:lineRule="auto" w:before="190"/>
        <w:ind w:left="224" w:right="1637" w:firstLine="479"/>
        <w:jc w:val="both"/>
      </w:pPr>
      <w:r>
        <w:rPr>
          <w:rFonts w:ascii="Calibri" w:hAnsi="Calibri" w:cs="Calibri" w:eastAsia="Calibri" w:hint="default"/>
          <w:spacing w:val="-4"/>
        </w:rPr>
        <w:t>6</w:t>
      </w:r>
      <w:r>
        <w:rPr>
          <w:spacing w:val="-4"/>
        </w:rPr>
        <w:t>、根据公司总经理办公会议决议，公司于</w:t>
      </w:r>
      <w:r>
        <w:rPr>
          <w:spacing w:val="-60"/>
        </w:rPr>
        <w:t> </w:t>
      </w:r>
      <w:r>
        <w:rPr>
          <w:rFonts w:ascii="Calibri" w:hAnsi="Calibri" w:cs="Calibri" w:eastAsia="Calibri" w:hint="default"/>
        </w:rPr>
        <w:t>2011</w:t>
      </w:r>
      <w:r>
        <w:rPr>
          <w:rFonts w:ascii="Calibri" w:hAnsi="Calibri" w:cs="Calibri" w:eastAsia="Calibri" w:hint="default"/>
          <w:spacing w:val="8"/>
        </w:rPr>
        <w:t> </w:t>
      </w:r>
      <w:r>
        <w:rPr/>
        <w:t>年</w:t>
      </w:r>
      <w:r>
        <w:rPr>
          <w:spacing w:val="-60"/>
        </w:rPr>
        <w:t> </w:t>
      </w:r>
      <w:r>
        <w:rPr>
          <w:rFonts w:ascii="Calibri" w:hAnsi="Calibri" w:cs="Calibri" w:eastAsia="Calibri" w:hint="default"/>
        </w:rPr>
        <w:t>11</w:t>
      </w:r>
      <w:r>
        <w:rPr>
          <w:rFonts w:ascii="Calibri" w:hAnsi="Calibri" w:cs="Calibri" w:eastAsia="Calibri" w:hint="default"/>
          <w:spacing w:val="6"/>
        </w:rPr>
        <w:t> </w:t>
      </w:r>
      <w:r>
        <w:rPr/>
        <w:t>月以自有货币资金</w:t>
      </w:r>
      <w:r>
        <w:rPr>
          <w:spacing w:val="-60"/>
        </w:rPr>
        <w:t> </w:t>
      </w:r>
      <w:r>
        <w:rPr>
          <w:rFonts w:ascii="Calibri" w:hAnsi="Calibri" w:cs="Calibri" w:eastAsia="Calibri" w:hint="default"/>
        </w:rPr>
        <w:t>200</w:t>
      </w:r>
      <w:r>
        <w:rPr>
          <w:rFonts w:ascii="Calibri" w:hAnsi="Calibri" w:cs="Calibri" w:eastAsia="Calibri" w:hint="default"/>
          <w:spacing w:val="6"/>
        </w:rPr>
        <w:t> </w:t>
      </w:r>
      <w:r>
        <w:rPr/>
        <w:t>万元 出资购买北京东方易维软件有限公司。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2"/>
        <w:spacing w:line="240" w:lineRule="auto"/>
        <w:ind w:left="224" w:right="1575"/>
        <w:jc w:val="left"/>
        <w:rPr>
          <w:b w:val="0"/>
          <w:bCs w:val="0"/>
        </w:rPr>
      </w:pPr>
      <w:r>
        <w:rPr/>
        <w:t>四、董事会日常工作情况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224" w:right="1575"/>
        <w:jc w:val="left"/>
        <w:rPr>
          <w:b w:val="0"/>
          <w:bCs w:val="0"/>
        </w:rPr>
      </w:pPr>
      <w:r>
        <w:rPr/>
        <w:t>（一）报告期内董事会会议情况</w:t>
      </w:r>
      <w:r>
        <w:rPr>
          <w:b w:val="0"/>
          <w:bCs w:val="0"/>
        </w:rPr>
      </w:r>
    </w:p>
    <w:p>
      <w:pPr>
        <w:pStyle w:val="BodyText"/>
        <w:spacing w:line="340" w:lineRule="auto" w:before="123"/>
        <w:ind w:left="224" w:right="1642" w:firstLine="479"/>
        <w:jc w:val="both"/>
      </w:pPr>
      <w:r>
        <w:rPr/>
        <w:t>报告期内，公司共召开了</w:t>
      </w:r>
      <w:r>
        <w:rPr>
          <w:spacing w:val="-86"/>
        </w:rPr>
        <w:t> </w:t>
      </w:r>
      <w:r>
        <w:rPr>
          <w:rFonts w:ascii="Calibri" w:hAnsi="Calibri" w:cs="Calibri" w:eastAsia="Calibri" w:hint="default"/>
        </w:rPr>
        <w:t>14</w:t>
      </w:r>
      <w:r>
        <w:rPr>
          <w:rFonts w:ascii="Calibri" w:hAnsi="Calibri" w:cs="Calibri" w:eastAsia="Calibri" w:hint="default"/>
          <w:spacing w:val="-20"/>
        </w:rPr>
        <w:t> </w:t>
      </w:r>
      <w:r>
        <w:rPr/>
        <w:t>次董事会，会议的通知、召开、表决程序以及会议的 提案、议案等符合《公司法》、《公司章程》、《董事会议事规则》等法律、法规的 规定和监管部门的规范要求，会议情况如下：</w:t>
      </w:r>
    </w:p>
    <w:p>
      <w:pPr>
        <w:spacing w:line="240" w:lineRule="auto" w:before="4"/>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804"/>
        <w:gridCol w:w="1983"/>
        <w:gridCol w:w="4383"/>
      </w:tblGrid>
      <w:tr>
        <w:trPr>
          <w:trHeight w:val="293" w:hRule="exact"/>
        </w:trPr>
        <w:tc>
          <w:tcPr>
            <w:tcW w:w="280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3"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383"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披露日期及披露媒体</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18</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19</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第四届董事会第三次会议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第四届董事会第四次会议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27</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第四届董事会第五次会议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18</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19</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第四届董事会第六次会议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第四届董事会第七次会议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5"/>
              <w:jc w:val="left"/>
              <w:rPr>
                <w:rFonts w:ascii="宋体" w:hAnsi="宋体" w:cs="宋体" w:eastAsia="宋体" w:hint="default"/>
                <w:sz w:val="21"/>
                <w:szCs w:val="21"/>
              </w:rPr>
            </w:pP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1</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7</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Calibri" w:hAnsi="Calibri" w:cs="Calibri" w:eastAsia="Calibri" w:hint="default"/>
                <w:w w:val="100"/>
                <w:sz w:val="21"/>
                <w:szCs w:val="21"/>
              </w:rPr>
              <w:t>1</w:t>
            </w:r>
            <w:r>
              <w:rPr>
                <w:rFonts w:ascii="Calibri" w:hAnsi="Calibri" w:cs="Calibri" w:eastAsia="Calibri" w:hint="default"/>
                <w:spacing w:val="3"/>
                <w:sz w:val="21"/>
                <w:szCs w:val="21"/>
              </w:rPr>
              <w:t> </w:t>
            </w:r>
            <w:r>
              <w:rPr>
                <w:rFonts w:ascii="宋体" w:hAnsi="宋体" w:cs="宋体" w:eastAsia="宋体" w:hint="default"/>
                <w:spacing w:val="-84"/>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2"/>
                <w:w w:val="100"/>
                <w:sz w:val="21"/>
                <w:szCs w:val="21"/>
              </w:rPr>
              <w:t>时</w:t>
            </w:r>
            <w:r>
              <w:rPr>
                <w:rFonts w:ascii="宋体" w:hAnsi="宋体" w:cs="宋体" w:eastAsia="宋体" w:hint="default"/>
                <w:w w:val="100"/>
                <w:sz w:val="21"/>
                <w:szCs w:val="21"/>
              </w:rPr>
              <w:t>报</w:t>
            </w:r>
            <w:r>
              <w:rPr>
                <w:rFonts w:ascii="宋体" w:hAnsi="宋体" w:cs="宋体" w:eastAsia="宋体" w:hint="default"/>
                <w:spacing w:val="-85"/>
                <w:w w:val="100"/>
                <w:sz w:val="21"/>
                <w:szCs w:val="21"/>
              </w:rPr>
              <w:t>》</w:t>
            </w:r>
            <w:r>
              <w:rPr>
                <w:rFonts w:ascii="宋体" w:hAnsi="宋体" w:cs="宋体" w:eastAsia="宋体" w:hint="default"/>
                <w:spacing w:val="-166"/>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券报</w:t>
            </w:r>
            <w:r>
              <w:rPr>
                <w:rFonts w:ascii="宋体" w:hAnsi="宋体" w:cs="宋体" w:eastAsia="宋体" w:hint="default"/>
                <w:spacing w:val="-82"/>
                <w:w w:val="100"/>
                <w:sz w:val="21"/>
                <w:szCs w:val="21"/>
              </w:rPr>
              <w:t>》</w:t>
            </w:r>
            <w:r>
              <w:rPr>
                <w:rFonts w:ascii="宋体" w:hAnsi="宋体" w:cs="宋体" w:eastAsia="宋体" w:hint="default"/>
                <w:w w:val="100"/>
                <w:sz w:val="21"/>
                <w:szCs w:val="21"/>
              </w:rPr>
              <w:t>、</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第四届董事会第八次会议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22</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23</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14</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29</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第四届董事会第十一次会议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10</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22</w:t>
            </w:r>
            <w:r>
              <w:rPr>
                <w:rFonts w:ascii="Calibri" w:hAnsi="Calibri" w:cs="Calibri" w:eastAsia="Calibri" w:hint="default"/>
                <w:spacing w:val="11"/>
                <w:sz w:val="21"/>
                <w:szCs w:val="21"/>
              </w:rPr>
              <w:t> </w:t>
            </w:r>
            <w:r>
              <w:rPr>
                <w:rFonts w:ascii="宋体" w:hAnsi="宋体" w:cs="宋体" w:eastAsia="宋体" w:hint="default"/>
                <w:spacing w:val="-10"/>
                <w:sz w:val="21"/>
                <w:szCs w:val="21"/>
              </w:rPr>
              <w:t>日《证券时报》、《中国证券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第四届董事会第十二次会议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第四届董事会第十三次会议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11</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22</w:t>
            </w:r>
            <w:r>
              <w:rPr>
                <w:rFonts w:ascii="Calibri" w:hAnsi="Calibri" w:cs="Calibri" w:eastAsia="Calibri" w:hint="default"/>
                <w:spacing w:val="11"/>
                <w:sz w:val="21"/>
                <w:szCs w:val="21"/>
              </w:rPr>
              <w:t> </w:t>
            </w:r>
            <w:r>
              <w:rPr>
                <w:rFonts w:ascii="宋体" w:hAnsi="宋体" w:cs="宋体" w:eastAsia="宋体" w:hint="default"/>
                <w:spacing w:val="-10"/>
                <w:sz w:val="21"/>
                <w:szCs w:val="21"/>
              </w:rPr>
              <w:t>日《证券时报》、《中国证券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报》、《巨潮资讯网》</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第四届董事会第十四次会议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6"/>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日《证券时报》、《中国证券</w:t>
            </w:r>
            <w:r>
              <w:rPr>
                <w:rFonts w:ascii="宋体" w:hAnsi="宋体" w:cs="宋体" w:eastAsia="宋体" w:hint="default"/>
                <w:w w:val="100"/>
                <w:sz w:val="21"/>
                <w:szCs w:val="21"/>
              </w:rPr>
              <w:t> </w:t>
            </w:r>
            <w:r>
              <w:rPr>
                <w:rFonts w:ascii="宋体" w:hAnsi="宋体" w:cs="宋体" w:eastAsia="宋体" w:hint="default"/>
                <w:sz w:val="21"/>
                <w:szCs w:val="21"/>
              </w:rPr>
              <w:t>报》、《巨潮资讯网》</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第四届董事会第十五次会议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30</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31</w:t>
            </w:r>
            <w:r>
              <w:rPr>
                <w:rFonts w:ascii="Calibri" w:hAnsi="Calibri" w:cs="Calibri" w:eastAsia="Calibri" w:hint="default"/>
                <w:spacing w:val="11"/>
                <w:sz w:val="21"/>
                <w:szCs w:val="21"/>
              </w:rPr>
              <w:t> </w:t>
            </w:r>
            <w:r>
              <w:rPr>
                <w:rFonts w:ascii="宋体" w:hAnsi="宋体" w:cs="宋体" w:eastAsia="宋体" w:hint="default"/>
                <w:spacing w:val="-10"/>
                <w:sz w:val="21"/>
                <w:szCs w:val="21"/>
              </w:rPr>
              <w:t>日《证券时报》、《中国证券</w:t>
            </w:r>
          </w:p>
        </w:tc>
      </w:tr>
    </w:tbl>
    <w:p>
      <w:pPr>
        <w:spacing w:after="0" w:line="270" w:lineRule="exact"/>
        <w:jc w:val="center"/>
        <w:rPr>
          <w:rFonts w:ascii="宋体" w:hAnsi="宋体" w:cs="宋体" w:eastAsia="宋体" w:hint="default"/>
          <w:sz w:val="21"/>
          <w:szCs w:val="21"/>
        </w:rPr>
        <w:sectPr>
          <w:footerReference w:type="even" r:id="rId40"/>
          <w:footerReference w:type="default" r:id="rId41"/>
          <w:pgSz w:w="12240" w:h="15840"/>
          <w:pgMar w:footer="987" w:header="847" w:top="1360" w:bottom="1180" w:left="1420" w:right="0"/>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1983"/>
        <w:gridCol w:w="4383"/>
      </w:tblGrid>
      <w:tr>
        <w:trPr>
          <w:trHeight w:val="294" w:hRule="exact"/>
        </w:trPr>
        <w:tc>
          <w:tcPr>
            <w:tcW w:w="2804" w:type="dxa"/>
            <w:tcBorders>
              <w:top w:val="single" w:sz="12" w:space="0" w:color="000000"/>
              <w:left w:val="single" w:sz="4" w:space="0" w:color="000000"/>
              <w:bottom w:val="single" w:sz="4" w:space="0" w:color="000000"/>
              <w:right w:val="single" w:sz="4" w:space="0" w:color="000000"/>
            </w:tcBorders>
          </w:tcPr>
          <w:p>
            <w:pPr/>
          </w:p>
        </w:tc>
        <w:tc>
          <w:tcPr>
            <w:tcW w:w="1983" w:type="dxa"/>
            <w:tcBorders>
              <w:top w:val="single" w:sz="12" w:space="0" w:color="000000"/>
              <w:left w:val="single" w:sz="4" w:space="0" w:color="000000"/>
              <w:bottom w:val="single" w:sz="4" w:space="0" w:color="000000"/>
              <w:right w:val="single" w:sz="4" w:space="0" w:color="000000"/>
            </w:tcBorders>
          </w:tcPr>
          <w:p>
            <w:pPr/>
          </w:p>
        </w:tc>
        <w:tc>
          <w:tcPr>
            <w:tcW w:w="438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报》、《巨潮资讯网》</w:t>
            </w:r>
          </w:p>
        </w:tc>
      </w:tr>
    </w:tbl>
    <w:p>
      <w:pPr>
        <w:spacing w:line="240" w:lineRule="auto" w:before="1"/>
        <w:rPr>
          <w:rFonts w:ascii="宋体" w:hAnsi="宋体" w:cs="宋体" w:eastAsia="宋体" w:hint="default"/>
          <w:sz w:val="18"/>
          <w:szCs w:val="18"/>
        </w:rPr>
      </w:pPr>
    </w:p>
    <w:p>
      <w:pPr>
        <w:pStyle w:val="Heading3"/>
        <w:spacing w:line="240" w:lineRule="auto" w:before="19"/>
        <w:ind w:left="224" w:right="1575"/>
        <w:jc w:val="left"/>
        <w:rPr>
          <w:b w:val="0"/>
          <w:bCs w:val="0"/>
        </w:rPr>
      </w:pPr>
      <w:r>
        <w:rPr/>
        <w:t>（二）董事会对股东大会决议的执行情况</w:t>
      </w:r>
      <w:r>
        <w:rPr>
          <w:b w:val="0"/>
          <w:bCs w:val="0"/>
        </w:rPr>
      </w:r>
    </w:p>
    <w:p>
      <w:pPr>
        <w:pStyle w:val="BodyText"/>
        <w:spacing w:line="336" w:lineRule="auto" w:before="122"/>
        <w:ind w:left="224" w:right="1637" w:firstLine="479"/>
        <w:jc w:val="both"/>
      </w:pPr>
      <w:r>
        <w:rPr>
          <w:rFonts w:ascii="Calibri" w:hAnsi="Calibri" w:cs="Calibri" w:eastAsia="Calibri" w:hint="default"/>
        </w:rPr>
        <w:t>1</w:t>
      </w:r>
      <w:r>
        <w:rPr/>
        <w:t>、根据</w:t>
      </w:r>
      <w:r>
        <w:rPr>
          <w:spacing w:val="-60"/>
        </w:rPr>
        <w:t> </w:t>
      </w:r>
      <w:r>
        <w:rPr>
          <w:rFonts w:ascii="Times New Roman" w:hAnsi="Times New Roman" w:cs="Times New Roman" w:eastAsia="Times New Roman" w:hint="default"/>
        </w:rPr>
        <w:t>2010 </w:t>
      </w:r>
      <w:r>
        <w:rPr/>
        <w:t>年第一次临时股东大会审议通过的《关于发行股份购买北京神州新 桥科技有限公司</w:t>
      </w:r>
      <w:r>
        <w:rPr>
          <w:spacing w:val="-101"/>
        </w:rPr>
        <w:t> </w:t>
      </w:r>
      <w:r>
        <w:rPr>
          <w:rFonts w:ascii="Calibri" w:hAnsi="Calibri" w:cs="Calibri" w:eastAsia="Calibri" w:hint="default"/>
        </w:rPr>
        <w:t>100%</w:t>
      </w:r>
      <w:r>
        <w:rPr/>
        <w:t>股权的议案》和《关于提请股东大会授权董事会办理本次发行股 份购买资产相关事宜的议案》，以及中国证券监督管理委员会出具的《关于核准东华 软件股份公司发行股份购买资产的批复》（证监许可</w:t>
      </w:r>
      <w:r>
        <w:rPr>
          <w:rFonts w:ascii="Calibri" w:hAnsi="Calibri" w:cs="Calibri" w:eastAsia="Calibri" w:hint="default"/>
        </w:rPr>
        <w:t>[2011]96</w:t>
      </w:r>
      <w:r>
        <w:rPr>
          <w:rFonts w:ascii="Calibri" w:hAnsi="Calibri" w:cs="Calibri" w:eastAsia="Calibri" w:hint="default"/>
          <w:spacing w:val="1"/>
        </w:rPr>
        <w:t> </w:t>
      </w:r>
      <w:r>
        <w:rPr>
          <w:spacing w:val="-3"/>
        </w:rPr>
        <w:t>号），董事会于</w:t>
      </w:r>
      <w:r>
        <w:rPr>
          <w:spacing w:val="-65"/>
        </w:rPr>
        <w:t> </w:t>
      </w:r>
      <w:r>
        <w:rPr>
          <w:rFonts w:ascii="Calibri" w:hAnsi="Calibri" w:cs="Calibri" w:eastAsia="Calibri" w:hint="default"/>
        </w:rPr>
        <w:t>2011</w:t>
      </w:r>
      <w:r>
        <w:rPr>
          <w:rFonts w:ascii="Calibri" w:hAnsi="Calibri" w:cs="Calibri" w:eastAsia="Calibri" w:hint="default"/>
          <w:spacing w:val="1"/>
        </w:rPr>
        <w:t> </w:t>
      </w:r>
      <w:r>
        <w:rPr/>
        <w:t>年</w:t>
      </w:r>
    </w:p>
    <w:p>
      <w:pPr>
        <w:pStyle w:val="BodyText"/>
        <w:spacing w:line="326" w:lineRule="auto" w:before="3"/>
        <w:ind w:left="224" w:right="1639"/>
        <w:jc w:val="left"/>
      </w:pPr>
      <w:r>
        <w:rPr>
          <w:rFonts w:ascii="Calibri" w:hAnsi="Calibri" w:cs="Calibri" w:eastAsia="Calibri" w:hint="default"/>
        </w:rPr>
        <w:t>2</w:t>
      </w:r>
      <w:r>
        <w:rPr>
          <w:rFonts w:ascii="Calibri" w:hAnsi="Calibri" w:cs="Calibri" w:eastAsia="Calibri" w:hint="default"/>
          <w:spacing w:val="5"/>
        </w:rPr>
        <w:t> </w:t>
      </w:r>
      <w:r>
        <w:rPr/>
        <w:t>月</w:t>
      </w:r>
      <w:r>
        <w:rPr>
          <w:spacing w:val="-62"/>
        </w:rPr>
        <w:t> </w:t>
      </w:r>
      <w:r>
        <w:rPr>
          <w:rFonts w:ascii="Calibri" w:hAnsi="Calibri" w:cs="Calibri" w:eastAsia="Calibri" w:hint="default"/>
        </w:rPr>
        <w:t>17</w:t>
      </w:r>
      <w:r>
        <w:rPr>
          <w:rFonts w:ascii="Calibri" w:hAnsi="Calibri" w:cs="Calibri" w:eastAsia="Calibri" w:hint="default"/>
          <w:spacing w:val="5"/>
        </w:rPr>
        <w:t> </w:t>
      </w:r>
      <w:r>
        <w:rPr/>
        <w:t>日办理了本次新增股份登记及上市事宜，并于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日完成了公司相 关注册资本、公司章程的工商变更登记手续。</w:t>
      </w:r>
    </w:p>
    <w:p>
      <w:pPr>
        <w:pStyle w:val="BodyText"/>
        <w:spacing w:line="240" w:lineRule="auto" w:before="185"/>
        <w:ind w:left="704" w:right="1575"/>
        <w:jc w:val="left"/>
      </w:pPr>
      <w:r>
        <w:rPr>
          <w:rFonts w:ascii="Calibri" w:hAnsi="Calibri" w:cs="Calibri" w:eastAsia="Calibri" w:hint="default"/>
          <w:spacing w:val="-6"/>
        </w:rPr>
        <w:t>2</w:t>
      </w:r>
      <w:r>
        <w:rPr>
          <w:spacing w:val="-6"/>
        </w:rPr>
        <w:t>、根据</w:t>
      </w:r>
      <w:r>
        <w:rPr>
          <w:spacing w:val="-63"/>
        </w:rPr>
        <w:t> </w:t>
      </w:r>
      <w:r>
        <w:rPr>
          <w:rFonts w:ascii="Calibri" w:hAnsi="Calibri" w:cs="Calibri" w:eastAsia="Calibri" w:hint="default"/>
        </w:rPr>
        <w:t>2010</w:t>
      </w:r>
      <w:r>
        <w:rPr>
          <w:rFonts w:ascii="Calibri" w:hAnsi="Calibri" w:cs="Calibri" w:eastAsia="Calibri" w:hint="default"/>
          <w:spacing w:val="3"/>
        </w:rPr>
        <w:t> </w:t>
      </w:r>
      <w:r>
        <w:rPr>
          <w:spacing w:val="-3"/>
        </w:rPr>
        <w:t>年度股东大会决议，公司</w:t>
      </w:r>
      <w:r>
        <w:rPr>
          <w:spacing w:val="-63"/>
        </w:rPr>
        <w:t> </w:t>
      </w:r>
      <w:r>
        <w:rPr>
          <w:rFonts w:ascii="Calibri" w:hAnsi="Calibri" w:cs="Calibri" w:eastAsia="Calibri" w:hint="default"/>
        </w:rPr>
        <w:t>2010</w:t>
      </w:r>
      <w:r>
        <w:rPr>
          <w:rFonts w:ascii="Calibri" w:hAnsi="Calibri" w:cs="Calibri" w:eastAsia="Calibri" w:hint="default"/>
          <w:spacing w:val="1"/>
        </w:rPr>
        <w:t> </w:t>
      </w:r>
      <w:r>
        <w:rPr/>
        <w:t>年度权益分派方案为：以公司现有总</w:t>
      </w:r>
    </w:p>
    <w:p>
      <w:pPr>
        <w:pStyle w:val="BodyText"/>
        <w:spacing w:line="326" w:lineRule="auto" w:before="123"/>
        <w:ind w:left="224" w:right="1682"/>
        <w:jc w:val="left"/>
      </w:pPr>
      <w:r>
        <w:rPr/>
        <w:t>股本</w:t>
      </w:r>
      <w:r>
        <w:rPr>
          <w:spacing w:val="-62"/>
        </w:rPr>
        <w:t> </w:t>
      </w:r>
      <w:r>
        <w:rPr>
          <w:rFonts w:ascii="Calibri" w:hAnsi="Calibri" w:cs="Calibri" w:eastAsia="Calibri" w:hint="default"/>
        </w:rPr>
        <w:t>442,286,667</w:t>
      </w:r>
      <w:r>
        <w:rPr>
          <w:rFonts w:ascii="Calibri" w:hAnsi="Calibri" w:cs="Calibri" w:eastAsia="Calibri" w:hint="default"/>
          <w:spacing w:val="6"/>
        </w:rPr>
        <w:t> </w:t>
      </w:r>
      <w:r>
        <w:rPr/>
        <w:t>股为基数，向全体股东每</w:t>
      </w:r>
      <w:r>
        <w:rPr>
          <w:spacing w:val="-60"/>
        </w:rPr>
        <w:t> </w:t>
      </w:r>
      <w:r>
        <w:rPr>
          <w:rFonts w:ascii="Calibri" w:hAnsi="Calibri" w:cs="Calibri" w:eastAsia="Calibri" w:hint="default"/>
        </w:rPr>
        <w:t>10</w:t>
      </w:r>
      <w:r>
        <w:rPr>
          <w:rFonts w:ascii="Calibri" w:hAnsi="Calibri" w:cs="Calibri" w:eastAsia="Calibri" w:hint="default"/>
          <w:spacing w:val="5"/>
        </w:rPr>
        <w:t> </w:t>
      </w:r>
      <w:r>
        <w:rPr/>
        <w:t>股送</w:t>
      </w:r>
      <w:r>
        <w:rPr>
          <w:spacing w:val="-61"/>
        </w:rPr>
        <w:t> </w:t>
      </w:r>
      <w:r>
        <w:rPr>
          <w:rFonts w:ascii="Calibri" w:hAnsi="Calibri" w:cs="Calibri" w:eastAsia="Calibri" w:hint="default"/>
        </w:rPr>
        <w:t>2</w:t>
      </w:r>
      <w:r>
        <w:rPr>
          <w:rFonts w:ascii="Calibri" w:hAnsi="Calibri" w:cs="Calibri" w:eastAsia="Calibri" w:hint="default"/>
          <w:spacing w:val="5"/>
        </w:rPr>
        <w:t> </w:t>
      </w:r>
      <w:r>
        <w:rPr/>
        <w:t>股红股，派</w:t>
      </w:r>
      <w:r>
        <w:rPr>
          <w:spacing w:val="-61"/>
        </w:rPr>
        <w:t> </w:t>
      </w:r>
      <w:r>
        <w:rPr>
          <w:rFonts w:ascii="Calibri" w:hAnsi="Calibri" w:cs="Calibri" w:eastAsia="Calibri" w:hint="default"/>
        </w:rPr>
        <w:t>1</w:t>
      </w:r>
      <w:r>
        <w:rPr>
          <w:rFonts w:ascii="Calibri" w:hAnsi="Calibri" w:cs="Calibri" w:eastAsia="Calibri" w:hint="default"/>
          <w:spacing w:val="3"/>
        </w:rPr>
        <w:t> </w:t>
      </w:r>
      <w:r>
        <w:rPr/>
        <w:t>元人民币现金（含 税）。</w:t>
      </w:r>
    </w:p>
    <w:p>
      <w:pPr>
        <w:pStyle w:val="BodyText"/>
        <w:spacing w:line="331" w:lineRule="auto" w:before="185"/>
        <w:ind w:left="224" w:right="1640" w:firstLine="479"/>
        <w:jc w:val="both"/>
      </w:pPr>
      <w:r>
        <w:rPr/>
        <w:t>上述权益分派方案已实施完毕，公司于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4"/>
        </w:rPr>
        <w:t>日在《中国证券报》、《证</w:t>
      </w:r>
      <w:r>
        <w:rPr/>
        <w:t> 券时报》及巨潮资讯网刊登了《</w:t>
      </w:r>
      <w:r>
        <w:rPr>
          <w:rFonts w:ascii="Times New Roman" w:hAnsi="Times New Roman" w:cs="Times New Roman" w:eastAsia="Times New Roman" w:hint="default"/>
        </w:rPr>
        <w:t>2010 </w:t>
      </w:r>
      <w:r>
        <w:rPr/>
        <w:t>年度权益分派实施公告》，股权登记日为：</w:t>
      </w:r>
      <w:r>
        <w:rPr>
          <w:rFonts w:ascii="Calibri" w:hAnsi="Calibri" w:cs="Calibri" w:eastAsia="Calibri" w:hint="default"/>
        </w:rPr>
        <w:t>2011 </w:t>
      </w:r>
      <w:r>
        <w:rPr/>
        <w:t>年</w:t>
      </w:r>
      <w:r>
        <w:rPr>
          <w:spacing w:val="-61"/>
        </w:rPr>
        <w:t> </w:t>
      </w:r>
      <w:r>
        <w:rPr>
          <w:rFonts w:ascii="Calibri" w:hAnsi="Calibri" w:cs="Calibri" w:eastAsia="Calibri" w:hint="default"/>
        </w:rPr>
        <w:t>07</w:t>
      </w:r>
      <w:r>
        <w:rPr>
          <w:rFonts w:ascii="Calibri" w:hAnsi="Calibri" w:cs="Calibri" w:eastAsia="Calibri" w:hint="default"/>
          <w:spacing w:val="5"/>
        </w:rPr>
        <w:t> </w:t>
      </w:r>
      <w:r>
        <w:rPr/>
        <w:t>月</w:t>
      </w:r>
      <w:r>
        <w:rPr>
          <w:spacing w:val="-61"/>
        </w:rPr>
        <w:t> </w:t>
      </w:r>
      <w:r>
        <w:rPr>
          <w:rFonts w:ascii="Calibri" w:hAnsi="Calibri" w:cs="Calibri" w:eastAsia="Calibri" w:hint="default"/>
        </w:rPr>
        <w:t>12</w:t>
      </w:r>
      <w:r>
        <w:rPr>
          <w:rFonts w:ascii="Calibri" w:hAnsi="Calibri" w:cs="Calibri" w:eastAsia="Calibri" w:hint="default"/>
          <w:spacing w:val="5"/>
        </w:rPr>
        <w:t> </w:t>
      </w:r>
      <w:r>
        <w:rPr/>
        <w:t>日，除权除息日为：</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07</w:t>
      </w:r>
      <w:r>
        <w:rPr>
          <w:rFonts w:ascii="Calibri" w:hAnsi="Calibri" w:cs="Calibri" w:eastAsia="Calibri" w:hint="default"/>
          <w:spacing w:val="5"/>
        </w:rPr>
        <w:t> </w:t>
      </w:r>
      <w:r>
        <w:rPr/>
        <w:t>月</w:t>
      </w:r>
      <w:r>
        <w:rPr>
          <w:spacing w:val="-64"/>
        </w:rPr>
        <w:t> </w:t>
      </w:r>
      <w:r>
        <w:rPr>
          <w:rFonts w:ascii="Calibri" w:hAnsi="Calibri" w:cs="Calibri" w:eastAsia="Calibri" w:hint="default"/>
        </w:rPr>
        <w:t>13</w:t>
      </w:r>
      <w:r>
        <w:rPr>
          <w:rFonts w:ascii="Calibri" w:hAnsi="Calibri" w:cs="Calibri" w:eastAsia="Calibri" w:hint="default"/>
          <w:spacing w:val="5"/>
        </w:rPr>
        <w:t> </w:t>
      </w:r>
      <w:r>
        <w:rPr/>
        <w:t>日。</w:t>
      </w:r>
    </w:p>
    <w:p>
      <w:pPr>
        <w:pStyle w:val="BodyText"/>
        <w:spacing w:line="240" w:lineRule="auto" w:before="12"/>
        <w:ind w:left="704" w:right="1507"/>
        <w:jc w:val="left"/>
      </w:pPr>
      <w:r>
        <w:rPr>
          <w:rFonts w:ascii="Calibri" w:hAnsi="Calibri" w:cs="Calibri" w:eastAsia="Calibri" w:hint="default"/>
        </w:rPr>
        <w:t>3</w:t>
      </w:r>
      <w:r>
        <w:rPr/>
        <w:t>、根据</w:t>
      </w:r>
      <w:r>
        <w:rPr>
          <w:spacing w:val="-62"/>
        </w:rPr>
        <w:t> </w:t>
      </w:r>
      <w:r>
        <w:rPr>
          <w:rFonts w:ascii="Calibri" w:hAnsi="Calibri" w:cs="Calibri" w:eastAsia="Calibri" w:hint="default"/>
        </w:rPr>
        <w:t>2010</w:t>
      </w:r>
      <w:r>
        <w:rPr>
          <w:rFonts w:ascii="Calibri" w:hAnsi="Calibri" w:cs="Calibri" w:eastAsia="Calibri" w:hint="default"/>
          <w:spacing w:val="4"/>
        </w:rPr>
        <w:t> </w:t>
      </w:r>
      <w:r>
        <w:rPr/>
        <w:t>年度股东大会审议通过的《关于聘任</w:t>
      </w:r>
      <w:r>
        <w:rPr>
          <w:spacing w:val="-62"/>
        </w:rPr>
        <w:t> </w:t>
      </w:r>
      <w:r>
        <w:rPr>
          <w:rFonts w:ascii="Calibri" w:hAnsi="Calibri" w:cs="Calibri" w:eastAsia="Calibri" w:hint="default"/>
        </w:rPr>
        <w:t>2011</w:t>
      </w:r>
      <w:r>
        <w:rPr>
          <w:rFonts w:ascii="Calibri" w:hAnsi="Calibri" w:cs="Calibri" w:eastAsia="Calibri" w:hint="default"/>
          <w:spacing w:val="4"/>
        </w:rPr>
        <w:t> </w:t>
      </w:r>
      <w:r>
        <w:rPr/>
        <w:t>年度审计机构的议案》，</w:t>
      </w:r>
    </w:p>
    <w:p>
      <w:pPr>
        <w:pStyle w:val="BodyText"/>
        <w:spacing w:line="240" w:lineRule="auto" w:before="121"/>
        <w:ind w:left="224" w:right="1575"/>
        <w:jc w:val="left"/>
      </w:pPr>
      <w:r>
        <w:rPr/>
        <w:t>公司续聘北京兴华会计师事务所有限责任公司为公司</w:t>
      </w:r>
      <w:r>
        <w:rPr>
          <w:spacing w:val="-62"/>
        </w:rPr>
        <w:t> </w:t>
      </w:r>
      <w:r>
        <w:rPr>
          <w:rFonts w:ascii="Calibri" w:hAnsi="Calibri" w:cs="Calibri" w:eastAsia="Calibri" w:hint="default"/>
        </w:rPr>
        <w:t>2011</w:t>
      </w:r>
      <w:r>
        <w:rPr>
          <w:rFonts w:ascii="Calibri" w:hAnsi="Calibri" w:cs="Calibri" w:eastAsia="Calibri" w:hint="default"/>
          <w:spacing w:val="4"/>
        </w:rPr>
        <w:t> </w:t>
      </w:r>
      <w:r>
        <w:rPr/>
        <w:t>年度财务审计机构。</w:t>
      </w:r>
    </w:p>
    <w:p>
      <w:pPr>
        <w:pStyle w:val="BodyText"/>
        <w:spacing w:line="324" w:lineRule="auto" w:before="123"/>
        <w:ind w:left="224" w:right="1704" w:firstLine="479"/>
        <w:jc w:val="both"/>
      </w:pPr>
      <w:r>
        <w:rPr>
          <w:rFonts w:ascii="Calibri" w:hAnsi="Calibri" w:cs="Calibri" w:eastAsia="Calibri" w:hint="default"/>
        </w:rPr>
        <w:t>4</w:t>
      </w:r>
      <w:r>
        <w:rPr/>
        <w:t>、根据</w:t>
      </w:r>
      <w:r>
        <w:rPr>
          <w:spacing w:val="-62"/>
        </w:rPr>
        <w:t> </w:t>
      </w:r>
      <w:r>
        <w:rPr>
          <w:rFonts w:ascii="Calibri" w:hAnsi="Calibri" w:cs="Calibri" w:eastAsia="Calibri" w:hint="default"/>
        </w:rPr>
        <w:t>2011</w:t>
      </w:r>
      <w:r>
        <w:rPr>
          <w:rFonts w:ascii="Calibri" w:hAnsi="Calibri" w:cs="Calibri" w:eastAsia="Calibri" w:hint="default"/>
          <w:spacing w:val="5"/>
        </w:rPr>
        <w:t> </w:t>
      </w:r>
      <w:r>
        <w:rPr/>
        <w:t>年第一次临时股东大会审议通过的《关于修改公司章程的议案》， 办理了公司章程的工商备案变更登记手续。</w:t>
      </w:r>
    </w:p>
    <w:p>
      <w:pPr>
        <w:spacing w:line="240" w:lineRule="auto" w:before="12"/>
        <w:rPr>
          <w:rFonts w:ascii="宋体" w:hAnsi="宋体" w:cs="宋体" w:eastAsia="宋体" w:hint="default"/>
          <w:sz w:val="27"/>
          <w:szCs w:val="27"/>
        </w:rPr>
      </w:pPr>
    </w:p>
    <w:p>
      <w:pPr>
        <w:pStyle w:val="Heading3"/>
        <w:spacing w:line="240" w:lineRule="auto"/>
        <w:ind w:left="224" w:right="1575"/>
        <w:jc w:val="left"/>
        <w:rPr>
          <w:b w:val="0"/>
          <w:bCs w:val="0"/>
        </w:rPr>
      </w:pPr>
      <w:r>
        <w:rPr/>
        <w:t>（三）董事会审计委员会履职情况</w:t>
      </w:r>
      <w:r>
        <w:rPr>
          <w:b w:val="0"/>
          <w:bCs w:val="0"/>
        </w:rPr>
      </w:r>
    </w:p>
    <w:p>
      <w:pPr>
        <w:spacing w:line="240" w:lineRule="auto" w:before="7"/>
        <w:rPr>
          <w:rFonts w:ascii="黑体" w:hAnsi="黑体" w:cs="黑体" w:eastAsia="黑体" w:hint="default"/>
          <w:b/>
          <w:bCs/>
          <w:sz w:val="24"/>
          <w:szCs w:val="24"/>
        </w:rPr>
      </w:pPr>
    </w:p>
    <w:p>
      <w:pPr>
        <w:pStyle w:val="Heading4"/>
        <w:spacing w:line="240" w:lineRule="auto"/>
        <w:ind w:left="224" w:right="1575"/>
        <w:jc w:val="left"/>
        <w:rPr>
          <w:b w:val="0"/>
          <w:bCs w:val="0"/>
        </w:rPr>
      </w:pPr>
      <w:r>
        <w:rPr>
          <w:rFonts w:ascii="Calibri" w:hAnsi="Calibri" w:cs="Calibri" w:eastAsia="Calibri" w:hint="default"/>
        </w:rPr>
        <w:t>1</w:t>
      </w:r>
      <w:r>
        <w:rPr/>
        <w:t>、审计委员会对年度财务报告的审议工作情况</w:t>
      </w:r>
      <w:r>
        <w:rPr>
          <w:b w:val="0"/>
          <w:bCs w:val="0"/>
        </w:rPr>
      </w:r>
    </w:p>
    <w:p>
      <w:pPr>
        <w:pStyle w:val="BodyText"/>
        <w:spacing w:line="357" w:lineRule="auto" w:before="97"/>
        <w:ind w:left="224" w:right="1507" w:firstLine="479"/>
        <w:jc w:val="left"/>
      </w:pPr>
      <w:r>
        <w:rPr>
          <w:spacing w:val="-5"/>
        </w:rPr>
        <w:t>（</w:t>
      </w:r>
      <w:r>
        <w:rPr>
          <w:rFonts w:ascii="宋体" w:hAnsi="宋体" w:cs="宋体" w:eastAsia="宋体" w:hint="default"/>
          <w:spacing w:val="-5"/>
        </w:rPr>
        <w:t>1</w:t>
      </w:r>
      <w:r>
        <w:rPr>
          <w:spacing w:val="-5"/>
        </w:rPr>
        <w:t>）在公司年审注册会计师进场前，审计委员会审阅了公司编制的财务会计报表，</w:t>
      </w:r>
      <w:r>
        <w:rPr/>
        <w:t> 认为财务会计报表基本能够反映公司的财务状况和经营成果。</w:t>
      </w:r>
    </w:p>
    <w:p>
      <w:pPr>
        <w:pStyle w:val="BodyText"/>
        <w:spacing w:line="357" w:lineRule="auto" w:before="154"/>
        <w:ind w:left="224" w:right="1641" w:firstLine="479"/>
        <w:jc w:val="both"/>
      </w:pPr>
      <w:r>
        <w:rPr>
          <w:spacing w:val="-2"/>
        </w:rPr>
        <w:t>（</w:t>
      </w:r>
      <w:r>
        <w:rPr>
          <w:rFonts w:ascii="宋体" w:hAnsi="宋体" w:cs="宋体" w:eastAsia="宋体" w:hint="default"/>
          <w:spacing w:val="-2"/>
        </w:rPr>
        <w:t>2</w:t>
      </w:r>
      <w:r>
        <w:rPr>
          <w:spacing w:val="-2"/>
        </w:rPr>
        <w:t>）在年审注册会计师进场前，审计委员会与会计师事务所共同协商确定了公司</w:t>
      </w:r>
      <w:r>
        <w:rPr/>
        <w:t> 本年度财务报告审计工作的时间安排，并不断加强与年审会计师的沟通，督促其在约 定时限内提交审计报告。</w:t>
      </w:r>
    </w:p>
    <w:p>
      <w:pPr>
        <w:spacing w:after="0" w:line="357" w:lineRule="auto"/>
        <w:jc w:val="both"/>
        <w:sectPr>
          <w:pgSz w:w="12240" w:h="15840"/>
          <w:pgMar w:header="847" w:footer="987" w:top="1360" w:bottom="1180" w:left="1420" w:right="0"/>
        </w:sectPr>
      </w:pPr>
    </w:p>
    <w:p>
      <w:pPr>
        <w:pStyle w:val="BodyText"/>
        <w:spacing w:line="357" w:lineRule="auto" w:before="11"/>
        <w:ind w:right="1641" w:firstLine="479"/>
        <w:jc w:val="both"/>
      </w:pPr>
      <w:r>
        <w:rPr/>
        <w:pict>
          <v:group style="position:absolute;margin-left:80.783997pt;margin-top:1.845647pt;width:450.6pt;height:.1pt;mso-position-horizontal-relative:page;mso-position-vertical-relative:paragraph;z-index:-863704" coordorigin="1616,37" coordsize="9012,2">
            <v:shape style="position:absolute;left:1616;top:37;width:9012;height:2" coordorigin="1616,37" coordsize="9012,0" path="m1616,37l10627,37e" filled="false" stroked="true" strokeweight=".71999pt" strokecolor="#000000">
              <v:path arrowok="t"/>
            </v:shape>
            <w10:wrap type="none"/>
          </v:group>
        </w:pict>
      </w:r>
      <w:r>
        <w:rPr>
          <w:spacing w:val="-2"/>
        </w:rPr>
        <w:t>（</w:t>
      </w:r>
      <w:r>
        <w:rPr>
          <w:rFonts w:ascii="宋体" w:hAnsi="宋体" w:cs="宋体" w:eastAsia="宋体" w:hint="default"/>
          <w:spacing w:val="-2"/>
        </w:rPr>
        <w:t>3</w:t>
      </w:r>
      <w:r>
        <w:rPr>
          <w:spacing w:val="-2"/>
        </w:rPr>
        <w:t>）在年审注册会计师出具初步审计意见后，审计委员会又一次审阅了公司财务</w:t>
      </w:r>
      <w:r>
        <w:rPr/>
        <w:t> 会计报表，并与年审会计师进行了沟通，认为公司财务会计报表真实、准确、完整的 反映了公司的财务状况、现金流量和经营成果。</w:t>
      </w:r>
    </w:p>
    <w:p>
      <w:pPr>
        <w:spacing w:line="240" w:lineRule="auto" w:before="13"/>
        <w:rPr>
          <w:rFonts w:ascii="宋体" w:hAnsi="宋体" w:cs="宋体" w:eastAsia="宋体" w:hint="default"/>
          <w:sz w:val="26"/>
          <w:szCs w:val="26"/>
        </w:rPr>
      </w:pPr>
    </w:p>
    <w:p>
      <w:pPr>
        <w:pStyle w:val="Heading4"/>
        <w:spacing w:line="240" w:lineRule="auto"/>
        <w:ind w:right="1697"/>
        <w:jc w:val="left"/>
        <w:rPr>
          <w:b w:val="0"/>
          <w:bCs w:val="0"/>
        </w:rPr>
      </w:pPr>
      <w:r>
        <w:rPr>
          <w:rFonts w:ascii="Calibri" w:hAnsi="Calibri" w:cs="Calibri" w:eastAsia="Calibri" w:hint="default"/>
        </w:rPr>
        <w:t>2</w:t>
      </w:r>
      <w:r>
        <w:rPr/>
        <w:t>、审计委员会对续聘会计师事务所的建议</w:t>
      </w:r>
      <w:r>
        <w:rPr>
          <w:b w:val="0"/>
          <w:bCs w:val="0"/>
        </w:rPr>
      </w:r>
    </w:p>
    <w:p>
      <w:pPr>
        <w:pStyle w:val="BodyText"/>
        <w:spacing w:line="240" w:lineRule="auto" w:before="97"/>
        <w:ind w:left="624" w:right="1697"/>
        <w:jc w:val="left"/>
      </w:pPr>
      <w:r>
        <w:rPr/>
        <w:t>审计委员会向董事会提交了会计师事务所从事 </w:t>
      </w:r>
      <w:r>
        <w:rPr>
          <w:rFonts w:ascii="宋体" w:hAnsi="宋体" w:cs="宋体" w:eastAsia="宋体" w:hint="default"/>
        </w:rPr>
        <w:t>2011</w:t>
      </w:r>
      <w:r>
        <w:rPr>
          <w:rFonts w:ascii="宋体" w:hAnsi="宋体" w:cs="宋体" w:eastAsia="宋体" w:hint="default"/>
          <w:spacing w:val="-59"/>
        </w:rPr>
        <w:t> </w:t>
      </w:r>
      <w:r>
        <w:rPr/>
        <w:t>年度公司审计工作的总结报</w:t>
      </w:r>
    </w:p>
    <w:p>
      <w:pPr>
        <w:pStyle w:val="BodyText"/>
        <w:spacing w:line="240" w:lineRule="auto" w:before="154"/>
        <w:ind w:right="1557"/>
        <w:jc w:val="left"/>
      </w:pPr>
      <w:r>
        <w:rPr>
          <w:spacing w:val="-10"/>
        </w:rPr>
        <w:t>告，认为公司</w:t>
      </w:r>
      <w:r>
        <w:rPr>
          <w:spacing w:val="-77"/>
        </w:rPr>
        <w:t> </w:t>
      </w:r>
      <w:r>
        <w:rPr>
          <w:rFonts w:ascii="宋体" w:hAnsi="宋体" w:cs="宋体" w:eastAsia="宋体" w:hint="default"/>
        </w:rPr>
        <w:t>2011</w:t>
      </w:r>
      <w:r>
        <w:rPr>
          <w:rFonts w:ascii="宋体" w:hAnsi="宋体" w:cs="宋体" w:eastAsia="宋体" w:hint="default"/>
          <w:spacing w:val="-34"/>
        </w:rPr>
        <w:t> </w:t>
      </w:r>
      <w:r>
        <w:rPr/>
        <w:t>年聘请的新华会计师事务所为公司提供了较好的服务。根据兴华所</w:t>
      </w:r>
    </w:p>
    <w:p>
      <w:pPr>
        <w:pStyle w:val="BodyText"/>
        <w:spacing w:line="326" w:lineRule="auto" w:before="151"/>
        <w:ind w:right="1620"/>
        <w:jc w:val="left"/>
      </w:pPr>
      <w:r>
        <w:rPr/>
        <w:t>的服务意识、职业操守和履职能力，建议继续聘任兴华所作为公司</w:t>
      </w:r>
      <w:r>
        <w:rPr>
          <w:spacing w:val="-85"/>
        </w:rPr>
        <w:t> </w:t>
      </w:r>
      <w:r>
        <w:rPr>
          <w:rFonts w:ascii="Calibri" w:hAnsi="Calibri" w:cs="Calibri" w:eastAsia="Calibri" w:hint="default"/>
        </w:rPr>
        <w:t>2012</w:t>
      </w:r>
      <w:r>
        <w:rPr>
          <w:rFonts w:ascii="Calibri" w:hAnsi="Calibri" w:cs="Calibri" w:eastAsia="Calibri" w:hint="default"/>
          <w:spacing w:val="-20"/>
        </w:rPr>
        <w:t> </w:t>
      </w:r>
      <w:r>
        <w:rPr/>
        <w:t>年度的财务审 计机构。</w:t>
      </w:r>
    </w:p>
    <w:p>
      <w:pPr>
        <w:spacing w:line="240" w:lineRule="auto" w:before="5"/>
        <w:rPr>
          <w:rFonts w:ascii="宋体" w:hAnsi="宋体" w:cs="宋体" w:eastAsia="宋体" w:hint="default"/>
          <w:sz w:val="29"/>
          <w:szCs w:val="29"/>
        </w:rPr>
      </w:pPr>
    </w:p>
    <w:p>
      <w:pPr>
        <w:pStyle w:val="Heading4"/>
        <w:spacing w:line="240" w:lineRule="auto"/>
        <w:ind w:right="1697"/>
        <w:jc w:val="left"/>
        <w:rPr>
          <w:b w:val="0"/>
          <w:bCs w:val="0"/>
        </w:rPr>
      </w:pPr>
      <w:r>
        <w:rPr>
          <w:rFonts w:ascii="Calibri" w:hAnsi="Calibri" w:cs="Calibri" w:eastAsia="Calibri" w:hint="default"/>
        </w:rPr>
        <w:t>3</w:t>
      </w:r>
      <w:r>
        <w:rPr/>
        <w:t>、报告期内董事会审计委员会其他履职情况</w:t>
      </w:r>
      <w:r>
        <w:rPr>
          <w:b w:val="0"/>
          <w:bCs w:val="0"/>
        </w:rPr>
      </w:r>
    </w:p>
    <w:p>
      <w:pPr>
        <w:pStyle w:val="BodyText"/>
        <w:spacing w:line="355" w:lineRule="auto" w:before="97"/>
        <w:ind w:right="1507" w:firstLine="479"/>
        <w:jc w:val="left"/>
      </w:pPr>
      <w:r>
        <w:rPr/>
        <w:t>报告期内，审计委员会定期检查公司财务情况，审核并通过了《</w:t>
      </w:r>
      <w:r>
        <w:rPr>
          <w:rFonts w:ascii="宋体" w:hAnsi="宋体" w:cs="宋体" w:eastAsia="宋体" w:hint="default"/>
        </w:rPr>
        <w:t>2011</w:t>
      </w:r>
      <w:r>
        <w:rPr>
          <w:rFonts w:ascii="宋体" w:hAnsi="宋体" w:cs="宋体" w:eastAsia="宋体" w:hint="default"/>
          <w:spacing w:val="-23"/>
        </w:rPr>
        <w:t> </w:t>
      </w:r>
      <w:r>
        <w:rPr/>
        <w:t>年第一季度 </w:t>
      </w:r>
      <w:r>
        <w:rPr>
          <w:spacing w:val="-3"/>
        </w:rPr>
        <w:t>内审报告》、《</w:t>
      </w:r>
      <w:r>
        <w:rPr>
          <w:rFonts w:ascii="宋体" w:hAnsi="宋体" w:cs="宋体" w:eastAsia="宋体" w:hint="default"/>
          <w:spacing w:val="-3"/>
        </w:rPr>
        <w:t>2011 </w:t>
      </w:r>
      <w:r>
        <w:rPr/>
        <w:t>年第二季度内审报告》、《</w:t>
      </w:r>
      <w:r>
        <w:rPr>
          <w:rFonts w:ascii="宋体" w:hAnsi="宋体" w:cs="宋体" w:eastAsia="宋体" w:hint="default"/>
        </w:rPr>
        <w:t>2011</w:t>
      </w:r>
      <w:r>
        <w:rPr>
          <w:rFonts w:ascii="宋体" w:hAnsi="宋体" w:cs="宋体" w:eastAsia="宋体" w:hint="default"/>
          <w:spacing w:val="-15"/>
        </w:rPr>
        <w:t> </w:t>
      </w:r>
      <w:r>
        <w:rPr/>
        <w:t>年第三季度内审报告》等议案。</w:t>
      </w:r>
    </w:p>
    <w:p>
      <w:pPr>
        <w:spacing w:line="240" w:lineRule="auto" w:before="7"/>
        <w:rPr>
          <w:rFonts w:ascii="宋体" w:hAnsi="宋体" w:cs="宋体" w:eastAsia="宋体" w:hint="default"/>
          <w:sz w:val="25"/>
          <w:szCs w:val="25"/>
        </w:rPr>
      </w:pPr>
    </w:p>
    <w:p>
      <w:pPr>
        <w:pStyle w:val="Heading3"/>
        <w:spacing w:line="240" w:lineRule="auto"/>
        <w:ind w:right="1697"/>
        <w:jc w:val="left"/>
        <w:rPr>
          <w:b w:val="0"/>
          <w:bCs w:val="0"/>
        </w:rPr>
      </w:pPr>
      <w:r>
        <w:rPr/>
        <w:t>（四）董事会薪酬与考核委员会履职情况</w:t>
      </w:r>
      <w:r>
        <w:rPr>
          <w:b w:val="0"/>
          <w:bCs w:val="0"/>
        </w:rPr>
      </w:r>
    </w:p>
    <w:p>
      <w:pPr>
        <w:pStyle w:val="BodyText"/>
        <w:spacing w:line="357" w:lineRule="auto" w:before="124"/>
        <w:ind w:right="1506" w:firstLine="479"/>
        <w:jc w:val="left"/>
      </w:pPr>
      <w:r>
        <w:rPr/>
        <w:t>董事会薪酬与考核委员会对公司董事、监事和高级管理人员所披露薪酬发表审核 </w:t>
      </w:r>
      <w:r>
        <w:rPr>
          <w:spacing w:val="-2"/>
        </w:rPr>
        <w:t>意见如下：</w:t>
      </w:r>
      <w:r>
        <w:rPr>
          <w:rFonts w:ascii="宋体" w:hAnsi="宋体" w:cs="宋体" w:eastAsia="宋体" w:hint="default"/>
          <w:spacing w:val="-2"/>
        </w:rPr>
        <w:t>2011</w:t>
      </w:r>
      <w:r>
        <w:rPr>
          <w:spacing w:val="-2"/>
        </w:rPr>
        <w:t>年各位董事、监事、高级管理人员密切配合，带领全体员工共同努力，</w:t>
      </w:r>
      <w:r>
        <w:rPr>
          <w:spacing w:val="-89"/>
        </w:rPr>
        <w:t> </w:t>
      </w:r>
      <w:r>
        <w:rPr>
          <w:spacing w:val="-89"/>
        </w:rPr>
      </w:r>
      <w:r>
        <w:rPr/>
        <w:t>取得了良好的经营业绩，公司经营业绩继续保持稳定增长。</w:t>
      </w:r>
      <w:r>
        <w:rPr>
          <w:rFonts w:ascii="宋体" w:hAnsi="宋体" w:cs="宋体" w:eastAsia="宋体" w:hint="default"/>
        </w:rPr>
        <w:t>2011</w:t>
      </w:r>
      <w:r>
        <w:rPr/>
        <w:t>年所披露的董事和高 管薪酬相关决策程序符合法律法规的规定，薪酬信息披露真实、合理。</w:t>
      </w:r>
    </w:p>
    <w:p>
      <w:pPr>
        <w:pStyle w:val="BodyText"/>
        <w:spacing w:line="357" w:lineRule="auto" w:before="156"/>
        <w:ind w:right="1506" w:firstLine="479"/>
        <w:jc w:val="left"/>
      </w:pPr>
      <w:r>
        <w:rPr/>
        <w:t>报告期内，薪酬与考核委员会对公司的《股票期权激励计划（草案）》及摘要进 </w:t>
      </w:r>
      <w:r>
        <w:rPr>
          <w:spacing w:val="-2"/>
        </w:rPr>
        <w:t>行了认真审核，认为：公司本次股票期权激励计划所确定的激励对象为公司部分董事、</w:t>
      </w:r>
      <w:r>
        <w:rPr>
          <w:spacing w:val="-92"/>
        </w:rPr>
        <w:t> </w:t>
      </w:r>
      <w:r>
        <w:rPr>
          <w:spacing w:val="-92"/>
        </w:rPr>
      </w:r>
      <w:r>
        <w:rPr>
          <w:spacing w:val="-7"/>
        </w:rPr>
        <w:t>高级管理人员和其他中层管理人员和核心业务人员，其具备《公司法》、《证券法》等</w:t>
      </w:r>
      <w:r>
        <w:rPr>
          <w:spacing w:val="-94"/>
        </w:rPr>
        <w:t> </w:t>
      </w:r>
      <w:r>
        <w:rPr>
          <w:spacing w:val="-94"/>
        </w:rPr>
      </w:r>
      <w:r>
        <w:rPr/>
        <w:t>法律、法规和规范性文件及《公司章程》规定的任职资格。上述激励对象不存在《上 </w:t>
      </w:r>
      <w:r>
        <w:rPr>
          <w:spacing w:val="-5"/>
        </w:rPr>
        <w:t>市公司股权激励管理办法（试行）》第八条所规定的禁止获授股权激励的情形，激励对</w:t>
      </w:r>
      <w:r>
        <w:rPr>
          <w:spacing w:val="-99"/>
        </w:rPr>
        <w:t> </w:t>
      </w:r>
      <w:r>
        <w:rPr>
          <w:spacing w:val="-99"/>
        </w:rPr>
      </w:r>
      <w:r>
        <w:rPr/>
        <w:t>象的主体资格真实、合法、有效，且激励对象范围的确定符合公司实际情况以及公司 业务发展的实际需要。同意将积极计划提交董事会审议。</w:t>
      </w:r>
    </w:p>
    <w:p>
      <w:pPr>
        <w:spacing w:after="0" w:line="357" w:lineRule="auto"/>
        <w:jc w:val="left"/>
        <w:sectPr>
          <w:footerReference w:type="even" r:id="rId42"/>
          <w:footerReference w:type="default" r:id="rId43"/>
          <w:pgSz w:w="12240" w:h="15840"/>
          <w:pgMar w:footer="987" w:header="847" w:top="1360" w:bottom="1180" w:left="1500" w:right="0"/>
          <w:pgNumType w:start="62"/>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2"/>
        <w:spacing w:line="240" w:lineRule="auto"/>
        <w:ind w:right="1697"/>
        <w:jc w:val="left"/>
        <w:rPr>
          <w:b w:val="0"/>
          <w:bCs w:val="0"/>
        </w:rPr>
      </w:pPr>
      <w:r>
        <w:rPr>
          <w:rFonts w:ascii="宋体" w:hAnsi="宋体" w:cs="宋体" w:eastAsia="宋体" w:hint="default"/>
          <w:b w:val="0"/>
          <w:bCs w:val="0"/>
          <w:sz w:val="24"/>
          <w:szCs w:val="24"/>
        </w:rPr>
        <w:t>五</w:t>
      </w:r>
      <w:r>
        <w:rPr/>
        <w:t>、</w:t>
      </w:r>
      <w:r>
        <w:rPr>
          <w:rFonts w:ascii="黑体" w:hAnsi="黑体" w:cs="黑体" w:eastAsia="黑体" w:hint="default"/>
        </w:rPr>
        <w:t>2011</w:t>
      </w:r>
      <w:r>
        <w:rPr>
          <w:rFonts w:ascii="黑体" w:hAnsi="黑体" w:cs="黑体" w:eastAsia="黑体" w:hint="default"/>
          <w:spacing w:val="-73"/>
        </w:rPr>
        <w:t> </w:t>
      </w:r>
      <w:r>
        <w:rPr/>
        <w:t>年度利润分配预案</w:t>
      </w:r>
      <w:r>
        <w:rPr>
          <w:b w:val="0"/>
          <w:bCs w:val="0"/>
        </w:rPr>
      </w:r>
    </w:p>
    <w:p>
      <w:pPr>
        <w:spacing w:line="240" w:lineRule="auto" w:before="7"/>
        <w:rPr>
          <w:rFonts w:ascii="黑体" w:hAnsi="黑体" w:cs="黑体" w:eastAsia="黑体" w:hint="default"/>
          <w:b/>
          <w:bCs/>
          <w:sz w:val="22"/>
          <w:szCs w:val="22"/>
        </w:rPr>
      </w:pPr>
    </w:p>
    <w:p>
      <w:pPr>
        <w:pStyle w:val="Heading3"/>
        <w:spacing w:line="240" w:lineRule="auto"/>
        <w:ind w:right="1697"/>
        <w:jc w:val="left"/>
        <w:rPr>
          <w:b w:val="0"/>
          <w:bCs w:val="0"/>
        </w:rPr>
      </w:pPr>
      <w:r>
        <w:rPr/>
        <w:t>（一）</w:t>
      </w:r>
      <w:r>
        <w:rPr>
          <w:rFonts w:ascii="Calibri" w:hAnsi="Calibri" w:cs="Calibri" w:eastAsia="Calibri" w:hint="default"/>
        </w:rPr>
        <w:t>2011</w:t>
      </w:r>
      <w:r>
        <w:rPr/>
        <w:t>年度利润分配预案</w:t>
      </w:r>
      <w:r>
        <w:rPr>
          <w:b w:val="0"/>
          <w:bCs w:val="0"/>
        </w:rPr>
      </w:r>
    </w:p>
    <w:p>
      <w:pPr>
        <w:pStyle w:val="BodyText"/>
        <w:spacing w:line="240" w:lineRule="auto" w:before="91"/>
        <w:ind w:left="624" w:right="1557"/>
        <w:jc w:val="left"/>
      </w:pPr>
      <w:r>
        <w:rPr>
          <w:spacing w:val="15"/>
        </w:rPr>
        <w:t>经北京兴华会计师事务所有限责任公司审计， </w:t>
      </w:r>
      <w:r>
        <w:rPr>
          <w:rFonts w:ascii="Calibri" w:hAnsi="Calibri" w:cs="Calibri" w:eastAsia="Calibri" w:hint="default"/>
        </w:rPr>
        <w:t>2011  </w:t>
      </w:r>
      <w:r>
        <w:rPr>
          <w:rFonts w:ascii="Calibri" w:hAnsi="Calibri" w:cs="Calibri" w:eastAsia="Calibri" w:hint="default"/>
          <w:spacing w:val="22"/>
        </w:rPr>
        <w:t> </w:t>
      </w:r>
      <w:r>
        <w:rPr>
          <w:spacing w:val="14"/>
        </w:rPr>
        <w:t>年度，母公司净利润为</w:t>
      </w:r>
    </w:p>
    <w:p>
      <w:pPr>
        <w:pStyle w:val="BodyText"/>
        <w:spacing w:line="240" w:lineRule="auto" w:before="123"/>
        <w:ind w:right="1557"/>
        <w:jc w:val="left"/>
      </w:pPr>
      <w:r>
        <w:rPr>
          <w:rFonts w:ascii="Calibri" w:hAnsi="Calibri" w:cs="Calibri" w:eastAsia="Calibri" w:hint="default"/>
        </w:rPr>
        <w:t>297,261,110.43   </w:t>
      </w:r>
      <w:r>
        <w:rPr>
          <w:spacing w:val="14"/>
        </w:rPr>
        <w:t>元，提取法定盈余公积金 </w:t>
      </w:r>
      <w:r>
        <w:rPr>
          <w:rFonts w:ascii="Calibri" w:hAnsi="Calibri" w:cs="Calibri" w:eastAsia="Calibri" w:hint="default"/>
        </w:rPr>
        <w:t>29,726,111.04 </w:t>
      </w:r>
      <w:r>
        <w:rPr>
          <w:rFonts w:ascii="Calibri" w:hAnsi="Calibri" w:cs="Calibri" w:eastAsia="Calibri" w:hint="default"/>
          <w:spacing w:val="14"/>
        </w:rPr>
        <w:t> </w:t>
      </w:r>
      <w:r>
        <w:rPr>
          <w:spacing w:val="16"/>
        </w:rPr>
        <w:t>元，加上年初未分配利润</w:t>
      </w:r>
      <w:r>
        <w:rPr/>
      </w:r>
    </w:p>
    <w:p>
      <w:pPr>
        <w:pStyle w:val="BodyText"/>
        <w:spacing w:line="240" w:lineRule="auto" w:before="121"/>
        <w:ind w:right="1557"/>
        <w:jc w:val="left"/>
      </w:pPr>
      <w:r>
        <w:rPr>
          <w:rFonts w:ascii="Calibri" w:hAnsi="Calibri" w:cs="Calibri" w:eastAsia="Calibri" w:hint="default"/>
        </w:rPr>
        <w:t>520,019,999.43 </w:t>
      </w:r>
      <w:r>
        <w:rPr>
          <w:rFonts w:ascii="Calibri" w:hAnsi="Calibri" w:cs="Calibri" w:eastAsia="Calibri" w:hint="default"/>
          <w:spacing w:val="44"/>
        </w:rPr>
        <w:t> </w:t>
      </w:r>
      <w:r>
        <w:rPr/>
        <w:t>元</w:t>
      </w:r>
      <w:r>
        <w:rPr>
          <w:spacing w:val="-90"/>
        </w:rPr>
        <w:t> </w:t>
      </w:r>
      <w:r>
        <w:rPr/>
        <w:t>，</w:t>
      </w:r>
      <w:r>
        <w:rPr>
          <w:spacing w:val="-92"/>
        </w:rPr>
        <w:t> </w:t>
      </w:r>
      <w:r>
        <w:rPr/>
        <w:t>减</w:t>
      </w:r>
      <w:r>
        <w:rPr>
          <w:spacing w:val="-90"/>
        </w:rPr>
        <w:t> </w:t>
      </w:r>
      <w:r>
        <w:rPr/>
        <w:t>去</w:t>
      </w:r>
      <w:r>
        <w:rPr>
          <w:spacing w:val="32"/>
        </w:rPr>
        <w:t> </w:t>
      </w:r>
      <w:r>
        <w:rPr>
          <w:rFonts w:ascii="Calibri" w:hAnsi="Calibri" w:cs="Calibri" w:eastAsia="Calibri" w:hint="default"/>
        </w:rPr>
        <w:t>2011 </w:t>
      </w:r>
      <w:r>
        <w:rPr>
          <w:rFonts w:ascii="Calibri" w:hAnsi="Calibri" w:cs="Calibri" w:eastAsia="Calibri" w:hint="default"/>
          <w:spacing w:val="43"/>
        </w:rPr>
        <w:t> </w:t>
      </w:r>
      <w:r>
        <w:rPr>
          <w:spacing w:val="27"/>
        </w:rPr>
        <w:t>年已分配现金股利</w:t>
      </w:r>
      <w:r>
        <w:rPr>
          <w:spacing w:val="31"/>
        </w:rPr>
        <w:t> </w:t>
      </w:r>
      <w:r>
        <w:rPr>
          <w:rFonts w:ascii="Calibri" w:hAnsi="Calibri" w:cs="Calibri" w:eastAsia="Calibri" w:hint="default"/>
        </w:rPr>
        <w:t>44,228,666.70 </w:t>
      </w:r>
      <w:r>
        <w:rPr>
          <w:rFonts w:ascii="Calibri" w:hAnsi="Calibri" w:cs="Calibri" w:eastAsia="Calibri" w:hint="default"/>
          <w:spacing w:val="45"/>
        </w:rPr>
        <w:t> </w:t>
      </w:r>
      <w:r>
        <w:rPr>
          <w:spacing w:val="25"/>
        </w:rPr>
        <w:t>元、送股股利</w:t>
      </w:r>
      <w:r>
        <w:rPr>
          <w:spacing w:val="-89"/>
        </w:rPr>
        <w:t> </w:t>
      </w:r>
      <w:r>
        <w:rPr/>
      </w:r>
    </w:p>
    <w:p>
      <w:pPr>
        <w:pStyle w:val="BodyText"/>
        <w:spacing w:line="240" w:lineRule="auto" w:before="123"/>
        <w:ind w:right="1697"/>
        <w:jc w:val="left"/>
      </w:pPr>
      <w:r>
        <w:rPr>
          <w:rFonts w:ascii="Calibri" w:hAnsi="Calibri" w:cs="Calibri" w:eastAsia="Calibri" w:hint="default"/>
        </w:rPr>
        <w:t>88,457,333.00</w:t>
      </w:r>
      <w:r>
        <w:rPr>
          <w:rFonts w:ascii="Calibri" w:hAnsi="Calibri" w:cs="Calibri" w:eastAsia="Calibri" w:hint="default"/>
          <w:spacing w:val="5"/>
        </w:rPr>
        <w:t> </w:t>
      </w:r>
      <w:r>
        <w:rPr/>
        <w:t>元，本年度可供股东分配利润为</w:t>
      </w:r>
      <w:r>
        <w:rPr>
          <w:spacing w:val="-61"/>
        </w:rPr>
        <w:t> </w:t>
      </w:r>
      <w:r>
        <w:rPr>
          <w:rFonts w:ascii="Calibri" w:hAnsi="Calibri" w:cs="Calibri" w:eastAsia="Calibri" w:hint="default"/>
        </w:rPr>
        <w:t>654,868,999.12</w:t>
      </w:r>
      <w:r>
        <w:rPr>
          <w:rFonts w:ascii="Calibri" w:hAnsi="Calibri" w:cs="Calibri" w:eastAsia="Calibri" w:hint="default"/>
          <w:spacing w:val="5"/>
        </w:rPr>
        <w:t> </w:t>
      </w:r>
      <w:r>
        <w:rPr/>
        <w:t>元。</w:t>
      </w:r>
    </w:p>
    <w:p>
      <w:pPr>
        <w:spacing w:line="240" w:lineRule="auto" w:before="5"/>
        <w:rPr>
          <w:rFonts w:ascii="宋体" w:hAnsi="宋体" w:cs="宋体" w:eastAsia="宋体" w:hint="default"/>
          <w:sz w:val="18"/>
          <w:szCs w:val="18"/>
        </w:rPr>
      </w:pPr>
    </w:p>
    <w:p>
      <w:pPr>
        <w:pStyle w:val="BodyText"/>
        <w:spacing w:line="240" w:lineRule="auto"/>
        <w:ind w:left="624" w:right="0"/>
        <w:jc w:val="left"/>
      </w:pPr>
      <w:r>
        <w:rPr>
          <w:spacing w:val="-7"/>
        </w:rPr>
        <w:t>本年度进行利润分配，拟以</w:t>
      </w:r>
      <w:r>
        <w:rPr>
          <w:spacing w:val="-60"/>
        </w:rPr>
        <w:t> </w:t>
      </w:r>
      <w:r>
        <w:rPr>
          <w:rFonts w:ascii="Calibri" w:hAnsi="Calibri" w:cs="Calibri" w:eastAsia="Calibri" w:hint="default"/>
        </w:rPr>
        <w:t>2011</w:t>
      </w:r>
      <w:r>
        <w:rPr>
          <w:rFonts w:ascii="Calibri" w:hAnsi="Calibri" w:cs="Calibri" w:eastAsia="Calibri" w:hint="default"/>
          <w:spacing w:val="6"/>
        </w:rPr>
        <w:t> </w:t>
      </w:r>
      <w:r>
        <w:rPr/>
        <w:t>年</w:t>
      </w:r>
      <w:r>
        <w:rPr>
          <w:spacing w:val="-60"/>
        </w:rPr>
        <w:t> </w:t>
      </w:r>
      <w:r>
        <w:rPr>
          <w:rFonts w:ascii="Calibri" w:hAnsi="Calibri" w:cs="Calibri" w:eastAsia="Calibri" w:hint="default"/>
        </w:rPr>
        <w:t>12</w:t>
      </w:r>
      <w:r>
        <w:rPr>
          <w:rFonts w:ascii="Calibri" w:hAnsi="Calibri" w:cs="Calibri" w:eastAsia="Calibri" w:hint="default"/>
          <w:spacing w:val="6"/>
        </w:rPr>
        <w:t> </w:t>
      </w:r>
      <w:r>
        <w:rPr/>
        <w:t>月</w:t>
      </w:r>
      <w:r>
        <w:rPr>
          <w:spacing w:val="-63"/>
        </w:rPr>
        <w:t> </w:t>
      </w:r>
      <w:r>
        <w:rPr>
          <w:rFonts w:ascii="Calibri" w:hAnsi="Calibri" w:cs="Calibri" w:eastAsia="Calibri" w:hint="default"/>
        </w:rPr>
        <w:t>31</w:t>
      </w:r>
      <w:r>
        <w:rPr>
          <w:rFonts w:ascii="Calibri" w:hAnsi="Calibri" w:cs="Calibri" w:eastAsia="Calibri" w:hint="default"/>
          <w:spacing w:val="6"/>
        </w:rPr>
        <w:t> </w:t>
      </w:r>
      <w:r>
        <w:rPr/>
        <w:t>日公司总股本</w:t>
      </w:r>
      <w:r>
        <w:rPr>
          <w:spacing w:val="-60"/>
        </w:rPr>
        <w:t> </w:t>
      </w:r>
      <w:r>
        <w:rPr>
          <w:rFonts w:ascii="Calibri" w:hAnsi="Calibri" w:cs="Calibri" w:eastAsia="Calibri" w:hint="default"/>
        </w:rPr>
        <w:t>530,744,000</w:t>
      </w:r>
      <w:r>
        <w:rPr>
          <w:rFonts w:ascii="Calibri" w:hAnsi="Calibri" w:cs="Calibri" w:eastAsia="Calibri" w:hint="default"/>
          <w:spacing w:val="7"/>
        </w:rPr>
        <w:t> </w:t>
      </w:r>
      <w:r>
        <w:rPr/>
        <w:t>股为基数，</w:t>
      </w:r>
    </w:p>
    <w:p>
      <w:pPr>
        <w:pStyle w:val="BodyText"/>
        <w:spacing w:line="240" w:lineRule="auto" w:before="124"/>
        <w:ind w:right="1557"/>
        <w:jc w:val="left"/>
      </w:pPr>
      <w:r>
        <w:rPr/>
        <w:t>向全体股东每</w:t>
      </w:r>
      <w:r>
        <w:rPr>
          <w:spacing w:val="-62"/>
        </w:rPr>
        <w:t> </w:t>
      </w:r>
      <w:r>
        <w:rPr>
          <w:rFonts w:ascii="Calibri" w:hAnsi="Calibri" w:cs="Calibri" w:eastAsia="Calibri" w:hint="default"/>
        </w:rPr>
        <w:t>10</w:t>
      </w:r>
      <w:r>
        <w:rPr>
          <w:rFonts w:ascii="Calibri" w:hAnsi="Calibri" w:cs="Calibri" w:eastAsia="Calibri" w:hint="default"/>
          <w:spacing w:val="5"/>
        </w:rPr>
        <w:t> </w:t>
      </w:r>
      <w:r>
        <w:rPr/>
        <w:t>股送</w:t>
      </w:r>
      <w:r>
        <w:rPr>
          <w:spacing w:val="-63"/>
        </w:rPr>
        <w:t> </w:t>
      </w:r>
      <w:r>
        <w:rPr>
          <w:rFonts w:ascii="Calibri" w:hAnsi="Calibri" w:cs="Calibri" w:eastAsia="Calibri" w:hint="default"/>
        </w:rPr>
        <w:t>3</w:t>
      </w:r>
      <w:r>
        <w:rPr>
          <w:rFonts w:ascii="Calibri" w:hAnsi="Calibri" w:cs="Calibri" w:eastAsia="Calibri" w:hint="default"/>
          <w:spacing w:val="5"/>
        </w:rPr>
        <w:t> </w:t>
      </w:r>
      <w:r>
        <w:rPr>
          <w:spacing w:val="-4"/>
        </w:rPr>
        <w:t>股红股，共计</w:t>
      </w:r>
      <w:r>
        <w:rPr>
          <w:spacing w:val="-61"/>
        </w:rPr>
        <w:t> </w:t>
      </w:r>
      <w:r>
        <w:rPr>
          <w:rFonts w:ascii="Calibri" w:hAnsi="Calibri" w:cs="Calibri" w:eastAsia="Calibri" w:hint="default"/>
        </w:rPr>
        <w:t>159,223,200</w:t>
      </w:r>
      <w:r>
        <w:rPr>
          <w:rFonts w:ascii="Calibri" w:hAnsi="Calibri" w:cs="Calibri" w:eastAsia="Calibri" w:hint="default"/>
          <w:spacing w:val="6"/>
        </w:rPr>
        <w:t> </w:t>
      </w:r>
      <w:r>
        <w:rPr>
          <w:spacing w:val="-8"/>
        </w:rPr>
        <w:t>股；每</w:t>
      </w:r>
      <w:r>
        <w:rPr>
          <w:spacing w:val="-61"/>
        </w:rPr>
        <w:t> </w:t>
      </w:r>
      <w:r>
        <w:rPr>
          <w:rFonts w:ascii="Calibri" w:hAnsi="Calibri" w:cs="Calibri" w:eastAsia="Calibri" w:hint="default"/>
        </w:rPr>
        <w:t>10</w:t>
      </w:r>
      <w:r>
        <w:rPr>
          <w:rFonts w:ascii="Calibri" w:hAnsi="Calibri" w:cs="Calibri" w:eastAsia="Calibri" w:hint="default"/>
          <w:spacing w:val="5"/>
        </w:rPr>
        <w:t> </w:t>
      </w:r>
      <w:r>
        <w:rPr/>
        <w:t>股派人民币现金</w:t>
      </w:r>
      <w:r>
        <w:rPr>
          <w:spacing w:val="-61"/>
        </w:rPr>
        <w:t> </w:t>
      </w:r>
      <w:r>
        <w:rPr>
          <w:rFonts w:ascii="Calibri" w:hAnsi="Calibri" w:cs="Calibri" w:eastAsia="Calibri" w:hint="default"/>
        </w:rPr>
        <w:t>2</w:t>
      </w:r>
      <w:r>
        <w:rPr>
          <w:rFonts w:ascii="Calibri" w:hAnsi="Calibri" w:cs="Calibri" w:eastAsia="Calibri" w:hint="default"/>
          <w:spacing w:val="5"/>
        </w:rPr>
        <w:t> </w:t>
      </w:r>
      <w:r>
        <w:rPr>
          <w:spacing w:val="-8"/>
        </w:rPr>
        <w:t>元（含</w:t>
      </w:r>
    </w:p>
    <w:p>
      <w:pPr>
        <w:pStyle w:val="BodyText"/>
        <w:spacing w:line="326" w:lineRule="auto" w:before="121"/>
        <w:ind w:right="1630"/>
        <w:jc w:val="left"/>
      </w:pPr>
      <w:r>
        <w:rPr/>
        <w:t>税），共计</w:t>
      </w:r>
      <w:r>
        <w:rPr>
          <w:spacing w:val="-68"/>
        </w:rPr>
        <w:t> </w:t>
      </w:r>
      <w:r>
        <w:rPr>
          <w:rFonts w:ascii="Calibri" w:hAnsi="Calibri" w:cs="Calibri" w:eastAsia="Calibri" w:hint="default"/>
        </w:rPr>
        <w:t>106,148,800</w:t>
      </w:r>
      <w:r>
        <w:rPr>
          <w:rFonts w:ascii="Calibri" w:hAnsi="Calibri" w:cs="Calibri" w:eastAsia="Calibri" w:hint="default"/>
          <w:spacing w:val="-1"/>
        </w:rPr>
        <w:t> </w:t>
      </w:r>
      <w:r>
        <w:rPr/>
        <w:t>元（含税）。剩余未分配利润</w:t>
      </w:r>
      <w:r>
        <w:rPr>
          <w:spacing w:val="-67"/>
        </w:rPr>
        <w:t> </w:t>
      </w:r>
      <w:r>
        <w:rPr>
          <w:rFonts w:ascii="Calibri" w:hAnsi="Calibri" w:cs="Calibri" w:eastAsia="Calibri" w:hint="default"/>
        </w:rPr>
        <w:t>389,496,999.12 </w:t>
      </w:r>
      <w:r>
        <w:rPr/>
        <w:t>元滚存至下一年 度。</w:t>
      </w:r>
    </w:p>
    <w:p>
      <w:pPr>
        <w:pStyle w:val="BodyText"/>
        <w:spacing w:line="240" w:lineRule="auto" w:before="185"/>
        <w:ind w:left="629" w:right="1697"/>
        <w:jc w:val="left"/>
      </w:pPr>
      <w:r>
        <w:rPr/>
        <w:t>本次利润分配预案，需提交公司</w:t>
      </w:r>
      <w:r>
        <w:rPr>
          <w:spacing w:val="-63"/>
        </w:rPr>
        <w:t> </w:t>
      </w:r>
      <w:r>
        <w:rPr>
          <w:rFonts w:ascii="Calibri" w:hAnsi="Calibri" w:cs="Calibri" w:eastAsia="Calibri" w:hint="default"/>
        </w:rPr>
        <w:t>2011</w:t>
      </w:r>
      <w:r>
        <w:rPr>
          <w:rFonts w:ascii="Calibri" w:hAnsi="Calibri" w:cs="Calibri" w:eastAsia="Calibri" w:hint="default"/>
          <w:spacing w:val="3"/>
        </w:rPr>
        <w:t> </w:t>
      </w:r>
      <w:r>
        <w:rPr/>
        <w:t>年年度股东大会审议，批准后实施。</w:t>
      </w:r>
    </w:p>
    <w:p>
      <w:pPr>
        <w:spacing w:line="240" w:lineRule="auto" w:before="0"/>
        <w:rPr>
          <w:rFonts w:ascii="宋体" w:hAnsi="宋体" w:cs="宋体" w:eastAsia="宋体" w:hint="default"/>
          <w:sz w:val="32"/>
          <w:szCs w:val="32"/>
        </w:rPr>
      </w:pPr>
    </w:p>
    <w:p>
      <w:pPr>
        <w:pStyle w:val="Heading3"/>
        <w:spacing w:line="240" w:lineRule="auto"/>
        <w:ind w:right="1697"/>
        <w:jc w:val="left"/>
        <w:rPr>
          <w:b w:val="0"/>
          <w:bCs w:val="0"/>
        </w:rPr>
      </w:pPr>
      <w:r>
        <w:rPr/>
        <w:t>（二）公司最近三年利润分配方案</w:t>
      </w:r>
      <w:r>
        <w:rPr>
          <w:b w:val="0"/>
          <w:bCs w:val="0"/>
        </w:rPr>
      </w:r>
    </w:p>
    <w:p>
      <w:pPr>
        <w:spacing w:line="240" w:lineRule="auto" w:before="10"/>
        <w:rPr>
          <w:rFonts w:ascii="黑体" w:hAnsi="黑体" w:cs="黑体" w:eastAsia="黑体" w:hint="default"/>
          <w:b/>
          <w:bCs/>
          <w:sz w:val="24"/>
          <w:szCs w:val="24"/>
        </w:rPr>
      </w:pPr>
    </w:p>
    <w:p>
      <w:pPr>
        <w:pStyle w:val="Heading4"/>
        <w:spacing w:line="240" w:lineRule="auto"/>
        <w:ind w:right="1697"/>
        <w:jc w:val="left"/>
        <w:rPr>
          <w:b w:val="0"/>
          <w:bCs w:val="0"/>
        </w:rPr>
      </w:pPr>
      <w:r>
        <w:rPr>
          <w:rFonts w:ascii="Calibri" w:hAnsi="Calibri" w:cs="Calibri" w:eastAsia="Calibri" w:hint="default"/>
        </w:rPr>
        <w:t>1</w:t>
      </w:r>
      <w:r>
        <w:rPr/>
        <w:t>、最近三年利润分配方案</w:t>
      </w:r>
      <w:r>
        <w:rPr>
          <w:b w:val="0"/>
          <w:bCs w:val="0"/>
        </w:rPr>
      </w:r>
    </w:p>
    <w:p>
      <w:pPr>
        <w:pStyle w:val="BodyText"/>
        <w:spacing w:line="240" w:lineRule="auto" w:before="95"/>
        <w:ind w:left="624" w:right="1697"/>
        <w:jc w:val="left"/>
      </w:pPr>
      <w:r>
        <w:rPr/>
        <w:t>（</w:t>
      </w:r>
      <w:r>
        <w:rPr>
          <w:rFonts w:ascii="Calibri" w:hAnsi="Calibri" w:cs="Calibri" w:eastAsia="Calibri" w:hint="default"/>
        </w:rPr>
        <w:t>1</w:t>
      </w:r>
      <w:r>
        <w:rPr/>
        <w:t>）</w:t>
      </w:r>
      <w:r>
        <w:rPr>
          <w:rFonts w:ascii="Calibri" w:hAnsi="Calibri" w:cs="Calibri" w:eastAsia="Calibri" w:hint="default"/>
        </w:rPr>
        <w:t>2010</w:t>
      </w:r>
      <w:r>
        <w:rPr>
          <w:rFonts w:ascii="Calibri" w:hAnsi="Calibri" w:cs="Calibri" w:eastAsia="Calibri" w:hint="default"/>
          <w:spacing w:val="2"/>
        </w:rPr>
        <w:t> </w:t>
      </w:r>
      <w:r>
        <w:rPr/>
        <w:t>年度利润分配方案</w:t>
      </w:r>
    </w:p>
    <w:p>
      <w:pPr>
        <w:spacing w:line="240" w:lineRule="auto" w:before="8"/>
        <w:rPr>
          <w:rFonts w:ascii="宋体" w:hAnsi="宋体" w:cs="宋体" w:eastAsia="宋体" w:hint="default"/>
          <w:sz w:val="18"/>
          <w:szCs w:val="18"/>
        </w:rPr>
      </w:pPr>
    </w:p>
    <w:p>
      <w:pPr>
        <w:pStyle w:val="BodyText"/>
        <w:spacing w:line="240" w:lineRule="auto"/>
        <w:ind w:left="624" w:right="1557"/>
        <w:jc w:val="left"/>
      </w:pPr>
      <w:r>
        <w:rPr/>
        <w:t>经</w:t>
      </w:r>
      <w:r>
        <w:rPr>
          <w:spacing w:val="-86"/>
        </w:rPr>
        <w:t> </w:t>
      </w:r>
      <w:r>
        <w:rPr/>
        <w:t>北</w:t>
      </w:r>
      <w:r>
        <w:rPr>
          <w:spacing w:val="-86"/>
        </w:rPr>
        <w:t> </w:t>
      </w:r>
      <w:r>
        <w:rPr/>
        <w:t>京</w:t>
      </w:r>
      <w:r>
        <w:rPr>
          <w:spacing w:val="-86"/>
        </w:rPr>
        <w:t> </w:t>
      </w:r>
      <w:r>
        <w:rPr/>
        <w:t>兴</w:t>
      </w:r>
      <w:r>
        <w:rPr>
          <w:spacing w:val="-86"/>
        </w:rPr>
        <w:t> </w:t>
      </w:r>
      <w:r>
        <w:rPr/>
        <w:t>华</w:t>
      </w:r>
      <w:r>
        <w:rPr>
          <w:spacing w:val="-87"/>
        </w:rPr>
        <w:t> </w:t>
      </w:r>
      <w:r>
        <w:rPr/>
        <w:t>会</w:t>
      </w:r>
      <w:r>
        <w:rPr>
          <w:spacing w:val="-86"/>
        </w:rPr>
        <w:t> </w:t>
      </w:r>
      <w:r>
        <w:rPr/>
        <w:t>计</w:t>
      </w:r>
      <w:r>
        <w:rPr>
          <w:spacing w:val="-86"/>
        </w:rPr>
        <w:t> </w:t>
      </w:r>
      <w:r>
        <w:rPr/>
        <w:t>师</w:t>
      </w:r>
      <w:r>
        <w:rPr>
          <w:spacing w:val="-87"/>
        </w:rPr>
        <w:t> </w:t>
      </w:r>
      <w:r>
        <w:rPr/>
        <w:t>事</w:t>
      </w:r>
      <w:r>
        <w:rPr>
          <w:spacing w:val="-86"/>
        </w:rPr>
        <w:t> </w:t>
      </w:r>
      <w:r>
        <w:rPr/>
        <w:t>务</w:t>
      </w:r>
      <w:r>
        <w:rPr>
          <w:spacing w:val="-86"/>
        </w:rPr>
        <w:t> </w:t>
      </w:r>
      <w:r>
        <w:rPr/>
        <w:t>所</w:t>
      </w:r>
      <w:r>
        <w:rPr>
          <w:spacing w:val="-86"/>
        </w:rPr>
        <w:t> </w:t>
      </w:r>
      <w:r>
        <w:rPr/>
        <w:t>有</w:t>
      </w:r>
      <w:r>
        <w:rPr>
          <w:spacing w:val="-86"/>
        </w:rPr>
        <w:t> </w:t>
      </w:r>
      <w:r>
        <w:rPr/>
        <w:t>限</w:t>
      </w:r>
      <w:r>
        <w:rPr>
          <w:spacing w:val="-87"/>
        </w:rPr>
        <w:t> </w:t>
      </w:r>
      <w:r>
        <w:rPr/>
        <w:t>责</w:t>
      </w:r>
      <w:r>
        <w:rPr>
          <w:spacing w:val="-86"/>
        </w:rPr>
        <w:t> </w:t>
      </w:r>
      <w:r>
        <w:rPr/>
        <w:t>任</w:t>
      </w:r>
      <w:r>
        <w:rPr>
          <w:spacing w:val="-86"/>
        </w:rPr>
        <w:t> </w:t>
      </w:r>
      <w:r>
        <w:rPr/>
        <w:t>公</w:t>
      </w:r>
      <w:r>
        <w:rPr>
          <w:spacing w:val="-87"/>
        </w:rPr>
        <w:t> </w:t>
      </w:r>
      <w:r>
        <w:rPr/>
        <w:t>司</w:t>
      </w:r>
      <w:r>
        <w:rPr>
          <w:spacing w:val="-86"/>
        </w:rPr>
        <w:t> </w:t>
      </w:r>
      <w:r>
        <w:rPr/>
        <w:t>审</w:t>
      </w:r>
      <w:r>
        <w:rPr>
          <w:spacing w:val="-86"/>
        </w:rPr>
        <w:t> </w:t>
      </w:r>
      <w:r>
        <w:rPr/>
        <w:t>计</w:t>
      </w:r>
      <w:r>
        <w:rPr>
          <w:spacing w:val="-86"/>
        </w:rPr>
        <w:t> </w:t>
      </w:r>
      <w:r>
        <w:rPr/>
        <w:t>，</w:t>
      </w:r>
      <w:r>
        <w:rPr>
          <w:spacing w:val="74"/>
        </w:rPr>
        <w:t> </w:t>
      </w:r>
      <w:r>
        <w:rPr>
          <w:rFonts w:ascii="Calibri" w:hAnsi="Calibri" w:cs="Calibri" w:eastAsia="Calibri" w:hint="default"/>
        </w:rPr>
        <w:t>2010 </w:t>
      </w:r>
      <w:r>
        <w:rPr>
          <w:rFonts w:ascii="Calibri" w:hAnsi="Calibri" w:cs="Calibri" w:eastAsia="Calibri" w:hint="default"/>
          <w:spacing w:val="48"/>
        </w:rPr>
        <w:t> </w:t>
      </w:r>
      <w:r>
        <w:rPr/>
        <w:t>年</w:t>
      </w:r>
      <w:r>
        <w:rPr>
          <w:spacing w:val="-86"/>
        </w:rPr>
        <w:t> </w:t>
      </w:r>
      <w:r>
        <w:rPr/>
        <w:t>度</w:t>
      </w:r>
      <w:r>
        <w:rPr>
          <w:spacing w:val="-87"/>
        </w:rPr>
        <w:t> </w:t>
      </w:r>
      <w:r>
        <w:rPr/>
        <w:t>母</w:t>
      </w:r>
      <w:r>
        <w:rPr>
          <w:spacing w:val="-86"/>
        </w:rPr>
        <w:t> </w:t>
      </w:r>
      <w:r>
        <w:rPr/>
        <w:t>公</w:t>
      </w:r>
      <w:r>
        <w:rPr>
          <w:spacing w:val="-86"/>
        </w:rPr>
        <w:t> </w:t>
      </w:r>
      <w:r>
        <w:rPr/>
        <w:t>司</w:t>
      </w:r>
      <w:r>
        <w:rPr>
          <w:spacing w:val="-86"/>
        </w:rPr>
        <w:t> </w:t>
      </w:r>
      <w:r>
        <w:rPr/>
        <w:t>净</w:t>
      </w:r>
      <w:r>
        <w:rPr>
          <w:spacing w:val="-86"/>
        </w:rPr>
        <w:t> </w:t>
      </w:r>
      <w:r>
        <w:rPr/>
        <w:t>利</w:t>
      </w:r>
      <w:r>
        <w:rPr>
          <w:spacing w:val="-87"/>
        </w:rPr>
        <w:t> </w:t>
      </w:r>
      <w:r>
        <w:rPr/>
        <w:t>润</w:t>
      </w:r>
    </w:p>
    <w:p>
      <w:pPr>
        <w:pStyle w:val="BodyText"/>
        <w:spacing w:line="240" w:lineRule="auto" w:before="121"/>
        <w:ind w:right="1557"/>
        <w:jc w:val="left"/>
      </w:pPr>
      <w:r>
        <w:rPr>
          <w:rFonts w:ascii="Calibri" w:hAnsi="Calibri" w:cs="Calibri" w:eastAsia="Calibri" w:hint="default"/>
        </w:rPr>
        <w:t>249,215,025.65   </w:t>
      </w:r>
      <w:r>
        <w:rPr>
          <w:spacing w:val="14"/>
        </w:rPr>
        <w:t>元，提取法定盈余公积金 </w:t>
      </w:r>
      <w:r>
        <w:rPr>
          <w:rFonts w:ascii="Calibri" w:hAnsi="Calibri" w:cs="Calibri" w:eastAsia="Calibri" w:hint="default"/>
        </w:rPr>
        <w:t>24,921,502.57 </w:t>
      </w:r>
      <w:r>
        <w:rPr>
          <w:rFonts w:ascii="Calibri" w:hAnsi="Calibri" w:cs="Calibri" w:eastAsia="Calibri" w:hint="default"/>
          <w:spacing w:val="14"/>
        </w:rPr>
        <w:t> </w:t>
      </w:r>
      <w:r>
        <w:rPr>
          <w:spacing w:val="16"/>
        </w:rPr>
        <w:t>元，加上年初未分配利润</w:t>
      </w:r>
      <w:r>
        <w:rPr/>
      </w:r>
    </w:p>
    <w:p>
      <w:pPr>
        <w:pStyle w:val="BodyText"/>
        <w:spacing w:line="240" w:lineRule="auto" w:before="123"/>
        <w:ind w:right="1557"/>
        <w:jc w:val="left"/>
      </w:pPr>
      <w:r>
        <w:rPr>
          <w:rFonts w:ascii="Calibri" w:hAnsi="Calibri" w:cs="Calibri" w:eastAsia="Calibri" w:hint="default"/>
        </w:rPr>
        <w:t>338,324,985.35</w:t>
      </w:r>
      <w:r>
        <w:rPr>
          <w:rFonts w:ascii="Calibri" w:hAnsi="Calibri" w:cs="Calibri" w:eastAsia="Calibri" w:hint="default"/>
          <w:spacing w:val="2"/>
        </w:rPr>
        <w:t> </w:t>
      </w:r>
      <w:r>
        <w:rPr>
          <w:spacing w:val="-5"/>
        </w:rPr>
        <w:t>元，减去</w:t>
      </w:r>
      <w:r>
        <w:rPr>
          <w:spacing w:val="-65"/>
        </w:rPr>
        <w:t> </w:t>
      </w:r>
      <w:r>
        <w:rPr>
          <w:rFonts w:ascii="Calibri" w:hAnsi="Calibri" w:cs="Calibri" w:eastAsia="Calibri" w:hint="default"/>
        </w:rPr>
        <w:t>2010</w:t>
      </w:r>
      <w:r>
        <w:rPr>
          <w:rFonts w:ascii="Calibri" w:hAnsi="Calibri" w:cs="Calibri" w:eastAsia="Calibri" w:hint="default"/>
          <w:spacing w:val="1"/>
        </w:rPr>
        <w:t> </w:t>
      </w:r>
      <w:r>
        <w:rPr/>
        <w:t>年已分配现金股利</w:t>
      </w:r>
      <w:r>
        <w:rPr>
          <w:spacing w:val="-65"/>
        </w:rPr>
        <w:t> </w:t>
      </w:r>
      <w:r>
        <w:rPr>
          <w:rFonts w:ascii="Calibri" w:hAnsi="Calibri" w:cs="Calibri" w:eastAsia="Calibri" w:hint="default"/>
        </w:rPr>
        <w:t>42,598,509.00</w:t>
      </w:r>
      <w:r>
        <w:rPr>
          <w:rFonts w:ascii="Calibri" w:hAnsi="Calibri" w:cs="Calibri" w:eastAsia="Calibri" w:hint="default"/>
          <w:spacing w:val="2"/>
        </w:rPr>
        <w:t> </w:t>
      </w:r>
      <w:r>
        <w:rPr/>
        <w:t>元，本年度可供股东分</w:t>
      </w:r>
    </w:p>
    <w:p>
      <w:pPr>
        <w:pStyle w:val="BodyText"/>
        <w:spacing w:line="240" w:lineRule="auto" w:before="121"/>
        <w:ind w:right="1697"/>
        <w:jc w:val="left"/>
      </w:pPr>
      <w:r>
        <w:rPr/>
        <w:t>配利润为 </w:t>
      </w:r>
      <w:r>
        <w:rPr>
          <w:rFonts w:ascii="Calibri" w:hAnsi="Calibri" w:cs="Calibri" w:eastAsia="Calibri" w:hint="default"/>
        </w:rPr>
        <w:t>520,019,999.43</w:t>
      </w:r>
      <w:r>
        <w:rPr>
          <w:rFonts w:ascii="Calibri" w:hAnsi="Calibri" w:cs="Calibri" w:eastAsia="Calibri" w:hint="default"/>
          <w:spacing w:val="4"/>
        </w:rPr>
        <w:t> </w:t>
      </w:r>
      <w:r>
        <w:rPr/>
        <w:t>元。</w:t>
      </w:r>
    </w:p>
    <w:p>
      <w:pPr>
        <w:spacing w:line="240" w:lineRule="auto" w:before="8"/>
        <w:rPr>
          <w:rFonts w:ascii="宋体" w:hAnsi="宋体" w:cs="宋体" w:eastAsia="宋体" w:hint="default"/>
          <w:sz w:val="18"/>
          <w:szCs w:val="18"/>
        </w:rPr>
      </w:pPr>
    </w:p>
    <w:p>
      <w:pPr>
        <w:pStyle w:val="BodyText"/>
        <w:spacing w:line="324" w:lineRule="auto"/>
        <w:ind w:right="1510" w:firstLine="479"/>
        <w:jc w:val="left"/>
      </w:pPr>
      <w:r>
        <w:rPr>
          <w:spacing w:val="-3"/>
        </w:rPr>
        <w:t>本年度进行利润分配，以</w:t>
      </w:r>
      <w:r>
        <w:rPr>
          <w:spacing w:val="-60"/>
        </w:rPr>
        <w:t> </w:t>
      </w:r>
      <w:r>
        <w:rPr>
          <w:rFonts w:ascii="Calibri" w:hAnsi="Calibri" w:cs="Calibri" w:eastAsia="Calibri" w:hint="default"/>
        </w:rPr>
        <w:t>442,286,667</w:t>
      </w:r>
      <w:r>
        <w:rPr>
          <w:rFonts w:ascii="Calibri" w:hAnsi="Calibri" w:cs="Calibri" w:eastAsia="Calibri" w:hint="default"/>
          <w:spacing w:val="9"/>
        </w:rPr>
        <w:t> </w:t>
      </w:r>
      <w:r>
        <w:rPr>
          <w:spacing w:val="-4"/>
        </w:rPr>
        <w:t>股为基数，向全体股东每</w:t>
      </w:r>
      <w:r>
        <w:rPr>
          <w:spacing w:val="-60"/>
        </w:rPr>
        <w:t> </w:t>
      </w:r>
      <w:r>
        <w:rPr>
          <w:rFonts w:ascii="Calibri" w:hAnsi="Calibri" w:cs="Calibri" w:eastAsia="Calibri" w:hint="default"/>
        </w:rPr>
        <w:t>10</w:t>
      </w:r>
      <w:r>
        <w:rPr>
          <w:rFonts w:ascii="Calibri" w:hAnsi="Calibri" w:cs="Calibri" w:eastAsia="Calibri" w:hint="default"/>
          <w:spacing w:val="6"/>
        </w:rPr>
        <w:t> </w:t>
      </w:r>
      <w:r>
        <w:rPr/>
        <w:t>股送</w:t>
      </w:r>
      <w:r>
        <w:rPr>
          <w:spacing w:val="-60"/>
        </w:rPr>
        <w:t> </w:t>
      </w:r>
      <w:r>
        <w:rPr>
          <w:rFonts w:ascii="Calibri" w:hAnsi="Calibri" w:cs="Calibri" w:eastAsia="Calibri" w:hint="default"/>
        </w:rPr>
        <w:t>2</w:t>
      </w:r>
      <w:r>
        <w:rPr>
          <w:rFonts w:ascii="Calibri" w:hAnsi="Calibri" w:cs="Calibri" w:eastAsia="Calibri" w:hint="default"/>
          <w:spacing w:val="6"/>
        </w:rPr>
        <w:t> </w:t>
      </w:r>
      <w:r>
        <w:rPr/>
        <w:t>股红股， 共计</w:t>
      </w:r>
      <w:r>
        <w:rPr>
          <w:spacing w:val="-62"/>
        </w:rPr>
        <w:t> </w:t>
      </w:r>
      <w:r>
        <w:rPr>
          <w:rFonts w:ascii="Calibri" w:hAnsi="Calibri" w:cs="Calibri" w:eastAsia="Calibri" w:hint="default"/>
        </w:rPr>
        <w:t>88,457,333.00</w:t>
      </w:r>
      <w:r>
        <w:rPr>
          <w:rFonts w:ascii="Calibri" w:hAnsi="Calibri" w:cs="Calibri" w:eastAsia="Calibri" w:hint="default"/>
          <w:spacing w:val="12"/>
        </w:rPr>
        <w:t> </w:t>
      </w:r>
      <w:r>
        <w:rPr>
          <w:spacing w:val="-19"/>
        </w:rPr>
        <w:t>股；每</w:t>
      </w:r>
      <w:r>
        <w:rPr>
          <w:spacing w:val="-61"/>
        </w:rPr>
        <w:t> </w:t>
      </w:r>
      <w:r>
        <w:rPr>
          <w:rFonts w:ascii="Calibri" w:hAnsi="Calibri" w:cs="Calibri" w:eastAsia="Calibri" w:hint="default"/>
        </w:rPr>
        <w:t>10</w:t>
      </w:r>
      <w:r>
        <w:rPr>
          <w:rFonts w:ascii="Calibri" w:hAnsi="Calibri" w:cs="Calibri" w:eastAsia="Calibri" w:hint="default"/>
          <w:spacing w:val="5"/>
        </w:rPr>
        <w:t> </w:t>
      </w:r>
      <w:r>
        <w:rPr/>
        <w:t>股派人民币现金</w:t>
      </w:r>
      <w:r>
        <w:rPr>
          <w:spacing w:val="-61"/>
        </w:rPr>
        <w:t> </w:t>
      </w:r>
      <w:r>
        <w:rPr>
          <w:rFonts w:ascii="Calibri" w:hAnsi="Calibri" w:cs="Calibri" w:eastAsia="Calibri" w:hint="default"/>
        </w:rPr>
        <w:t>1</w:t>
      </w:r>
      <w:r>
        <w:rPr>
          <w:rFonts w:ascii="Calibri" w:hAnsi="Calibri" w:cs="Calibri" w:eastAsia="Calibri" w:hint="default"/>
          <w:spacing w:val="5"/>
        </w:rPr>
        <w:t> </w:t>
      </w:r>
      <w:r>
        <w:rPr>
          <w:spacing w:val="-20"/>
        </w:rPr>
        <w:t>元（含税），共计</w:t>
      </w:r>
      <w:r>
        <w:rPr>
          <w:spacing w:val="-61"/>
        </w:rPr>
        <w:t> </w:t>
      </w:r>
      <w:r>
        <w:rPr>
          <w:rFonts w:ascii="Calibri" w:hAnsi="Calibri" w:cs="Calibri" w:eastAsia="Calibri" w:hint="default"/>
        </w:rPr>
        <w:t>44,228,666.70</w:t>
      </w:r>
      <w:r>
        <w:rPr>
          <w:rFonts w:ascii="Calibri" w:hAnsi="Calibri" w:cs="Calibri" w:eastAsia="Calibri" w:hint="default"/>
          <w:spacing w:val="6"/>
        </w:rPr>
        <w:t> </w:t>
      </w:r>
      <w:r>
        <w:rPr>
          <w:spacing w:val="-18"/>
        </w:rPr>
        <w:t>元（含</w:t>
      </w:r>
      <w:r>
        <w:rPr/>
        <w:t> 税）。剩余未分配利润 </w:t>
      </w:r>
      <w:r>
        <w:rPr>
          <w:rFonts w:ascii="Calibri" w:hAnsi="Calibri" w:cs="Calibri" w:eastAsia="Calibri" w:hint="default"/>
        </w:rPr>
        <w:t>387,333,999.73</w:t>
      </w:r>
      <w:r>
        <w:rPr>
          <w:rFonts w:ascii="Calibri" w:hAnsi="Calibri" w:cs="Calibri" w:eastAsia="Calibri" w:hint="default"/>
          <w:spacing w:val="2"/>
        </w:rPr>
        <w:t> </w:t>
      </w:r>
      <w:r>
        <w:rPr/>
        <w:t>元滚存至下一年度。</w:t>
      </w:r>
    </w:p>
    <w:p>
      <w:pPr>
        <w:pStyle w:val="BodyText"/>
        <w:spacing w:line="408" w:lineRule="auto" w:before="140"/>
        <w:ind w:left="624" w:right="2711"/>
        <w:jc w:val="left"/>
      </w:pPr>
      <w:r>
        <w:rPr/>
        <w:t>（</w:t>
      </w:r>
      <w:r>
        <w:rPr>
          <w:rFonts w:ascii="Calibri" w:hAnsi="Calibri" w:cs="Calibri" w:eastAsia="Calibri" w:hint="default"/>
        </w:rPr>
        <w:t>2</w:t>
      </w:r>
      <w:r>
        <w:rPr/>
        <w:t>）</w:t>
      </w:r>
      <w:r>
        <w:rPr>
          <w:rFonts w:ascii="Calibri" w:hAnsi="Calibri" w:cs="Calibri" w:eastAsia="Calibri" w:hint="default"/>
        </w:rPr>
        <w:t>2009</w:t>
      </w:r>
      <w:r>
        <w:rPr>
          <w:rFonts w:ascii="Calibri" w:hAnsi="Calibri" w:cs="Calibri" w:eastAsia="Calibri" w:hint="default"/>
          <w:spacing w:val="5"/>
        </w:rPr>
        <w:t> </w:t>
      </w:r>
      <w:r>
        <w:rPr/>
        <w:t>年年度利润分配方案 经北京兴华会计师事务所有限责任公司审计， </w:t>
      </w:r>
      <w:r>
        <w:rPr>
          <w:rFonts w:ascii="Calibri" w:hAnsi="Calibri" w:cs="Calibri" w:eastAsia="Calibri" w:hint="default"/>
        </w:rPr>
        <w:t>2009</w:t>
      </w:r>
      <w:r>
        <w:rPr>
          <w:rFonts w:ascii="Calibri" w:hAnsi="Calibri" w:cs="Calibri" w:eastAsia="Calibri" w:hint="default"/>
          <w:spacing w:val="4"/>
        </w:rPr>
        <w:t> </w:t>
      </w:r>
      <w:r>
        <w:rPr/>
        <w:t>年度母公司净利润</w:t>
      </w:r>
    </w:p>
    <w:p>
      <w:pPr>
        <w:pStyle w:val="BodyText"/>
        <w:spacing w:line="263" w:lineRule="exact"/>
        <w:ind w:right="1697"/>
        <w:jc w:val="left"/>
      </w:pPr>
      <w:r>
        <w:rPr>
          <w:rFonts w:ascii="Calibri" w:hAnsi="Calibri" w:cs="Calibri" w:eastAsia="Calibri" w:hint="default"/>
        </w:rPr>
        <w:t>140,447,151.62  </w:t>
      </w:r>
      <w:r>
        <w:rPr/>
        <w:t>元，加年初未分配利润 </w:t>
      </w:r>
      <w:r>
        <w:rPr>
          <w:rFonts w:ascii="Calibri" w:hAnsi="Calibri" w:cs="Calibri" w:eastAsia="Calibri" w:hint="default"/>
        </w:rPr>
        <w:t>297,119,566.89</w:t>
      </w:r>
      <w:r>
        <w:rPr>
          <w:rFonts w:ascii="Calibri" w:hAnsi="Calibri" w:cs="Calibri" w:eastAsia="Calibri" w:hint="default"/>
          <w:spacing w:val="8"/>
        </w:rPr>
        <w:t> </w:t>
      </w:r>
      <w:r>
        <w:rPr/>
        <w:t>元，提取法定盈余公积金</w:t>
      </w:r>
    </w:p>
    <w:p>
      <w:pPr>
        <w:spacing w:after="0" w:line="263" w:lineRule="exact"/>
        <w:jc w:val="left"/>
        <w:sectPr>
          <w:pgSz w:w="12240" w:h="15840"/>
          <w:pgMar w:header="847" w:footer="987" w:top="1360" w:bottom="1180" w:left="1500" w:right="0"/>
        </w:sectPr>
      </w:pPr>
    </w:p>
    <w:p>
      <w:pPr>
        <w:pStyle w:val="BodyText"/>
        <w:spacing w:line="240" w:lineRule="auto" w:before="11"/>
        <w:ind w:right="1697"/>
        <w:jc w:val="left"/>
      </w:pPr>
      <w:r>
        <w:rPr/>
        <w:pict>
          <v:group style="position:absolute;margin-left:80.783997pt;margin-top:1.845647pt;width:450.6pt;height:.1pt;mso-position-horizontal-relative:page;mso-position-vertical-relative:paragraph;z-index:-863656"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Calibri" w:hAnsi="Calibri" w:cs="Calibri" w:eastAsia="Calibri" w:hint="default"/>
        </w:rPr>
        <w:t>14,044,715.16 </w:t>
      </w:r>
      <w:r>
        <w:rPr>
          <w:rFonts w:ascii="Calibri" w:hAnsi="Calibri" w:cs="Calibri" w:eastAsia="Calibri" w:hint="default"/>
          <w:spacing w:val="8"/>
        </w:rPr>
        <w:t> </w:t>
      </w:r>
      <w:r>
        <w:rPr/>
        <w:t>元，扣除</w:t>
      </w:r>
      <w:r>
        <w:rPr>
          <w:spacing w:val="-62"/>
        </w:rPr>
        <w:t> </w:t>
      </w:r>
      <w:r>
        <w:rPr>
          <w:rFonts w:ascii="Calibri" w:hAnsi="Calibri" w:cs="Calibri" w:eastAsia="Calibri" w:hint="default"/>
        </w:rPr>
        <w:t>2008</w:t>
      </w:r>
      <w:r>
        <w:rPr>
          <w:rFonts w:ascii="Calibri" w:hAnsi="Calibri" w:cs="Calibri" w:eastAsia="Calibri" w:hint="default"/>
          <w:spacing w:val="4"/>
        </w:rPr>
        <w:t> </w:t>
      </w:r>
      <w:r>
        <w:rPr/>
        <w:t>年度分配的现金红利</w:t>
      </w:r>
      <w:r>
        <w:rPr>
          <w:spacing w:val="-62"/>
        </w:rPr>
        <w:t> </w:t>
      </w:r>
      <w:r>
        <w:rPr>
          <w:rFonts w:ascii="Calibri" w:hAnsi="Calibri" w:cs="Calibri" w:eastAsia="Calibri" w:hint="default"/>
        </w:rPr>
        <w:t>28,399,006</w:t>
      </w:r>
      <w:r>
        <w:rPr>
          <w:rFonts w:ascii="Calibri" w:hAnsi="Calibri" w:cs="Calibri" w:eastAsia="Calibri" w:hint="default"/>
          <w:spacing w:val="5"/>
        </w:rPr>
        <w:t> </w:t>
      </w:r>
      <w:r>
        <w:rPr/>
        <w:t>元、送股股利</w:t>
      </w:r>
    </w:p>
    <w:p>
      <w:pPr>
        <w:pStyle w:val="BodyText"/>
        <w:spacing w:line="240" w:lineRule="auto" w:before="121"/>
        <w:ind w:right="1697"/>
        <w:jc w:val="left"/>
      </w:pPr>
      <w:r>
        <w:rPr>
          <w:rFonts w:ascii="Calibri" w:hAnsi="Calibri" w:cs="Calibri" w:eastAsia="Calibri" w:hint="default"/>
        </w:rPr>
        <w:t>56,798,012.00 </w:t>
      </w:r>
      <w:r>
        <w:rPr>
          <w:rFonts w:ascii="Calibri" w:hAnsi="Calibri" w:cs="Calibri" w:eastAsia="Calibri" w:hint="default"/>
          <w:spacing w:val="9"/>
        </w:rPr>
        <w:t> </w:t>
      </w:r>
      <w:r>
        <w:rPr/>
        <w:t>元，本年度可供分配利润总额为</w:t>
      </w:r>
      <w:r>
        <w:rPr>
          <w:spacing w:val="-61"/>
        </w:rPr>
        <w:t> </w:t>
      </w:r>
      <w:r>
        <w:rPr>
          <w:rFonts w:ascii="Calibri" w:hAnsi="Calibri" w:cs="Calibri" w:eastAsia="Calibri" w:hint="default"/>
        </w:rPr>
        <w:t>338,324,985.35</w:t>
      </w:r>
      <w:r>
        <w:rPr>
          <w:rFonts w:ascii="Calibri" w:hAnsi="Calibri" w:cs="Calibri" w:eastAsia="Calibri" w:hint="default"/>
          <w:spacing w:val="5"/>
        </w:rPr>
        <w:t> </w:t>
      </w:r>
      <w:r>
        <w:rPr/>
        <w:t>元。</w:t>
      </w:r>
    </w:p>
    <w:p>
      <w:pPr>
        <w:spacing w:line="240" w:lineRule="auto" w:before="8"/>
        <w:rPr>
          <w:rFonts w:ascii="宋体" w:hAnsi="宋体" w:cs="宋体" w:eastAsia="宋体" w:hint="default"/>
          <w:sz w:val="18"/>
          <w:szCs w:val="18"/>
        </w:rPr>
      </w:pPr>
    </w:p>
    <w:p>
      <w:pPr>
        <w:pStyle w:val="BodyText"/>
        <w:spacing w:line="240" w:lineRule="auto"/>
        <w:ind w:left="624" w:right="1557"/>
        <w:jc w:val="left"/>
      </w:pPr>
      <w:r>
        <w:rPr/>
        <w:t>本年度进行利润分配，以</w:t>
      </w:r>
      <w:r>
        <w:rPr>
          <w:spacing w:val="-61"/>
        </w:rPr>
        <w:t> </w:t>
      </w:r>
      <w:r>
        <w:rPr>
          <w:rFonts w:ascii="Calibri" w:hAnsi="Calibri" w:cs="Calibri" w:eastAsia="Calibri" w:hint="default"/>
        </w:rPr>
        <w:t>2009</w:t>
      </w:r>
      <w:r>
        <w:rPr>
          <w:rFonts w:ascii="Calibri" w:hAnsi="Calibri" w:cs="Calibri" w:eastAsia="Calibri" w:hint="default"/>
          <w:spacing w:val="5"/>
        </w:rPr>
        <w:t> </w:t>
      </w:r>
      <w:r>
        <w:rPr/>
        <w:t>年末总股本</w:t>
      </w:r>
      <w:r>
        <w:rPr>
          <w:spacing w:val="-63"/>
        </w:rPr>
        <w:t> </w:t>
      </w:r>
      <w:r>
        <w:rPr>
          <w:rFonts w:ascii="Calibri" w:hAnsi="Calibri" w:cs="Calibri" w:eastAsia="Calibri" w:hint="default"/>
        </w:rPr>
        <w:t>425,985,090</w:t>
      </w:r>
      <w:r>
        <w:rPr>
          <w:rFonts w:ascii="Calibri" w:hAnsi="Calibri" w:cs="Calibri" w:eastAsia="Calibri" w:hint="default"/>
          <w:spacing w:val="5"/>
        </w:rPr>
        <w:t> </w:t>
      </w:r>
      <w:r>
        <w:rPr/>
        <w:t>股为基数，向全体股东每</w:t>
      </w:r>
    </w:p>
    <w:p>
      <w:pPr>
        <w:pStyle w:val="BodyText"/>
        <w:spacing w:line="240" w:lineRule="auto" w:before="121"/>
        <w:ind w:right="0"/>
        <w:jc w:val="left"/>
      </w:pPr>
      <w:r>
        <w:rPr>
          <w:rFonts w:ascii="Calibri" w:hAnsi="Calibri" w:cs="Calibri" w:eastAsia="Calibri" w:hint="default"/>
        </w:rPr>
        <w:t>10</w:t>
      </w:r>
      <w:r>
        <w:rPr>
          <w:rFonts w:ascii="Calibri" w:hAnsi="Calibri" w:cs="Calibri" w:eastAsia="Calibri" w:hint="default"/>
          <w:spacing w:val="6"/>
        </w:rPr>
        <w:t> </w:t>
      </w:r>
      <w:r>
        <w:rPr/>
        <w:t>股派人民币现金</w:t>
      </w:r>
      <w:r>
        <w:rPr>
          <w:spacing w:val="-60"/>
        </w:rPr>
        <w:t> </w:t>
      </w:r>
      <w:r>
        <w:rPr>
          <w:rFonts w:ascii="Calibri" w:hAnsi="Calibri" w:cs="Calibri" w:eastAsia="Calibri" w:hint="default"/>
        </w:rPr>
        <w:t>1</w:t>
      </w:r>
      <w:r>
        <w:rPr>
          <w:rFonts w:ascii="Calibri" w:hAnsi="Calibri" w:cs="Calibri" w:eastAsia="Calibri" w:hint="default"/>
          <w:spacing w:val="4"/>
        </w:rPr>
        <w:t> </w:t>
      </w:r>
      <w:r>
        <w:rPr>
          <w:spacing w:val="-6"/>
        </w:rPr>
        <w:t>元（含税）。剩余未分配利润</w:t>
      </w:r>
      <w:r>
        <w:rPr>
          <w:spacing w:val="-60"/>
        </w:rPr>
        <w:t> </w:t>
      </w:r>
      <w:r>
        <w:rPr>
          <w:rFonts w:ascii="Calibri" w:hAnsi="Calibri" w:cs="Calibri" w:eastAsia="Calibri" w:hint="default"/>
        </w:rPr>
        <w:t>295,726,476.35</w:t>
      </w:r>
      <w:r>
        <w:rPr>
          <w:rFonts w:ascii="Calibri" w:hAnsi="Calibri" w:cs="Calibri" w:eastAsia="Calibri" w:hint="default"/>
          <w:spacing w:val="5"/>
        </w:rPr>
        <w:t> </w:t>
      </w:r>
      <w:r>
        <w:rPr/>
        <w:t>元滚存至下一年度。</w:t>
      </w:r>
    </w:p>
    <w:p>
      <w:pPr>
        <w:spacing w:line="240" w:lineRule="auto" w:before="8"/>
        <w:rPr>
          <w:rFonts w:ascii="宋体" w:hAnsi="宋体" w:cs="宋体" w:eastAsia="宋体" w:hint="default"/>
          <w:sz w:val="18"/>
          <w:szCs w:val="18"/>
        </w:rPr>
      </w:pPr>
    </w:p>
    <w:p>
      <w:pPr>
        <w:pStyle w:val="BodyText"/>
        <w:spacing w:line="408" w:lineRule="auto"/>
        <w:ind w:left="715" w:right="2201" w:hanging="92"/>
        <w:jc w:val="left"/>
      </w:pPr>
      <w:r>
        <w:rPr/>
        <w:t>（</w:t>
      </w:r>
      <w:r>
        <w:rPr>
          <w:rFonts w:ascii="Calibri" w:hAnsi="Calibri" w:cs="Calibri" w:eastAsia="Calibri" w:hint="default"/>
        </w:rPr>
        <w:t>3</w:t>
      </w:r>
      <w:r>
        <w:rPr/>
        <w:t>）</w:t>
      </w:r>
      <w:r>
        <w:rPr>
          <w:rFonts w:ascii="Calibri" w:hAnsi="Calibri" w:cs="Calibri" w:eastAsia="Calibri" w:hint="default"/>
        </w:rPr>
        <w:t>2008</w:t>
      </w:r>
      <w:r>
        <w:rPr>
          <w:rFonts w:ascii="Calibri" w:hAnsi="Calibri" w:cs="Calibri" w:eastAsia="Calibri" w:hint="default"/>
          <w:spacing w:val="5"/>
        </w:rPr>
        <w:t> </w:t>
      </w:r>
      <w:r>
        <w:rPr/>
        <w:t>年年度利润分配方案 经北京兴华会计师事务所有限责任公司审计，公司</w:t>
      </w:r>
      <w:r>
        <w:rPr>
          <w:spacing w:val="-61"/>
        </w:rPr>
        <w:t> </w:t>
      </w:r>
      <w:r>
        <w:rPr>
          <w:rFonts w:ascii="Calibri" w:hAnsi="Calibri" w:cs="Calibri" w:eastAsia="Calibri" w:hint="default"/>
        </w:rPr>
        <w:t>2008</w:t>
      </w:r>
      <w:r>
        <w:rPr>
          <w:rFonts w:ascii="Calibri" w:hAnsi="Calibri" w:cs="Calibri" w:eastAsia="Calibri" w:hint="default"/>
          <w:spacing w:val="4"/>
        </w:rPr>
        <w:t> </w:t>
      </w:r>
      <w:r>
        <w:rPr/>
        <w:t>年度母公司净利润</w:t>
      </w:r>
    </w:p>
    <w:p>
      <w:pPr>
        <w:pStyle w:val="BodyText"/>
        <w:spacing w:line="263" w:lineRule="exact"/>
        <w:ind w:right="1697"/>
        <w:jc w:val="left"/>
      </w:pPr>
      <w:r>
        <w:rPr>
          <w:rFonts w:ascii="Calibri" w:hAnsi="Calibri" w:cs="Calibri" w:eastAsia="Calibri" w:hint="default"/>
        </w:rPr>
        <w:t>108,460,414.34  </w:t>
      </w:r>
      <w:r>
        <w:rPr/>
        <w:t>元，加年初未分配利润 </w:t>
      </w:r>
      <w:r>
        <w:rPr>
          <w:rFonts w:ascii="Calibri" w:hAnsi="Calibri" w:cs="Calibri" w:eastAsia="Calibri" w:hint="default"/>
        </w:rPr>
        <w:t>227,904,199.98</w:t>
      </w:r>
      <w:r>
        <w:rPr>
          <w:rFonts w:ascii="Calibri" w:hAnsi="Calibri" w:cs="Calibri" w:eastAsia="Calibri" w:hint="default"/>
          <w:spacing w:val="8"/>
        </w:rPr>
        <w:t> </w:t>
      </w:r>
      <w:r>
        <w:rPr/>
        <w:t>元，提取法定盈余公积金</w:t>
      </w:r>
    </w:p>
    <w:p>
      <w:pPr>
        <w:pStyle w:val="BodyText"/>
        <w:spacing w:line="240" w:lineRule="auto" w:before="124"/>
        <w:ind w:right="1557"/>
        <w:jc w:val="left"/>
      </w:pPr>
      <w:r>
        <w:rPr>
          <w:rFonts w:ascii="Calibri" w:hAnsi="Calibri" w:cs="Calibri" w:eastAsia="Calibri" w:hint="default"/>
        </w:rPr>
        <w:t>10,846,041.43</w:t>
      </w:r>
      <w:r>
        <w:rPr>
          <w:rFonts w:ascii="Calibri" w:hAnsi="Calibri" w:cs="Calibri" w:eastAsia="Calibri" w:hint="default"/>
          <w:spacing w:val="6"/>
        </w:rPr>
        <w:t> </w:t>
      </w:r>
      <w:r>
        <w:rPr>
          <w:spacing w:val="-11"/>
        </w:rPr>
        <w:t>元，扣除</w:t>
      </w:r>
      <w:r>
        <w:rPr>
          <w:spacing w:val="-61"/>
        </w:rPr>
        <w:t> </w:t>
      </w:r>
      <w:r>
        <w:rPr>
          <w:rFonts w:ascii="Calibri" w:hAnsi="Calibri" w:cs="Calibri" w:eastAsia="Calibri" w:hint="default"/>
        </w:rPr>
        <w:t>2007</w:t>
      </w:r>
      <w:r>
        <w:rPr>
          <w:rFonts w:ascii="Calibri" w:hAnsi="Calibri" w:cs="Calibri" w:eastAsia="Calibri" w:hint="default"/>
          <w:spacing w:val="5"/>
        </w:rPr>
        <w:t> </w:t>
      </w:r>
      <w:r>
        <w:rPr/>
        <w:t>年度分配的现金红利</w:t>
      </w:r>
      <w:r>
        <w:rPr>
          <w:spacing w:val="-61"/>
        </w:rPr>
        <w:t> </w:t>
      </w:r>
      <w:r>
        <w:rPr>
          <w:rFonts w:ascii="Calibri" w:hAnsi="Calibri" w:cs="Calibri" w:eastAsia="Calibri" w:hint="default"/>
        </w:rPr>
        <w:t>28,399,006</w:t>
      </w:r>
      <w:r>
        <w:rPr>
          <w:rFonts w:ascii="Calibri" w:hAnsi="Calibri" w:cs="Calibri" w:eastAsia="Calibri" w:hint="default"/>
          <w:spacing w:val="6"/>
        </w:rPr>
        <w:t> </w:t>
      </w:r>
      <w:r>
        <w:rPr>
          <w:spacing w:val="-4"/>
        </w:rPr>
        <w:t>元，本年度可供分配利润</w:t>
      </w:r>
    </w:p>
    <w:p>
      <w:pPr>
        <w:pStyle w:val="BodyText"/>
        <w:spacing w:line="240" w:lineRule="auto" w:before="121"/>
        <w:ind w:right="1697"/>
        <w:jc w:val="left"/>
      </w:pPr>
      <w:r>
        <w:rPr/>
        <w:t>总额为</w:t>
      </w:r>
      <w:r>
        <w:rPr>
          <w:spacing w:val="-62"/>
        </w:rPr>
        <w:t> </w:t>
      </w:r>
      <w:r>
        <w:rPr>
          <w:rFonts w:ascii="Calibri" w:hAnsi="Calibri" w:cs="Calibri" w:eastAsia="Calibri" w:hint="default"/>
        </w:rPr>
        <w:t>297,119,566.89</w:t>
      </w:r>
      <w:r>
        <w:rPr>
          <w:rFonts w:ascii="Calibri" w:hAnsi="Calibri" w:cs="Calibri" w:eastAsia="Calibri" w:hint="default"/>
          <w:spacing w:val="4"/>
        </w:rPr>
        <w:t> </w:t>
      </w:r>
      <w:r>
        <w:rPr/>
        <w:t>元。</w:t>
      </w:r>
    </w:p>
    <w:p>
      <w:pPr>
        <w:pStyle w:val="BodyText"/>
        <w:spacing w:line="240" w:lineRule="auto" w:before="171"/>
        <w:ind w:left="715" w:right="1557"/>
        <w:jc w:val="left"/>
      </w:pPr>
      <w:r>
        <w:rPr/>
        <w:t>本年度进行利润分配，以</w:t>
      </w:r>
      <w:r>
        <w:rPr>
          <w:spacing w:val="-63"/>
        </w:rPr>
        <w:t> </w:t>
      </w:r>
      <w:r>
        <w:rPr>
          <w:rFonts w:ascii="Calibri" w:hAnsi="Calibri" w:cs="Calibri" w:eastAsia="Calibri" w:hint="default"/>
        </w:rPr>
        <w:t>2008</w:t>
      </w:r>
      <w:r>
        <w:rPr>
          <w:rFonts w:ascii="Calibri" w:hAnsi="Calibri" w:cs="Calibri" w:eastAsia="Calibri" w:hint="default"/>
          <w:spacing w:val="3"/>
        </w:rPr>
        <w:t> </w:t>
      </w:r>
      <w:r>
        <w:rPr/>
        <w:t>年末总股本</w:t>
      </w:r>
      <w:r>
        <w:rPr>
          <w:spacing w:val="-65"/>
        </w:rPr>
        <w:t> </w:t>
      </w:r>
      <w:r>
        <w:rPr>
          <w:rFonts w:ascii="Calibri" w:hAnsi="Calibri" w:cs="Calibri" w:eastAsia="Calibri" w:hint="default"/>
        </w:rPr>
        <w:t>283,990,060</w:t>
      </w:r>
      <w:r>
        <w:rPr>
          <w:rFonts w:ascii="Calibri" w:hAnsi="Calibri" w:cs="Calibri" w:eastAsia="Calibri" w:hint="default"/>
          <w:spacing w:val="4"/>
        </w:rPr>
        <w:t> </w:t>
      </w:r>
      <w:r>
        <w:rPr>
          <w:spacing w:val="-3"/>
        </w:rPr>
        <w:t>股为基数，向全体股东每</w:t>
      </w:r>
    </w:p>
    <w:p>
      <w:pPr>
        <w:pStyle w:val="BodyText"/>
        <w:spacing w:line="240" w:lineRule="auto" w:before="123"/>
        <w:ind w:right="1557"/>
        <w:jc w:val="left"/>
      </w:pPr>
      <w:r>
        <w:rPr>
          <w:rFonts w:ascii="Calibri" w:hAnsi="Calibri" w:cs="Calibri" w:eastAsia="Calibri" w:hint="default"/>
        </w:rPr>
        <w:t>10</w:t>
      </w:r>
      <w:r>
        <w:rPr>
          <w:rFonts w:ascii="Calibri" w:hAnsi="Calibri" w:cs="Calibri" w:eastAsia="Calibri" w:hint="default"/>
          <w:spacing w:val="5"/>
        </w:rPr>
        <w:t> </w:t>
      </w:r>
      <w:r>
        <w:rPr/>
        <w:t>股送</w:t>
      </w:r>
      <w:r>
        <w:rPr>
          <w:spacing w:val="-62"/>
        </w:rPr>
        <w:t> </w:t>
      </w:r>
      <w:r>
        <w:rPr>
          <w:rFonts w:ascii="Calibri" w:hAnsi="Calibri" w:cs="Calibri" w:eastAsia="Calibri" w:hint="default"/>
        </w:rPr>
        <w:t>2</w:t>
      </w:r>
      <w:r>
        <w:rPr>
          <w:rFonts w:ascii="Calibri" w:hAnsi="Calibri" w:cs="Calibri" w:eastAsia="Calibri" w:hint="default"/>
          <w:spacing w:val="5"/>
        </w:rPr>
        <w:t> </w:t>
      </w:r>
      <w:r>
        <w:rPr/>
        <w:t>股红股、派人民币现金</w:t>
      </w:r>
      <w:r>
        <w:rPr>
          <w:spacing w:val="-61"/>
        </w:rPr>
        <w:t> </w:t>
      </w:r>
      <w:r>
        <w:rPr>
          <w:rFonts w:ascii="Calibri" w:hAnsi="Calibri" w:cs="Calibri" w:eastAsia="Calibri" w:hint="default"/>
        </w:rPr>
        <w:t>1 </w:t>
      </w:r>
      <w:r>
        <w:rPr>
          <w:rFonts w:ascii="Calibri" w:hAnsi="Calibri" w:cs="Calibri" w:eastAsia="Calibri" w:hint="default"/>
          <w:spacing w:val="11"/>
        </w:rPr>
        <w:t> </w:t>
      </w:r>
      <w:r>
        <w:rPr/>
        <w:t>元（含税），以资本公积金向全体股东每</w:t>
      </w:r>
      <w:r>
        <w:rPr>
          <w:spacing w:val="-60"/>
        </w:rPr>
        <w:t> </w:t>
      </w:r>
      <w:r>
        <w:rPr>
          <w:rFonts w:ascii="Calibri" w:hAnsi="Calibri" w:cs="Calibri" w:eastAsia="Calibri" w:hint="default"/>
        </w:rPr>
        <w:t>10</w:t>
      </w:r>
      <w:r>
        <w:rPr>
          <w:rFonts w:ascii="Calibri" w:hAnsi="Calibri" w:cs="Calibri" w:eastAsia="Calibri" w:hint="default"/>
          <w:spacing w:val="5"/>
        </w:rPr>
        <w:t> </w:t>
      </w:r>
      <w:r>
        <w:rPr/>
        <w:t>股转</w:t>
      </w:r>
    </w:p>
    <w:p>
      <w:pPr>
        <w:pStyle w:val="BodyText"/>
        <w:spacing w:line="240" w:lineRule="auto" w:before="123"/>
        <w:ind w:right="1557"/>
        <w:jc w:val="left"/>
        <w:rPr>
          <w:rFonts w:ascii="Calibri" w:hAnsi="Calibri" w:cs="Calibri" w:eastAsia="Calibri" w:hint="default"/>
        </w:rPr>
      </w:pPr>
      <w:r>
        <w:rPr/>
        <w:t>增</w:t>
      </w:r>
      <w:r>
        <w:rPr>
          <w:spacing w:val="-82"/>
        </w:rPr>
        <w:t> </w:t>
      </w:r>
      <w:r>
        <w:rPr>
          <w:rFonts w:ascii="Calibri" w:hAnsi="Calibri" w:cs="Calibri" w:eastAsia="Calibri" w:hint="default"/>
        </w:rPr>
        <w:t>3</w:t>
      </w:r>
      <w:r>
        <w:rPr>
          <w:rFonts w:ascii="Calibri" w:hAnsi="Calibri" w:cs="Calibri" w:eastAsia="Calibri" w:hint="default"/>
          <w:spacing w:val="-16"/>
        </w:rPr>
        <w:t> </w:t>
      </w:r>
      <w:r>
        <w:rPr/>
        <w:t>股</w:t>
      </w:r>
      <w:r>
        <w:rPr>
          <w:spacing w:val="-120"/>
        </w:rPr>
        <w:t>。</w:t>
      </w:r>
      <w:r>
        <w:rPr/>
        <w:t>剩余未分配利润</w:t>
      </w:r>
      <w:r>
        <w:rPr>
          <w:spacing w:val="-81"/>
        </w:rPr>
        <w:t> </w:t>
      </w:r>
      <w:r>
        <w:rPr>
          <w:rFonts w:ascii="Calibri" w:hAnsi="Calibri" w:cs="Calibri" w:eastAsia="Calibri" w:hint="default"/>
        </w:rPr>
        <w:t>2</w:t>
      </w:r>
      <w:r>
        <w:rPr>
          <w:rFonts w:ascii="Calibri" w:hAnsi="Calibri" w:cs="Calibri" w:eastAsia="Calibri" w:hint="default"/>
          <w:spacing w:val="1"/>
        </w:rPr>
        <w:t>1</w:t>
      </w:r>
      <w:r>
        <w:rPr>
          <w:rFonts w:ascii="Calibri" w:hAnsi="Calibri" w:cs="Calibri" w:eastAsia="Calibri" w:hint="default"/>
        </w:rPr>
        <w:t>1,</w:t>
      </w:r>
      <w:r>
        <w:rPr>
          <w:rFonts w:ascii="Calibri" w:hAnsi="Calibri" w:cs="Calibri" w:eastAsia="Calibri" w:hint="default"/>
          <w:spacing w:val="-1"/>
        </w:rPr>
        <w:t>9</w:t>
      </w:r>
      <w:r>
        <w:rPr>
          <w:rFonts w:ascii="Calibri" w:hAnsi="Calibri" w:cs="Calibri" w:eastAsia="Calibri" w:hint="default"/>
        </w:rPr>
        <w:t>2</w:t>
      </w:r>
      <w:r>
        <w:rPr>
          <w:rFonts w:ascii="Calibri" w:hAnsi="Calibri" w:cs="Calibri" w:eastAsia="Calibri" w:hint="default"/>
          <w:spacing w:val="1"/>
        </w:rPr>
        <w:t>2</w:t>
      </w:r>
      <w:r>
        <w:rPr>
          <w:rFonts w:ascii="Calibri" w:hAnsi="Calibri" w:cs="Calibri" w:eastAsia="Calibri" w:hint="default"/>
        </w:rPr>
        <w:t>,</w:t>
      </w:r>
      <w:r>
        <w:rPr>
          <w:rFonts w:ascii="Calibri" w:hAnsi="Calibri" w:cs="Calibri" w:eastAsia="Calibri" w:hint="default"/>
          <w:spacing w:val="-2"/>
        </w:rPr>
        <w:t>5</w:t>
      </w:r>
      <w:r>
        <w:rPr>
          <w:rFonts w:ascii="Calibri" w:hAnsi="Calibri" w:cs="Calibri" w:eastAsia="Calibri" w:hint="default"/>
        </w:rPr>
        <w:t>4</w:t>
      </w:r>
      <w:r>
        <w:rPr>
          <w:rFonts w:ascii="Calibri" w:hAnsi="Calibri" w:cs="Calibri" w:eastAsia="Calibri" w:hint="default"/>
          <w:spacing w:val="1"/>
        </w:rPr>
        <w:t>8</w:t>
      </w:r>
      <w:r>
        <w:rPr>
          <w:rFonts w:ascii="Calibri" w:hAnsi="Calibri" w:cs="Calibri" w:eastAsia="Calibri" w:hint="default"/>
          <w:spacing w:val="-1"/>
        </w:rPr>
        <w:t>.8</w:t>
      </w:r>
      <w:r>
        <w:rPr>
          <w:rFonts w:ascii="Calibri" w:hAnsi="Calibri" w:cs="Calibri" w:eastAsia="Calibri" w:hint="default"/>
        </w:rPr>
        <w:t>9 </w:t>
      </w:r>
      <w:r>
        <w:rPr>
          <w:rFonts w:ascii="Calibri" w:hAnsi="Calibri" w:cs="Calibri" w:eastAsia="Calibri" w:hint="default"/>
          <w:spacing w:val="13"/>
        </w:rPr>
        <w:t> </w:t>
      </w:r>
      <w:r>
        <w:rPr/>
        <w:t>元</w:t>
      </w:r>
      <w:r>
        <w:rPr>
          <w:spacing w:val="-3"/>
        </w:rPr>
        <w:t>滚</w:t>
      </w:r>
      <w:r>
        <w:rPr/>
        <w:t>存至下一年度</w:t>
      </w:r>
      <w:r>
        <w:rPr>
          <w:spacing w:val="-120"/>
        </w:rPr>
        <w:t>；</w:t>
      </w:r>
      <w:r>
        <w:rPr/>
        <w:t>资本公积由</w:t>
      </w:r>
      <w:r>
        <w:rPr>
          <w:spacing w:val="-81"/>
        </w:rPr>
        <w:t> </w:t>
      </w:r>
      <w:r>
        <w:rPr>
          <w:rFonts w:ascii="Calibri" w:hAnsi="Calibri" w:cs="Calibri" w:eastAsia="Calibri" w:hint="default"/>
        </w:rPr>
        <w:t>3</w:t>
      </w:r>
      <w:r>
        <w:rPr>
          <w:rFonts w:ascii="Calibri" w:hAnsi="Calibri" w:cs="Calibri" w:eastAsia="Calibri" w:hint="default"/>
          <w:spacing w:val="1"/>
        </w:rPr>
        <w:t>6</w:t>
      </w:r>
      <w:r>
        <w:rPr>
          <w:rFonts w:ascii="Calibri" w:hAnsi="Calibri" w:cs="Calibri" w:eastAsia="Calibri" w:hint="default"/>
        </w:rPr>
        <w:t>9,</w:t>
      </w:r>
      <w:r>
        <w:rPr>
          <w:rFonts w:ascii="Calibri" w:hAnsi="Calibri" w:cs="Calibri" w:eastAsia="Calibri" w:hint="default"/>
          <w:spacing w:val="-1"/>
        </w:rPr>
        <w:t>4</w:t>
      </w:r>
      <w:r>
        <w:rPr>
          <w:rFonts w:ascii="Calibri" w:hAnsi="Calibri" w:cs="Calibri" w:eastAsia="Calibri" w:hint="default"/>
        </w:rPr>
        <w:t>2</w:t>
      </w:r>
      <w:r>
        <w:rPr>
          <w:rFonts w:ascii="Calibri" w:hAnsi="Calibri" w:cs="Calibri" w:eastAsia="Calibri" w:hint="default"/>
          <w:spacing w:val="1"/>
        </w:rPr>
        <w:t>3</w:t>
      </w:r>
      <w:r>
        <w:rPr>
          <w:rFonts w:ascii="Calibri" w:hAnsi="Calibri" w:cs="Calibri" w:eastAsia="Calibri" w:hint="default"/>
        </w:rPr>
        <w:t>,</w:t>
      </w:r>
      <w:r>
        <w:rPr>
          <w:rFonts w:ascii="Calibri" w:hAnsi="Calibri" w:cs="Calibri" w:eastAsia="Calibri" w:hint="default"/>
          <w:spacing w:val="-2"/>
        </w:rPr>
        <w:t>8</w:t>
      </w:r>
      <w:r>
        <w:rPr>
          <w:rFonts w:ascii="Calibri" w:hAnsi="Calibri" w:cs="Calibri" w:eastAsia="Calibri" w:hint="default"/>
        </w:rPr>
        <w:t>0</w:t>
      </w:r>
      <w:r>
        <w:rPr>
          <w:rFonts w:ascii="Calibri" w:hAnsi="Calibri" w:cs="Calibri" w:eastAsia="Calibri" w:hint="default"/>
          <w:spacing w:val="1"/>
        </w:rPr>
        <w:t>1</w:t>
      </w:r>
      <w:r>
        <w:rPr>
          <w:rFonts w:ascii="Calibri" w:hAnsi="Calibri" w:cs="Calibri" w:eastAsia="Calibri" w:hint="default"/>
          <w:spacing w:val="-1"/>
        </w:rPr>
        <w:t>.</w:t>
      </w:r>
      <w:r>
        <w:rPr>
          <w:rFonts w:ascii="Calibri" w:hAnsi="Calibri" w:cs="Calibri" w:eastAsia="Calibri" w:hint="default"/>
          <w:spacing w:val="-3"/>
        </w:rPr>
        <w:t>0</w:t>
      </w:r>
      <w:r>
        <w:rPr>
          <w:rFonts w:ascii="Calibri" w:hAnsi="Calibri" w:cs="Calibri" w:eastAsia="Calibri" w:hint="default"/>
        </w:rPr>
        <w:t>9</w:t>
      </w:r>
    </w:p>
    <w:p>
      <w:pPr>
        <w:pStyle w:val="BodyText"/>
        <w:spacing w:line="240" w:lineRule="auto" w:before="121"/>
        <w:ind w:right="1697"/>
        <w:jc w:val="left"/>
      </w:pPr>
      <w:r>
        <w:rPr/>
        <w:t>元减少到</w:t>
      </w:r>
      <w:r>
        <w:rPr>
          <w:spacing w:val="-64"/>
        </w:rPr>
        <w:t> </w:t>
      </w:r>
      <w:r>
        <w:rPr>
          <w:rFonts w:ascii="Calibri" w:hAnsi="Calibri" w:cs="Calibri" w:eastAsia="Calibri" w:hint="default"/>
        </w:rPr>
        <w:t>284,226,783.09</w:t>
      </w:r>
      <w:r>
        <w:rPr>
          <w:rFonts w:ascii="Calibri" w:hAnsi="Calibri" w:cs="Calibri" w:eastAsia="Calibri" w:hint="default"/>
          <w:spacing w:val="3"/>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847" w:footer="987" w:top="1360" w:bottom="1180" w:left="1500" w:right="0"/>
        </w:sectPr>
      </w:pPr>
    </w:p>
    <w:p>
      <w:pPr>
        <w:pStyle w:val="Heading4"/>
        <w:spacing w:line="240" w:lineRule="auto" w:before="178"/>
        <w:ind w:right="0"/>
        <w:jc w:val="left"/>
        <w:rPr>
          <w:b w:val="0"/>
          <w:bCs w:val="0"/>
        </w:rPr>
      </w:pPr>
      <w:r>
        <w:rPr>
          <w:rFonts w:ascii="Calibri" w:hAnsi="Calibri" w:cs="Calibri" w:eastAsia="Calibri" w:hint="default"/>
          <w:w w:val="95"/>
        </w:rPr>
        <w:t>2</w:t>
      </w:r>
      <w:r>
        <w:rPr>
          <w:w w:val="95"/>
        </w:rPr>
        <w:t>、最近三年现金分红情况表</w:t>
      </w:r>
      <w:r>
        <w:rPr>
          <w:b w:val="0"/>
          <w:bCs w:val="0"/>
        </w:rPr>
      </w:r>
    </w:p>
    <w:p>
      <w:pPr>
        <w:spacing w:line="240" w:lineRule="auto" w:before="0"/>
        <w:rPr>
          <w:rFonts w:ascii="黑体" w:hAnsi="黑体" w:cs="黑体" w:eastAsia="黑体" w:hint="default"/>
          <w:b/>
          <w:bCs/>
          <w:sz w:val="24"/>
          <w:szCs w:val="24"/>
        </w:rPr>
      </w:pPr>
      <w:r>
        <w:rPr/>
        <w:br w:type="column"/>
      </w:r>
      <w:r>
        <w:rPr>
          <w:rFonts w:ascii="黑体"/>
          <w:b/>
          <w:sz w:val="24"/>
        </w:rPr>
      </w:r>
    </w:p>
    <w:p>
      <w:pPr>
        <w:spacing w:line="240" w:lineRule="auto" w:before="5"/>
        <w:rPr>
          <w:rFonts w:ascii="黑体" w:hAnsi="黑体" w:cs="黑体" w:eastAsia="黑体" w:hint="default"/>
          <w:b/>
          <w:bCs/>
          <w:sz w:val="23"/>
          <w:szCs w:val="23"/>
        </w:rPr>
      </w:pPr>
    </w:p>
    <w:p>
      <w:pPr>
        <w:pStyle w:val="BodyText"/>
        <w:spacing w:line="240" w:lineRule="auto"/>
        <w:ind w:right="0"/>
        <w:jc w:val="left"/>
      </w:pPr>
      <w:r>
        <w:rPr/>
        <w:t>单位：元</w:t>
      </w:r>
    </w:p>
    <w:p>
      <w:pPr>
        <w:spacing w:after="0" w:line="240" w:lineRule="auto"/>
        <w:jc w:val="left"/>
        <w:sectPr>
          <w:type w:val="continuous"/>
          <w:pgSz w:w="12240" w:h="15840"/>
          <w:pgMar w:top="1500" w:bottom="0" w:left="1500" w:right="0"/>
          <w:cols w:num="2" w:equalWidth="0">
            <w:col w:w="3158" w:space="4836"/>
            <w:col w:w="2746"/>
          </w:cols>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20"/>
        <w:gridCol w:w="1849"/>
        <w:gridCol w:w="1848"/>
        <w:gridCol w:w="2002"/>
        <w:gridCol w:w="1692"/>
      </w:tblGrid>
      <w:tr>
        <w:trPr>
          <w:trHeight w:val="142" w:hRule="exact"/>
        </w:trPr>
        <w:tc>
          <w:tcPr>
            <w:tcW w:w="1620" w:type="dxa"/>
            <w:vMerge w:val="restart"/>
            <w:tcBorders>
              <w:top w:val="single" w:sz="4" w:space="0" w:color="000000"/>
              <w:left w:val="single" w:sz="4" w:space="0" w:color="000000"/>
              <w:right w:val="single" w:sz="4" w:space="0" w:color="000000"/>
            </w:tcBorders>
            <w:shd w:val="clear" w:color="auto" w:fill="DCDCDC"/>
          </w:tcPr>
          <w:p>
            <w:pPr/>
          </w:p>
        </w:tc>
        <w:tc>
          <w:tcPr>
            <w:tcW w:w="18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7"/>
              <w:ind w:left="288" w:right="77" w:hanging="212"/>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200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573" w:right="48"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16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7" w:hRule="exact"/>
        </w:trPr>
        <w:tc>
          <w:tcPr>
            <w:tcW w:w="1620" w:type="dxa"/>
            <w:vMerge/>
            <w:tcBorders>
              <w:left w:val="single" w:sz="4" w:space="0" w:color="000000"/>
              <w:bottom w:val="nil" w:sz="6" w:space="0" w:color="auto"/>
              <w:right w:val="single" w:sz="4" w:space="0" w:color="000000"/>
            </w:tcBorders>
            <w:shd w:val="clear" w:color="auto" w:fill="DCDCDC"/>
          </w:tcPr>
          <w:p>
            <w:pPr/>
          </w:p>
        </w:tc>
        <w:tc>
          <w:tcPr>
            <w:tcW w:w="184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现金分红金额（含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1848" w:type="dxa"/>
            <w:vMerge/>
            <w:tcBorders>
              <w:left w:val="single" w:sz="4" w:space="0" w:color="000000"/>
              <w:right w:val="single" w:sz="4" w:space="0" w:color="000000"/>
            </w:tcBorders>
            <w:shd w:val="clear" w:color="auto" w:fill="DCDCDC"/>
          </w:tcPr>
          <w:p>
            <w:pPr/>
          </w:p>
        </w:tc>
        <w:tc>
          <w:tcPr>
            <w:tcW w:w="2002" w:type="dxa"/>
            <w:vMerge/>
            <w:tcBorders>
              <w:left w:val="single" w:sz="4" w:space="0" w:color="000000"/>
              <w:right w:val="single" w:sz="4" w:space="0" w:color="000000"/>
            </w:tcBorders>
            <w:shd w:val="clear" w:color="auto" w:fill="DCDCDC"/>
          </w:tcPr>
          <w:p>
            <w:pPr/>
          </w:p>
        </w:tc>
        <w:tc>
          <w:tcPr>
            <w:tcW w:w="1692" w:type="dxa"/>
            <w:vMerge/>
            <w:tcBorders>
              <w:left w:val="single" w:sz="4" w:space="0" w:color="000000"/>
              <w:right w:val="single" w:sz="4" w:space="0" w:color="000000"/>
            </w:tcBorders>
            <w:shd w:val="clear" w:color="auto" w:fill="DCDCDC"/>
          </w:tcPr>
          <w:p>
            <w:pPr/>
          </w:p>
        </w:tc>
      </w:tr>
      <w:tr>
        <w:trPr>
          <w:trHeight w:val="271" w:hRule="exact"/>
        </w:trPr>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849" w:type="dxa"/>
            <w:vMerge/>
            <w:tcBorders>
              <w:left w:val="single" w:sz="4" w:space="0" w:color="000000"/>
              <w:right w:val="single" w:sz="4" w:space="0" w:color="000000"/>
            </w:tcBorders>
            <w:shd w:val="clear" w:color="auto" w:fill="DCDCDC"/>
          </w:tcPr>
          <w:p>
            <w:pPr/>
          </w:p>
        </w:tc>
        <w:tc>
          <w:tcPr>
            <w:tcW w:w="1848" w:type="dxa"/>
            <w:vMerge/>
            <w:tcBorders>
              <w:left w:val="single" w:sz="4" w:space="0" w:color="000000"/>
              <w:right w:val="single" w:sz="4" w:space="0" w:color="000000"/>
            </w:tcBorders>
            <w:shd w:val="clear" w:color="auto" w:fill="DCDCDC"/>
          </w:tcPr>
          <w:p>
            <w:pPr/>
          </w:p>
        </w:tc>
        <w:tc>
          <w:tcPr>
            <w:tcW w:w="2002" w:type="dxa"/>
            <w:vMerge/>
            <w:tcBorders>
              <w:left w:val="single" w:sz="4" w:space="0" w:color="000000"/>
              <w:right w:val="single" w:sz="4" w:space="0" w:color="000000"/>
            </w:tcBorders>
            <w:shd w:val="clear" w:color="auto" w:fill="DCDCDC"/>
          </w:tcPr>
          <w:p>
            <w:pPr/>
          </w:p>
        </w:tc>
        <w:tc>
          <w:tcPr>
            <w:tcW w:w="1692" w:type="dxa"/>
            <w:vMerge/>
            <w:tcBorders>
              <w:left w:val="single" w:sz="4" w:space="0" w:color="000000"/>
              <w:right w:val="single" w:sz="4" w:space="0" w:color="000000"/>
            </w:tcBorders>
            <w:shd w:val="clear" w:color="auto" w:fill="DCDCDC"/>
          </w:tcPr>
          <w:p>
            <w:pPr/>
          </w:p>
        </w:tc>
      </w:tr>
      <w:tr>
        <w:trPr>
          <w:trHeight w:val="137" w:hRule="exact"/>
        </w:trPr>
        <w:tc>
          <w:tcPr>
            <w:tcW w:w="1620" w:type="dxa"/>
            <w:vMerge w:val="restart"/>
            <w:tcBorders>
              <w:top w:val="nil" w:sz="6" w:space="0" w:color="auto"/>
              <w:left w:val="single" w:sz="4" w:space="0" w:color="000000"/>
              <w:right w:val="single" w:sz="4" w:space="0" w:color="000000"/>
            </w:tcBorders>
            <w:shd w:val="clear" w:color="auto" w:fill="DCDCDC"/>
          </w:tcPr>
          <w:p>
            <w:pPr/>
          </w:p>
        </w:tc>
        <w:tc>
          <w:tcPr>
            <w:tcW w:w="1849" w:type="dxa"/>
            <w:vMerge/>
            <w:tcBorders>
              <w:left w:val="single" w:sz="4" w:space="0" w:color="000000"/>
              <w:bottom w:val="nil" w:sz="6" w:space="0" w:color="auto"/>
              <w:right w:val="single" w:sz="4" w:space="0" w:color="000000"/>
            </w:tcBorders>
            <w:shd w:val="clear" w:color="auto" w:fill="DCDCDC"/>
          </w:tcPr>
          <w:p>
            <w:pPr/>
          </w:p>
        </w:tc>
        <w:tc>
          <w:tcPr>
            <w:tcW w:w="1848" w:type="dxa"/>
            <w:vMerge/>
            <w:tcBorders>
              <w:left w:val="single" w:sz="4" w:space="0" w:color="000000"/>
              <w:right w:val="single" w:sz="4" w:space="0" w:color="000000"/>
            </w:tcBorders>
            <w:shd w:val="clear" w:color="auto" w:fill="DCDCDC"/>
          </w:tcPr>
          <w:p>
            <w:pPr/>
          </w:p>
        </w:tc>
        <w:tc>
          <w:tcPr>
            <w:tcW w:w="2002" w:type="dxa"/>
            <w:vMerge/>
            <w:tcBorders>
              <w:left w:val="single" w:sz="4" w:space="0" w:color="000000"/>
              <w:right w:val="single" w:sz="4" w:space="0" w:color="000000"/>
            </w:tcBorders>
            <w:shd w:val="clear" w:color="auto" w:fill="DCDCDC"/>
          </w:tcPr>
          <w:p>
            <w:pPr/>
          </w:p>
        </w:tc>
        <w:tc>
          <w:tcPr>
            <w:tcW w:w="1692" w:type="dxa"/>
            <w:vMerge/>
            <w:tcBorders>
              <w:left w:val="single" w:sz="4" w:space="0" w:color="000000"/>
              <w:right w:val="single" w:sz="4" w:space="0" w:color="000000"/>
            </w:tcBorders>
            <w:shd w:val="clear" w:color="auto" w:fill="DCDCDC"/>
          </w:tcPr>
          <w:p>
            <w:pPr/>
          </w:p>
        </w:tc>
      </w:tr>
      <w:tr>
        <w:trPr>
          <w:trHeight w:val="142" w:hRule="exact"/>
        </w:trPr>
        <w:tc>
          <w:tcPr>
            <w:tcW w:w="1620" w:type="dxa"/>
            <w:vMerge/>
            <w:tcBorders>
              <w:left w:val="single" w:sz="4" w:space="0" w:color="000000"/>
              <w:bottom w:val="single" w:sz="4" w:space="0" w:color="000000"/>
              <w:right w:val="single" w:sz="4" w:space="0" w:color="000000"/>
            </w:tcBorders>
            <w:shd w:val="clear" w:color="auto" w:fill="DCDCDC"/>
          </w:tcPr>
          <w:p>
            <w:pPr/>
          </w:p>
        </w:tc>
        <w:tc>
          <w:tcPr>
            <w:tcW w:w="18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8" w:type="dxa"/>
            <w:vMerge/>
            <w:tcBorders>
              <w:left w:val="single" w:sz="4" w:space="0" w:color="000000"/>
              <w:bottom w:val="single" w:sz="4" w:space="0" w:color="000000"/>
              <w:right w:val="single" w:sz="4" w:space="0" w:color="000000"/>
            </w:tcBorders>
            <w:shd w:val="clear" w:color="auto" w:fill="DCDCDC"/>
          </w:tcPr>
          <w:p>
            <w:pPr/>
          </w:p>
        </w:tc>
        <w:tc>
          <w:tcPr>
            <w:tcW w:w="2002" w:type="dxa"/>
            <w:vMerge/>
            <w:tcBorders>
              <w:left w:val="single" w:sz="4" w:space="0" w:color="000000"/>
              <w:bottom w:val="single" w:sz="4" w:space="0" w:color="000000"/>
              <w:right w:val="single" w:sz="4" w:space="0" w:color="000000"/>
            </w:tcBorders>
            <w:shd w:val="clear" w:color="auto" w:fill="DCDCDC"/>
          </w:tcPr>
          <w:p>
            <w:pPr/>
          </w:p>
        </w:tc>
        <w:tc>
          <w:tcPr>
            <w:tcW w:w="1692"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44,228,666.70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317,334,381.80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13.94%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520,019,999.43</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42,598,509.00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241,020,384.55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17.67%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338,324,985.35</w:t>
            </w:r>
          </w:p>
        </w:tc>
      </w:tr>
      <w:tr>
        <w:trPr>
          <w:trHeight w:val="282"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28,399,006.00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177,696,600.50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15.98%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297,119,566.89</w:t>
            </w:r>
          </w:p>
        </w:tc>
      </w:tr>
      <w:tr>
        <w:trPr>
          <w:trHeight w:val="282" w:hRule="exact"/>
        </w:trPr>
        <w:tc>
          <w:tcPr>
            <w:tcW w:w="53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4" w:right="0"/>
              <w:jc w:val="left"/>
              <w:rPr>
                <w:rFonts w:ascii="Calibri" w:hAnsi="Calibri" w:cs="Calibri" w:eastAsia="Calibri" w:hint="default"/>
                <w:sz w:val="21"/>
                <w:szCs w:val="21"/>
              </w:rPr>
            </w:pPr>
            <w:r>
              <w:rPr>
                <w:rFonts w:ascii="宋体" w:hAnsi="宋体" w:cs="宋体" w:eastAsia="宋体" w:hint="default"/>
                <w:spacing w:val="-3"/>
                <w:sz w:val="21"/>
                <w:szCs w:val="21"/>
              </w:rPr>
              <w:t>最近三年累计现金分红金额占最近年均净利润的比例（</w:t>
            </w:r>
            <w:r>
              <w:rPr>
                <w:rFonts w:ascii="Calibri" w:hAnsi="Calibri" w:cs="Calibri" w:eastAsia="Calibri" w:hint="default"/>
                <w:spacing w:val="-3"/>
                <w:sz w:val="21"/>
                <w:szCs w:val="21"/>
              </w:rPr>
              <w:t>%</w:t>
            </w:r>
          </w:p>
        </w:tc>
        <w:tc>
          <w:tcPr>
            <w:tcW w:w="2002" w:type="dxa"/>
            <w:tcBorders>
              <w:top w:val="single" w:sz="4" w:space="0" w:color="000000"/>
              <w:left w:val="single" w:sz="13" w:space="0" w:color="DCDCDC"/>
              <w:bottom w:val="single" w:sz="4" w:space="0" w:color="000000"/>
              <w:right w:val="nil" w:sz="6" w:space="0" w:color="auto"/>
            </w:tcBorders>
          </w:tcPr>
          <w:p>
            <w:pPr>
              <w:pStyle w:val="TableParagraph"/>
              <w:spacing w:line="242"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20"/>
              <w:jc w:val="right"/>
              <w:rPr>
                <w:rFonts w:ascii="Calibri" w:hAnsi="Calibri" w:cs="Calibri" w:eastAsia="Calibri" w:hint="default"/>
                <w:sz w:val="21"/>
                <w:szCs w:val="21"/>
              </w:rPr>
            </w:pPr>
            <w:r>
              <w:rPr>
                <w:rFonts w:ascii="Calibri"/>
                <w:spacing w:val="-1"/>
                <w:sz w:val="21"/>
              </w:rPr>
              <w:t>46.96%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2"/>
        <w:spacing w:line="240" w:lineRule="auto" w:before="14"/>
        <w:ind w:right="1697"/>
        <w:jc w:val="left"/>
        <w:rPr>
          <w:b w:val="0"/>
          <w:bCs w:val="0"/>
        </w:rPr>
      </w:pPr>
      <w:r>
        <w:rPr/>
        <w:t>六、其它披露事项</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（一）内幕信息知情人登记管理制度的建立和执行情况</w:t>
      </w:r>
      <w:r>
        <w:rPr>
          <w:b w:val="0"/>
          <w:bCs w:val="0"/>
        </w:rPr>
      </w:r>
    </w:p>
    <w:p>
      <w:pPr>
        <w:pStyle w:val="BodyText"/>
        <w:spacing w:line="355" w:lineRule="auto" w:before="124"/>
        <w:ind w:right="1639" w:firstLine="479"/>
        <w:jc w:val="both"/>
      </w:pPr>
      <w:r>
        <w:rPr/>
        <w:t>公司制定了《内幕信息知情人登记管理制度》。报告期内，公司能够按照该制度 的要求，加强内幕信息知情人的保密意识，做好内幕信息管理以及内幕信息知情人登</w:t>
      </w:r>
      <w:r>
        <w:rPr>
          <w:spacing w:val="-59"/>
        </w:rPr>
        <w:t> </w:t>
      </w:r>
      <w:r>
        <w:rPr>
          <w:spacing w:val="-59"/>
        </w:rPr>
      </w:r>
      <w:r>
        <w:rPr/>
        <w:t>记工作，能够如实、完整地记录、报备内幕信息在公开披露前的报告、传递、编制、</w:t>
      </w:r>
      <w:r>
        <w:rPr>
          <w:spacing w:val="-59"/>
        </w:rPr>
        <w:t> </w:t>
      </w:r>
      <w:r>
        <w:rPr>
          <w:spacing w:val="-59"/>
        </w:rPr>
      </w:r>
      <w:r>
        <w:rPr/>
        <w:t>审核、披露等各环节所有内幕信息知情人名单。</w:t>
      </w:r>
    </w:p>
    <w:p>
      <w:pPr>
        <w:spacing w:after="0" w:line="355" w:lineRule="auto"/>
        <w:jc w:val="both"/>
        <w:sectPr>
          <w:type w:val="continuous"/>
          <w:pgSz w:w="12240" w:h="15840"/>
          <w:pgMar w:top="1500" w:bottom="0" w:left="1500" w:right="0"/>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3"/>
        <w:spacing w:line="240" w:lineRule="auto" w:before="17"/>
        <w:ind w:right="0"/>
        <w:jc w:val="both"/>
        <w:rPr>
          <w:b w:val="0"/>
          <w:bCs w:val="0"/>
        </w:rPr>
      </w:pPr>
      <w:r>
        <w:rPr/>
        <w:t>（二）报告期内违规买卖公司股票情况</w:t>
      </w:r>
      <w:r>
        <w:rPr>
          <w:b w:val="0"/>
          <w:bCs w:val="0"/>
        </w:rPr>
      </w:r>
    </w:p>
    <w:p>
      <w:pPr>
        <w:pStyle w:val="BodyText"/>
        <w:spacing w:line="240" w:lineRule="auto" w:before="122"/>
        <w:ind w:left="624" w:right="1697"/>
        <w:jc w:val="left"/>
      </w:pPr>
      <w:r>
        <w:rPr/>
        <w:t>报告期内，公司未发生董事、监事和高级管理人员违规买卖股票情况。</w:t>
      </w:r>
    </w:p>
    <w:p>
      <w:pPr>
        <w:spacing w:line="240" w:lineRule="auto" w:before="12"/>
        <w:rPr>
          <w:rFonts w:ascii="宋体" w:hAnsi="宋体" w:cs="宋体" w:eastAsia="宋体" w:hint="default"/>
          <w:sz w:val="20"/>
          <w:szCs w:val="20"/>
        </w:rPr>
      </w:pPr>
    </w:p>
    <w:p>
      <w:pPr>
        <w:pStyle w:val="BodyText"/>
        <w:spacing w:line="240" w:lineRule="auto"/>
        <w:ind w:left="624" w:right="1557"/>
        <w:jc w:val="left"/>
        <w:rPr>
          <w:rFonts w:ascii="Calibri" w:hAnsi="Calibri" w:cs="Calibri" w:eastAsia="Calibri" w:hint="default"/>
        </w:rPr>
      </w:pPr>
      <w:r>
        <w:rPr/>
        <w:t>公司副总经理李强先生的配偶孙淼女士于</w:t>
      </w:r>
      <w:r>
        <w:rPr>
          <w:spacing w:val="-71"/>
        </w:rPr>
        <w:t> </w:t>
      </w:r>
      <w:r>
        <w:rPr>
          <w:rFonts w:ascii="Calibri" w:hAnsi="Calibri" w:cs="Calibri" w:eastAsia="Calibri" w:hint="default"/>
        </w:rPr>
        <w:t>2011</w:t>
      </w:r>
      <w:r>
        <w:rPr>
          <w:rFonts w:ascii="Calibri" w:hAnsi="Calibri" w:cs="Calibri" w:eastAsia="Calibri" w:hint="default"/>
          <w:spacing w:val="-4"/>
        </w:rPr>
        <w:t> </w:t>
      </w:r>
      <w:r>
        <w:rPr/>
        <w:t>年</w:t>
      </w:r>
      <w:r>
        <w:rPr>
          <w:spacing w:val="-71"/>
        </w:rPr>
        <w:t> </w:t>
      </w:r>
      <w:r>
        <w:rPr>
          <w:rFonts w:ascii="Calibri" w:hAnsi="Calibri" w:cs="Calibri" w:eastAsia="Calibri" w:hint="default"/>
        </w:rPr>
        <w:t>4</w:t>
      </w:r>
      <w:r>
        <w:rPr>
          <w:rFonts w:ascii="Calibri" w:hAnsi="Calibri" w:cs="Calibri" w:eastAsia="Calibri" w:hint="default"/>
          <w:spacing w:val="-5"/>
        </w:rPr>
        <w:t> </w:t>
      </w:r>
      <w:r>
        <w:rPr/>
        <w:t>月</w:t>
      </w:r>
      <w:r>
        <w:rPr>
          <w:spacing w:val="-71"/>
        </w:rPr>
        <w:t> </w:t>
      </w:r>
      <w:r>
        <w:rPr>
          <w:rFonts w:ascii="Calibri" w:hAnsi="Calibri" w:cs="Calibri" w:eastAsia="Calibri" w:hint="default"/>
        </w:rPr>
        <w:t>6</w:t>
      </w:r>
      <w:r>
        <w:rPr>
          <w:rFonts w:ascii="Calibri" w:hAnsi="Calibri" w:cs="Calibri" w:eastAsia="Calibri" w:hint="default"/>
          <w:spacing w:val="-5"/>
        </w:rPr>
        <w:t> </w:t>
      </w:r>
      <w:r>
        <w:rPr/>
        <w:t>日买入本公司股票</w:t>
      </w:r>
      <w:r>
        <w:rPr>
          <w:spacing w:val="-70"/>
        </w:rPr>
        <w:t> </w:t>
      </w:r>
      <w:r>
        <w:rPr>
          <w:rFonts w:ascii="Calibri" w:hAnsi="Calibri" w:cs="Calibri" w:eastAsia="Calibri" w:hint="default"/>
        </w:rPr>
        <w:t>20,600</w:t>
      </w:r>
    </w:p>
    <w:p>
      <w:pPr>
        <w:pStyle w:val="BodyText"/>
        <w:spacing w:line="340" w:lineRule="auto" w:before="123"/>
        <w:ind w:right="1636"/>
        <w:jc w:val="both"/>
      </w:pPr>
      <w:r>
        <w:rPr/>
        <w:t>股，涉及金额</w:t>
      </w:r>
      <w:r>
        <w:rPr>
          <w:spacing w:val="-63"/>
        </w:rPr>
        <w:t> </w:t>
      </w:r>
      <w:r>
        <w:rPr>
          <w:rFonts w:ascii="Calibri" w:hAnsi="Calibri" w:cs="Calibri" w:eastAsia="Calibri" w:hint="default"/>
        </w:rPr>
        <w:t>494,665</w:t>
      </w:r>
      <w:r>
        <w:rPr>
          <w:rFonts w:ascii="Calibri" w:hAnsi="Calibri" w:cs="Calibri" w:eastAsia="Calibri" w:hint="default"/>
          <w:spacing w:val="3"/>
        </w:rPr>
        <w:t> </w:t>
      </w:r>
      <w:r>
        <w:rPr/>
        <w:t>元，而公司于</w:t>
      </w:r>
      <w:r>
        <w:rPr>
          <w:spacing w:val="-62"/>
        </w:rPr>
        <w:t> </w:t>
      </w:r>
      <w:r>
        <w:rPr>
          <w:rFonts w:ascii="Calibri" w:hAnsi="Calibri" w:cs="Calibri" w:eastAsia="Calibri" w:hint="default"/>
        </w:rPr>
        <w:t>4</w:t>
      </w:r>
      <w:r>
        <w:rPr>
          <w:rFonts w:ascii="Calibri" w:hAnsi="Calibri" w:cs="Calibri" w:eastAsia="Calibri" w:hint="default"/>
          <w:spacing w:val="4"/>
        </w:rPr>
        <w:t> </w:t>
      </w:r>
      <w:r>
        <w:rPr/>
        <w:t>月</w:t>
      </w:r>
      <w:r>
        <w:rPr>
          <w:spacing w:val="-62"/>
        </w:rPr>
        <w:t> </w:t>
      </w:r>
      <w:r>
        <w:rPr>
          <w:rFonts w:ascii="Calibri" w:hAnsi="Calibri" w:cs="Calibri" w:eastAsia="Calibri" w:hint="default"/>
          <w:spacing w:val="-3"/>
        </w:rPr>
        <w:t>27</w:t>
      </w:r>
      <w:r>
        <w:rPr>
          <w:rFonts w:ascii="Calibri" w:hAnsi="Calibri" w:cs="Calibri" w:eastAsia="Calibri" w:hint="default"/>
          <w:spacing w:val="2"/>
        </w:rPr>
        <w:t> </w:t>
      </w:r>
      <w:r>
        <w:rPr/>
        <w:t>日披露</w:t>
      </w:r>
      <w:r>
        <w:rPr>
          <w:spacing w:val="-62"/>
        </w:rPr>
        <w:t> </w:t>
      </w:r>
      <w:r>
        <w:rPr>
          <w:rFonts w:ascii="Calibri" w:hAnsi="Calibri" w:cs="Calibri" w:eastAsia="Calibri" w:hint="default"/>
        </w:rPr>
        <w:t>2010</w:t>
      </w:r>
      <w:r>
        <w:rPr>
          <w:rFonts w:ascii="Calibri" w:hAnsi="Calibri" w:cs="Calibri" w:eastAsia="Calibri" w:hint="default"/>
          <w:spacing w:val="4"/>
        </w:rPr>
        <w:t> </w:t>
      </w:r>
      <w:r>
        <w:rPr/>
        <w:t>年年度报告和</w:t>
      </w:r>
      <w:r>
        <w:rPr>
          <w:spacing w:val="-62"/>
        </w:rPr>
        <w:t> </w:t>
      </w:r>
      <w:r>
        <w:rPr>
          <w:rFonts w:ascii="Calibri" w:hAnsi="Calibri" w:cs="Calibri" w:eastAsia="Calibri" w:hint="default"/>
        </w:rPr>
        <w:t>2011</w:t>
      </w:r>
      <w:r>
        <w:rPr>
          <w:rFonts w:ascii="Calibri" w:hAnsi="Calibri" w:cs="Calibri" w:eastAsia="Calibri" w:hint="default"/>
          <w:spacing w:val="4"/>
        </w:rPr>
        <w:t> </w:t>
      </w:r>
      <w:r>
        <w:rPr/>
        <w:t>年第一季 度报告。孙淼女士作为公司高级管理人员李强的配偶，在公司定期报告披露前三十日 </w:t>
      </w:r>
      <w:r>
        <w:rPr>
          <w:spacing w:val="-10"/>
        </w:rPr>
        <w:t>内买卖公司股票，违反了深圳证券交易所《中小企业板上市公司规范运作指引》第</w:t>
      </w:r>
      <w:r>
        <w:rPr>
          <w:spacing w:val="-51"/>
        </w:rPr>
        <w:t> </w:t>
      </w:r>
      <w:r>
        <w:rPr>
          <w:rFonts w:ascii="Calibri" w:hAnsi="Calibri" w:cs="Calibri" w:eastAsia="Calibri" w:hint="default"/>
          <w:spacing w:val="-1"/>
        </w:rPr>
        <w:t>3.8.16 </w:t>
      </w:r>
      <w:r>
        <w:rPr/>
        <w:t>条的规定。李强先生作为公司高级管理人员，未能促使其配偶合规买卖公司股票，违 反了深交所《股票上市股则》第</w:t>
      </w:r>
      <w:r>
        <w:rPr>
          <w:spacing w:val="-61"/>
        </w:rPr>
        <w:t> </w:t>
      </w:r>
      <w:r>
        <w:rPr>
          <w:rFonts w:ascii="Calibri" w:hAnsi="Calibri" w:cs="Calibri" w:eastAsia="Calibri" w:hint="default"/>
        </w:rPr>
        <w:t>3.1.5</w:t>
      </w:r>
      <w:r>
        <w:rPr>
          <w:rFonts w:ascii="Calibri" w:hAnsi="Calibri" w:cs="Calibri" w:eastAsia="Calibri" w:hint="default"/>
          <w:spacing w:val="5"/>
        </w:rPr>
        <w:t> </w:t>
      </w:r>
      <w:r>
        <w:rPr/>
        <w:t>条的规定。</w:t>
      </w:r>
    </w:p>
    <w:p>
      <w:pPr>
        <w:pStyle w:val="BodyText"/>
        <w:spacing w:line="357" w:lineRule="auto" w:before="117"/>
        <w:ind w:right="1713" w:firstLine="479"/>
        <w:jc w:val="both"/>
      </w:pPr>
      <w:r>
        <w:rPr/>
        <w:t>得知此情况后，公司董事会秘书杨健先生立即致电李强先生了解详情，李强先生 表示其配偶购买公司股票行为自己并不知情。同时，杨健先生对李强先生重申了董监 高买卖本公司股票的一系列规定，李强先生表示今后将加强自身学习，做好对亲属的 教育工作，严格遵守上市公司相关法律法规，坚决避免此类事件再次发生。</w:t>
      </w:r>
    </w:p>
    <w:p>
      <w:pPr>
        <w:pStyle w:val="BodyText"/>
        <w:spacing w:line="357" w:lineRule="auto" w:before="154"/>
        <w:ind w:right="1506" w:firstLine="479"/>
        <w:jc w:val="left"/>
      </w:pPr>
      <w:r>
        <w:rPr/>
        <w:t>经研究，公司决定给予李强先生通报批评处分，并将“重申董监高规范买卖公司 </w:t>
      </w:r>
      <w:r>
        <w:rPr>
          <w:spacing w:val="-2"/>
        </w:rPr>
        <w:t>股票的通知”送达至全体董监高，再次将买卖公司股票的相关注意事项通知相关人员；</w:t>
      </w:r>
      <w:r>
        <w:rPr>
          <w:spacing w:val="-92"/>
        </w:rPr>
        <w:t> </w:t>
      </w:r>
      <w:r>
        <w:rPr>
          <w:spacing w:val="-92"/>
        </w:rPr>
      </w:r>
      <w:r>
        <w:rPr>
          <w:spacing w:val="-11"/>
        </w:rPr>
        <w:t>将《上市公司董事、监事和高级管理人员所持本公司股份及其变动管理业务指引》、《关</w:t>
      </w:r>
      <w:r>
        <w:rPr>
          <w:spacing w:val="-102"/>
        </w:rPr>
        <w:t> </w:t>
      </w:r>
      <w:r>
        <w:rPr>
          <w:spacing w:val="-102"/>
        </w:rPr>
      </w:r>
      <w:r>
        <w:rPr/>
        <w:t>于进一步规范中小企业板上市公司董事、监事和高级管理人员买卖本公司股票行为的 通知》以及本公司《董事、监事和高级管理人员所持本公司股份及其变动管理办法》</w:t>
      </w:r>
      <w:r>
        <w:rPr/>
        <w:t> </w:t>
      </w:r>
      <w:r>
        <w:rPr>
          <w:spacing w:val="-2"/>
        </w:rPr>
        <w:t>等文件以电子邮件方式发送至全体董监高，要求大家再次强化学习并严格遵守。同时，</w:t>
      </w:r>
      <w:r>
        <w:rPr>
          <w:spacing w:val="-92"/>
        </w:rPr>
        <w:t> </w:t>
      </w:r>
      <w:r>
        <w:rPr>
          <w:spacing w:val="-92"/>
        </w:rPr>
      </w:r>
      <w:r>
        <w:rPr/>
        <w:t>将此处理意见上报深交所。</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（三）外部信息使用人管理制度的建立和执行情况</w:t>
      </w:r>
      <w:r>
        <w:rPr>
          <w:b w:val="0"/>
          <w:bCs w:val="0"/>
        </w:rPr>
      </w:r>
    </w:p>
    <w:p>
      <w:pPr>
        <w:pStyle w:val="BodyText"/>
        <w:spacing w:line="357" w:lineRule="auto" w:before="124"/>
        <w:ind w:right="1506" w:firstLine="479"/>
        <w:jc w:val="left"/>
      </w:pPr>
      <w:r>
        <w:rPr/>
        <w:t>报告期内，公司严格按照《信息披露管理办法》规范内幕信息管理情况，从未发 生过在定期报告及重大事项的编制、审议和披露期间将相关信息提供给外部的情况。 </w:t>
      </w:r>
      <w:r>
        <w:rPr>
          <w:spacing w:val="-2"/>
        </w:rPr>
        <w:t>此外为加强外部信息使用人管理，维护信息披露公平的原则，保证投资者的合法权益，</w:t>
      </w:r>
      <w:r>
        <w:rPr>
          <w:spacing w:val="-93"/>
        </w:rPr>
        <w:t> </w:t>
      </w:r>
      <w:r>
        <w:rPr>
          <w:spacing w:val="-93"/>
        </w:rPr>
      </w:r>
      <w:r>
        <w:rPr/>
        <w:t>公司于</w:t>
      </w:r>
      <w:r>
        <w:rPr>
          <w:rFonts w:ascii="Calibri" w:hAnsi="Calibri" w:cs="Calibri" w:eastAsia="Calibri" w:hint="default"/>
        </w:rPr>
        <w:t>2012</w:t>
      </w:r>
      <w:r>
        <w:rPr/>
        <w:t>年</w:t>
      </w:r>
      <w:r>
        <w:rPr>
          <w:rFonts w:ascii="Calibri" w:hAnsi="Calibri" w:cs="Calibri" w:eastAsia="Calibri" w:hint="default"/>
        </w:rPr>
        <w:t>4</w:t>
      </w:r>
      <w:r>
        <w:rPr/>
        <w:t>月制定了《外部信息使用人管理制度》。</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（四）公司信息披露载体未发生变更的说明</w:t>
      </w:r>
      <w:r>
        <w:rPr>
          <w:b w:val="0"/>
          <w:bCs w:val="0"/>
        </w:rPr>
      </w:r>
    </w:p>
    <w:p>
      <w:pPr>
        <w:spacing w:after="0" w:line="240" w:lineRule="auto"/>
        <w:jc w:val="both"/>
        <w:sectPr>
          <w:pgSz w:w="12240" w:h="15840"/>
          <w:pgMar w:header="847" w:footer="987" w:top="1360" w:bottom="1180" w:left="1500" w:right="0"/>
        </w:sectPr>
      </w:pPr>
    </w:p>
    <w:p>
      <w:pPr>
        <w:spacing w:line="240" w:lineRule="auto" w:before="4"/>
        <w:rPr>
          <w:rFonts w:ascii="黑体" w:hAnsi="黑体" w:cs="黑体" w:eastAsia="黑体" w:hint="default"/>
          <w:b/>
          <w:bCs/>
          <w:sz w:val="2"/>
          <w:szCs w:val="2"/>
        </w:rPr>
      </w:pPr>
    </w:p>
    <w:p>
      <w:pPr>
        <w:spacing w:line="20" w:lineRule="exact"/>
        <w:ind w:left="188" w:right="0" w:firstLine="0"/>
        <w:rPr>
          <w:rFonts w:ascii="黑体" w:hAnsi="黑体" w:cs="黑体" w:eastAsia="黑体" w:hint="default"/>
          <w:sz w:val="2"/>
          <w:szCs w:val="2"/>
        </w:rPr>
      </w:pPr>
      <w:r>
        <w:rPr>
          <w:rFonts w:ascii="黑体" w:hAnsi="黑体" w:cs="黑体" w:eastAsia="黑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黑体" w:hAnsi="黑体" w:cs="黑体" w:eastAsia="黑体" w:hint="default"/>
          <w:sz w:val="2"/>
          <w:szCs w:val="2"/>
        </w:rPr>
      </w:r>
    </w:p>
    <w:p>
      <w:pPr>
        <w:pStyle w:val="BodyText"/>
        <w:spacing w:line="304" w:lineRule="auto" w:before="41"/>
        <w:ind w:left="224" w:right="1696" w:firstLine="479"/>
        <w:jc w:val="left"/>
      </w:pPr>
      <w:r>
        <w:rPr/>
        <w:t>报告期内，公司指定信息披露载体仍为《中国证券报</w:t>
      </w:r>
      <w:r>
        <w:rPr>
          <w:spacing w:val="-120"/>
        </w:rPr>
        <w:t>》</w:t>
      </w:r>
      <w:r>
        <w:rPr>
          <w:spacing w:val="-119"/>
        </w:rPr>
        <w:t>、</w:t>
      </w:r>
      <w:r>
        <w:rPr/>
        <w:t>《证券时报》以及巨潮资</w:t>
      </w:r>
      <w:r>
        <w:rPr/>
        <w:t> 讯网</w:t>
      </w:r>
      <w:r>
        <w:rPr>
          <w:spacing w:val="-1"/>
        </w:rPr>
        <w:t>（</w:t>
      </w:r>
      <w:hyperlink r:id="rId17">
        <w:r>
          <w:rPr>
            <w:rFonts w:ascii="Calibri" w:hAnsi="Calibri" w:cs="Calibri" w:eastAsia="Calibri" w:hint="default"/>
            <w:spacing w:val="1"/>
          </w:rPr>
          <w:t>w</w:t>
        </w:r>
        <w:r>
          <w:rPr>
            <w:rFonts w:ascii="Calibri" w:hAnsi="Calibri" w:cs="Calibri" w:eastAsia="Calibri" w:hint="default"/>
            <w:spacing w:val="-2"/>
          </w:rPr>
          <w:t>w</w:t>
        </w:r>
        <w:r>
          <w:rPr>
            <w:rFonts w:ascii="Calibri" w:hAnsi="Calibri" w:cs="Calibri" w:eastAsia="Calibri" w:hint="default"/>
            <w:spacing w:val="-16"/>
          </w:rPr>
          <w:t>w</w:t>
        </w:r>
        <w:r>
          <w:rPr>
            <w:rFonts w:ascii="Calibri" w:hAnsi="Calibri" w:cs="Calibri" w:eastAsia="Calibri" w:hint="default"/>
            <w:spacing w:val="-1"/>
          </w:rPr>
          <w:t>.</w:t>
        </w:r>
        <w:r>
          <w:rPr>
            <w:rFonts w:ascii="Calibri" w:hAnsi="Calibri" w:cs="Calibri" w:eastAsia="Calibri" w:hint="default"/>
            <w:spacing w:val="-2"/>
          </w:rPr>
          <w:t>c</w:t>
        </w:r>
        <w:r>
          <w:rPr>
            <w:rFonts w:ascii="Calibri" w:hAnsi="Calibri" w:cs="Calibri" w:eastAsia="Calibri" w:hint="default"/>
          </w:rPr>
          <w:t>ni</w:t>
        </w:r>
        <w:r>
          <w:rPr>
            <w:rFonts w:ascii="Calibri" w:hAnsi="Calibri" w:cs="Calibri" w:eastAsia="Calibri" w:hint="default"/>
            <w:spacing w:val="-2"/>
          </w:rPr>
          <w:t>n</w:t>
        </w:r>
        <w:r>
          <w:rPr>
            <w:rFonts w:ascii="Calibri" w:hAnsi="Calibri" w:cs="Calibri" w:eastAsia="Calibri" w:hint="default"/>
            <w:spacing w:val="-4"/>
          </w:rPr>
          <w:t>f</w:t>
        </w:r>
        <w:r>
          <w:rPr>
            <w:rFonts w:ascii="Calibri" w:hAnsi="Calibri" w:cs="Calibri" w:eastAsia="Calibri" w:hint="default"/>
          </w:rPr>
          <w:t>o</w:t>
        </w:r>
        <w:r>
          <w:rPr>
            <w:rFonts w:ascii="Calibri" w:hAnsi="Calibri" w:cs="Calibri" w:eastAsia="Calibri" w:hint="default"/>
            <w:spacing w:val="-1"/>
          </w:rPr>
          <w:t>.</w:t>
        </w:r>
        <w:r>
          <w:rPr>
            <w:rFonts w:ascii="Calibri" w:hAnsi="Calibri" w:cs="Calibri" w:eastAsia="Calibri" w:hint="default"/>
            <w:spacing w:val="-4"/>
          </w:rPr>
          <w:t>c</w:t>
        </w:r>
        <w:r>
          <w:rPr>
            <w:rFonts w:ascii="Calibri" w:hAnsi="Calibri" w:cs="Calibri" w:eastAsia="Calibri" w:hint="default"/>
          </w:rPr>
          <w:t>om</w:t>
        </w:r>
        <w:r>
          <w:rPr>
            <w:rFonts w:ascii="Calibri" w:hAnsi="Calibri" w:cs="Calibri" w:eastAsia="Calibri" w:hint="default"/>
            <w:spacing w:val="1"/>
          </w:rPr>
          <w:t>.</w:t>
        </w:r>
        <w:r>
          <w:rPr>
            <w:rFonts w:ascii="Calibri" w:hAnsi="Calibri" w:cs="Calibri" w:eastAsia="Calibri" w:hint="default"/>
            <w:spacing w:val="-1"/>
          </w:rPr>
          <w:t>c</w:t>
        </w:r>
        <w:r>
          <w:rPr>
            <w:rFonts w:ascii="Calibri" w:hAnsi="Calibri" w:cs="Calibri" w:eastAsia="Calibri" w:hint="default"/>
            <w:spacing w:val="2"/>
          </w:rPr>
          <w:t>n</w:t>
        </w:r>
      </w:hyperlink>
      <w:r>
        <w:rPr>
          <w:spacing w:val="-120"/>
        </w:rPr>
        <w:t>）</w:t>
      </w:r>
      <w:r>
        <w:rPr/>
        <w:t>，未发生变更。</w:t>
      </w:r>
    </w:p>
    <w:p>
      <w:pPr>
        <w:spacing w:line="240" w:lineRule="auto" w:before="10"/>
        <w:rPr>
          <w:rFonts w:ascii="宋体" w:hAnsi="宋体" w:cs="宋体" w:eastAsia="宋体" w:hint="default"/>
          <w:sz w:val="27"/>
          <w:szCs w:val="27"/>
        </w:rPr>
      </w:pPr>
    </w:p>
    <w:p>
      <w:pPr>
        <w:pStyle w:val="Heading1"/>
        <w:spacing w:line="240" w:lineRule="auto"/>
        <w:ind w:left="3335" w:right="1575"/>
        <w:jc w:val="left"/>
        <w:rPr>
          <w:b w:val="0"/>
          <w:bCs w:val="0"/>
        </w:rPr>
      </w:pPr>
      <w:bookmarkStart w:name="_TOC_250003" w:id="10"/>
      <w:r>
        <w:rPr/>
        <w:t>第十节</w:t>
      </w:r>
      <w:r>
        <w:rPr>
          <w:spacing w:val="-6"/>
        </w:rPr>
        <w:t> </w:t>
      </w:r>
      <w:r>
        <w:rPr/>
        <w:t>监事会报告</w:t>
      </w:r>
      <w:bookmarkEnd w:id="10"/>
      <w:r>
        <w:rPr>
          <w:b w:val="0"/>
          <w:bCs w:val="0"/>
        </w:rPr>
      </w:r>
    </w:p>
    <w:p>
      <w:pPr>
        <w:spacing w:line="240" w:lineRule="auto" w:before="13"/>
        <w:rPr>
          <w:rFonts w:ascii="黑体" w:hAnsi="黑体" w:cs="黑体" w:eastAsia="黑体" w:hint="default"/>
          <w:b/>
          <w:bCs/>
          <w:sz w:val="39"/>
          <w:szCs w:val="39"/>
        </w:rPr>
      </w:pPr>
    </w:p>
    <w:p>
      <w:pPr>
        <w:pStyle w:val="Heading2"/>
        <w:spacing w:line="240" w:lineRule="auto"/>
        <w:ind w:left="224" w:right="1575"/>
        <w:jc w:val="left"/>
        <w:rPr>
          <w:b w:val="0"/>
          <w:bCs w:val="0"/>
        </w:rPr>
      </w:pPr>
      <w:r>
        <w:rPr/>
        <w:t>一、监事会工作情况</w:t>
      </w:r>
      <w:r>
        <w:rPr>
          <w:b w:val="0"/>
          <w:bCs w:val="0"/>
        </w:rPr>
      </w:r>
    </w:p>
    <w:p>
      <w:pPr>
        <w:pStyle w:val="BodyText"/>
        <w:spacing w:line="357" w:lineRule="auto" w:before="122"/>
        <w:ind w:left="224" w:right="1507" w:firstLine="479"/>
        <w:jc w:val="left"/>
      </w:pPr>
      <w:r>
        <w:rPr>
          <w:spacing w:val="-2"/>
        </w:rPr>
        <w:t>报告期内，公司监事会严格按照《公司法》、《公司章程》、《监事会议事规则》</w:t>
      </w:r>
      <w:r>
        <w:rPr/>
        <w:t> 和有关法律、法规所赋予的职责，遵守诚信原则，从切实维护公司和全体股东利益出 发，认真履行监督职责。</w:t>
      </w:r>
    </w:p>
    <w:p>
      <w:pPr>
        <w:pStyle w:val="BodyText"/>
        <w:spacing w:line="240" w:lineRule="auto" w:before="154"/>
        <w:ind w:left="704" w:right="1575"/>
        <w:jc w:val="left"/>
      </w:pPr>
      <w:r>
        <w:rPr/>
        <w:t>报告期内，公司监事会共召开了</w:t>
      </w:r>
      <w:r>
        <w:rPr>
          <w:spacing w:val="-60"/>
        </w:rPr>
        <w:t> </w:t>
      </w:r>
      <w:r>
        <w:rPr>
          <w:rFonts w:ascii="Calibri" w:hAnsi="Calibri" w:cs="Calibri" w:eastAsia="Calibri" w:hint="default"/>
        </w:rPr>
        <w:t>5</w:t>
      </w:r>
      <w:r>
        <w:rPr>
          <w:rFonts w:ascii="Calibri" w:hAnsi="Calibri" w:cs="Calibri" w:eastAsia="Calibri" w:hint="default"/>
          <w:spacing w:val="6"/>
        </w:rPr>
        <w:t> </w:t>
      </w:r>
      <w:r>
        <w:rPr/>
        <w:t>次会议，以下为会议情况：</w:t>
      </w:r>
    </w:p>
    <w:p>
      <w:pPr>
        <w:spacing w:line="240" w:lineRule="auto" w:before="9"/>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85"/>
        <w:gridCol w:w="1275"/>
        <w:gridCol w:w="3684"/>
        <w:gridCol w:w="2826"/>
      </w:tblGrid>
      <w:tr>
        <w:trPr>
          <w:trHeight w:val="293" w:hRule="exact"/>
        </w:trPr>
        <w:tc>
          <w:tcPr>
            <w:tcW w:w="1385"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5"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84"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会议议案</w:t>
            </w:r>
          </w:p>
        </w:tc>
        <w:tc>
          <w:tcPr>
            <w:tcW w:w="2826" w:type="dxa"/>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披露日期及披露媒体</w:t>
            </w:r>
          </w:p>
        </w:tc>
      </w:tr>
      <w:tr>
        <w:trPr>
          <w:trHeight w:val="368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7" w:lineRule="auto" w:before="145"/>
              <w:ind w:left="103" w:right="216"/>
              <w:jc w:val="both"/>
              <w:rPr>
                <w:rFonts w:ascii="宋体" w:hAnsi="宋体" w:cs="宋体" w:eastAsia="宋体" w:hint="default"/>
                <w:sz w:val="21"/>
                <w:szCs w:val="21"/>
              </w:rPr>
            </w:pPr>
            <w:r>
              <w:rPr>
                <w:rFonts w:ascii="宋体" w:hAnsi="宋体" w:cs="宋体" w:eastAsia="宋体" w:hint="default"/>
                <w:sz w:val="21"/>
                <w:szCs w:val="21"/>
              </w:rPr>
              <w:t>第四届监事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Calibri" w:hAnsi="Calibri" w:cs="Calibri" w:eastAsia="Calibri" w:hint="default"/>
                <w:sz w:val="21"/>
                <w:szCs w:val="21"/>
              </w:rPr>
              <w:t>4</w:t>
            </w:r>
            <w:r>
              <w:rPr>
                <w:rFonts w:ascii="Calibri" w:hAnsi="Calibri" w:cs="Calibri" w:eastAsia="Calibri" w:hint="default"/>
                <w:spacing w:val="-11"/>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25</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年度监事会工作报告》、</w:t>
            </w:r>
          </w:p>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年度财务决算报告》、</w:t>
            </w:r>
          </w:p>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年度报告及年度报告摘要》、</w:t>
            </w:r>
          </w:p>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年度利润分配预案》、</w:t>
            </w:r>
          </w:p>
          <w:p>
            <w:pPr>
              <w:pStyle w:val="TableParagraph"/>
              <w:spacing w:line="240" w:lineRule="auto" w:before="106"/>
              <w:ind w:left="100" w:right="-5"/>
              <w:jc w:val="left"/>
              <w:rPr>
                <w:rFonts w:ascii="宋体" w:hAnsi="宋体" w:cs="宋体" w:eastAsia="宋体" w:hint="default"/>
                <w:sz w:val="21"/>
                <w:szCs w:val="21"/>
              </w:rPr>
            </w:pPr>
            <w:r>
              <w:rPr>
                <w:rFonts w:ascii="宋体" w:hAnsi="宋体" w:cs="宋体" w:eastAsia="宋体" w:hint="default"/>
                <w:w w:val="100"/>
                <w:sz w:val="21"/>
                <w:szCs w:val="21"/>
              </w:rPr>
              <w:t>《募</w:t>
            </w:r>
            <w:r>
              <w:rPr>
                <w:rFonts w:ascii="宋体" w:hAnsi="宋体" w:cs="宋体" w:eastAsia="宋体" w:hint="default"/>
                <w:spacing w:val="-3"/>
                <w:w w:val="100"/>
                <w:sz w:val="21"/>
                <w:szCs w:val="21"/>
              </w:rPr>
              <w:t>集资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6"/>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使用</w:t>
            </w:r>
            <w:r>
              <w:rPr>
                <w:rFonts w:ascii="宋体" w:hAnsi="宋体" w:cs="宋体" w:eastAsia="宋体" w:hint="default"/>
                <w:w w:val="100"/>
                <w:sz w:val="21"/>
                <w:szCs w:val="21"/>
              </w:rPr>
              <w:t>情况</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324" w:lineRule="auto" w:before="106"/>
              <w:ind w:left="100" w:right="98"/>
              <w:jc w:val="left"/>
              <w:rPr>
                <w:rFonts w:ascii="宋体" w:hAnsi="宋体" w:cs="宋体" w:eastAsia="宋体" w:hint="default"/>
                <w:sz w:val="21"/>
                <w:szCs w:val="21"/>
              </w:rPr>
            </w:pPr>
            <w:r>
              <w:rPr>
                <w:rFonts w:ascii="宋体" w:hAnsi="宋体" w:cs="宋体" w:eastAsia="宋体" w:hint="default"/>
                <w:sz w:val="21"/>
                <w:szCs w:val="21"/>
              </w:rPr>
              <w:t>《关于聘任</w:t>
            </w:r>
            <w:r>
              <w:rPr>
                <w:rFonts w:ascii="宋体" w:hAnsi="宋体" w:cs="宋体" w:eastAsia="宋体" w:hint="default"/>
                <w:spacing w:val="-55"/>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年度审计机构并决定</w:t>
            </w:r>
            <w:r>
              <w:rPr>
                <w:rFonts w:ascii="宋体" w:hAnsi="宋体" w:cs="宋体" w:eastAsia="宋体" w:hint="default"/>
                <w:w w:val="100"/>
                <w:sz w:val="21"/>
                <w:szCs w:val="21"/>
              </w:rPr>
              <w:t> </w:t>
            </w:r>
            <w:r>
              <w:rPr>
                <w:rFonts w:ascii="宋体" w:hAnsi="宋体" w:cs="宋体" w:eastAsia="宋体" w:hint="default"/>
                <w:sz w:val="21"/>
                <w:szCs w:val="21"/>
              </w:rPr>
              <w:t>其报酬的议案》、</w:t>
            </w:r>
          </w:p>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0</w:t>
            </w:r>
            <w:r>
              <w:rPr>
                <w:rFonts w:ascii="Calibri" w:hAnsi="Calibri" w:cs="Calibri" w:eastAsia="Calibri" w:hint="default"/>
                <w:spacing w:val="6"/>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自我</w:t>
            </w:r>
            <w:r>
              <w:rPr>
                <w:rFonts w:ascii="宋体" w:hAnsi="宋体" w:cs="宋体" w:eastAsia="宋体" w:hint="default"/>
                <w:w w:val="100"/>
                <w:sz w:val="21"/>
                <w:szCs w:val="21"/>
              </w:rPr>
              <w:t>评价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2011 </w:t>
            </w:r>
            <w:r>
              <w:rPr>
                <w:rFonts w:ascii="宋体" w:hAnsi="宋体" w:cs="宋体" w:eastAsia="宋体" w:hint="default"/>
                <w:sz w:val="21"/>
                <w:szCs w:val="21"/>
              </w:rPr>
              <w:t>年第一季度报告及摘要》</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40" w:lineRule="auto" w:before="145"/>
              <w:ind w:left="103" w:right="101"/>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27</w:t>
            </w:r>
            <w:r>
              <w:rPr>
                <w:rFonts w:ascii="Calibri" w:hAnsi="Calibri" w:cs="Calibri" w:eastAsia="Calibri" w:hint="default"/>
                <w:spacing w:val="3"/>
                <w:sz w:val="21"/>
                <w:szCs w:val="21"/>
              </w:rPr>
              <w:t> </w:t>
            </w:r>
            <w:r>
              <w:rPr>
                <w:rFonts w:ascii="宋体" w:hAnsi="宋体" w:cs="宋体" w:eastAsia="宋体" w:hint="default"/>
                <w:sz w:val="21"/>
                <w:szCs w:val="21"/>
              </w:rPr>
              <w:t>日《证券时</w:t>
            </w:r>
            <w:r>
              <w:rPr>
                <w:rFonts w:ascii="宋体" w:hAnsi="宋体" w:cs="宋体" w:eastAsia="宋体" w:hint="default"/>
                <w:w w:val="100"/>
                <w:sz w:val="21"/>
                <w:szCs w:val="21"/>
              </w:rPr>
              <w:t> </w:t>
            </w:r>
            <w:r>
              <w:rPr>
                <w:rFonts w:ascii="宋体" w:hAnsi="宋体" w:cs="宋体" w:eastAsia="宋体" w:hint="default"/>
                <w:spacing w:val="-11"/>
                <w:sz w:val="21"/>
                <w:szCs w:val="21"/>
              </w:rPr>
              <w:t>报》、《中国证券报》、《巨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潮资讯网》</w:t>
            </w:r>
          </w:p>
        </w:tc>
      </w:tr>
      <w:tr>
        <w:trPr>
          <w:trHeight w:val="147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6"/>
              <w:ind w:left="103" w:right="216"/>
              <w:jc w:val="both"/>
              <w:rPr>
                <w:rFonts w:ascii="宋体" w:hAnsi="宋体" w:cs="宋体" w:eastAsia="宋体" w:hint="default"/>
                <w:sz w:val="21"/>
                <w:szCs w:val="21"/>
              </w:rPr>
            </w:pPr>
            <w:r>
              <w:rPr>
                <w:rFonts w:ascii="宋体" w:hAnsi="宋体" w:cs="宋体" w:eastAsia="宋体" w:hint="default"/>
                <w:sz w:val="21"/>
                <w:szCs w:val="21"/>
              </w:rPr>
              <w:t>第四届监事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会第三次会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Calibri" w:hAnsi="Calibri" w:cs="Calibri" w:eastAsia="Calibri" w:hint="default"/>
                <w:sz w:val="21"/>
                <w:szCs w:val="21"/>
              </w:rPr>
              <w:t>8</w:t>
            </w:r>
            <w:r>
              <w:rPr>
                <w:rFonts w:ascii="Calibri" w:hAnsi="Calibri" w:cs="Calibri" w:eastAsia="Calibri" w:hint="default"/>
                <w:spacing w:val="-11"/>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22</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324" w:lineRule="auto"/>
              <w:ind w:left="100" w:right="98"/>
              <w:jc w:val="left"/>
              <w:rPr>
                <w:rFonts w:ascii="宋体" w:hAnsi="宋体" w:cs="宋体" w:eastAsia="宋体" w:hint="default"/>
                <w:sz w:val="21"/>
                <w:szCs w:val="21"/>
              </w:rPr>
            </w:pPr>
            <w:r>
              <w:rPr>
                <w:rFonts w:ascii="宋体" w:hAnsi="宋体" w:cs="宋体" w:eastAsia="宋体" w:hint="default"/>
                <w:sz w:val="21"/>
                <w:szCs w:val="21"/>
              </w:rPr>
              <w:t>《东华软件股份公司</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年半年度报</w:t>
            </w:r>
            <w:r>
              <w:rPr>
                <w:rFonts w:ascii="宋体" w:hAnsi="宋体" w:cs="宋体" w:eastAsia="宋体" w:hint="default"/>
                <w:w w:val="100"/>
                <w:sz w:val="21"/>
                <w:szCs w:val="21"/>
              </w:rPr>
              <w:t> </w:t>
            </w:r>
            <w:r>
              <w:rPr>
                <w:rFonts w:ascii="宋体" w:hAnsi="宋体" w:cs="宋体" w:eastAsia="宋体" w:hint="default"/>
                <w:sz w:val="21"/>
                <w:szCs w:val="21"/>
              </w:rPr>
              <w:t>告及摘要》</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6"/>
              <w:ind w:left="103" w:right="101"/>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23</w:t>
            </w:r>
            <w:r>
              <w:rPr>
                <w:rFonts w:ascii="Calibri" w:hAnsi="Calibri" w:cs="Calibri" w:eastAsia="Calibri" w:hint="default"/>
                <w:spacing w:val="3"/>
                <w:sz w:val="21"/>
                <w:szCs w:val="21"/>
              </w:rPr>
              <w:t> </w:t>
            </w:r>
            <w:r>
              <w:rPr>
                <w:rFonts w:ascii="宋体" w:hAnsi="宋体" w:cs="宋体" w:eastAsia="宋体" w:hint="default"/>
                <w:sz w:val="21"/>
                <w:szCs w:val="21"/>
              </w:rPr>
              <w:t>日《证券时</w:t>
            </w:r>
            <w:r>
              <w:rPr>
                <w:rFonts w:ascii="宋体" w:hAnsi="宋体" w:cs="宋体" w:eastAsia="宋体" w:hint="default"/>
                <w:w w:val="100"/>
                <w:sz w:val="21"/>
                <w:szCs w:val="21"/>
              </w:rPr>
              <w:t> </w:t>
            </w:r>
            <w:r>
              <w:rPr>
                <w:rFonts w:ascii="宋体" w:hAnsi="宋体" w:cs="宋体" w:eastAsia="宋体" w:hint="default"/>
                <w:spacing w:val="-11"/>
                <w:sz w:val="21"/>
                <w:szCs w:val="21"/>
              </w:rPr>
              <w:t>报》、《中国证券报》、《巨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潮资讯网》</w:t>
            </w:r>
          </w:p>
        </w:tc>
      </w:tr>
      <w:tr>
        <w:trPr>
          <w:trHeight w:val="14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6"/>
              <w:ind w:left="103" w:right="216"/>
              <w:jc w:val="both"/>
              <w:rPr>
                <w:rFonts w:ascii="宋体" w:hAnsi="宋体" w:cs="宋体" w:eastAsia="宋体" w:hint="default"/>
                <w:sz w:val="21"/>
                <w:szCs w:val="21"/>
              </w:rPr>
            </w:pPr>
            <w:r>
              <w:rPr>
                <w:rFonts w:ascii="宋体" w:hAnsi="宋体" w:cs="宋体" w:eastAsia="宋体" w:hint="default"/>
                <w:sz w:val="21"/>
                <w:szCs w:val="21"/>
              </w:rPr>
              <w:t>第四届监事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会第四次会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00" w:right="98"/>
              <w:jc w:val="left"/>
              <w:rPr>
                <w:rFonts w:ascii="宋体" w:hAnsi="宋体" w:cs="宋体" w:eastAsia="宋体" w:hint="default"/>
                <w:sz w:val="21"/>
                <w:szCs w:val="21"/>
              </w:rPr>
            </w:pPr>
            <w:r>
              <w:rPr>
                <w:rFonts w:ascii="宋体" w:hAnsi="宋体" w:cs="宋体" w:eastAsia="宋体" w:hint="default"/>
                <w:sz w:val="21"/>
                <w:szCs w:val="21"/>
              </w:rPr>
              <w:t>《东华软件股份公司</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年第三季度</w:t>
            </w:r>
            <w:r>
              <w:rPr>
                <w:rFonts w:ascii="宋体" w:hAnsi="宋体" w:cs="宋体" w:eastAsia="宋体" w:hint="default"/>
                <w:w w:val="100"/>
                <w:sz w:val="21"/>
                <w:szCs w:val="21"/>
              </w:rPr>
              <w:t> </w:t>
            </w:r>
            <w:r>
              <w:rPr>
                <w:rFonts w:ascii="宋体" w:hAnsi="宋体" w:cs="宋体" w:eastAsia="宋体" w:hint="default"/>
                <w:sz w:val="21"/>
                <w:szCs w:val="21"/>
              </w:rPr>
              <w:t>报告全文及正文》</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6"/>
              <w:ind w:left="103" w:right="101"/>
              <w:jc w:val="both"/>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22</w:t>
            </w:r>
            <w:r>
              <w:rPr>
                <w:rFonts w:ascii="Calibri" w:hAnsi="Calibri" w:cs="Calibri" w:eastAsia="Calibri" w:hint="default"/>
                <w:spacing w:val="5"/>
                <w:sz w:val="21"/>
                <w:szCs w:val="21"/>
              </w:rPr>
              <w:t> </w:t>
            </w:r>
            <w:r>
              <w:rPr>
                <w:rFonts w:ascii="宋体" w:hAnsi="宋体" w:cs="宋体" w:eastAsia="宋体" w:hint="default"/>
                <w:sz w:val="21"/>
                <w:szCs w:val="21"/>
              </w:rPr>
              <w:t>日《证券时</w:t>
            </w:r>
            <w:r>
              <w:rPr>
                <w:rFonts w:ascii="宋体" w:hAnsi="宋体" w:cs="宋体" w:eastAsia="宋体" w:hint="default"/>
                <w:w w:val="100"/>
                <w:sz w:val="21"/>
                <w:szCs w:val="21"/>
              </w:rPr>
              <w:t> </w:t>
            </w:r>
            <w:r>
              <w:rPr>
                <w:rFonts w:ascii="宋体" w:hAnsi="宋体" w:cs="宋体" w:eastAsia="宋体" w:hint="default"/>
                <w:spacing w:val="-11"/>
                <w:sz w:val="21"/>
                <w:szCs w:val="21"/>
              </w:rPr>
              <w:t>报》、《中国证券报》、《巨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潮资讯网》</w:t>
            </w:r>
          </w:p>
        </w:tc>
      </w:tr>
      <w:tr>
        <w:trPr>
          <w:trHeight w:val="12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55" w:lineRule="auto"/>
              <w:ind w:left="103" w:right="216"/>
              <w:jc w:val="left"/>
              <w:rPr>
                <w:rFonts w:ascii="宋体" w:hAnsi="宋体" w:cs="宋体" w:eastAsia="宋体" w:hint="default"/>
                <w:sz w:val="21"/>
                <w:szCs w:val="21"/>
              </w:rPr>
            </w:pPr>
            <w:r>
              <w:rPr>
                <w:rFonts w:ascii="宋体" w:hAnsi="宋体" w:cs="宋体" w:eastAsia="宋体" w:hint="default"/>
                <w:sz w:val="21"/>
                <w:szCs w:val="21"/>
              </w:rPr>
              <w:t>第四届监事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会第五次会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12</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《东华软件股份公司股票期权激励计</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划（</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《东华软件股份公司股票期权激励计</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日《证券时</w:t>
            </w:r>
          </w:p>
          <w:p>
            <w:pPr>
              <w:pStyle w:val="TableParagraph"/>
              <w:spacing w:line="355" w:lineRule="auto" w:before="106"/>
              <w:ind w:left="103" w:right="101"/>
              <w:jc w:val="left"/>
              <w:rPr>
                <w:rFonts w:ascii="宋体" w:hAnsi="宋体" w:cs="宋体" w:eastAsia="宋体" w:hint="default"/>
                <w:sz w:val="21"/>
                <w:szCs w:val="21"/>
              </w:rPr>
            </w:pPr>
            <w:r>
              <w:rPr>
                <w:rFonts w:ascii="宋体" w:hAnsi="宋体" w:cs="宋体" w:eastAsia="宋体" w:hint="default"/>
                <w:spacing w:val="-11"/>
                <w:sz w:val="21"/>
                <w:szCs w:val="21"/>
              </w:rPr>
              <w:t>报》、《中国证券报》、《巨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潮资讯网》</w:t>
            </w:r>
          </w:p>
        </w:tc>
      </w:tr>
    </w:tbl>
    <w:p>
      <w:pPr>
        <w:spacing w:after="0" w:line="355" w:lineRule="auto"/>
        <w:jc w:val="left"/>
        <w:rPr>
          <w:rFonts w:ascii="宋体" w:hAnsi="宋体" w:cs="宋体" w:eastAsia="宋体" w:hint="default"/>
          <w:sz w:val="21"/>
          <w:szCs w:val="21"/>
        </w:rPr>
        <w:sectPr>
          <w:pgSz w:w="12240" w:h="15840"/>
          <w:pgMar w:header="847" w:footer="987" w:top="1360" w:bottom="1180" w:left="1420" w:right="0"/>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5"/>
        <w:gridCol w:w="3684"/>
        <w:gridCol w:w="2826"/>
      </w:tblGrid>
      <w:tr>
        <w:trPr>
          <w:trHeight w:val="1247" w:hRule="exact"/>
        </w:trPr>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1275" w:type="dxa"/>
            <w:tcBorders>
              <w:top w:val="single" w:sz="12" w:space="0" w:color="000000"/>
              <w:left w:val="single" w:sz="4" w:space="0" w:color="000000"/>
              <w:bottom w:val="single" w:sz="4" w:space="0" w:color="000000"/>
              <w:right w:val="single" w:sz="4" w:space="0" w:color="000000"/>
            </w:tcBorders>
          </w:tcPr>
          <w:p>
            <w:pPr/>
          </w:p>
        </w:tc>
        <w:tc>
          <w:tcPr>
            <w:tcW w:w="368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划实施考核管理办法》、</w:t>
            </w:r>
          </w:p>
          <w:p>
            <w:pPr>
              <w:pStyle w:val="TableParagraph"/>
              <w:spacing w:line="355" w:lineRule="auto" w:before="133"/>
              <w:ind w:left="100" w:right="206"/>
              <w:jc w:val="left"/>
              <w:rPr>
                <w:rFonts w:ascii="宋体" w:hAnsi="宋体" w:cs="宋体" w:eastAsia="宋体" w:hint="default"/>
                <w:sz w:val="21"/>
                <w:szCs w:val="21"/>
              </w:rPr>
            </w:pPr>
            <w:r>
              <w:rPr>
                <w:rFonts w:ascii="宋体" w:hAnsi="宋体" w:cs="宋体" w:eastAsia="宋体" w:hint="default"/>
                <w:spacing w:val="-2"/>
                <w:sz w:val="21"/>
                <w:szCs w:val="21"/>
              </w:rPr>
              <w:t>《东华软件股份公司股票期权激励计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划（草案）激励对象名单》</w:t>
            </w:r>
          </w:p>
        </w:tc>
        <w:tc>
          <w:tcPr>
            <w:tcW w:w="2826" w:type="dxa"/>
            <w:tcBorders>
              <w:top w:val="single" w:sz="12" w:space="0" w:color="000000"/>
              <w:left w:val="single" w:sz="4" w:space="0" w:color="000000"/>
              <w:bottom w:val="single" w:sz="4" w:space="0" w:color="000000"/>
              <w:right w:val="single" w:sz="4" w:space="0" w:color="000000"/>
            </w:tcBorders>
          </w:tcPr>
          <w:p>
            <w:pP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216"/>
              <w:jc w:val="both"/>
              <w:rPr>
                <w:rFonts w:ascii="宋体" w:hAnsi="宋体" w:cs="宋体" w:eastAsia="宋体" w:hint="default"/>
                <w:sz w:val="21"/>
                <w:szCs w:val="21"/>
              </w:rPr>
            </w:pPr>
            <w:r>
              <w:rPr>
                <w:rFonts w:ascii="宋体" w:hAnsi="宋体" w:cs="宋体" w:eastAsia="宋体" w:hint="default"/>
                <w:sz w:val="21"/>
                <w:szCs w:val="21"/>
              </w:rPr>
              <w:t>第四届监事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会第六次会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12</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《东华软件股份公司股票期权激励计</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划（草案）修订稿》及其摘要、</w:t>
            </w:r>
          </w:p>
          <w:p>
            <w:pPr>
              <w:pStyle w:val="TableParagraph"/>
              <w:spacing w:line="355" w:lineRule="auto" w:before="133"/>
              <w:ind w:left="100" w:right="206"/>
              <w:jc w:val="left"/>
              <w:rPr>
                <w:rFonts w:ascii="宋体" w:hAnsi="宋体" w:cs="宋体" w:eastAsia="宋体" w:hint="default"/>
                <w:sz w:val="21"/>
                <w:szCs w:val="21"/>
              </w:rPr>
            </w:pPr>
            <w:r>
              <w:rPr>
                <w:rFonts w:ascii="宋体" w:hAnsi="宋体" w:cs="宋体" w:eastAsia="宋体" w:hint="default"/>
                <w:spacing w:val="-2"/>
                <w:sz w:val="21"/>
                <w:szCs w:val="21"/>
              </w:rPr>
              <w:t>《东华软件股份公司股票期权激励计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划的激励对象名单》</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70"/>
              <w:ind w:left="103" w:right="101"/>
              <w:jc w:val="both"/>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日《证券时</w:t>
            </w:r>
            <w:r>
              <w:rPr>
                <w:rFonts w:ascii="宋体" w:hAnsi="宋体" w:cs="宋体" w:eastAsia="宋体" w:hint="default"/>
                <w:w w:val="100"/>
                <w:sz w:val="21"/>
                <w:szCs w:val="21"/>
              </w:rPr>
              <w:t> </w:t>
            </w:r>
            <w:r>
              <w:rPr>
                <w:rFonts w:ascii="宋体" w:hAnsi="宋体" w:cs="宋体" w:eastAsia="宋体" w:hint="default"/>
                <w:spacing w:val="-11"/>
                <w:sz w:val="21"/>
                <w:szCs w:val="21"/>
              </w:rPr>
              <w:t>报》、《中国证券报》、《巨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潮资讯网》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14"/>
        <w:ind w:left="224" w:right="1575"/>
        <w:jc w:val="left"/>
        <w:rPr>
          <w:b w:val="0"/>
          <w:bCs w:val="0"/>
        </w:rPr>
      </w:pPr>
      <w:r>
        <w:rPr/>
        <w:t>二、监事会对公司有关事项的独立意见</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224" w:right="1575"/>
        <w:jc w:val="left"/>
        <w:rPr>
          <w:b w:val="0"/>
          <w:bCs w:val="0"/>
        </w:rPr>
      </w:pPr>
      <w:r>
        <w:rPr/>
        <w:t>（一）公司依法运作情况</w:t>
      </w:r>
      <w:r>
        <w:rPr>
          <w:b w:val="0"/>
          <w:bCs w:val="0"/>
        </w:rPr>
      </w:r>
    </w:p>
    <w:p>
      <w:pPr>
        <w:pStyle w:val="BodyText"/>
        <w:spacing w:line="357" w:lineRule="auto" w:before="122"/>
        <w:ind w:left="224" w:right="1507" w:firstLine="479"/>
        <w:jc w:val="left"/>
      </w:pPr>
      <w:r>
        <w:rPr>
          <w:spacing w:val="-2"/>
        </w:rPr>
        <w:t>报告期内，公司监事会严格按照《公司法》、《公司章程》、《监事会议事规则》</w:t>
      </w:r>
      <w:r>
        <w:rPr/>
        <w:t> 等赋予的职权，依法对公司的决策程序、内部控制制度的建立与执行情况以及公司董 事、高级管理人员履行职务情况进行了监督。</w:t>
      </w:r>
    </w:p>
    <w:p>
      <w:pPr>
        <w:pStyle w:val="BodyText"/>
        <w:spacing w:line="357" w:lineRule="auto" w:before="156"/>
        <w:ind w:left="224" w:right="1507" w:firstLine="479"/>
        <w:jc w:val="left"/>
      </w:pPr>
      <w:r>
        <w:rPr/>
        <w:t>监事会认为：公司依法经营，董事会运作规范、决策程序科学、合法，能认真执 </w:t>
      </w:r>
      <w:r>
        <w:rPr>
          <w:spacing w:val="-2"/>
        </w:rPr>
        <w:t>行股东大会的各项决议，忠实履行诚信义务；公司已建立起较为完善的内部控制制度，</w:t>
      </w:r>
      <w:r>
        <w:rPr>
          <w:spacing w:val="-92"/>
        </w:rPr>
        <w:t> </w:t>
      </w:r>
      <w:r>
        <w:rPr>
          <w:spacing w:val="-92"/>
        </w:rPr>
      </w:r>
      <w:r>
        <w:rPr/>
        <w:t>充分维护股东利益；公司董事及经营管理人员在履行职责和行使职权时，没有违反法 律、法规、公司章程、损害公司及股东利益的行为。</w:t>
      </w:r>
    </w:p>
    <w:p>
      <w:pPr>
        <w:spacing w:line="240" w:lineRule="auto" w:before="5"/>
        <w:rPr>
          <w:rFonts w:ascii="宋体" w:hAnsi="宋体" w:cs="宋体" w:eastAsia="宋体" w:hint="default"/>
          <w:sz w:val="25"/>
          <w:szCs w:val="25"/>
        </w:rPr>
      </w:pPr>
    </w:p>
    <w:p>
      <w:pPr>
        <w:pStyle w:val="Heading3"/>
        <w:spacing w:line="240" w:lineRule="auto"/>
        <w:ind w:left="224" w:right="1575"/>
        <w:jc w:val="left"/>
        <w:rPr>
          <w:b w:val="0"/>
          <w:bCs w:val="0"/>
        </w:rPr>
      </w:pPr>
      <w:r>
        <w:rPr/>
        <w:t>（二）检查公司财务的情况</w:t>
      </w:r>
      <w:r>
        <w:rPr>
          <w:b w:val="0"/>
          <w:bCs w:val="0"/>
        </w:rPr>
      </w:r>
    </w:p>
    <w:p>
      <w:pPr>
        <w:pStyle w:val="BodyText"/>
        <w:spacing w:line="357" w:lineRule="auto" w:before="124"/>
        <w:ind w:left="224" w:right="1507" w:firstLine="479"/>
        <w:jc w:val="left"/>
      </w:pPr>
      <w:r>
        <w:rPr/>
        <w:t>报告期内，监事会认真检查了公司财务制度和财务情况，审核了董事会提交的季 </w:t>
      </w:r>
      <w:r>
        <w:rPr>
          <w:spacing w:val="-2"/>
        </w:rPr>
        <w:t>度、年度财务报告及其它文件。监事会认为，公司财务会计制度健全，财务运作规范，</w:t>
      </w:r>
      <w:r>
        <w:rPr>
          <w:spacing w:val="-92"/>
        </w:rPr>
        <w:t> </w:t>
      </w:r>
      <w:r>
        <w:rPr>
          <w:spacing w:val="-92"/>
        </w:rPr>
      </w:r>
      <w:r>
        <w:rPr/>
        <w:t>会计无重大遗漏和虚假记载，公司财务报告的内容及格式严格按照国家财政法规、中</w:t>
      </w:r>
      <w:r>
        <w:rPr/>
        <w:t> 国证监会及新企业会计准则的相关规定进行编制。北京兴华会计师事务所有限公司为 公司</w:t>
      </w:r>
      <w:r>
        <w:rPr>
          <w:spacing w:val="-93"/>
        </w:rPr>
        <w:t> </w:t>
      </w:r>
      <w:r>
        <w:rPr>
          <w:rFonts w:ascii="Calibri" w:hAnsi="Calibri" w:cs="Calibri" w:eastAsia="Calibri" w:hint="default"/>
        </w:rPr>
        <w:t>2011</w:t>
      </w:r>
      <w:r>
        <w:rPr>
          <w:rFonts w:ascii="Calibri" w:hAnsi="Calibri" w:cs="Calibri" w:eastAsia="Calibri" w:hint="default"/>
          <w:spacing w:val="-26"/>
        </w:rPr>
        <w:t> </w:t>
      </w:r>
      <w:r>
        <w:rPr/>
        <w:t>年度财务报告出具了标准无保留意见的审计报告，审计意见客观、真实、公</w:t>
      </w:r>
    </w:p>
    <w:p>
      <w:pPr>
        <w:pStyle w:val="BodyText"/>
        <w:spacing w:line="322" w:lineRule="exact"/>
        <w:ind w:left="224" w:right="1575"/>
        <w:jc w:val="left"/>
      </w:pPr>
      <w:r>
        <w:rPr/>
        <w:t>正地反映了公司</w:t>
      </w:r>
      <w:r>
        <w:rPr>
          <w:spacing w:val="-88"/>
        </w:rPr>
        <w:t> </w:t>
      </w:r>
      <w:r>
        <w:rPr>
          <w:rFonts w:ascii="Calibri" w:hAnsi="Calibri" w:cs="Calibri" w:eastAsia="Calibri" w:hint="default"/>
        </w:rPr>
        <w:t>2011</w:t>
      </w:r>
      <w:r>
        <w:rPr>
          <w:rFonts w:ascii="Calibri" w:hAnsi="Calibri" w:cs="Calibri" w:eastAsia="Calibri" w:hint="default"/>
          <w:spacing w:val="-23"/>
        </w:rPr>
        <w:t> </w:t>
      </w:r>
      <w:r>
        <w:rPr/>
        <w:t>年度的财务状况、经营成果和现金流量。监事会同意其所出具的</w:t>
      </w:r>
    </w:p>
    <w:p>
      <w:pPr>
        <w:pStyle w:val="BodyText"/>
        <w:spacing w:line="240" w:lineRule="auto" w:before="123"/>
        <w:ind w:left="224" w:right="1575"/>
        <w:jc w:val="left"/>
      </w:pPr>
      <w:r>
        <w:rPr/>
        <w:t>标准无保留审计意见。</w:t>
      </w:r>
    </w:p>
    <w:p>
      <w:pPr>
        <w:spacing w:line="240" w:lineRule="auto" w:before="2"/>
        <w:rPr>
          <w:rFonts w:ascii="宋体" w:hAnsi="宋体" w:cs="宋体" w:eastAsia="宋体" w:hint="default"/>
          <w:sz w:val="34"/>
          <w:szCs w:val="34"/>
        </w:rPr>
      </w:pPr>
    </w:p>
    <w:p>
      <w:pPr>
        <w:pStyle w:val="Heading3"/>
        <w:spacing w:line="240" w:lineRule="auto"/>
        <w:ind w:left="224" w:right="1575"/>
        <w:jc w:val="left"/>
        <w:rPr>
          <w:b w:val="0"/>
          <w:bCs w:val="0"/>
        </w:rPr>
      </w:pPr>
      <w:r>
        <w:rPr/>
        <w:t>（三）募集资金使用情况</w:t>
      </w:r>
      <w:r>
        <w:rPr>
          <w:b w:val="0"/>
          <w:bCs w:val="0"/>
        </w:rPr>
      </w:r>
    </w:p>
    <w:p>
      <w:pPr>
        <w:spacing w:after="0" w:line="240" w:lineRule="auto"/>
        <w:jc w:val="left"/>
        <w:sectPr>
          <w:pgSz w:w="12240" w:h="15840"/>
          <w:pgMar w:header="847" w:footer="987" w:top="1360" w:bottom="1180" w:left="1420" w:right="0"/>
        </w:sectPr>
      </w:pPr>
    </w:p>
    <w:p>
      <w:pPr>
        <w:pStyle w:val="BodyText"/>
        <w:spacing w:line="240" w:lineRule="auto" w:before="11"/>
        <w:ind w:left="624" w:right="1697"/>
        <w:jc w:val="left"/>
      </w:pPr>
      <w:r>
        <w:rPr/>
        <w:pict>
          <v:group style="position:absolute;margin-left:80.783997pt;margin-top:1.845647pt;width:450.6pt;height:.1pt;mso-position-horizontal-relative:page;mso-position-vertical-relative:paragraph;z-index:-863584" coordorigin="1616,37" coordsize="9012,2">
            <v:shape style="position:absolute;left:1616;top:37;width:9012;height:2" coordorigin="1616,37" coordsize="9012,0" path="m1616,37l10627,37e" filled="false" stroked="true" strokeweight=".71999pt" strokecolor="#000000">
              <v:path arrowok="t"/>
            </v:shape>
            <w10:wrap type="none"/>
          </v:group>
        </w:pict>
      </w:r>
      <w:r>
        <w:rPr/>
        <w:t>报告期内，公司无募集资金使用情况。</w:t>
      </w:r>
    </w:p>
    <w:p>
      <w:pPr>
        <w:spacing w:line="240" w:lineRule="auto" w:before="3"/>
        <w:rPr>
          <w:rFonts w:ascii="宋体" w:hAnsi="宋体" w:cs="宋体" w:eastAsia="宋体" w:hint="default"/>
          <w:sz w:val="34"/>
          <w:szCs w:val="34"/>
        </w:rPr>
      </w:pPr>
    </w:p>
    <w:p>
      <w:pPr>
        <w:pStyle w:val="Heading3"/>
        <w:spacing w:line="240" w:lineRule="auto"/>
        <w:ind w:right="1697"/>
        <w:jc w:val="left"/>
        <w:rPr>
          <w:b w:val="0"/>
          <w:bCs w:val="0"/>
        </w:rPr>
      </w:pPr>
      <w:r>
        <w:rPr/>
        <w:t>（四）收购、出售资产情况</w:t>
      </w:r>
      <w:r>
        <w:rPr>
          <w:b w:val="0"/>
          <w:bCs w:val="0"/>
        </w:rPr>
      </w:r>
    </w:p>
    <w:p>
      <w:pPr>
        <w:pStyle w:val="BodyText"/>
        <w:spacing w:line="345" w:lineRule="auto" w:before="124"/>
        <w:ind w:right="1696" w:firstLine="479"/>
        <w:jc w:val="left"/>
      </w:pPr>
      <w:r>
        <w:rPr/>
        <w:t>监事会对公司发行股份购买北京神州新桥科技有限公司</w:t>
      </w:r>
      <w:r>
        <w:rPr>
          <w:spacing w:val="-61"/>
        </w:rPr>
        <w:t> </w:t>
      </w:r>
      <w:r>
        <w:rPr>
          <w:rFonts w:ascii="Calibri" w:hAnsi="Calibri" w:cs="Calibri" w:eastAsia="Calibri" w:hint="default"/>
        </w:rPr>
        <w:t>100%</w:t>
      </w:r>
      <w:r>
        <w:rPr/>
        <w:t>股权的事项进行了 监督和检查</w:t>
      </w:r>
      <w:r>
        <w:rPr>
          <w:sz w:val="23"/>
          <w:szCs w:val="23"/>
        </w:rPr>
        <w:t>，</w:t>
      </w:r>
      <w:r>
        <w:rPr/>
        <w:t>认为公司收购资产是在公开、公平、公正的原则下进行的，交易价格合</w:t>
      </w:r>
      <w:r>
        <w:rPr/>
        <w:t> 理、公允，没有发现内幕交易和损害部分股东的权益的情形，交易程序严格按照《公 司章程》、《董事会议事规则》等规则规定执行。</w:t>
      </w:r>
    </w:p>
    <w:p>
      <w:pPr>
        <w:spacing w:line="240" w:lineRule="auto" w:before="2"/>
        <w:rPr>
          <w:rFonts w:ascii="宋体" w:hAnsi="宋体" w:cs="宋体" w:eastAsia="宋体" w:hint="default"/>
          <w:sz w:val="26"/>
          <w:szCs w:val="26"/>
        </w:rPr>
      </w:pPr>
    </w:p>
    <w:p>
      <w:pPr>
        <w:pStyle w:val="Heading3"/>
        <w:spacing w:line="240" w:lineRule="auto"/>
        <w:ind w:right="1697"/>
        <w:jc w:val="left"/>
        <w:rPr>
          <w:b w:val="0"/>
          <w:bCs w:val="0"/>
        </w:rPr>
      </w:pPr>
      <w:r>
        <w:rPr/>
        <w:t>（五）关联交易情况</w:t>
      </w:r>
      <w:r>
        <w:rPr>
          <w:b w:val="0"/>
          <w:bCs w:val="0"/>
        </w:rPr>
      </w:r>
    </w:p>
    <w:p>
      <w:pPr>
        <w:spacing w:line="240" w:lineRule="auto" w:before="10"/>
        <w:rPr>
          <w:rFonts w:ascii="黑体" w:hAnsi="黑体" w:cs="黑体" w:eastAsia="黑体" w:hint="default"/>
          <w:b/>
          <w:bCs/>
          <w:sz w:val="24"/>
          <w:szCs w:val="24"/>
        </w:rPr>
      </w:pPr>
    </w:p>
    <w:p>
      <w:pPr>
        <w:pStyle w:val="BodyText"/>
        <w:spacing w:line="240" w:lineRule="auto"/>
        <w:ind w:left="624" w:right="1697"/>
        <w:jc w:val="left"/>
      </w:pPr>
      <w:r>
        <w:rPr/>
        <w:t>报告期内，公司未发生重大关联交易事项。</w:t>
      </w:r>
    </w:p>
    <w:p>
      <w:pPr>
        <w:spacing w:line="240" w:lineRule="auto" w:before="0"/>
        <w:rPr>
          <w:rFonts w:ascii="宋体" w:hAnsi="宋体" w:cs="宋体" w:eastAsia="宋体" w:hint="default"/>
          <w:sz w:val="23"/>
          <w:szCs w:val="23"/>
        </w:rPr>
      </w:pPr>
    </w:p>
    <w:p>
      <w:pPr>
        <w:pStyle w:val="Heading3"/>
        <w:spacing w:line="240" w:lineRule="auto"/>
        <w:ind w:right="1697"/>
        <w:jc w:val="left"/>
        <w:rPr>
          <w:b w:val="0"/>
          <w:bCs w:val="0"/>
        </w:rPr>
      </w:pPr>
      <w:r>
        <w:rPr/>
        <w:t>（六）对内部控制的自我评价报告的意见</w:t>
      </w:r>
      <w:r>
        <w:rPr>
          <w:b w:val="0"/>
          <w:bCs w:val="0"/>
        </w:rPr>
      </w:r>
    </w:p>
    <w:p>
      <w:pPr>
        <w:pStyle w:val="BodyText"/>
        <w:spacing w:line="340" w:lineRule="auto" w:before="124"/>
        <w:ind w:right="1642" w:firstLine="479"/>
        <w:jc w:val="both"/>
      </w:pPr>
      <w:r>
        <w:rPr/>
        <w:t>监事会对公司</w:t>
      </w:r>
      <w:r>
        <w:rPr>
          <w:spacing w:val="-50"/>
        </w:rPr>
        <w:t> </w:t>
      </w:r>
      <w:r>
        <w:rPr>
          <w:rFonts w:ascii="Calibri" w:hAnsi="Calibri" w:cs="Calibri" w:eastAsia="Calibri" w:hint="default"/>
        </w:rPr>
        <w:t>2011</w:t>
      </w:r>
      <w:r>
        <w:rPr>
          <w:rFonts w:ascii="Calibri" w:hAnsi="Calibri" w:cs="Calibri" w:eastAsia="Calibri" w:hint="default"/>
          <w:spacing w:val="16"/>
        </w:rPr>
        <w:t> </w:t>
      </w:r>
      <w:r>
        <w:rPr>
          <w:spacing w:val="-3"/>
        </w:rPr>
        <w:t>年度内部控制的自我评价报告发表如下审核意见：公司已建立</w:t>
      </w:r>
      <w:r>
        <w:rPr/>
        <w:t> 了较为完善的内部控制制度体系并能得到有效的执行。公司内部控制的自我评价报告 真实、客观地反映了公司内部控制制度的建设及运行情况。</w:t>
      </w:r>
    </w:p>
    <w:p>
      <w:pPr>
        <w:spacing w:line="240" w:lineRule="auto" w:before="9"/>
        <w:rPr>
          <w:rFonts w:ascii="宋体" w:hAnsi="宋体" w:cs="宋体" w:eastAsia="宋体" w:hint="default"/>
          <w:sz w:val="26"/>
          <w:szCs w:val="26"/>
        </w:rPr>
      </w:pPr>
    </w:p>
    <w:p>
      <w:pPr>
        <w:pStyle w:val="Heading3"/>
        <w:spacing w:line="240" w:lineRule="auto"/>
        <w:ind w:right="1697"/>
        <w:jc w:val="left"/>
        <w:rPr>
          <w:b w:val="0"/>
          <w:bCs w:val="0"/>
        </w:rPr>
      </w:pPr>
      <w:r>
        <w:rPr/>
        <w:t>（七）建立和实施内幕信息知情人管理制度情况</w:t>
      </w:r>
      <w:r>
        <w:rPr>
          <w:b w:val="0"/>
          <w:bCs w:val="0"/>
        </w:rPr>
      </w:r>
    </w:p>
    <w:p>
      <w:pPr>
        <w:pStyle w:val="BodyText"/>
        <w:spacing w:line="357" w:lineRule="auto" w:before="122"/>
        <w:ind w:right="1713" w:firstLine="479"/>
        <w:jc w:val="both"/>
      </w:pPr>
      <w:r>
        <w:rPr/>
        <w:t>监事会对公司建立和实施内幕信息知情人管理制度情况进行了监督和检查，认为 公司已经建立了《内幕信息知情人登记管理制度》，并能够严格执行该制度，做好内 幕信息的保密工作，公平地进行信息披露，维护了广大投资者的合法权益。</w:t>
      </w:r>
    </w:p>
    <w:p>
      <w:pPr>
        <w:spacing w:line="240" w:lineRule="auto" w:before="0"/>
        <w:rPr>
          <w:rFonts w:ascii="宋体" w:hAnsi="宋体" w:cs="宋体" w:eastAsia="宋体" w:hint="default"/>
          <w:sz w:val="24"/>
          <w:szCs w:val="24"/>
        </w:rPr>
      </w:pPr>
    </w:p>
    <w:p>
      <w:pPr>
        <w:pStyle w:val="Heading1"/>
        <w:spacing w:line="240" w:lineRule="auto" w:before="188"/>
        <w:ind w:left="3255" w:right="1697"/>
        <w:jc w:val="left"/>
        <w:rPr>
          <w:b w:val="0"/>
          <w:bCs w:val="0"/>
        </w:rPr>
      </w:pPr>
      <w:bookmarkStart w:name="_TOC_250002" w:id="11"/>
      <w:r>
        <w:rPr/>
        <w:t>第十一节</w:t>
      </w:r>
      <w:r>
        <w:rPr>
          <w:spacing w:val="-5"/>
        </w:rPr>
        <w:t> </w:t>
      </w:r>
      <w:r>
        <w:rPr/>
        <w:t>重要事项</w:t>
      </w:r>
      <w:bookmarkEnd w:id="11"/>
      <w:r>
        <w:rPr>
          <w:b w:val="0"/>
          <w:bCs w:val="0"/>
        </w:rPr>
      </w:r>
    </w:p>
    <w:p>
      <w:pPr>
        <w:spacing w:line="240" w:lineRule="auto" w:before="0"/>
        <w:rPr>
          <w:rFonts w:ascii="黑体" w:hAnsi="黑体" w:cs="黑体" w:eastAsia="黑体" w:hint="default"/>
          <w:b/>
          <w:bCs/>
          <w:sz w:val="40"/>
          <w:szCs w:val="40"/>
        </w:rPr>
      </w:pPr>
    </w:p>
    <w:p>
      <w:pPr>
        <w:pStyle w:val="Heading2"/>
        <w:spacing w:line="240" w:lineRule="auto"/>
        <w:ind w:right="1697"/>
        <w:jc w:val="left"/>
        <w:rPr>
          <w:b w:val="0"/>
          <w:bCs w:val="0"/>
        </w:rPr>
      </w:pPr>
      <w:r>
        <w:rPr/>
        <w:t>一、重大诉讼、仲裁事项</w:t>
      </w:r>
      <w:r>
        <w:rPr>
          <w:b w:val="0"/>
          <w:bCs w:val="0"/>
        </w:rPr>
      </w:r>
    </w:p>
    <w:p>
      <w:pPr>
        <w:pStyle w:val="BodyText"/>
        <w:spacing w:line="240" w:lineRule="auto" w:before="122"/>
        <w:ind w:left="624" w:right="1697"/>
        <w:jc w:val="left"/>
      </w:pPr>
      <w:r>
        <w:rPr/>
        <w:t>报告期内，公司无重大诉讼、仲裁事项。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right="1697"/>
        <w:jc w:val="left"/>
        <w:rPr>
          <w:b w:val="0"/>
          <w:bCs w:val="0"/>
        </w:rPr>
      </w:pPr>
      <w:r>
        <w:rPr/>
        <w:t>二、与控股股东及其关联方资金往来情况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right="1697"/>
        <w:jc w:val="left"/>
        <w:rPr>
          <w:b w:val="0"/>
          <w:bCs w:val="0"/>
        </w:rPr>
      </w:pPr>
      <w:r>
        <w:rPr/>
        <w:t>（一）报告期内，公司未发生控股股东及其关联方占用公司资金的情况</w:t>
      </w:r>
      <w:r>
        <w:rPr>
          <w:b w:val="0"/>
          <w:bCs w:val="0"/>
        </w:rPr>
      </w:r>
    </w:p>
    <w:p>
      <w:pPr>
        <w:spacing w:after="0" w:line="240" w:lineRule="auto"/>
        <w:jc w:val="left"/>
        <w:sectPr>
          <w:pgSz w:w="12240" w:h="15840"/>
          <w:pgMar w:header="847" w:footer="987" w:top="1360" w:bottom="1180" w:left="1500" w:right="0"/>
        </w:sectPr>
      </w:pPr>
    </w:p>
    <w:p>
      <w:pPr>
        <w:spacing w:line="240" w:lineRule="auto" w:before="4"/>
        <w:rPr>
          <w:rFonts w:ascii="黑体" w:hAnsi="黑体" w:cs="黑体" w:eastAsia="黑体" w:hint="default"/>
          <w:b/>
          <w:bCs/>
          <w:sz w:val="2"/>
          <w:szCs w:val="2"/>
        </w:rPr>
      </w:pPr>
    </w:p>
    <w:p>
      <w:pPr>
        <w:spacing w:line="20" w:lineRule="exact"/>
        <w:ind w:left="1228" w:right="0" w:firstLine="0"/>
        <w:rPr>
          <w:rFonts w:ascii="黑体" w:hAnsi="黑体" w:cs="黑体" w:eastAsia="黑体" w:hint="default"/>
          <w:sz w:val="2"/>
          <w:szCs w:val="2"/>
        </w:rPr>
      </w:pPr>
      <w:r>
        <w:rPr>
          <w:rFonts w:ascii="黑体" w:hAnsi="黑体" w:cs="黑体" w:eastAsia="黑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黑体" w:hAnsi="黑体" w:cs="黑体" w:eastAsia="黑体" w:hint="default"/>
          <w:sz w:val="2"/>
          <w:szCs w:val="2"/>
        </w:rPr>
      </w:r>
    </w:p>
    <w:p>
      <w:pPr>
        <w:pStyle w:val="Heading3"/>
        <w:spacing w:line="240" w:lineRule="auto" w:before="17"/>
        <w:ind w:left="1264" w:right="1514"/>
        <w:jc w:val="left"/>
        <w:rPr>
          <w:b w:val="0"/>
          <w:bCs w:val="0"/>
        </w:rPr>
      </w:pPr>
      <w:r>
        <w:rPr/>
        <w:t>（二）上市公司与控股股东及其关联方资金往来情况</w:t>
      </w:r>
      <w:r>
        <w:rPr>
          <w:b w:val="0"/>
          <w:bCs w:val="0"/>
        </w:rPr>
      </w:r>
    </w:p>
    <w:p>
      <w:pPr>
        <w:spacing w:line="240" w:lineRule="auto" w:before="8"/>
        <w:rPr>
          <w:rFonts w:ascii="黑体" w:hAnsi="黑体" w:cs="黑体" w:eastAsia="黑体" w:hint="default"/>
          <w:b/>
          <w:bCs/>
          <w:sz w:val="22"/>
          <w:szCs w:val="22"/>
        </w:rPr>
      </w:pPr>
    </w:p>
    <w:p>
      <w:pPr>
        <w:pStyle w:val="BodyText"/>
        <w:spacing w:line="240" w:lineRule="auto" w:before="26"/>
        <w:ind w:left="0" w:right="1641"/>
        <w:jc w:val="right"/>
      </w:pPr>
      <w:r>
        <w:rPr/>
        <w:t>单位：元</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852"/>
        <w:gridCol w:w="994"/>
        <w:gridCol w:w="994"/>
        <w:gridCol w:w="848"/>
        <w:gridCol w:w="708"/>
        <w:gridCol w:w="1419"/>
        <w:gridCol w:w="720"/>
        <w:gridCol w:w="1419"/>
        <w:gridCol w:w="1418"/>
        <w:gridCol w:w="850"/>
        <w:gridCol w:w="840"/>
      </w:tblGrid>
      <w:tr>
        <w:trPr>
          <w:trHeight w:val="1416" w:hRule="exact"/>
        </w:trPr>
        <w:tc>
          <w:tcPr>
            <w:tcW w:w="85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3" w:right="149"/>
              <w:jc w:val="both"/>
              <w:rPr>
                <w:rFonts w:ascii="宋体" w:hAnsi="宋体" w:cs="宋体" w:eastAsia="宋体" w:hint="default"/>
                <w:sz w:val="18"/>
                <w:szCs w:val="18"/>
              </w:rPr>
            </w:pPr>
            <w:r>
              <w:rPr>
                <w:rFonts w:ascii="宋体" w:hAnsi="宋体" w:cs="宋体" w:eastAsia="宋体" w:hint="default"/>
                <w:b/>
                <w:bCs/>
                <w:sz w:val="18"/>
                <w:szCs w:val="18"/>
              </w:rPr>
              <w:t>非经营</w:t>
            </w:r>
            <w:r>
              <w:rPr>
                <w:rFonts w:ascii="宋体" w:hAnsi="宋体" w:cs="宋体" w:eastAsia="宋体" w:hint="default"/>
                <w:b/>
                <w:bCs/>
                <w:w w:val="99"/>
                <w:sz w:val="18"/>
                <w:szCs w:val="18"/>
              </w:rPr>
              <w:t> </w:t>
            </w:r>
            <w:r>
              <w:rPr>
                <w:rFonts w:ascii="宋体" w:hAnsi="宋体" w:cs="宋体" w:eastAsia="宋体" w:hint="default"/>
                <w:b/>
                <w:bCs/>
                <w:sz w:val="18"/>
                <w:szCs w:val="18"/>
              </w:rPr>
              <w:t>性资金</w:t>
            </w:r>
            <w:r>
              <w:rPr>
                <w:rFonts w:ascii="宋体" w:hAnsi="宋体" w:cs="宋体" w:eastAsia="宋体" w:hint="default"/>
                <w:b/>
                <w:bCs/>
                <w:w w:val="99"/>
                <w:sz w:val="18"/>
                <w:szCs w:val="18"/>
              </w:rPr>
              <w:t> </w:t>
            </w:r>
            <w:r>
              <w:rPr>
                <w:rFonts w:ascii="宋体" w:hAnsi="宋体" w:cs="宋体" w:eastAsia="宋体" w:hint="default"/>
                <w:b/>
                <w:bCs/>
                <w:sz w:val="18"/>
                <w:szCs w:val="18"/>
              </w:rPr>
              <w:t>占用</w:t>
            </w:r>
            <w:r>
              <w:rPr>
                <w:rFonts w:ascii="宋体" w:hAnsi="宋体" w:cs="宋体" w:eastAsia="宋体" w:hint="default"/>
                <w:sz w:val="18"/>
                <w:szCs w:val="18"/>
              </w:rPr>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20" w:right="129" w:hanging="89"/>
              <w:jc w:val="left"/>
              <w:rPr>
                <w:rFonts w:ascii="宋体" w:hAnsi="宋体" w:cs="宋体" w:eastAsia="宋体" w:hint="default"/>
                <w:sz w:val="18"/>
                <w:szCs w:val="18"/>
              </w:rPr>
            </w:pPr>
            <w:r>
              <w:rPr>
                <w:rFonts w:ascii="宋体" w:hAnsi="宋体" w:cs="宋体" w:eastAsia="宋体" w:hint="default"/>
                <w:sz w:val="18"/>
                <w:szCs w:val="18"/>
              </w:rPr>
              <w:t>资金占用 方名称</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31" w:right="131"/>
              <w:jc w:val="center"/>
              <w:rPr>
                <w:rFonts w:ascii="宋体" w:hAnsi="宋体" w:cs="宋体" w:eastAsia="宋体" w:hint="default"/>
                <w:sz w:val="18"/>
                <w:szCs w:val="18"/>
              </w:rPr>
            </w:pPr>
            <w:r>
              <w:rPr>
                <w:rFonts w:ascii="宋体" w:hAnsi="宋体" w:cs="宋体" w:eastAsia="宋体" w:hint="default"/>
                <w:sz w:val="18"/>
                <w:szCs w:val="18"/>
              </w:rPr>
              <w:t>占用方与 上市公司 的关联关 系</w:t>
            </w:r>
          </w:p>
        </w:tc>
        <w:tc>
          <w:tcPr>
            <w:tcW w:w="8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48" w:right="147"/>
              <w:jc w:val="both"/>
              <w:rPr>
                <w:rFonts w:ascii="宋体" w:hAnsi="宋体" w:cs="宋体" w:eastAsia="宋体" w:hint="default"/>
                <w:sz w:val="18"/>
                <w:szCs w:val="18"/>
              </w:rPr>
            </w:pPr>
            <w:r>
              <w:rPr>
                <w:rFonts w:ascii="宋体" w:hAnsi="宋体" w:cs="宋体" w:eastAsia="宋体" w:hint="default"/>
                <w:sz w:val="18"/>
                <w:szCs w:val="18"/>
              </w:rPr>
              <w:t>上市公 司核算 的会计 科目</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sz w:val="18"/>
              </w:rPr>
              <w:t>2011</w:t>
            </w:r>
          </w:p>
          <w:p>
            <w:pPr>
              <w:pStyle w:val="TableParagraph"/>
              <w:spacing w:line="237" w:lineRule="auto" w:before="2"/>
              <w:ind w:left="167" w:right="168"/>
              <w:jc w:val="both"/>
              <w:rPr>
                <w:rFonts w:ascii="宋体" w:hAnsi="宋体" w:cs="宋体" w:eastAsia="宋体" w:hint="default"/>
                <w:sz w:val="18"/>
                <w:szCs w:val="18"/>
              </w:rPr>
            </w:pPr>
            <w:r>
              <w:rPr>
                <w:rFonts w:ascii="宋体" w:hAnsi="宋体" w:cs="宋体" w:eastAsia="宋体" w:hint="default"/>
                <w:sz w:val="18"/>
                <w:szCs w:val="18"/>
              </w:rPr>
              <w:t>年期 初占 用资 金余 额</w:t>
            </w:r>
          </w:p>
        </w:tc>
        <w:tc>
          <w:tcPr>
            <w:tcW w:w="14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137" w:hanging="22"/>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年度占用 累计发生金额</w:t>
            </w:r>
          </w:p>
          <w:p>
            <w:pPr>
              <w:pStyle w:val="TableParagraph"/>
              <w:spacing w:line="233" w:lineRule="exact"/>
              <w:ind w:left="163"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720" w:type="dxa"/>
            <w:tcBorders>
              <w:top w:val="single" w:sz="8" w:space="0" w:color="000000"/>
              <w:left w:val="single" w:sz="4" w:space="0" w:color="000000"/>
              <w:bottom w:val="single" w:sz="4" w:space="0" w:color="000000"/>
              <w:right w:val="single" w:sz="4"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sz w:val="18"/>
              </w:rPr>
              <w:t>2011</w:t>
            </w:r>
          </w:p>
          <w:p>
            <w:pPr>
              <w:pStyle w:val="TableParagraph"/>
              <w:spacing w:line="237" w:lineRule="auto" w:before="2"/>
              <w:ind w:left="175" w:right="173"/>
              <w:jc w:val="both"/>
              <w:rPr>
                <w:rFonts w:ascii="宋体" w:hAnsi="宋体" w:cs="宋体" w:eastAsia="宋体" w:hint="default"/>
                <w:sz w:val="18"/>
                <w:szCs w:val="18"/>
              </w:rPr>
            </w:pPr>
            <w:r>
              <w:rPr>
                <w:rFonts w:ascii="宋体" w:hAnsi="宋体" w:cs="宋体" w:eastAsia="宋体" w:hint="default"/>
                <w:sz w:val="18"/>
                <w:szCs w:val="18"/>
              </w:rPr>
              <w:t>年度 占用 资金 的利 息</w:t>
            </w:r>
          </w:p>
        </w:tc>
        <w:tc>
          <w:tcPr>
            <w:tcW w:w="14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3" w:right="137" w:hanging="22"/>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年度偿还 累计发生金额</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54" w:right="137" w:hanging="11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年期末占 用资金余额</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8" w:right="149"/>
              <w:jc w:val="left"/>
              <w:rPr>
                <w:rFonts w:ascii="宋体" w:hAnsi="宋体" w:cs="宋体" w:eastAsia="宋体" w:hint="default"/>
                <w:sz w:val="18"/>
                <w:szCs w:val="18"/>
              </w:rPr>
            </w:pPr>
            <w:r>
              <w:rPr>
                <w:rFonts w:ascii="宋体" w:hAnsi="宋体" w:cs="宋体" w:eastAsia="宋体" w:hint="default"/>
                <w:sz w:val="18"/>
                <w:szCs w:val="18"/>
              </w:rPr>
              <w:t>占用形 成原因</w:t>
            </w:r>
          </w:p>
        </w:tc>
        <w:tc>
          <w:tcPr>
            <w:tcW w:w="84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24" w:right="139" w:hanging="180"/>
              <w:jc w:val="left"/>
              <w:rPr>
                <w:rFonts w:ascii="宋体" w:hAnsi="宋体" w:cs="宋体" w:eastAsia="宋体" w:hint="default"/>
                <w:sz w:val="18"/>
                <w:szCs w:val="18"/>
              </w:rPr>
            </w:pPr>
            <w:r>
              <w:rPr>
                <w:rFonts w:ascii="宋体" w:hAnsi="宋体" w:cs="宋体" w:eastAsia="宋体" w:hint="default"/>
                <w:sz w:val="18"/>
                <w:szCs w:val="18"/>
              </w:rPr>
              <w:t>占用性 质</w:t>
            </w:r>
          </w:p>
        </w:tc>
      </w:tr>
      <w:tr>
        <w:trPr>
          <w:trHeight w:val="943"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pacing w:val="32"/>
                <w:sz w:val="18"/>
                <w:szCs w:val="18"/>
              </w:rPr>
              <w:t>现大股</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98" w:right="53"/>
              <w:jc w:val="both"/>
              <w:rPr>
                <w:rFonts w:ascii="宋体" w:hAnsi="宋体" w:cs="宋体" w:eastAsia="宋体" w:hint="default"/>
                <w:sz w:val="18"/>
                <w:szCs w:val="18"/>
              </w:rPr>
            </w:pPr>
            <w:r>
              <w:rPr>
                <w:rFonts w:ascii="宋体" w:hAnsi="宋体" w:cs="宋体" w:eastAsia="宋体" w:hint="default"/>
                <w:spacing w:val="32"/>
                <w:sz w:val="18"/>
                <w:szCs w:val="18"/>
              </w:rPr>
              <w:t>东及其</w:t>
            </w:r>
            <w:r>
              <w:rPr>
                <w:rFonts w:ascii="宋体" w:hAnsi="宋体" w:cs="宋体" w:eastAsia="宋体" w:hint="default"/>
                <w:spacing w:val="-42"/>
                <w:sz w:val="18"/>
                <w:szCs w:val="18"/>
              </w:rPr>
              <w:t> </w:t>
            </w:r>
            <w:r>
              <w:rPr>
                <w:rFonts w:ascii="宋体" w:hAnsi="宋体" w:cs="宋体" w:eastAsia="宋体" w:hint="default"/>
                <w:spacing w:val="32"/>
                <w:sz w:val="18"/>
                <w:szCs w:val="18"/>
              </w:rPr>
              <w:t>附属企</w:t>
            </w:r>
            <w:r>
              <w:rPr>
                <w:rFonts w:ascii="宋体" w:hAnsi="宋体" w:cs="宋体" w:eastAsia="宋体" w:hint="default"/>
                <w:spacing w:val="-42"/>
                <w:sz w:val="18"/>
                <w:szCs w:val="18"/>
              </w:rPr>
              <w:t> </w:t>
            </w:r>
            <w:r>
              <w:rPr>
                <w:rFonts w:ascii="宋体" w:hAnsi="宋体" w:cs="宋体" w:eastAsia="宋体" w:hint="default"/>
                <w:sz w:val="18"/>
                <w:szCs w:val="18"/>
              </w:rPr>
              <w:t>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32" w:lineRule="exact" w:before="24"/>
              <w:ind w:left="103" w:right="158"/>
              <w:jc w:val="both"/>
              <w:rPr>
                <w:rFonts w:ascii="宋体" w:hAnsi="宋体" w:cs="宋体" w:eastAsia="宋体" w:hint="default"/>
                <w:sz w:val="18"/>
                <w:szCs w:val="18"/>
              </w:rPr>
            </w:pPr>
            <w:r>
              <w:rPr>
                <w:rFonts w:ascii="宋体" w:hAnsi="宋体" w:cs="宋体" w:eastAsia="宋体" w:hint="default"/>
                <w:sz w:val="18"/>
                <w:szCs w:val="18"/>
              </w:rPr>
              <w:t>诚信电脑 科技发展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40" w:right="147" w:hanging="92"/>
              <w:jc w:val="left"/>
              <w:rPr>
                <w:rFonts w:ascii="宋体" w:hAnsi="宋体" w:cs="宋体" w:eastAsia="宋体" w:hint="default"/>
                <w:sz w:val="18"/>
                <w:szCs w:val="18"/>
              </w:rPr>
            </w:pPr>
            <w:r>
              <w:rPr>
                <w:rFonts w:ascii="宋体" w:hAnsi="宋体" w:cs="宋体" w:eastAsia="宋体" w:hint="default"/>
                <w:sz w:val="18"/>
                <w:szCs w:val="18"/>
              </w:rPr>
              <w:t>其他应 付款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-4,800,000.00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-3,180,000.00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44" w:right="139"/>
              <w:jc w:val="left"/>
              <w:rPr>
                <w:rFonts w:ascii="宋体" w:hAnsi="宋体" w:cs="宋体" w:eastAsia="宋体" w:hint="default"/>
                <w:sz w:val="18"/>
                <w:szCs w:val="18"/>
              </w:rPr>
            </w:pPr>
            <w:r>
              <w:rPr>
                <w:rFonts w:ascii="宋体" w:hAnsi="宋体" w:cs="宋体" w:eastAsia="宋体" w:hint="default"/>
                <w:sz w:val="18"/>
                <w:szCs w:val="18"/>
              </w:rPr>
              <w:t>非经营 性往来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14"/>
        <w:ind w:left="1264" w:right="1514"/>
        <w:jc w:val="left"/>
        <w:rPr>
          <w:b w:val="0"/>
          <w:bCs w:val="0"/>
        </w:rPr>
      </w:pPr>
      <w:r>
        <w:rPr/>
        <w:t>二、</w:t>
      </w:r>
      <w:r>
        <w:rPr>
          <w:spacing w:val="-104"/>
        </w:rPr>
        <w:t> </w:t>
      </w:r>
      <w:r>
        <w:rPr/>
        <w:t>破产重整相关事项</w:t>
      </w:r>
      <w:r>
        <w:rPr>
          <w:b w:val="0"/>
          <w:bCs w:val="0"/>
        </w:rPr>
      </w:r>
    </w:p>
    <w:p>
      <w:pPr>
        <w:pStyle w:val="BodyText"/>
        <w:spacing w:line="240" w:lineRule="auto" w:before="122"/>
        <w:ind w:left="1744" w:right="1514"/>
        <w:jc w:val="left"/>
      </w:pPr>
      <w:r>
        <w:rPr/>
        <w:t>报告期内，公司未发生破产重整等相关事项。</w:t>
      </w:r>
    </w:p>
    <w:p>
      <w:pPr>
        <w:spacing w:line="240" w:lineRule="auto" w:before="0"/>
        <w:rPr>
          <w:rFonts w:ascii="宋体" w:hAnsi="宋体" w:cs="宋体" w:eastAsia="宋体" w:hint="default"/>
          <w:sz w:val="24"/>
          <w:szCs w:val="24"/>
        </w:rPr>
      </w:pPr>
    </w:p>
    <w:p>
      <w:pPr>
        <w:pStyle w:val="Heading2"/>
        <w:spacing w:line="240" w:lineRule="auto" w:before="196"/>
        <w:ind w:left="1264" w:right="1514"/>
        <w:jc w:val="left"/>
        <w:rPr>
          <w:b w:val="0"/>
          <w:bCs w:val="0"/>
        </w:rPr>
      </w:pPr>
      <w:r>
        <w:rPr/>
        <w:t>四、持有其他上市公司股权及参股金融企业股权情况</w:t>
      </w:r>
      <w:r>
        <w:rPr>
          <w:b w:val="0"/>
          <w:bCs w:val="0"/>
        </w:rPr>
      </w:r>
    </w:p>
    <w:p>
      <w:pPr>
        <w:pStyle w:val="BodyText"/>
        <w:spacing w:line="357" w:lineRule="auto" w:before="122"/>
        <w:ind w:left="1264" w:right="1712" w:firstLine="479"/>
        <w:jc w:val="both"/>
      </w:pPr>
      <w:r>
        <w:rPr/>
        <w:t>报告期内，公司未发生买卖其他上市公司股份、参股商业银行、证券公司、保险 公司、信托公司和期货公司等金融企业股权的事项；公司没有持有其他上市公司股权 及参股金融企业股权的情况。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pStyle w:val="Heading2"/>
        <w:spacing w:line="240" w:lineRule="auto"/>
        <w:ind w:left="1264" w:right="1514"/>
        <w:jc w:val="left"/>
        <w:rPr>
          <w:b w:val="0"/>
          <w:bCs w:val="0"/>
        </w:rPr>
      </w:pPr>
      <w:r>
        <w:rPr/>
        <w:t>五、购买资产情况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1264" w:right="1514"/>
        <w:jc w:val="left"/>
        <w:rPr>
          <w:b w:val="0"/>
          <w:bCs w:val="0"/>
        </w:rPr>
      </w:pPr>
      <w:r>
        <w:rPr/>
        <w:t>（一）收购资产简要情况及进程</w:t>
      </w:r>
      <w:r>
        <w:rPr>
          <w:b w:val="0"/>
          <w:bCs w:val="0"/>
        </w:rPr>
      </w:r>
    </w:p>
    <w:p>
      <w:pPr>
        <w:spacing w:line="240" w:lineRule="auto" w:before="7"/>
        <w:rPr>
          <w:rFonts w:ascii="黑体" w:hAnsi="黑体" w:cs="黑体" w:eastAsia="黑体" w:hint="default"/>
          <w:b/>
          <w:bCs/>
          <w:sz w:val="24"/>
          <w:szCs w:val="24"/>
        </w:rPr>
      </w:pPr>
    </w:p>
    <w:p>
      <w:pPr>
        <w:pStyle w:val="BodyText"/>
        <w:spacing w:line="278" w:lineRule="auto"/>
        <w:ind w:left="1264" w:right="1514" w:firstLine="479"/>
        <w:jc w:val="left"/>
      </w:pPr>
      <w:r>
        <w:rPr>
          <w:spacing w:val="-3"/>
        </w:rPr>
        <w:t>报告期内，公司发行股份购买北京神州新桥科技有限公司</w:t>
      </w:r>
      <w:r>
        <w:rPr>
          <w:rFonts w:ascii="Calibri" w:hAnsi="Calibri" w:cs="Calibri" w:eastAsia="Calibri" w:hint="default"/>
          <w:spacing w:val="-3"/>
        </w:rPr>
        <w:t>100%</w:t>
      </w:r>
      <w:r>
        <w:rPr>
          <w:spacing w:val="-3"/>
        </w:rPr>
        <w:t>股权事项实施完毕，</w:t>
      </w:r>
      <w:r>
        <w:rPr/>
        <w:t> 进程如下：</w:t>
      </w:r>
    </w:p>
    <w:p>
      <w:pPr>
        <w:pStyle w:val="BodyText"/>
        <w:spacing w:line="324" w:lineRule="auto" w:before="89"/>
        <w:ind w:left="1264" w:right="1638" w:firstLine="479"/>
        <w:jc w:val="both"/>
      </w:pPr>
      <w:r>
        <w:rPr>
          <w:rFonts w:ascii="Calibri" w:hAnsi="Calibri" w:cs="Calibri" w:eastAsia="Calibri" w:hint="default"/>
        </w:rPr>
        <w:t>2009</w:t>
      </w:r>
      <w:r>
        <w:rPr>
          <w:rFonts w:ascii="Calibri" w:hAnsi="Calibri" w:cs="Calibri" w:eastAsia="Calibri" w:hint="default"/>
          <w:spacing w:val="4"/>
        </w:rPr>
        <w:t> </w:t>
      </w:r>
      <w:r>
        <w:rPr/>
        <w:t>年</w:t>
      </w:r>
      <w:r>
        <w:rPr>
          <w:spacing w:val="-65"/>
        </w:rPr>
        <w:t> </w:t>
      </w:r>
      <w:r>
        <w:rPr>
          <w:rFonts w:ascii="Calibri" w:hAnsi="Calibri" w:cs="Calibri" w:eastAsia="Calibri" w:hint="default"/>
        </w:rPr>
        <w:t>12</w:t>
      </w:r>
      <w:r>
        <w:rPr>
          <w:rFonts w:ascii="Calibri" w:hAnsi="Calibri" w:cs="Calibri" w:eastAsia="Calibri" w:hint="default"/>
          <w:spacing w:val="4"/>
        </w:rPr>
        <w:t> </w:t>
      </w:r>
      <w:r>
        <w:rPr/>
        <w:t>月</w:t>
      </w:r>
      <w:r>
        <w:rPr>
          <w:spacing w:val="-62"/>
        </w:rPr>
        <w:t> </w:t>
      </w:r>
      <w:r>
        <w:rPr>
          <w:rFonts w:ascii="Calibri" w:hAnsi="Calibri" w:cs="Calibri" w:eastAsia="Calibri" w:hint="default"/>
        </w:rPr>
        <w:t>18</w:t>
      </w:r>
      <w:r>
        <w:rPr>
          <w:rFonts w:ascii="Calibri" w:hAnsi="Calibri" w:cs="Calibri" w:eastAsia="Calibri" w:hint="default"/>
          <w:spacing w:val="4"/>
        </w:rPr>
        <w:t> </w:t>
      </w:r>
      <w:r>
        <w:rPr/>
        <w:t>日，公司召开第三届董事会第二十二次会议，审议通过了关于发 行股份购买北京神州新桥科技有限公司</w:t>
      </w:r>
      <w:r>
        <w:rPr>
          <w:spacing w:val="-42"/>
        </w:rPr>
        <w:t> </w:t>
      </w:r>
      <w:r>
        <w:rPr>
          <w:rFonts w:ascii="Calibri" w:hAnsi="Calibri" w:cs="Calibri" w:eastAsia="Calibri" w:hint="default"/>
          <w:spacing w:val="-3"/>
        </w:rPr>
        <w:t>100%</w:t>
      </w:r>
      <w:r>
        <w:rPr>
          <w:spacing w:val="-3"/>
        </w:rPr>
        <w:t>股权的相关议案（以下简称“本次发行股</w:t>
      </w:r>
      <w:r>
        <w:rPr>
          <w:spacing w:val="-118"/>
        </w:rPr>
        <w:t> </w:t>
      </w:r>
      <w:r>
        <w:rPr>
          <w:spacing w:val="-118"/>
        </w:rPr>
      </w:r>
      <w:r>
        <w:rPr/>
        <w:t>份购买资产”）。</w:t>
      </w:r>
    </w:p>
    <w:p>
      <w:pPr>
        <w:pStyle w:val="BodyText"/>
        <w:spacing w:line="326" w:lineRule="auto" w:before="187"/>
        <w:ind w:left="1264" w:right="1637" w:firstLine="479"/>
        <w:jc w:val="both"/>
      </w:pPr>
      <w:r>
        <w:rPr>
          <w:rFonts w:ascii="Calibri" w:hAnsi="Calibri" w:cs="Calibri" w:eastAsia="Calibri" w:hint="default"/>
        </w:rPr>
        <w:t>2010</w:t>
      </w:r>
      <w:r>
        <w:rPr>
          <w:rFonts w:ascii="Calibri" w:hAnsi="Calibri" w:cs="Calibri" w:eastAsia="Calibri" w:hint="default"/>
          <w:spacing w:val="4"/>
        </w:rPr>
        <w:t> </w:t>
      </w:r>
      <w:r>
        <w:rPr/>
        <w:t>年</w:t>
      </w:r>
      <w:r>
        <w:rPr>
          <w:spacing w:val="-65"/>
        </w:rPr>
        <w:t> </w:t>
      </w:r>
      <w:r>
        <w:rPr>
          <w:rFonts w:ascii="Calibri" w:hAnsi="Calibri" w:cs="Calibri" w:eastAsia="Calibri" w:hint="default"/>
        </w:rPr>
        <w:t>4</w:t>
      </w:r>
      <w:r>
        <w:rPr>
          <w:rFonts w:ascii="Calibri" w:hAnsi="Calibri" w:cs="Calibri" w:eastAsia="Calibri" w:hint="default"/>
          <w:spacing w:val="4"/>
        </w:rPr>
        <w:t> </w:t>
      </w:r>
      <w:r>
        <w:rPr/>
        <w:t>月</w:t>
      </w:r>
      <w:r>
        <w:rPr>
          <w:spacing w:val="-62"/>
        </w:rPr>
        <w:t> </w:t>
      </w:r>
      <w:r>
        <w:rPr>
          <w:rFonts w:ascii="Calibri" w:hAnsi="Calibri" w:cs="Calibri" w:eastAsia="Calibri" w:hint="default"/>
        </w:rPr>
        <w:t>16</w:t>
      </w:r>
      <w:r>
        <w:rPr>
          <w:rFonts w:ascii="Calibri" w:hAnsi="Calibri" w:cs="Calibri" w:eastAsia="Calibri" w:hint="default"/>
          <w:spacing w:val="5"/>
        </w:rPr>
        <w:t> </w:t>
      </w:r>
      <w:r>
        <w:rPr/>
        <w:t>日，公司召开</w:t>
      </w:r>
      <w:r>
        <w:rPr>
          <w:spacing w:val="-62"/>
        </w:rPr>
        <w:t> </w:t>
      </w:r>
      <w:r>
        <w:rPr>
          <w:rFonts w:ascii="Calibri" w:hAnsi="Calibri" w:cs="Calibri" w:eastAsia="Calibri" w:hint="default"/>
        </w:rPr>
        <w:t>2010</w:t>
      </w:r>
      <w:r>
        <w:rPr>
          <w:rFonts w:ascii="Calibri" w:hAnsi="Calibri" w:cs="Calibri" w:eastAsia="Calibri" w:hint="default"/>
          <w:spacing w:val="4"/>
        </w:rPr>
        <w:t> </w:t>
      </w:r>
      <w:r>
        <w:rPr/>
        <w:t>年第一次临时股东大会，审议通过了本次发行 股份购买资产的相关议案。</w:t>
      </w:r>
    </w:p>
    <w:p>
      <w:pPr>
        <w:spacing w:after="0" w:line="326" w:lineRule="auto"/>
        <w:jc w:val="both"/>
        <w:sectPr>
          <w:pgSz w:w="12240" w:h="15840"/>
          <w:pgMar w:header="847" w:footer="987" w:top="1360" w:bottom="1180" w:left="380" w:right="0"/>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BodyText"/>
        <w:spacing w:line="240" w:lineRule="auto" w:before="41"/>
        <w:ind w:left="715" w:right="1697"/>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6  </w:t>
      </w:r>
      <w:r>
        <w:rPr/>
        <w:t>日，经中国证券监督管理委员会上市公司并购重组审核委员会</w:t>
      </w:r>
    </w:p>
    <w:p>
      <w:pPr>
        <w:pStyle w:val="BodyText"/>
        <w:spacing w:line="290" w:lineRule="auto" w:before="66"/>
        <w:ind w:right="1697"/>
        <w:jc w:val="left"/>
      </w:pPr>
      <w:r>
        <w:rPr>
          <w:rFonts w:ascii="Times New Roman" w:hAnsi="Times New Roman" w:cs="Times New Roman" w:eastAsia="Times New Roman" w:hint="default"/>
        </w:rPr>
        <w:t>2010 </w:t>
      </w:r>
      <w:r>
        <w:rPr/>
        <w:t>年第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次并购重组委工作会议审核，公司本次发行股份购买资产事项获得有条 件通过。</w:t>
      </w:r>
    </w:p>
    <w:p>
      <w:pPr>
        <w:pStyle w:val="BodyText"/>
        <w:spacing w:line="240" w:lineRule="auto" w:before="36"/>
        <w:ind w:left="715" w:right="1697"/>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17 </w:t>
      </w:r>
      <w:r>
        <w:rPr/>
        <w:t>日，本次发行股份购买资产事项获得中国证监会核准。</w:t>
      </w:r>
    </w:p>
    <w:p>
      <w:pPr>
        <w:pStyle w:val="BodyText"/>
        <w:spacing w:line="290" w:lineRule="auto" w:before="66"/>
        <w:ind w:right="1681" w:firstLine="571"/>
        <w:jc w:val="both"/>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10 </w:t>
      </w:r>
      <w:r>
        <w:rPr/>
        <w:t>日，神州新桥股东变更为东华软件股份公司，本次交易资产交割 完成。</w:t>
      </w:r>
    </w:p>
    <w:p>
      <w:pPr>
        <w:pStyle w:val="BodyText"/>
        <w:spacing w:line="288" w:lineRule="auto" w:before="36"/>
        <w:ind w:right="1681" w:firstLine="571"/>
        <w:jc w:val="both"/>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17 </w:t>
      </w:r>
      <w:r>
        <w:rPr/>
        <w:t>日，公司在中国证券登记结算有限责任公司深圳分公司办理了本 次向自然人张秀珍、张建华、江海标、王佺、吕兴海发行股份的股份登记手续。</w:t>
      </w:r>
    </w:p>
    <w:p>
      <w:pPr>
        <w:pStyle w:val="BodyText"/>
        <w:spacing w:line="240" w:lineRule="auto" w:before="38"/>
        <w:ind w:left="715" w:right="1697"/>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24 </w:t>
      </w:r>
      <w:r>
        <w:rPr/>
        <w:t>日，上述新增股份在深圳证券交易所上市。</w:t>
      </w:r>
    </w:p>
    <w:p>
      <w:pPr>
        <w:pStyle w:val="BodyText"/>
        <w:spacing w:line="240" w:lineRule="auto" w:before="69"/>
        <w:ind w:left="715" w:right="1697"/>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11 </w:t>
      </w:r>
      <w:r>
        <w:rPr/>
        <w:t>日，公司相关注册资本、公司章程的工商变更登记完成。</w:t>
      </w:r>
    </w:p>
    <w:p>
      <w:pPr>
        <w:spacing w:line="240" w:lineRule="auto" w:before="8"/>
        <w:rPr>
          <w:rFonts w:ascii="宋体" w:hAnsi="宋体" w:cs="宋体" w:eastAsia="宋体" w:hint="default"/>
          <w:sz w:val="21"/>
          <w:szCs w:val="21"/>
        </w:rPr>
      </w:pPr>
    </w:p>
    <w:p>
      <w:pPr>
        <w:pStyle w:val="Heading3"/>
        <w:spacing w:line="240" w:lineRule="auto"/>
        <w:ind w:right="1697"/>
        <w:jc w:val="left"/>
        <w:rPr>
          <w:b w:val="0"/>
          <w:bCs w:val="0"/>
        </w:rPr>
      </w:pPr>
      <w:r>
        <w:rPr/>
        <w:t>（二）收购资产事项对公司的影响</w:t>
      </w:r>
      <w:r>
        <w:rPr>
          <w:b w:val="0"/>
          <w:bCs w:val="0"/>
        </w:rPr>
      </w:r>
    </w:p>
    <w:p>
      <w:pPr>
        <w:spacing w:line="240" w:lineRule="auto" w:before="10"/>
        <w:rPr>
          <w:rFonts w:ascii="黑体" w:hAnsi="黑体" w:cs="黑体" w:eastAsia="黑体" w:hint="default"/>
          <w:b/>
          <w:bCs/>
          <w:sz w:val="24"/>
          <w:szCs w:val="24"/>
        </w:rPr>
      </w:pPr>
    </w:p>
    <w:p>
      <w:pPr>
        <w:pStyle w:val="Heading4"/>
        <w:spacing w:line="240" w:lineRule="auto"/>
        <w:ind w:right="1697"/>
        <w:jc w:val="left"/>
        <w:rPr>
          <w:b w:val="0"/>
          <w:bCs w:val="0"/>
        </w:rPr>
      </w:pPr>
      <w:r>
        <w:rPr>
          <w:rFonts w:ascii="Calibri" w:hAnsi="Calibri" w:cs="Calibri" w:eastAsia="Calibri" w:hint="default"/>
        </w:rPr>
        <w:t>1</w:t>
      </w:r>
      <w:r>
        <w:rPr/>
        <w:t>、对公司业务连续性的影响</w:t>
      </w:r>
      <w:r>
        <w:rPr>
          <w:b w:val="0"/>
          <w:bCs w:val="0"/>
        </w:rPr>
      </w:r>
    </w:p>
    <w:p>
      <w:pPr>
        <w:pStyle w:val="BodyText"/>
        <w:spacing w:line="357" w:lineRule="auto" w:before="97"/>
        <w:ind w:right="1713" w:firstLine="479"/>
        <w:jc w:val="both"/>
      </w:pPr>
      <w:r>
        <w:rPr/>
        <w:t>本次交易完成后，通过加强公司、各子公司之间的沟通，整合公司整体业务及资 产，加强业务体系及客户体系协同，北京神州新桥科技有限公司（以下简称“神州新 桥”）业务将逐步融入本公司，为公司持续发展带来如下影响：</w:t>
      </w:r>
    </w:p>
    <w:p>
      <w:pPr>
        <w:pStyle w:val="BodyText"/>
        <w:spacing w:line="240" w:lineRule="auto" w:before="154"/>
        <w:ind w:right="1697"/>
        <w:jc w:val="left"/>
      </w:pPr>
      <w:r>
        <w:rPr/>
        <w:t>（</w:t>
      </w:r>
      <w:r>
        <w:rPr>
          <w:rFonts w:ascii="Calibri" w:hAnsi="Calibri" w:cs="Calibri" w:eastAsia="Calibri" w:hint="default"/>
        </w:rPr>
        <w:t>1</w:t>
      </w:r>
      <w:r>
        <w:rPr/>
        <w:t>）完善金融行业整体</w:t>
      </w:r>
      <w:r>
        <w:rPr>
          <w:spacing w:val="-61"/>
        </w:rPr>
        <w:t> </w:t>
      </w:r>
      <w:r>
        <w:rPr>
          <w:rFonts w:ascii="Calibri" w:hAnsi="Calibri" w:cs="Calibri" w:eastAsia="Calibri" w:hint="default"/>
        </w:rPr>
        <w:t>IT</w:t>
      </w:r>
      <w:r>
        <w:rPr>
          <w:rFonts w:ascii="Calibri" w:hAnsi="Calibri" w:cs="Calibri" w:eastAsia="Calibri" w:hint="default"/>
          <w:spacing w:val="5"/>
        </w:rPr>
        <w:t> </w:t>
      </w:r>
      <w:r>
        <w:rPr/>
        <w:t>服务链</w:t>
      </w:r>
    </w:p>
    <w:p>
      <w:pPr>
        <w:spacing w:line="240" w:lineRule="auto" w:before="8"/>
        <w:rPr>
          <w:rFonts w:ascii="宋体" w:hAnsi="宋体" w:cs="宋体" w:eastAsia="宋体" w:hint="default"/>
          <w:sz w:val="18"/>
          <w:szCs w:val="18"/>
        </w:rPr>
      </w:pPr>
    </w:p>
    <w:p>
      <w:pPr>
        <w:pStyle w:val="BodyText"/>
        <w:spacing w:line="324" w:lineRule="auto"/>
        <w:ind w:right="1628"/>
        <w:jc w:val="left"/>
      </w:pPr>
      <w:r>
        <w:rPr>
          <w:spacing w:val="-4"/>
        </w:rPr>
        <w:t>（</w:t>
      </w:r>
      <w:r>
        <w:rPr>
          <w:rFonts w:ascii="Calibri" w:hAnsi="Calibri" w:cs="Calibri" w:eastAsia="Calibri" w:hint="default"/>
          <w:spacing w:val="-4"/>
        </w:rPr>
        <w:t>2</w:t>
      </w:r>
      <w:r>
        <w:rPr>
          <w:spacing w:val="-4"/>
        </w:rPr>
        <w:t>）增加客户资源，扩大市场份额：拓展公司银行业客户体系，扩大金融行业 </w:t>
      </w:r>
      <w:r>
        <w:rPr>
          <w:rFonts w:ascii="Calibri" w:hAnsi="Calibri" w:cs="Calibri" w:eastAsia="Calibri" w:hint="default"/>
        </w:rPr>
        <w:t>IT</w:t>
      </w:r>
      <w:r>
        <w:rPr>
          <w:rFonts w:ascii="Calibri" w:hAnsi="Calibri" w:cs="Calibri" w:eastAsia="Calibri" w:hint="default"/>
          <w:spacing w:val="-22"/>
        </w:rPr>
        <w:t> </w:t>
      </w:r>
      <w:r>
        <w:rPr/>
        <w:t>服务 市场份额；神州新桥进入银行业以外行业。</w:t>
      </w:r>
    </w:p>
    <w:p>
      <w:pPr>
        <w:pStyle w:val="BodyText"/>
        <w:spacing w:line="240" w:lineRule="auto" w:before="190"/>
        <w:ind w:right="1697"/>
        <w:jc w:val="left"/>
      </w:pPr>
      <w:r>
        <w:rPr/>
        <w:t>（</w:t>
      </w:r>
      <w:r>
        <w:rPr>
          <w:rFonts w:ascii="Calibri" w:hAnsi="Calibri" w:cs="Calibri" w:eastAsia="Calibri" w:hint="default"/>
        </w:rPr>
        <w:t>3</w:t>
      </w:r>
      <w:r>
        <w:rPr/>
        <w:t>）扩大服务网络覆盖面，降低运营成本</w:t>
      </w:r>
    </w:p>
    <w:p>
      <w:pPr>
        <w:spacing w:line="240" w:lineRule="auto" w:before="8"/>
        <w:rPr>
          <w:rFonts w:ascii="宋体" w:hAnsi="宋体" w:cs="宋体" w:eastAsia="宋体" w:hint="default"/>
          <w:sz w:val="18"/>
          <w:szCs w:val="18"/>
        </w:rPr>
      </w:pPr>
    </w:p>
    <w:p>
      <w:pPr>
        <w:pStyle w:val="BodyText"/>
        <w:spacing w:line="324" w:lineRule="auto"/>
        <w:ind w:right="1557"/>
        <w:jc w:val="left"/>
      </w:pPr>
      <w:r>
        <w:rPr>
          <w:spacing w:val="-2"/>
        </w:rPr>
        <w:t>（</w:t>
      </w:r>
      <w:r>
        <w:rPr>
          <w:rFonts w:ascii="Calibri" w:hAnsi="Calibri" w:cs="Calibri" w:eastAsia="Calibri" w:hint="default"/>
          <w:spacing w:val="-2"/>
        </w:rPr>
        <w:t>4</w:t>
      </w:r>
      <w:r>
        <w:rPr>
          <w:spacing w:val="-2"/>
        </w:rPr>
        <w:t>）提高公司技术力量，完善公司产品供应体系：扩大技术队伍，提高技术力量；完</w:t>
      </w:r>
      <w:r>
        <w:rPr>
          <w:spacing w:val="-93"/>
        </w:rPr>
        <w:t> </w:t>
      </w:r>
      <w:r>
        <w:rPr>
          <w:spacing w:val="-93"/>
        </w:rPr>
      </w:r>
      <w:r>
        <w:rPr/>
        <w:t>善公司产品供应体系。</w:t>
      </w:r>
    </w:p>
    <w:p>
      <w:pPr>
        <w:spacing w:line="240" w:lineRule="auto" w:before="10"/>
        <w:rPr>
          <w:rFonts w:ascii="宋体" w:hAnsi="宋体" w:cs="宋体" w:eastAsia="宋体" w:hint="default"/>
          <w:sz w:val="29"/>
          <w:szCs w:val="29"/>
        </w:rPr>
      </w:pPr>
    </w:p>
    <w:p>
      <w:pPr>
        <w:pStyle w:val="Heading4"/>
        <w:spacing w:line="240" w:lineRule="auto"/>
        <w:ind w:right="1697"/>
        <w:jc w:val="left"/>
        <w:rPr>
          <w:b w:val="0"/>
          <w:bCs w:val="0"/>
        </w:rPr>
      </w:pPr>
      <w:r>
        <w:rPr>
          <w:rFonts w:ascii="Calibri" w:hAnsi="Calibri" w:cs="Calibri" w:eastAsia="Calibri" w:hint="default"/>
        </w:rPr>
        <w:t>2</w:t>
      </w:r>
      <w:r>
        <w:rPr/>
        <w:t>、对管理层稳定的影响</w:t>
      </w:r>
      <w:r>
        <w:rPr>
          <w:b w:val="0"/>
          <w:bCs w:val="0"/>
        </w:rPr>
      </w:r>
    </w:p>
    <w:p>
      <w:pPr>
        <w:pStyle w:val="BodyText"/>
        <w:spacing w:line="357" w:lineRule="auto" w:before="94"/>
        <w:ind w:right="1713" w:firstLine="479"/>
        <w:jc w:val="both"/>
      </w:pPr>
      <w:r>
        <w:rPr/>
        <w:t>根据本公司与交易对方签署的《发行股份购买资产协议》的安排，本次拟购买资 产涉及的在职人员，仍保留在神州新桥，神州新桥继续履行与在职人员签署的劳动合 同。</w:t>
      </w:r>
    </w:p>
    <w:p>
      <w:pPr>
        <w:pStyle w:val="BodyText"/>
        <w:spacing w:line="240" w:lineRule="auto" w:before="156"/>
        <w:ind w:right="1697"/>
        <w:jc w:val="left"/>
      </w:pPr>
      <w:r>
        <w:rPr/>
        <w:t>（</w:t>
      </w:r>
      <w:r>
        <w:rPr>
          <w:rFonts w:ascii="Calibri" w:hAnsi="Calibri" w:cs="Calibri" w:eastAsia="Calibri" w:hint="default"/>
        </w:rPr>
        <w:t>1</w:t>
      </w:r>
      <w:r>
        <w:rPr/>
        <w:t>）公司没有对神州新桥管理团队及主要核心技术人员进行调整的计划</w:t>
      </w:r>
    </w:p>
    <w:p>
      <w:pPr>
        <w:spacing w:after="0" w:line="240" w:lineRule="auto"/>
        <w:jc w:val="left"/>
        <w:sectPr>
          <w:footerReference w:type="even" r:id="rId44"/>
          <w:footerReference w:type="default" r:id="rId45"/>
          <w:pgSz w:w="12240" w:h="15840"/>
          <w:pgMar w:footer="987" w:header="847" w:top="1360" w:bottom="1180" w:left="1500" w:right="0"/>
        </w:sectPr>
      </w:pPr>
    </w:p>
    <w:p>
      <w:pPr>
        <w:pStyle w:val="BodyText"/>
        <w:spacing w:line="240" w:lineRule="auto" w:before="11"/>
        <w:ind w:right="1697"/>
        <w:jc w:val="left"/>
      </w:pPr>
      <w:r>
        <w:rPr/>
        <w:pict>
          <v:group style="position:absolute;margin-left:80.783997pt;margin-top:1.845647pt;width:450.6pt;height:.1pt;mso-position-horizontal-relative:page;mso-position-vertical-relative:paragraph;z-index:-863512" coordorigin="1616,37" coordsize="9012,2">
            <v:shape style="position:absolute;left:1616;top:37;width:9012;height:2" coordorigin="1616,37" coordsize="9012,0" path="m1616,37l10627,37e" filled="false" stroked="true" strokeweight=".71999pt" strokecolor="#000000">
              <v:path arrowok="t"/>
            </v:shape>
            <w10:wrap type="none"/>
          </v:group>
        </w:pict>
      </w:r>
      <w:r>
        <w:rPr/>
        <w:t>（</w:t>
      </w:r>
      <w:r>
        <w:rPr>
          <w:rFonts w:ascii="Calibri" w:hAnsi="Calibri" w:cs="Calibri" w:eastAsia="Calibri" w:hint="default"/>
        </w:rPr>
        <w:t>2</w:t>
      </w:r>
      <w:r>
        <w:rPr/>
        <w:t>）神州新桥董、监、高及核心技术人员没有离职或流露离职意向的情况</w:t>
      </w:r>
    </w:p>
    <w:p>
      <w:pPr>
        <w:spacing w:line="240" w:lineRule="auto" w:before="6"/>
        <w:rPr>
          <w:rFonts w:ascii="宋体" w:hAnsi="宋体" w:cs="宋体" w:eastAsia="宋体" w:hint="default"/>
          <w:sz w:val="18"/>
          <w:szCs w:val="18"/>
        </w:rPr>
      </w:pPr>
    </w:p>
    <w:p>
      <w:pPr>
        <w:pStyle w:val="BodyText"/>
        <w:spacing w:line="240" w:lineRule="auto"/>
        <w:ind w:right="1697"/>
        <w:jc w:val="left"/>
      </w:pPr>
      <w:r>
        <w:rPr/>
        <w:t>（</w:t>
      </w:r>
      <w:r>
        <w:rPr>
          <w:rFonts w:ascii="Calibri" w:hAnsi="Calibri" w:cs="Calibri" w:eastAsia="Calibri" w:hint="default"/>
        </w:rPr>
        <w:t>3</w:t>
      </w:r>
      <w:r>
        <w:rPr/>
        <w:t>）公司防范和应对人员流动风险方面所采取和拟采取的措施和计划</w:t>
      </w:r>
    </w:p>
    <w:p>
      <w:pPr>
        <w:spacing w:line="240" w:lineRule="auto" w:before="8"/>
        <w:rPr>
          <w:rFonts w:ascii="宋体" w:hAnsi="宋体" w:cs="宋体" w:eastAsia="宋体" w:hint="default"/>
          <w:sz w:val="18"/>
          <w:szCs w:val="18"/>
        </w:rPr>
      </w:pPr>
    </w:p>
    <w:p>
      <w:pPr>
        <w:pStyle w:val="BodyText"/>
        <w:spacing w:line="240" w:lineRule="auto"/>
        <w:ind w:left="624" w:right="1697"/>
        <w:jc w:val="left"/>
      </w:pPr>
      <w:r>
        <w:rPr/>
        <w:t>① 本次交易结构有利于保持神州新桥高级管理人员的稳定性</w:t>
      </w:r>
    </w:p>
    <w:p>
      <w:pPr>
        <w:spacing w:line="240" w:lineRule="auto" w:before="10"/>
        <w:rPr>
          <w:rFonts w:ascii="宋体" w:hAnsi="宋体" w:cs="宋体" w:eastAsia="宋体" w:hint="default"/>
          <w:sz w:val="20"/>
          <w:szCs w:val="20"/>
        </w:rPr>
      </w:pPr>
    </w:p>
    <w:p>
      <w:pPr>
        <w:pStyle w:val="BodyText"/>
        <w:spacing w:line="240" w:lineRule="auto"/>
        <w:ind w:left="624" w:right="1697"/>
        <w:jc w:val="left"/>
      </w:pPr>
      <w:r>
        <w:rPr/>
        <w:t>② 实施股权激励计划，实现持续、健康发展</w:t>
      </w:r>
    </w:p>
    <w:p>
      <w:pPr>
        <w:spacing w:line="240" w:lineRule="auto" w:before="12"/>
        <w:rPr>
          <w:rFonts w:ascii="宋体" w:hAnsi="宋体" w:cs="宋体" w:eastAsia="宋体" w:hint="default"/>
          <w:sz w:val="20"/>
          <w:szCs w:val="20"/>
        </w:rPr>
      </w:pPr>
    </w:p>
    <w:p>
      <w:pPr>
        <w:pStyle w:val="BodyText"/>
        <w:spacing w:line="240" w:lineRule="auto"/>
        <w:ind w:left="624" w:right="1697"/>
        <w:jc w:val="left"/>
      </w:pPr>
      <w:r>
        <w:rPr/>
        <w:t>③ 利用政府的激励措施增加对高级管理人员、专业技术人员的吸引力</w:t>
      </w:r>
    </w:p>
    <w:p>
      <w:pPr>
        <w:spacing w:line="240" w:lineRule="auto" w:before="13"/>
        <w:rPr>
          <w:rFonts w:ascii="宋体" w:hAnsi="宋体" w:cs="宋体" w:eastAsia="宋体" w:hint="default"/>
          <w:sz w:val="35"/>
          <w:szCs w:val="35"/>
        </w:rPr>
      </w:pPr>
    </w:p>
    <w:p>
      <w:pPr>
        <w:pStyle w:val="Heading4"/>
        <w:spacing w:line="240" w:lineRule="auto"/>
        <w:ind w:right="1697"/>
        <w:jc w:val="left"/>
        <w:rPr>
          <w:b w:val="0"/>
          <w:bCs w:val="0"/>
        </w:rPr>
      </w:pPr>
      <w:r>
        <w:rPr>
          <w:rFonts w:ascii="Calibri" w:hAnsi="Calibri" w:cs="Calibri" w:eastAsia="Calibri" w:hint="default"/>
        </w:rPr>
        <w:t>3</w:t>
      </w:r>
      <w:r>
        <w:rPr/>
        <w:t>、财务状况及经营成果</w:t>
      </w:r>
      <w:r>
        <w:rPr>
          <w:b w:val="0"/>
          <w:bCs w:val="0"/>
        </w:rPr>
      </w:r>
    </w:p>
    <w:p>
      <w:pPr>
        <w:pStyle w:val="BodyText"/>
        <w:spacing w:line="240" w:lineRule="auto" w:before="97"/>
        <w:ind w:left="624" w:right="1557"/>
        <w:jc w:val="left"/>
        <w:rPr>
          <w:rFonts w:ascii="Arial" w:hAnsi="Arial" w:cs="Arial" w:eastAsia="Arial" w:hint="default"/>
        </w:rPr>
      </w:pPr>
      <w:r>
        <w:rPr/>
        <w:t>截至</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日，北京神州新桥科技有限公司总资产为</w:t>
      </w:r>
      <w:r>
        <w:rPr>
          <w:spacing w:val="-40"/>
        </w:rPr>
        <w:t> </w:t>
      </w:r>
      <w:r>
        <w:rPr>
          <w:rFonts w:ascii="Arial" w:hAnsi="Arial" w:cs="Arial" w:eastAsia="Arial" w:hint="default"/>
        </w:rPr>
        <w:t>332,940,399.92</w:t>
      </w:r>
    </w:p>
    <w:p>
      <w:pPr>
        <w:pStyle w:val="BodyText"/>
        <w:spacing w:line="240" w:lineRule="auto" w:before="135"/>
        <w:ind w:right="1557"/>
        <w:jc w:val="left"/>
      </w:pPr>
      <w:r>
        <w:rPr/>
        <w:t>元，净资产为</w:t>
      </w:r>
      <w:r>
        <w:rPr>
          <w:spacing w:val="-41"/>
        </w:rPr>
        <w:t> </w:t>
      </w:r>
      <w:r>
        <w:rPr>
          <w:rFonts w:ascii="Arial" w:hAnsi="Arial" w:cs="Arial" w:eastAsia="Arial" w:hint="default"/>
        </w:rPr>
        <w:t>152,836,352.14</w:t>
      </w:r>
      <w:r>
        <w:rPr>
          <w:rFonts w:ascii="Arial" w:hAnsi="Arial" w:cs="Arial" w:eastAsia="Arial" w:hint="default"/>
          <w:spacing w:val="16"/>
        </w:rPr>
        <w:t> </w:t>
      </w:r>
      <w:r>
        <w:rPr/>
        <w:t>元；报告期内实现营业收入</w:t>
      </w:r>
      <w:r>
        <w:rPr>
          <w:spacing w:val="-40"/>
        </w:rPr>
        <w:t> </w:t>
      </w:r>
      <w:r>
        <w:rPr>
          <w:rFonts w:ascii="Arial" w:hAnsi="Arial" w:cs="Arial" w:eastAsia="Arial" w:hint="default"/>
        </w:rPr>
        <w:t>521,062,508.70</w:t>
      </w:r>
      <w:r>
        <w:rPr>
          <w:rFonts w:ascii="Arial" w:hAnsi="Arial" w:cs="Arial" w:eastAsia="Arial" w:hint="default"/>
          <w:spacing w:val="16"/>
        </w:rPr>
        <w:t> </w:t>
      </w:r>
      <w:r>
        <w:rPr/>
        <w:t>元，营业</w:t>
      </w:r>
    </w:p>
    <w:p>
      <w:pPr>
        <w:pStyle w:val="BodyText"/>
        <w:spacing w:line="240" w:lineRule="auto" w:before="134"/>
        <w:ind w:right="1697"/>
        <w:jc w:val="left"/>
      </w:pPr>
      <w:r>
        <w:rPr/>
        <w:t>利润</w:t>
      </w:r>
      <w:r>
        <w:rPr>
          <w:spacing w:val="-64"/>
        </w:rPr>
        <w:t> </w:t>
      </w:r>
      <w:r>
        <w:rPr>
          <w:rFonts w:ascii="Arial" w:hAnsi="Arial" w:cs="Arial" w:eastAsia="Arial" w:hint="default"/>
        </w:rPr>
        <w:t>57,748,958.84</w:t>
      </w:r>
      <w:r>
        <w:rPr>
          <w:rFonts w:ascii="Arial" w:hAnsi="Arial" w:cs="Arial" w:eastAsia="Arial" w:hint="default"/>
          <w:spacing w:val="-8"/>
        </w:rPr>
        <w:t> </w:t>
      </w:r>
      <w:r>
        <w:rPr/>
        <w:t>元，利润总额</w:t>
      </w:r>
      <w:r>
        <w:rPr>
          <w:spacing w:val="-63"/>
        </w:rPr>
        <w:t> </w:t>
      </w:r>
      <w:r>
        <w:rPr>
          <w:rFonts w:ascii="Arial" w:hAnsi="Arial" w:cs="Arial" w:eastAsia="Arial" w:hint="default"/>
        </w:rPr>
        <w:t>58,548,911.34</w:t>
      </w:r>
      <w:r>
        <w:rPr>
          <w:rFonts w:ascii="Arial" w:hAnsi="Arial" w:cs="Arial" w:eastAsia="Arial" w:hint="default"/>
          <w:spacing w:val="-8"/>
        </w:rPr>
        <w:t> </w:t>
      </w:r>
      <w:r>
        <w:rPr/>
        <w:t>元，净利润</w:t>
      </w:r>
      <w:r>
        <w:rPr>
          <w:spacing w:val="-66"/>
        </w:rPr>
        <w:t> </w:t>
      </w:r>
      <w:r>
        <w:rPr>
          <w:rFonts w:ascii="Arial" w:hAnsi="Arial" w:cs="Arial" w:eastAsia="Arial" w:hint="default"/>
        </w:rPr>
        <w:t>49,301,182.48</w:t>
      </w:r>
      <w:r>
        <w:rPr>
          <w:rFonts w:ascii="Arial" w:hAnsi="Arial" w:cs="Arial" w:eastAsia="Arial" w:hint="default"/>
          <w:spacing w:val="-8"/>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Heading2"/>
        <w:spacing w:line="240" w:lineRule="auto"/>
        <w:ind w:right="1697"/>
        <w:jc w:val="left"/>
        <w:rPr>
          <w:b w:val="0"/>
          <w:bCs w:val="0"/>
        </w:rPr>
      </w:pPr>
      <w:r>
        <w:rPr/>
        <w:t>六、报告期内股权激励计划情况</w:t>
      </w:r>
      <w:r>
        <w:rPr>
          <w:b w:val="0"/>
          <w:bCs w:val="0"/>
        </w:rPr>
      </w:r>
    </w:p>
    <w:p>
      <w:pPr>
        <w:spacing w:line="240" w:lineRule="auto" w:before="7"/>
        <w:rPr>
          <w:rFonts w:ascii="黑体" w:hAnsi="黑体" w:cs="黑体" w:eastAsia="黑体" w:hint="default"/>
          <w:b/>
          <w:bCs/>
          <w:sz w:val="22"/>
          <w:szCs w:val="22"/>
        </w:rPr>
      </w:pPr>
    </w:p>
    <w:p>
      <w:pPr>
        <w:pStyle w:val="Heading3"/>
        <w:spacing w:line="240" w:lineRule="auto"/>
        <w:ind w:right="1697"/>
        <w:jc w:val="left"/>
        <w:rPr>
          <w:b w:val="0"/>
          <w:bCs w:val="0"/>
        </w:rPr>
      </w:pPr>
      <w:r>
        <w:rPr/>
        <w:t>（一）股权激励计划批准情况</w:t>
      </w:r>
      <w:r>
        <w:rPr>
          <w:b w:val="0"/>
          <w:bCs w:val="0"/>
        </w:rPr>
      </w:r>
    </w:p>
    <w:p>
      <w:pPr>
        <w:pStyle w:val="BodyText"/>
        <w:spacing w:line="357" w:lineRule="auto" w:before="124"/>
        <w:ind w:right="1637" w:firstLine="479"/>
        <w:jc w:val="both"/>
      </w:pP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日，公司第四届董事会第十四次会议审议通过了《东华软件股份 公司股票期权激励计划</w:t>
      </w:r>
      <w:r>
        <w:rPr>
          <w:spacing w:val="-46"/>
        </w:rPr>
        <w:t> </w:t>
      </w:r>
      <w:r>
        <w:rPr>
          <w:rFonts w:ascii="宋体" w:hAnsi="宋体" w:cs="宋体" w:eastAsia="宋体" w:hint="default"/>
        </w:rPr>
        <w:t>(</w:t>
      </w:r>
      <w:r>
        <w:rPr/>
        <w:t>草案</w:t>
      </w:r>
      <w:r>
        <w:rPr>
          <w:rFonts w:ascii="宋体" w:hAnsi="宋体" w:cs="宋体" w:eastAsia="宋体" w:hint="default"/>
        </w:rPr>
        <w:t>)</w:t>
      </w:r>
      <w:r>
        <w:rPr/>
        <w:t>》（以下简称“《草案》”）及其摘要、《东华软件股 </w:t>
      </w:r>
      <w:r>
        <w:rPr>
          <w:spacing w:val="-18"/>
        </w:rPr>
        <w:t>份公司股票期权激励计划实施考核管理办法》（以下简称“《考核办法》”）、《关于提请</w:t>
      </w:r>
      <w:r>
        <w:rPr/>
        <w:t> 股东大会授权董事会办理公司股票期权激励计划相关事宜的议案》，公司独立董事对</w:t>
      </w:r>
    </w:p>
    <w:p>
      <w:pPr>
        <w:pStyle w:val="BodyText"/>
        <w:spacing w:line="448" w:lineRule="auto" w:before="34"/>
        <w:ind w:left="624" w:right="1557" w:hanging="480"/>
        <w:jc w:val="left"/>
      </w:pPr>
      <w:r>
        <w:rPr/>
        <w:t>《草案》发表了独立意见。 </w:t>
      </w:r>
      <w:r>
        <w:rPr>
          <w:spacing w:val="-10"/>
        </w:rPr>
        <w:t>同日，公司第四届监事会第五次会议审议通过了《草案》及其摘要、《考核办法》、</w:t>
      </w:r>
      <w:r>
        <w:rPr/>
      </w:r>
    </w:p>
    <w:p>
      <w:pPr>
        <w:pStyle w:val="BodyText"/>
        <w:spacing w:line="257" w:lineRule="exact"/>
        <w:ind w:right="1557"/>
        <w:jc w:val="left"/>
      </w:pPr>
      <w:r>
        <w:rPr/>
        <w:t>《东华软件股份公司股票期权激励计划（草案）激励对象名单》（以下简称“《激励</w:t>
      </w:r>
    </w:p>
    <w:p>
      <w:pPr>
        <w:pStyle w:val="BodyText"/>
        <w:spacing w:line="240" w:lineRule="auto" w:before="154"/>
        <w:ind w:right="1697"/>
        <w:jc w:val="left"/>
      </w:pPr>
      <w:r>
        <w:rPr/>
        <w:t>名单》”）。</w:t>
      </w:r>
    </w:p>
    <w:p>
      <w:pPr>
        <w:spacing w:line="240" w:lineRule="auto" w:before="10"/>
        <w:rPr>
          <w:rFonts w:ascii="宋体" w:hAnsi="宋体" w:cs="宋体" w:eastAsia="宋体" w:hint="default"/>
          <w:sz w:val="20"/>
          <w:szCs w:val="20"/>
        </w:rPr>
      </w:pPr>
    </w:p>
    <w:p>
      <w:pPr>
        <w:pStyle w:val="BodyText"/>
        <w:spacing w:line="240" w:lineRule="auto"/>
        <w:ind w:left="624" w:right="1557"/>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12</w:t>
      </w:r>
      <w:r>
        <w:rPr/>
        <w:t>日，公司将有关激励计划的申请材料上报中国证券监督管理委员会</w:t>
      </w:r>
    </w:p>
    <w:p>
      <w:pPr>
        <w:pStyle w:val="BodyText"/>
        <w:spacing w:line="446" w:lineRule="auto" w:before="154"/>
        <w:ind w:left="624" w:right="1696" w:hanging="480"/>
        <w:jc w:val="left"/>
      </w:pPr>
      <w:r>
        <w:rPr/>
        <w:t>（以下简称“证监会</w:t>
      </w:r>
      <w:r>
        <w:rPr>
          <w:spacing w:val="-120"/>
        </w:rPr>
        <w:t>”</w:t>
      </w:r>
      <w:r>
        <w:rPr/>
        <w:t>）备案。</w:t>
      </w:r>
      <w:r>
        <w:rPr/>
        <w:t> </w:t>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20</w:t>
      </w:r>
      <w:r>
        <w:rPr/>
        <w:t>日，根据证监会反馈意见</w:t>
      </w:r>
      <w:r>
        <w:rPr>
          <w:spacing w:val="-120"/>
        </w:rPr>
        <w:t>，</w:t>
      </w:r>
      <w:r>
        <w:rPr/>
        <w:t>《东华软件股份公司股票期权激励计</w:t>
      </w:r>
    </w:p>
    <w:p>
      <w:pPr>
        <w:pStyle w:val="BodyText"/>
        <w:spacing w:line="262" w:lineRule="exact"/>
        <w:ind w:right="1697"/>
        <w:jc w:val="left"/>
      </w:pPr>
      <w:r>
        <w:rPr/>
        <w:t>划</w:t>
      </w:r>
      <w:r>
        <w:rPr>
          <w:spacing w:val="-1"/>
        </w:rPr>
        <w:t> </w:t>
      </w:r>
      <w:r>
        <w:rPr>
          <w:rFonts w:ascii="宋体" w:hAnsi="宋体" w:cs="宋体" w:eastAsia="宋体" w:hint="default"/>
        </w:rPr>
        <w:t>(</w:t>
      </w:r>
      <w:r>
        <w:rPr/>
        <w:t>草案</w:t>
      </w:r>
      <w:r>
        <w:rPr>
          <w:rFonts w:ascii="宋体" w:hAnsi="宋体" w:cs="宋体" w:eastAsia="宋体" w:hint="default"/>
        </w:rPr>
        <w:t>)</w:t>
      </w:r>
      <w:r>
        <w:rPr/>
        <w:t>修订稿</w:t>
      </w:r>
      <w:r>
        <w:rPr>
          <w:spacing w:val="-120"/>
        </w:rPr>
        <w:t>》</w:t>
      </w:r>
      <w:r>
        <w:rPr/>
        <w:t>（以下简称</w:t>
      </w:r>
      <w:r>
        <w:rPr>
          <w:spacing w:val="-120"/>
        </w:rPr>
        <w:t>“</w:t>
      </w:r>
      <w:r>
        <w:rPr/>
        <w:t>《修订稿</w:t>
      </w:r>
      <w:r>
        <w:rPr>
          <w:spacing w:val="-120"/>
        </w:rPr>
        <w:t>》”</w:t>
      </w:r>
      <w:r>
        <w:rPr>
          <w:spacing w:val="1"/>
        </w:rPr>
        <w:t>）</w:t>
      </w:r>
      <w:r>
        <w:rPr/>
        <w:t>获证监会备案无异议。</w:t>
      </w:r>
    </w:p>
    <w:p>
      <w:pPr>
        <w:spacing w:after="0" w:line="262" w:lineRule="exact"/>
        <w:jc w:val="left"/>
        <w:sectPr>
          <w:pgSz w:w="12240" w:h="15840"/>
          <w:pgMar w:header="847" w:footer="987" w:top="1360" w:bottom="1180" w:left="1500" w:right="0"/>
        </w:sectPr>
      </w:pPr>
    </w:p>
    <w:p>
      <w:pPr>
        <w:pStyle w:val="BodyText"/>
        <w:spacing w:line="355" w:lineRule="auto" w:before="11"/>
        <w:ind w:right="1642" w:firstLine="479"/>
        <w:jc w:val="both"/>
      </w:pPr>
      <w:r>
        <w:rPr/>
        <w:pict>
          <v:group style="position:absolute;margin-left:80.783997pt;margin-top:1.845647pt;width:450.6pt;height:.1pt;mso-position-horizontal-relative:page;mso-position-vertical-relative:paragraph;z-index:-863488"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2"/>
        </w:rPr>
        <w:t>3</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日，公司第四届董事会第十五次会议发出召开股东大会通知，审</w:t>
      </w:r>
      <w:r>
        <w:rPr/>
        <w:t> 议股权激励相关事项。</w:t>
      </w:r>
    </w:p>
    <w:p>
      <w:pPr>
        <w:pStyle w:val="BodyText"/>
        <w:spacing w:line="357" w:lineRule="auto" w:before="158"/>
        <w:ind w:right="1713" w:firstLine="479"/>
        <w:jc w:val="both"/>
      </w:pP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17</w:t>
      </w:r>
      <w:r>
        <w:rPr/>
        <w:t>日，公司</w:t>
      </w:r>
      <w:r>
        <w:rPr>
          <w:rFonts w:ascii="宋体" w:hAnsi="宋体" w:cs="宋体" w:eastAsia="宋体" w:hint="default"/>
        </w:rPr>
        <w:t>2012</w:t>
      </w:r>
      <w:r>
        <w:rPr/>
        <w:t>年第一次临时股东大会审议通过了《修订稿》及其 摘要、《考核办法》、《关于提请股东大会授权董事会办理公司股票期权激励计划相 关事宜的议案》。</w:t>
      </w:r>
    </w:p>
    <w:p>
      <w:pPr>
        <w:pStyle w:val="BodyText"/>
        <w:spacing w:line="357" w:lineRule="auto" w:before="154"/>
        <w:ind w:right="1640" w:firstLine="479"/>
        <w:jc w:val="both"/>
      </w:pPr>
      <w:r>
        <w:rPr>
          <w:rFonts w:ascii="宋体" w:hAnsi="宋体" w:cs="宋体" w:eastAsia="宋体" w:hint="default"/>
        </w:rPr>
        <w:t>5</w:t>
      </w:r>
      <w:r>
        <w:rPr/>
        <w:t>、</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日，公司第四届董事会第十六次会议审议通过了《关于股票期权 </w:t>
      </w:r>
      <w:r>
        <w:rPr>
          <w:spacing w:val="-2"/>
        </w:rPr>
        <w:t>激励计划授予相关事项的议案》，确定授予日为</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日，独立董事对授予股票</w:t>
      </w:r>
      <w:r>
        <w:rPr>
          <w:spacing w:val="-86"/>
        </w:rPr>
        <w:t> </w:t>
      </w:r>
      <w:r>
        <w:rPr>
          <w:spacing w:val="-86"/>
        </w:rPr>
      </w:r>
      <w:r>
        <w:rPr/>
        <w:t>期权的授予日发表了独立意见。</w:t>
      </w:r>
    </w:p>
    <w:p>
      <w:pPr>
        <w:pStyle w:val="BodyText"/>
        <w:spacing w:line="357" w:lineRule="auto" w:before="154"/>
        <w:ind w:right="1713" w:firstLine="479"/>
        <w:jc w:val="both"/>
      </w:pPr>
      <w:r>
        <w:rPr/>
        <w:t>同日，公司第四届监事会第七次会议审议通过了《关于股票期权激励计划授予相 关事项的议案》。</w:t>
      </w:r>
    </w:p>
    <w:p>
      <w:pPr>
        <w:spacing w:line="240" w:lineRule="auto" w:before="11"/>
        <w:rPr>
          <w:rFonts w:ascii="宋体" w:hAnsi="宋体" w:cs="宋体" w:eastAsia="宋体" w:hint="default"/>
          <w:sz w:val="17"/>
          <w:szCs w:val="17"/>
        </w:rPr>
      </w:pPr>
    </w:p>
    <w:p>
      <w:pPr>
        <w:pStyle w:val="BodyText"/>
        <w:spacing w:line="278" w:lineRule="auto"/>
        <w:ind w:right="1642" w:firstLine="479"/>
        <w:jc w:val="both"/>
      </w:pPr>
      <w:r>
        <w:rPr>
          <w:rFonts w:ascii="Calibri" w:hAnsi="Calibri" w:cs="Calibri" w:eastAsia="Calibri" w:hint="default"/>
          <w:spacing w:val="-7"/>
        </w:rPr>
        <w:t>6</w:t>
      </w:r>
      <w:r>
        <w:rPr>
          <w:spacing w:val="-7"/>
        </w:rPr>
        <w:t>、</w:t>
      </w:r>
      <w:r>
        <w:rPr>
          <w:rFonts w:ascii="Calibri" w:hAnsi="Calibri" w:cs="Calibri" w:eastAsia="Calibri" w:hint="default"/>
          <w:spacing w:val="-7"/>
        </w:rPr>
        <w:t>2012</w:t>
      </w:r>
      <w:r>
        <w:rPr>
          <w:rFonts w:ascii="Calibri" w:hAnsi="Calibri" w:cs="Calibri" w:eastAsia="Calibri" w:hint="default"/>
          <w:spacing w:val="6"/>
        </w:rPr>
        <w:t> </w:t>
      </w:r>
      <w:r>
        <w:rPr/>
        <w:t>年</w:t>
      </w:r>
      <w:r>
        <w:rPr>
          <w:spacing w:val="-60"/>
        </w:rPr>
        <w:t> </w:t>
      </w:r>
      <w:r>
        <w:rPr>
          <w:rFonts w:ascii="Calibri" w:hAnsi="Calibri" w:cs="Calibri" w:eastAsia="Calibri" w:hint="default"/>
        </w:rPr>
        <w:t>2</w:t>
      </w:r>
      <w:r>
        <w:rPr>
          <w:rFonts w:ascii="Calibri" w:hAnsi="Calibri" w:cs="Calibri" w:eastAsia="Calibri" w:hint="default"/>
          <w:spacing w:val="6"/>
        </w:rPr>
        <w:t> </w:t>
      </w:r>
      <w:r>
        <w:rPr/>
        <w:t>月</w:t>
      </w:r>
      <w:r>
        <w:rPr>
          <w:spacing w:val="-62"/>
        </w:rPr>
        <w:t> </w:t>
      </w:r>
      <w:r>
        <w:rPr>
          <w:rFonts w:ascii="Calibri" w:hAnsi="Calibri" w:cs="Calibri" w:eastAsia="Calibri" w:hint="default"/>
        </w:rPr>
        <w:t>7</w:t>
      </w:r>
      <w:r>
        <w:rPr>
          <w:rFonts w:ascii="Calibri" w:hAnsi="Calibri" w:cs="Calibri" w:eastAsia="Calibri" w:hint="default"/>
          <w:spacing w:val="6"/>
        </w:rPr>
        <w:t> </w:t>
      </w:r>
      <w:r>
        <w:rPr>
          <w:spacing w:val="-3"/>
        </w:rPr>
        <w:t>日，公司监事会出具了《关于股票期权激励计划授予名单调整的</w:t>
      </w:r>
      <w:r>
        <w:rPr/>
        <w:t> </w:t>
      </w:r>
      <w:r>
        <w:rPr>
          <w:spacing w:val="-8"/>
        </w:rPr>
        <w:t>核查意见》，认为</w:t>
      </w:r>
      <w:r>
        <w:rPr>
          <w:spacing w:val="-68"/>
        </w:rPr>
        <w:t> </w:t>
      </w:r>
      <w:r>
        <w:rPr>
          <w:rFonts w:ascii="Calibri" w:hAnsi="Calibri" w:cs="Calibri" w:eastAsia="Calibri" w:hint="default"/>
        </w:rPr>
        <w:t>1</w:t>
      </w:r>
      <w:r>
        <w:rPr>
          <w:rFonts w:ascii="Calibri" w:hAnsi="Calibri" w:cs="Calibri" w:eastAsia="Calibri" w:hint="default"/>
          <w:spacing w:val="-2"/>
        </w:rPr>
        <w:t> </w:t>
      </w:r>
      <w:r>
        <w:rPr>
          <w:spacing w:val="-3"/>
        </w:rPr>
        <w:t>名激励对象离职，</w:t>
      </w:r>
      <w:r>
        <w:rPr>
          <w:rFonts w:ascii="Calibri" w:hAnsi="Calibri" w:cs="Calibri" w:eastAsia="Calibri" w:hint="default"/>
          <w:spacing w:val="-3"/>
        </w:rPr>
        <w:t>2</w:t>
      </w:r>
      <w:r>
        <w:rPr>
          <w:rFonts w:ascii="Calibri" w:hAnsi="Calibri" w:cs="Calibri" w:eastAsia="Calibri" w:hint="default"/>
          <w:spacing w:val="-2"/>
        </w:rPr>
        <w:t> </w:t>
      </w:r>
      <w:r>
        <w:rPr/>
        <w:t>名激励对象因个人原因自愿放弃，同意公司取 消其未登记的股票期权。</w:t>
      </w:r>
    </w:p>
    <w:p>
      <w:pPr>
        <w:spacing w:line="240" w:lineRule="auto" w:before="3"/>
        <w:rPr>
          <w:rFonts w:ascii="宋体" w:hAnsi="宋体" w:cs="宋体" w:eastAsia="宋体" w:hint="default"/>
          <w:sz w:val="20"/>
          <w:szCs w:val="20"/>
        </w:rPr>
      </w:pPr>
    </w:p>
    <w:p>
      <w:pPr>
        <w:pStyle w:val="Heading3"/>
        <w:spacing w:line="240" w:lineRule="auto"/>
        <w:ind w:right="1697"/>
        <w:jc w:val="left"/>
        <w:rPr>
          <w:b w:val="0"/>
          <w:bCs w:val="0"/>
        </w:rPr>
      </w:pPr>
      <w:r>
        <w:rPr/>
        <w:t>（二）股权激励计划授予情况</w:t>
      </w:r>
      <w:r>
        <w:rPr>
          <w:b w:val="0"/>
          <w:bCs w:val="0"/>
        </w:rPr>
      </w:r>
    </w:p>
    <w:p>
      <w:pPr>
        <w:pStyle w:val="BodyText"/>
        <w:spacing w:line="240" w:lineRule="auto" w:before="125"/>
        <w:ind w:left="624" w:right="1557"/>
        <w:jc w:val="left"/>
      </w:pPr>
      <w:r>
        <w:rPr/>
        <w:t>本激励计划拟授予激励对象</w:t>
      </w:r>
      <w:r>
        <w:rPr>
          <w:spacing w:val="-60"/>
        </w:rPr>
        <w:t> </w:t>
      </w:r>
      <w:r>
        <w:rPr>
          <w:rFonts w:ascii="宋体" w:hAnsi="宋体" w:cs="宋体" w:eastAsia="宋体" w:hint="default"/>
        </w:rPr>
        <w:t>1,173.9</w:t>
      </w:r>
      <w:r>
        <w:rPr>
          <w:rFonts w:ascii="宋体" w:hAnsi="宋体" w:cs="宋体" w:eastAsia="宋体" w:hint="default"/>
          <w:spacing w:val="-60"/>
        </w:rPr>
        <w:t> </w:t>
      </w:r>
      <w:r>
        <w:rPr/>
        <w:t>万份股票期权，每份股票期权拥有在可行权</w:t>
      </w:r>
    </w:p>
    <w:p>
      <w:pPr>
        <w:pStyle w:val="BodyText"/>
        <w:spacing w:line="240" w:lineRule="auto" w:before="151"/>
        <w:ind w:right="1557"/>
        <w:jc w:val="left"/>
      </w:pPr>
      <w:r>
        <w:rPr/>
        <w:t>日以预先确定的行权价格和行权条件购买</w:t>
      </w:r>
      <w:r>
        <w:rPr>
          <w:spacing w:val="-60"/>
        </w:rPr>
        <w:t> </w:t>
      </w:r>
      <w:r>
        <w:rPr>
          <w:rFonts w:ascii="宋体" w:hAnsi="宋体" w:cs="宋体" w:eastAsia="宋体" w:hint="default"/>
        </w:rPr>
        <w:t>1</w:t>
      </w:r>
      <w:r>
        <w:rPr>
          <w:rFonts w:ascii="宋体" w:hAnsi="宋体" w:cs="宋体" w:eastAsia="宋体" w:hint="default"/>
          <w:spacing w:val="-60"/>
        </w:rPr>
        <w:t> </w:t>
      </w:r>
      <w:r>
        <w:rPr/>
        <w:t>股本公司人民币普通股的权利，涉及标的</w:t>
      </w:r>
    </w:p>
    <w:p>
      <w:pPr>
        <w:pStyle w:val="BodyText"/>
        <w:spacing w:line="240" w:lineRule="auto" w:before="154"/>
        <w:ind w:right="1697"/>
        <w:jc w:val="left"/>
      </w:pPr>
      <w:r>
        <w:rPr/>
        <w:t>股票数量为</w:t>
      </w:r>
      <w:r>
        <w:rPr>
          <w:spacing w:val="-61"/>
        </w:rPr>
        <w:t> </w:t>
      </w:r>
      <w:r>
        <w:rPr>
          <w:rFonts w:ascii="宋体" w:hAnsi="宋体" w:cs="宋体" w:eastAsia="宋体" w:hint="default"/>
        </w:rPr>
        <w:t>1,173.9</w:t>
      </w:r>
      <w:r>
        <w:rPr>
          <w:rFonts w:ascii="宋体" w:hAnsi="宋体" w:cs="宋体" w:eastAsia="宋体" w:hint="default"/>
          <w:spacing w:val="-60"/>
        </w:rPr>
        <w:t> </w:t>
      </w:r>
      <w:r>
        <w:rPr/>
        <w:t>万股，占当前公司股本总额</w:t>
      </w:r>
      <w:r>
        <w:rPr>
          <w:spacing w:val="-60"/>
        </w:rPr>
        <w:t> </w:t>
      </w:r>
      <w:r>
        <w:rPr>
          <w:rFonts w:ascii="宋体" w:hAnsi="宋体" w:cs="宋体" w:eastAsia="宋体" w:hint="default"/>
        </w:rPr>
        <w:t>53,074.40</w:t>
      </w:r>
      <w:r>
        <w:rPr>
          <w:rFonts w:ascii="宋体" w:hAnsi="宋体" w:cs="宋体" w:eastAsia="宋体" w:hint="default"/>
          <w:spacing w:val="-60"/>
        </w:rPr>
        <w:t> </w:t>
      </w:r>
      <w:r>
        <w:rPr/>
        <w:t>万股的</w:t>
      </w:r>
      <w:r>
        <w:rPr>
          <w:spacing w:val="-60"/>
        </w:rPr>
        <w:t> </w:t>
      </w:r>
      <w:r>
        <w:rPr>
          <w:rFonts w:ascii="宋体" w:hAnsi="宋体" w:cs="宋体" w:eastAsia="宋体" w:hint="default"/>
        </w:rPr>
        <w:t>2.2118%</w:t>
      </w:r>
      <w:r>
        <w:rPr/>
        <w:t>。</w:t>
      </w:r>
    </w:p>
    <w:p>
      <w:pPr>
        <w:spacing w:line="240" w:lineRule="auto" w:before="10"/>
        <w:rPr>
          <w:rFonts w:ascii="宋体" w:hAnsi="宋体" w:cs="宋体" w:eastAsia="宋体" w:hint="default"/>
          <w:sz w:val="20"/>
          <w:szCs w:val="20"/>
        </w:rPr>
      </w:pPr>
    </w:p>
    <w:p>
      <w:pPr>
        <w:pStyle w:val="BodyText"/>
        <w:spacing w:line="240" w:lineRule="auto"/>
        <w:ind w:left="624" w:right="1697"/>
        <w:jc w:val="left"/>
      </w:pPr>
      <w:r>
        <w:rPr>
          <w:rFonts w:ascii="宋体" w:hAnsi="宋体" w:cs="宋体" w:eastAsia="宋体" w:hint="default"/>
        </w:rPr>
        <w:t>1</w:t>
      </w:r>
      <w:r>
        <w:rPr/>
        <w:t>、授予日：</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spacing w:line="240" w:lineRule="auto" w:before="12"/>
        <w:rPr>
          <w:rFonts w:ascii="宋体" w:hAnsi="宋体" w:cs="宋体" w:eastAsia="宋体" w:hint="default"/>
          <w:sz w:val="20"/>
          <w:szCs w:val="20"/>
        </w:rPr>
      </w:pPr>
    </w:p>
    <w:p>
      <w:pPr>
        <w:pStyle w:val="BodyText"/>
        <w:spacing w:line="240" w:lineRule="auto"/>
        <w:ind w:left="624" w:right="1697"/>
        <w:jc w:val="left"/>
      </w:pPr>
      <w:r>
        <w:rPr>
          <w:rFonts w:ascii="宋体" w:hAnsi="宋体" w:cs="宋体" w:eastAsia="宋体" w:hint="default"/>
        </w:rPr>
        <w:t>2</w:t>
      </w:r>
      <w:r>
        <w:rPr/>
        <w:t>、授予数量：</w:t>
      </w:r>
      <w:r>
        <w:rPr>
          <w:rFonts w:ascii="宋体" w:hAnsi="宋体" w:cs="宋体" w:eastAsia="宋体" w:hint="default"/>
        </w:rPr>
        <w:t>1,173.9</w:t>
      </w:r>
      <w:r>
        <w:rPr>
          <w:rFonts w:ascii="宋体" w:hAnsi="宋体" w:cs="宋体" w:eastAsia="宋体" w:hint="default"/>
          <w:spacing w:val="-60"/>
        </w:rPr>
        <w:t> </w:t>
      </w:r>
      <w:r>
        <w:rPr/>
        <w:t>万份股票期权。</w:t>
      </w:r>
    </w:p>
    <w:p>
      <w:pPr>
        <w:spacing w:line="240" w:lineRule="auto" w:before="10"/>
        <w:rPr>
          <w:rFonts w:ascii="宋体" w:hAnsi="宋体" w:cs="宋体" w:eastAsia="宋体" w:hint="default"/>
          <w:sz w:val="20"/>
          <w:szCs w:val="20"/>
        </w:rPr>
      </w:pPr>
    </w:p>
    <w:p>
      <w:pPr>
        <w:pStyle w:val="BodyText"/>
        <w:spacing w:line="357" w:lineRule="auto"/>
        <w:ind w:right="1593" w:firstLine="479"/>
        <w:jc w:val="both"/>
      </w:pPr>
      <w:r>
        <w:rPr>
          <w:rFonts w:ascii="宋体" w:hAnsi="宋体" w:cs="宋体" w:eastAsia="宋体" w:hint="default"/>
        </w:rPr>
        <w:t>3</w:t>
      </w:r>
      <w:r>
        <w:rPr/>
        <w:t>、激励对象：包括公司董事（不含独立董事）、高级管理人员，以及核心员工， 共计</w:t>
      </w:r>
      <w:r>
        <w:rPr>
          <w:spacing w:val="-61"/>
        </w:rPr>
        <w:t> </w:t>
      </w:r>
      <w:r>
        <w:rPr>
          <w:rFonts w:ascii="宋体" w:hAnsi="宋体" w:cs="宋体" w:eastAsia="宋体" w:hint="default"/>
        </w:rPr>
        <w:t>361</w:t>
      </w:r>
      <w:r>
        <w:rPr>
          <w:rFonts w:ascii="宋体" w:hAnsi="宋体" w:cs="宋体" w:eastAsia="宋体" w:hint="default"/>
          <w:spacing w:val="-60"/>
        </w:rPr>
        <w:t> </w:t>
      </w:r>
      <w:r>
        <w:rPr/>
        <w:t>人。</w:t>
      </w:r>
    </w:p>
    <w:p>
      <w:pPr>
        <w:pStyle w:val="BodyText"/>
        <w:spacing w:line="240" w:lineRule="auto" w:before="156"/>
        <w:ind w:left="624" w:right="1697"/>
        <w:jc w:val="left"/>
      </w:pPr>
      <w:r>
        <w:rPr>
          <w:rFonts w:ascii="宋体" w:hAnsi="宋体" w:cs="宋体" w:eastAsia="宋体" w:hint="default"/>
        </w:rPr>
        <w:t>4</w:t>
      </w:r>
      <w:r>
        <w:rPr/>
        <w:t>、行权价格：</w:t>
      </w:r>
      <w:r>
        <w:rPr>
          <w:rFonts w:ascii="宋体" w:hAnsi="宋体" w:cs="宋体" w:eastAsia="宋体" w:hint="default"/>
        </w:rPr>
        <w:t>21.59</w:t>
      </w:r>
      <w:r>
        <w:rPr>
          <w:rFonts w:ascii="宋体" w:hAnsi="宋体" w:cs="宋体" w:eastAsia="宋体" w:hint="default"/>
          <w:spacing w:val="-60"/>
        </w:rPr>
        <w:t> </w:t>
      </w:r>
      <w:r>
        <w:rPr/>
        <w:t>元。</w:t>
      </w:r>
    </w:p>
    <w:p>
      <w:pPr>
        <w:spacing w:line="240" w:lineRule="auto" w:before="1"/>
        <w:rPr>
          <w:rFonts w:ascii="宋体" w:hAnsi="宋体" w:cs="宋体" w:eastAsia="宋体" w:hint="default"/>
          <w:sz w:val="33"/>
          <w:szCs w:val="33"/>
        </w:rPr>
      </w:pPr>
    </w:p>
    <w:p>
      <w:pPr>
        <w:pStyle w:val="BodyText"/>
        <w:spacing w:line="336" w:lineRule="auto"/>
        <w:ind w:left="864" w:right="1623" w:firstLine="480"/>
        <w:jc w:val="left"/>
      </w:pPr>
      <w:r>
        <w:rPr>
          <w:rFonts w:ascii="宋体" w:hAnsi="宋体" w:cs="宋体" w:eastAsia="宋体" w:hint="default"/>
        </w:rPr>
        <w:t>5</w:t>
      </w:r>
      <w:r>
        <w:rPr/>
        <w:t>、股票来源：公司将通过向激励对象定向发行人民币普通股（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9"/>
        </w:rPr>
        <w:t> </w:t>
      </w:r>
      <w:r>
        <w:rPr>
          <w:spacing w:val="-3"/>
        </w:rPr>
        <w:t>股）股票</w:t>
      </w:r>
      <w:r>
        <w:rPr/>
        <w:t> 作为本激励计划的股票来源。</w:t>
      </w:r>
    </w:p>
    <w:p>
      <w:pPr>
        <w:spacing w:after="0" w:line="336" w:lineRule="auto"/>
        <w:jc w:val="left"/>
        <w:sectPr>
          <w:footerReference w:type="even" r:id="rId46"/>
          <w:footerReference w:type="default" r:id="rId47"/>
          <w:pgSz w:w="12240" w:h="15840"/>
          <w:pgMar w:footer="987" w:header="847" w:top="1360" w:bottom="1180" w:left="1500" w:right="0"/>
          <w:pgNumType w:start="72"/>
        </w:sectPr>
      </w:pPr>
    </w:p>
    <w:p>
      <w:pPr>
        <w:pStyle w:val="BodyText"/>
        <w:spacing w:line="348" w:lineRule="auto" w:before="11"/>
        <w:ind w:left="944" w:right="1593" w:firstLine="480"/>
        <w:jc w:val="both"/>
      </w:pPr>
      <w:r>
        <w:rPr/>
        <w:pict>
          <v:group style="position:absolute;margin-left:80.783997pt;margin-top:1.845647pt;width:450.6pt;height:.1pt;mso-position-horizontal-relative:page;mso-position-vertical-relative:paragraph;z-index:-863464"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rPr>
        <w:t>6</w:t>
      </w:r>
      <w:r>
        <w:rPr/>
        <w:t>、行权安排：股票期权激励计划有效期为授予股票期权的授权日起五年。 本激励计划授予的股票期权自授权日起满</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4"/>
        </w:rPr>
        <w:t>个月后可以开始行权，激励对象应</w:t>
      </w:r>
      <w:r>
        <w:rPr>
          <w:spacing w:val="-117"/>
        </w:rPr>
        <w:t> </w:t>
      </w:r>
      <w:r>
        <w:rPr>
          <w:spacing w:val="-117"/>
        </w:rPr>
      </w:r>
      <w:r>
        <w:rPr/>
        <w:t>按本激励计划规定的行权比例分期行权。</w:t>
      </w:r>
    </w:p>
    <w:p>
      <w:pPr>
        <w:pStyle w:val="BodyText"/>
        <w:spacing w:line="240" w:lineRule="auto" w:before="43"/>
        <w:ind w:left="1424" w:right="1575"/>
        <w:jc w:val="left"/>
      </w:pPr>
      <w:r>
        <w:rPr/>
        <w:t>本次次授予的股票期权计划分四次行权，具体情况如下：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98" w:type="dxa"/>
        <w:tblLayout w:type="fixed"/>
        <w:tblCellMar>
          <w:top w:w="0" w:type="dxa"/>
          <w:left w:w="0" w:type="dxa"/>
          <w:bottom w:w="0" w:type="dxa"/>
          <w:right w:w="0" w:type="dxa"/>
        </w:tblCellMar>
        <w:tblLook w:val="01E0"/>
      </w:tblPr>
      <w:tblGrid>
        <w:gridCol w:w="1795"/>
        <w:gridCol w:w="5186"/>
        <w:gridCol w:w="1982"/>
      </w:tblGrid>
      <w:tr>
        <w:trPr>
          <w:trHeight w:val="653" w:hRule="exact"/>
        </w:trPr>
        <w:tc>
          <w:tcPr>
            <w:tcW w:w="1795"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115"/>
              <w:ind w:right="15"/>
              <w:jc w:val="center"/>
              <w:rPr>
                <w:rFonts w:ascii="宋体" w:hAnsi="宋体" w:cs="宋体" w:eastAsia="宋体" w:hint="default"/>
                <w:sz w:val="24"/>
                <w:szCs w:val="24"/>
              </w:rPr>
            </w:pPr>
            <w:r>
              <w:rPr>
                <w:rFonts w:ascii="宋体" w:hAnsi="宋体" w:cs="宋体" w:eastAsia="宋体" w:hint="default"/>
                <w:b/>
                <w:bCs/>
                <w:sz w:val="24"/>
                <w:szCs w:val="24"/>
              </w:rPr>
              <w:t>行权期</w:t>
            </w:r>
            <w:r>
              <w:rPr>
                <w:rFonts w:ascii="宋体" w:hAnsi="宋体" w:cs="宋体" w:eastAsia="宋体" w:hint="default"/>
                <w:sz w:val="24"/>
                <w:szCs w:val="24"/>
              </w:rPr>
            </w:r>
          </w:p>
        </w:tc>
        <w:tc>
          <w:tcPr>
            <w:tcW w:w="518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b/>
                <w:bCs/>
                <w:sz w:val="24"/>
                <w:szCs w:val="24"/>
              </w:rPr>
              <w:t>行权时间</w:t>
            </w:r>
            <w:r>
              <w:rPr>
                <w:rFonts w:ascii="宋体" w:hAnsi="宋体" w:cs="宋体" w:eastAsia="宋体" w:hint="default"/>
                <w:sz w:val="24"/>
                <w:szCs w:val="24"/>
              </w:rPr>
            </w:r>
          </w:p>
        </w:tc>
        <w:tc>
          <w:tcPr>
            <w:tcW w:w="1982" w:type="dxa"/>
            <w:tcBorders>
              <w:top w:val="single" w:sz="17" w:space="0" w:color="000000"/>
              <w:left w:val="single" w:sz="6" w:space="0" w:color="000000"/>
              <w:bottom w:val="single" w:sz="6" w:space="0" w:color="000000"/>
              <w:right w:val="single" w:sz="17"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hAnsi="宋体" w:cs="宋体" w:eastAsia="宋体" w:hint="default"/>
                <w:b/>
                <w:bCs/>
                <w:sz w:val="24"/>
                <w:szCs w:val="24"/>
              </w:rPr>
              <w:t>可行权数量占获</w:t>
            </w:r>
            <w:r>
              <w:rPr>
                <w:rFonts w:ascii="宋体" w:hAnsi="宋体" w:cs="宋体" w:eastAsia="宋体" w:hint="default"/>
                <w:sz w:val="24"/>
                <w:szCs w:val="24"/>
              </w:rPr>
            </w:r>
          </w:p>
          <w:p>
            <w:pPr>
              <w:pStyle w:val="TableParagraph"/>
              <w:spacing w:line="313" w:lineRule="exact"/>
              <w:ind w:left="139" w:right="0"/>
              <w:jc w:val="left"/>
              <w:rPr>
                <w:rFonts w:ascii="宋体" w:hAnsi="宋体" w:cs="宋体" w:eastAsia="宋体" w:hint="default"/>
                <w:sz w:val="24"/>
                <w:szCs w:val="24"/>
              </w:rPr>
            </w:pPr>
            <w:r>
              <w:rPr>
                <w:rFonts w:ascii="宋体" w:hAnsi="宋体" w:cs="宋体" w:eastAsia="宋体" w:hint="default"/>
                <w:b/>
                <w:bCs/>
                <w:sz w:val="24"/>
                <w:szCs w:val="24"/>
              </w:rPr>
              <w:t>授期权数量比例</w:t>
            </w:r>
            <w:r>
              <w:rPr>
                <w:rFonts w:ascii="宋体" w:hAnsi="宋体" w:cs="宋体" w:eastAsia="宋体" w:hint="default"/>
                <w:sz w:val="24"/>
                <w:szCs w:val="24"/>
              </w:rPr>
            </w:r>
          </w:p>
        </w:tc>
      </w:tr>
      <w:tr>
        <w:trPr>
          <w:trHeight w:val="949" w:hRule="exact"/>
        </w:trPr>
        <w:tc>
          <w:tcPr>
            <w:tcW w:w="1795"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92"/>
              <w:ind w:right="12"/>
              <w:jc w:val="center"/>
              <w:rPr>
                <w:rFonts w:ascii="宋体" w:hAnsi="宋体" w:cs="宋体" w:eastAsia="宋体" w:hint="default"/>
                <w:sz w:val="24"/>
                <w:szCs w:val="24"/>
              </w:rPr>
            </w:pPr>
            <w:r>
              <w:rPr>
                <w:rFonts w:ascii="宋体" w:hAnsi="宋体" w:cs="宋体" w:eastAsia="宋体" w:hint="default"/>
                <w:sz w:val="24"/>
                <w:szCs w:val="24"/>
              </w:rPr>
              <w:t>第一个行权期</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宋体" w:hAnsi="宋体" w:cs="宋体" w:eastAsia="宋体" w:hint="default"/>
                <w:sz w:val="24"/>
                <w:szCs w:val="24"/>
              </w:rPr>
              <w:t>自授权日起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个月后的首个交易日起至授权日</w:t>
            </w:r>
          </w:p>
          <w:p>
            <w:pPr>
              <w:pStyle w:val="TableParagraph"/>
              <w:spacing w:line="240" w:lineRule="auto" w:before="135"/>
              <w:ind w:right="0"/>
              <w:jc w:val="center"/>
              <w:rPr>
                <w:rFonts w:ascii="宋体" w:hAnsi="宋体" w:cs="宋体" w:eastAsia="宋体" w:hint="default"/>
                <w:sz w:val="24"/>
                <w:szCs w:val="24"/>
              </w:rPr>
            </w:pPr>
            <w:r>
              <w:rPr>
                <w:rFonts w:ascii="宋体" w:hAnsi="宋体" w:cs="宋体" w:eastAsia="宋体" w:hint="default"/>
                <w:sz w:val="24"/>
                <w:szCs w:val="24"/>
              </w:rPr>
              <w:t>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个月内的最后一个交易日当日止</w:t>
            </w:r>
          </w:p>
        </w:tc>
        <w:tc>
          <w:tcPr>
            <w:tcW w:w="198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24"/>
                <w:szCs w:val="24"/>
              </w:rPr>
            </w:pPr>
            <w:r>
              <w:rPr>
                <w:rFonts w:ascii="Times New Roman"/>
                <w:sz w:val="24"/>
              </w:rPr>
              <w:t>30%</w:t>
            </w:r>
          </w:p>
        </w:tc>
      </w:tr>
      <w:tr>
        <w:trPr>
          <w:trHeight w:val="948" w:hRule="exact"/>
        </w:trPr>
        <w:tc>
          <w:tcPr>
            <w:tcW w:w="1795"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95"/>
              <w:ind w:right="12"/>
              <w:jc w:val="center"/>
              <w:rPr>
                <w:rFonts w:ascii="宋体" w:hAnsi="宋体" w:cs="宋体" w:eastAsia="宋体" w:hint="default"/>
                <w:sz w:val="24"/>
                <w:szCs w:val="24"/>
              </w:rPr>
            </w:pPr>
            <w:r>
              <w:rPr>
                <w:rFonts w:ascii="宋体" w:hAnsi="宋体" w:cs="宋体" w:eastAsia="宋体" w:hint="default"/>
                <w:sz w:val="24"/>
                <w:szCs w:val="24"/>
              </w:rPr>
              <w:t>第二个行权期</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宋体" w:hAnsi="宋体" w:cs="宋体" w:eastAsia="宋体" w:hint="default"/>
                <w:sz w:val="24"/>
                <w:szCs w:val="24"/>
              </w:rPr>
              <w:t>自授权日起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个月后的首个交易日起至授权日</w:t>
            </w:r>
          </w:p>
          <w:p>
            <w:pPr>
              <w:pStyle w:val="TableParagraph"/>
              <w:spacing w:line="240" w:lineRule="auto" w:before="135"/>
              <w:ind w:right="0"/>
              <w:jc w:val="center"/>
              <w:rPr>
                <w:rFonts w:ascii="宋体" w:hAnsi="宋体" w:cs="宋体" w:eastAsia="宋体" w:hint="default"/>
                <w:sz w:val="24"/>
                <w:szCs w:val="24"/>
              </w:rPr>
            </w:pPr>
            <w:r>
              <w:rPr>
                <w:rFonts w:ascii="宋体" w:hAnsi="宋体" w:cs="宋体" w:eastAsia="宋体" w:hint="default"/>
                <w:sz w:val="24"/>
                <w:szCs w:val="24"/>
              </w:rPr>
              <w:t>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 </w:t>
            </w:r>
            <w:r>
              <w:rPr>
                <w:rFonts w:ascii="宋体" w:hAnsi="宋体" w:cs="宋体" w:eastAsia="宋体" w:hint="default"/>
                <w:sz w:val="24"/>
                <w:szCs w:val="24"/>
              </w:rPr>
              <w:t>个月内的最后一个交易日当日止</w:t>
            </w:r>
          </w:p>
        </w:tc>
        <w:tc>
          <w:tcPr>
            <w:tcW w:w="198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24"/>
                <w:szCs w:val="24"/>
              </w:rPr>
            </w:pPr>
            <w:r>
              <w:rPr>
                <w:rFonts w:ascii="Times New Roman"/>
                <w:sz w:val="24"/>
              </w:rPr>
              <w:t>30%</w:t>
            </w:r>
          </w:p>
        </w:tc>
      </w:tr>
      <w:tr>
        <w:trPr>
          <w:trHeight w:val="950" w:hRule="exact"/>
        </w:trPr>
        <w:tc>
          <w:tcPr>
            <w:tcW w:w="1795"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95"/>
              <w:ind w:right="12"/>
              <w:jc w:val="center"/>
              <w:rPr>
                <w:rFonts w:ascii="宋体" w:hAnsi="宋体" w:cs="宋体" w:eastAsia="宋体" w:hint="default"/>
                <w:sz w:val="24"/>
                <w:szCs w:val="24"/>
              </w:rPr>
            </w:pPr>
            <w:r>
              <w:rPr>
                <w:rFonts w:ascii="宋体" w:hAnsi="宋体" w:cs="宋体" w:eastAsia="宋体" w:hint="default"/>
                <w:sz w:val="24"/>
                <w:szCs w:val="24"/>
              </w:rPr>
              <w:t>第三个行权期</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宋体" w:hAnsi="宋体" w:cs="宋体" w:eastAsia="宋体" w:hint="default"/>
                <w:sz w:val="24"/>
                <w:szCs w:val="24"/>
              </w:rPr>
              <w:t>自授权日起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 </w:t>
            </w:r>
            <w:r>
              <w:rPr>
                <w:rFonts w:ascii="宋体" w:hAnsi="宋体" w:cs="宋体" w:eastAsia="宋体" w:hint="default"/>
                <w:sz w:val="24"/>
                <w:szCs w:val="24"/>
              </w:rPr>
              <w:t>个月后的首个交易日起至授权日</w:t>
            </w:r>
          </w:p>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48 </w:t>
            </w:r>
            <w:r>
              <w:rPr>
                <w:rFonts w:ascii="宋体" w:hAnsi="宋体" w:cs="宋体" w:eastAsia="宋体" w:hint="default"/>
                <w:sz w:val="24"/>
                <w:szCs w:val="24"/>
              </w:rPr>
              <w:t>个月内的最后一个交易日当日止</w:t>
            </w:r>
          </w:p>
        </w:tc>
        <w:tc>
          <w:tcPr>
            <w:tcW w:w="198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24"/>
                <w:szCs w:val="24"/>
              </w:rPr>
            </w:pPr>
            <w:r>
              <w:rPr>
                <w:rFonts w:ascii="Times New Roman"/>
                <w:sz w:val="24"/>
              </w:rPr>
              <w:t>20%</w:t>
            </w:r>
          </w:p>
        </w:tc>
      </w:tr>
      <w:tr>
        <w:trPr>
          <w:trHeight w:val="965" w:hRule="exact"/>
        </w:trPr>
        <w:tc>
          <w:tcPr>
            <w:tcW w:w="1795"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92"/>
              <w:ind w:right="12"/>
              <w:jc w:val="center"/>
              <w:rPr>
                <w:rFonts w:ascii="宋体" w:hAnsi="宋体" w:cs="宋体" w:eastAsia="宋体" w:hint="default"/>
                <w:sz w:val="24"/>
                <w:szCs w:val="24"/>
              </w:rPr>
            </w:pPr>
            <w:r>
              <w:rPr>
                <w:rFonts w:ascii="宋体" w:hAnsi="宋体" w:cs="宋体" w:eastAsia="宋体" w:hint="default"/>
                <w:sz w:val="24"/>
                <w:szCs w:val="24"/>
              </w:rPr>
              <w:t>第四个行权期</w:t>
            </w:r>
          </w:p>
        </w:tc>
        <w:tc>
          <w:tcPr>
            <w:tcW w:w="5186" w:type="dxa"/>
            <w:tcBorders>
              <w:top w:val="single" w:sz="6" w:space="0" w:color="000000"/>
              <w:left w:val="single" w:sz="6" w:space="0" w:color="000000"/>
              <w:bottom w:val="single" w:sz="17"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宋体" w:hAnsi="宋体" w:cs="宋体" w:eastAsia="宋体" w:hint="default"/>
                <w:sz w:val="24"/>
                <w:szCs w:val="24"/>
              </w:rPr>
              <w:t>自授权日起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48 </w:t>
            </w:r>
            <w:r>
              <w:rPr>
                <w:rFonts w:ascii="宋体" w:hAnsi="宋体" w:cs="宋体" w:eastAsia="宋体" w:hint="default"/>
                <w:sz w:val="24"/>
                <w:szCs w:val="24"/>
              </w:rPr>
              <w:t>个月后的首个交易日起至授权日</w:t>
            </w:r>
          </w:p>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 </w:t>
            </w:r>
            <w:r>
              <w:rPr>
                <w:rFonts w:ascii="宋体" w:hAnsi="宋体" w:cs="宋体" w:eastAsia="宋体" w:hint="default"/>
                <w:sz w:val="24"/>
                <w:szCs w:val="24"/>
              </w:rPr>
              <w:t>个月内的最后一个交易日当日止</w:t>
            </w:r>
          </w:p>
        </w:tc>
        <w:tc>
          <w:tcPr>
            <w:tcW w:w="1982"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24"/>
                <w:szCs w:val="24"/>
              </w:rPr>
            </w:pPr>
            <w:r>
              <w:rPr>
                <w:rFonts w:ascii="Times New Roman"/>
                <w:sz w:val="24"/>
              </w:rPr>
              <w:t>20%</w:t>
            </w:r>
          </w:p>
        </w:tc>
      </w:tr>
    </w:tbl>
    <w:p>
      <w:pPr>
        <w:spacing w:line="240" w:lineRule="auto" w:before="1"/>
        <w:rPr>
          <w:rFonts w:ascii="宋体" w:hAnsi="宋体" w:cs="宋体" w:eastAsia="宋体" w:hint="default"/>
          <w:sz w:val="18"/>
          <w:szCs w:val="18"/>
        </w:rPr>
      </w:pPr>
    </w:p>
    <w:p>
      <w:pPr>
        <w:pStyle w:val="Heading3"/>
        <w:spacing w:line="240" w:lineRule="auto" w:before="19"/>
        <w:ind w:left="224" w:right="1575"/>
        <w:jc w:val="left"/>
        <w:rPr>
          <w:b w:val="0"/>
          <w:bCs w:val="0"/>
        </w:rPr>
      </w:pPr>
      <w:r>
        <w:rPr/>
        <w:t>（三）股票期权登记情况</w:t>
      </w:r>
      <w:r>
        <w:rPr>
          <w:b w:val="0"/>
          <w:bCs w:val="0"/>
        </w:rPr>
      </w:r>
    </w:p>
    <w:p>
      <w:pPr>
        <w:pStyle w:val="BodyText"/>
        <w:spacing w:line="240" w:lineRule="auto" w:before="122"/>
        <w:ind w:left="704" w:right="1575"/>
        <w:jc w:val="left"/>
      </w:pPr>
      <w:r>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日完成了股票期权激励计划的股票期权登记工作。</w:t>
      </w:r>
    </w:p>
    <w:p>
      <w:pPr>
        <w:spacing w:line="240" w:lineRule="auto" w:before="12"/>
        <w:rPr>
          <w:rFonts w:ascii="宋体" w:hAnsi="宋体" w:cs="宋体" w:eastAsia="宋体" w:hint="default"/>
          <w:sz w:val="20"/>
          <w:szCs w:val="20"/>
        </w:rPr>
      </w:pPr>
    </w:p>
    <w:p>
      <w:pPr>
        <w:pStyle w:val="BodyText"/>
        <w:spacing w:line="240" w:lineRule="auto"/>
        <w:ind w:left="224" w:right="1575"/>
        <w:jc w:val="left"/>
        <w:rPr>
          <w:rFonts w:ascii="宋体" w:hAnsi="宋体" w:cs="宋体" w:eastAsia="宋体" w:hint="default"/>
        </w:rPr>
      </w:pPr>
      <w:r>
        <w:rPr>
          <w:rFonts w:ascii="Calibri" w:hAnsi="Calibri" w:cs="Calibri" w:eastAsia="Calibri" w:hint="default"/>
        </w:rPr>
        <w:t>1</w:t>
      </w:r>
      <w:r>
        <w:rPr/>
        <w:t>、</w:t>
      </w:r>
      <w:r>
        <w:rPr>
          <w:spacing w:val="-63"/>
        </w:rPr>
        <w:t> </w:t>
      </w:r>
      <w:r>
        <w:rPr/>
        <w:t>期权简称：东华</w:t>
      </w:r>
      <w:r>
        <w:rPr>
          <w:spacing w:val="-60"/>
        </w:rPr>
        <w:t> </w:t>
      </w:r>
      <w:r>
        <w:rPr>
          <w:rFonts w:ascii="宋体" w:hAnsi="宋体" w:cs="宋体" w:eastAsia="宋体" w:hint="default"/>
        </w:rPr>
        <w:t>JLC1</w:t>
      </w:r>
    </w:p>
    <w:p>
      <w:pPr>
        <w:spacing w:line="240" w:lineRule="auto" w:before="5"/>
        <w:rPr>
          <w:rFonts w:ascii="宋体" w:hAnsi="宋体" w:cs="宋体" w:eastAsia="宋体" w:hint="default"/>
          <w:sz w:val="18"/>
          <w:szCs w:val="18"/>
        </w:rPr>
      </w:pPr>
    </w:p>
    <w:p>
      <w:pPr>
        <w:pStyle w:val="BodyText"/>
        <w:spacing w:line="240" w:lineRule="auto"/>
        <w:ind w:left="224" w:right="1575"/>
        <w:jc w:val="left"/>
        <w:rPr>
          <w:rFonts w:ascii="宋体" w:hAnsi="宋体" w:cs="宋体" w:eastAsia="宋体" w:hint="default"/>
        </w:rPr>
      </w:pPr>
      <w:r>
        <w:rPr>
          <w:rFonts w:ascii="Calibri" w:hAnsi="Calibri" w:cs="Calibri" w:eastAsia="Calibri" w:hint="default"/>
        </w:rPr>
        <w:t>2</w:t>
      </w:r>
      <w:r>
        <w:rPr/>
        <w:t>、</w:t>
      </w:r>
      <w:r>
        <w:rPr>
          <w:spacing w:val="-63"/>
        </w:rPr>
        <w:t> </w:t>
      </w:r>
      <w:r>
        <w:rPr/>
        <w:t>期权代码：</w:t>
      </w:r>
      <w:r>
        <w:rPr>
          <w:rFonts w:ascii="宋体" w:hAnsi="宋体" w:cs="宋体" w:eastAsia="宋体" w:hint="default"/>
        </w:rPr>
        <w:t>037577</w:t>
      </w:r>
    </w:p>
    <w:p>
      <w:pPr>
        <w:spacing w:line="240" w:lineRule="auto" w:before="8"/>
        <w:rPr>
          <w:rFonts w:ascii="宋体" w:hAnsi="宋体" w:cs="宋体" w:eastAsia="宋体" w:hint="default"/>
          <w:sz w:val="18"/>
          <w:szCs w:val="18"/>
        </w:rPr>
      </w:pPr>
    </w:p>
    <w:p>
      <w:pPr>
        <w:pStyle w:val="BodyText"/>
        <w:spacing w:line="357" w:lineRule="auto"/>
        <w:ind w:left="584" w:right="1575" w:hanging="360"/>
        <w:jc w:val="left"/>
      </w:pPr>
      <w:r>
        <w:rPr>
          <w:rFonts w:ascii="宋体" w:hAnsi="宋体" w:cs="宋体" w:eastAsia="宋体" w:hint="default"/>
        </w:rPr>
        <w:t>3</w:t>
      </w:r>
      <w:r>
        <w:rPr/>
        <w:t>、本计划授予的股票期权数量为</w:t>
      </w:r>
      <w:r>
        <w:rPr>
          <w:rFonts w:ascii="宋体" w:hAnsi="宋体" w:cs="宋体" w:eastAsia="宋体" w:hint="default"/>
        </w:rPr>
        <w:t>1,173.9</w:t>
      </w:r>
      <w:r>
        <w:rPr/>
        <w:t>万份，占《股权激励计划》公告日公司股本 总额</w:t>
      </w:r>
      <w:r>
        <w:rPr>
          <w:rFonts w:ascii="宋体" w:hAnsi="宋体" w:cs="宋体" w:eastAsia="宋体" w:hint="default"/>
        </w:rPr>
        <w:t>53,074.4</w:t>
      </w:r>
      <w:r>
        <w:rPr/>
        <w:t>万股的</w:t>
      </w:r>
      <w:r>
        <w:rPr>
          <w:rFonts w:ascii="宋体" w:hAnsi="宋体" w:cs="宋体" w:eastAsia="宋体" w:hint="default"/>
        </w:rPr>
        <w:t>2.2118%</w:t>
      </w:r>
      <w:r>
        <w:rPr/>
        <w:t>，股票期权的分配情况如下：</w:t>
      </w: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188"/>
        <w:gridCol w:w="2595"/>
        <w:gridCol w:w="1796"/>
        <w:gridCol w:w="1796"/>
        <w:gridCol w:w="1796"/>
      </w:tblGrid>
      <w:tr>
        <w:trPr>
          <w:trHeight w:val="637" w:hRule="exact"/>
        </w:trPr>
        <w:tc>
          <w:tcPr>
            <w:tcW w:w="118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9"/>
              <w:ind w:left="345" w:right="0"/>
              <w:jc w:val="left"/>
              <w:rPr>
                <w:rFonts w:ascii="宋体" w:hAnsi="宋体" w:cs="宋体" w:eastAsia="宋体" w:hint="default"/>
                <w:sz w:val="24"/>
                <w:szCs w:val="24"/>
              </w:rPr>
            </w:pPr>
            <w:r>
              <w:rPr>
                <w:rFonts w:ascii="宋体" w:hAnsi="宋体" w:cs="宋体" w:eastAsia="宋体" w:hint="default"/>
                <w:b/>
                <w:bCs/>
                <w:sz w:val="24"/>
                <w:szCs w:val="24"/>
              </w:rPr>
              <w:t>姓名</w:t>
            </w:r>
            <w:r>
              <w:rPr>
                <w:rFonts w:ascii="宋体" w:hAnsi="宋体" w:cs="宋体" w:eastAsia="宋体" w:hint="default"/>
                <w:sz w:val="24"/>
                <w:szCs w:val="24"/>
              </w:rPr>
            </w:r>
          </w:p>
        </w:tc>
        <w:tc>
          <w:tcPr>
            <w:tcW w:w="259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24"/>
                <w:szCs w:val="24"/>
              </w:rPr>
            </w:pPr>
            <w:r>
              <w:rPr>
                <w:rFonts w:ascii="宋体" w:hAnsi="宋体" w:cs="宋体" w:eastAsia="宋体" w:hint="default"/>
                <w:b/>
                <w:bCs/>
                <w:sz w:val="24"/>
                <w:szCs w:val="24"/>
              </w:rPr>
              <w:t>职位</w:t>
            </w:r>
            <w:r>
              <w:rPr>
                <w:rFonts w:ascii="宋体" w:hAnsi="宋体" w:cs="宋体" w:eastAsia="宋体" w:hint="default"/>
                <w:sz w:val="24"/>
                <w:szCs w:val="24"/>
              </w:rPr>
            </w:r>
          </w:p>
        </w:tc>
        <w:tc>
          <w:tcPr>
            <w:tcW w:w="1796" w:type="dxa"/>
            <w:tcBorders>
              <w:top w:val="single" w:sz="6"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股票期权数</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sz w:val="24"/>
                <w:szCs w:val="24"/>
              </w:rPr>
              <w:t>（万份）</w:t>
            </w:r>
            <w:r>
              <w:rPr>
                <w:rFonts w:ascii="宋体" w:hAnsi="宋体" w:cs="宋体" w:eastAsia="宋体" w:hint="default"/>
                <w:sz w:val="24"/>
                <w:szCs w:val="24"/>
              </w:rPr>
            </w:r>
          </w:p>
        </w:tc>
        <w:tc>
          <w:tcPr>
            <w:tcW w:w="1796" w:type="dxa"/>
            <w:tcBorders>
              <w:top w:val="single" w:sz="6"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b/>
                <w:bCs/>
                <w:sz w:val="24"/>
                <w:szCs w:val="24"/>
              </w:rPr>
              <w:t>占本次授予</w:t>
            </w:r>
            <w:r>
              <w:rPr>
                <w:rFonts w:ascii="宋体" w:hAnsi="宋体" w:cs="宋体" w:eastAsia="宋体" w:hint="default"/>
                <w:sz w:val="24"/>
                <w:szCs w:val="24"/>
              </w:rPr>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b/>
                <w:bCs/>
                <w:sz w:val="24"/>
                <w:szCs w:val="24"/>
              </w:rPr>
              <w:t>期权总额比例</w:t>
            </w:r>
            <w:r>
              <w:rPr>
                <w:rFonts w:ascii="宋体" w:hAnsi="宋体" w:cs="宋体" w:eastAsia="宋体" w:hint="default"/>
                <w:sz w:val="24"/>
                <w:szCs w:val="24"/>
              </w:rPr>
            </w:r>
          </w:p>
        </w:tc>
        <w:tc>
          <w:tcPr>
            <w:tcW w:w="1796"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290" w:right="0"/>
              <w:jc w:val="left"/>
              <w:rPr>
                <w:rFonts w:ascii="宋体" w:hAnsi="宋体" w:cs="宋体" w:eastAsia="宋体" w:hint="default"/>
                <w:sz w:val="24"/>
                <w:szCs w:val="24"/>
              </w:rPr>
            </w:pPr>
            <w:r>
              <w:rPr>
                <w:rFonts w:ascii="宋体" w:hAnsi="宋体" w:cs="宋体" w:eastAsia="宋体" w:hint="default"/>
                <w:b/>
                <w:bCs/>
                <w:sz w:val="24"/>
                <w:szCs w:val="24"/>
              </w:rPr>
              <w:t>占目前公司</w:t>
            </w:r>
            <w:r>
              <w:rPr>
                <w:rFonts w:ascii="宋体" w:hAnsi="宋体" w:cs="宋体" w:eastAsia="宋体" w:hint="default"/>
                <w:sz w:val="24"/>
                <w:szCs w:val="24"/>
              </w:rPr>
            </w:r>
          </w:p>
          <w:p>
            <w:pPr>
              <w:pStyle w:val="TableParagraph"/>
              <w:spacing w:line="313" w:lineRule="exact"/>
              <w:ind w:left="290" w:right="0"/>
              <w:jc w:val="left"/>
              <w:rPr>
                <w:rFonts w:ascii="宋体" w:hAnsi="宋体" w:cs="宋体" w:eastAsia="宋体" w:hint="default"/>
                <w:sz w:val="24"/>
                <w:szCs w:val="24"/>
              </w:rPr>
            </w:pPr>
            <w:r>
              <w:rPr>
                <w:rFonts w:ascii="宋体" w:hAnsi="宋体" w:cs="宋体" w:eastAsia="宋体" w:hint="default"/>
                <w:b/>
                <w:bCs/>
                <w:sz w:val="24"/>
                <w:szCs w:val="24"/>
              </w:rPr>
              <w:t>总股本比例</w:t>
            </w:r>
            <w:r>
              <w:rPr>
                <w:rFonts w:ascii="宋体" w:hAnsi="宋体" w:cs="宋体" w:eastAsia="宋体" w:hint="default"/>
                <w:sz w:val="24"/>
                <w:szCs w:val="24"/>
              </w:rPr>
            </w:r>
          </w:p>
        </w:tc>
      </w:tr>
      <w:tr>
        <w:trPr>
          <w:trHeight w:val="475"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吕波</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10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0.8519%</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0.0188%</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夏金崇</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8"/>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李建国</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杨健</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董事、董秘、财务总监</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0.0151%</w:t>
            </w:r>
          </w:p>
        </w:tc>
      </w:tr>
    </w:tbl>
    <w:p>
      <w:pPr>
        <w:spacing w:after="0" w:line="240" w:lineRule="auto"/>
        <w:jc w:val="right"/>
        <w:rPr>
          <w:rFonts w:ascii="Calibri" w:hAnsi="Calibri" w:cs="Calibri" w:eastAsia="Calibri" w:hint="default"/>
          <w:sz w:val="24"/>
          <w:szCs w:val="24"/>
        </w:rPr>
        <w:sectPr>
          <w:pgSz w:w="12240" w:h="15840"/>
          <w:pgMar w:header="847" w:footer="987" w:top="1360" w:bottom="1180" w:left="1420" w:right="0"/>
        </w:sectPr>
      </w:pP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188"/>
        <w:gridCol w:w="2595"/>
        <w:gridCol w:w="1796"/>
        <w:gridCol w:w="1796"/>
        <w:gridCol w:w="1796"/>
      </w:tblGrid>
      <w:tr>
        <w:trPr>
          <w:trHeight w:val="491" w:hRule="exact"/>
        </w:trPr>
        <w:tc>
          <w:tcPr>
            <w:tcW w:w="1188" w:type="dxa"/>
            <w:tcBorders>
              <w:top w:val="single" w:sz="6" w:space="0" w:color="000000"/>
              <w:left w:val="single" w:sz="6" w:space="0" w:color="000000"/>
              <w:bottom w:val="single" w:sz="4" w:space="0" w:color="000000"/>
              <w:right w:val="single" w:sz="4"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郑晓清</w:t>
            </w:r>
          </w:p>
        </w:tc>
        <w:tc>
          <w:tcPr>
            <w:tcW w:w="2595" w:type="dxa"/>
            <w:tcBorders>
              <w:top w:val="single" w:sz="6"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24"/>
                <w:szCs w:val="24"/>
              </w:rPr>
            </w:pPr>
            <w:r>
              <w:rPr>
                <w:rFonts w:ascii="Calibri"/>
                <w:sz w:val="24"/>
              </w:rPr>
              <w:t>6</w:t>
            </w:r>
          </w:p>
        </w:tc>
        <w:tc>
          <w:tcPr>
            <w:tcW w:w="17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Calibri" w:hAnsi="Calibri" w:cs="Calibri" w:eastAsia="Calibri" w:hint="default"/>
                <w:sz w:val="24"/>
                <w:szCs w:val="24"/>
              </w:rPr>
            </w:pPr>
            <w:r>
              <w:rPr>
                <w:rFonts w:ascii="Calibri"/>
                <w:sz w:val="24"/>
              </w:rPr>
              <w:t>0.5111%</w:t>
            </w:r>
          </w:p>
        </w:tc>
        <w:tc>
          <w:tcPr>
            <w:tcW w:w="179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7"/>
              <w:ind w:right="96"/>
              <w:jc w:val="right"/>
              <w:rPr>
                <w:rFonts w:ascii="Calibri" w:hAnsi="Calibri" w:cs="Calibri" w:eastAsia="Calibri" w:hint="default"/>
                <w:sz w:val="24"/>
                <w:szCs w:val="24"/>
              </w:rPr>
            </w:pPr>
            <w:r>
              <w:rPr>
                <w:rFonts w:ascii="Calibri"/>
                <w:sz w:val="24"/>
              </w:rPr>
              <w:t>0.0113%</w:t>
            </w:r>
          </w:p>
        </w:tc>
      </w:tr>
      <w:tr>
        <w:trPr>
          <w:trHeight w:val="475"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金伟</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黄杏国</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8"/>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林文平</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0.0151%</w:t>
            </w:r>
          </w:p>
        </w:tc>
      </w:tr>
      <w:tr>
        <w:trPr>
          <w:trHeight w:val="475"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刘志华</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高书敬</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24"/>
                <w:szCs w:val="24"/>
              </w:rPr>
            </w:pPr>
            <w:r>
              <w:rPr>
                <w:rFonts w:ascii="Calibri"/>
                <w:sz w:val="24"/>
              </w:rPr>
              <w:t>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Calibri" w:hAnsi="Calibri" w:cs="Calibri" w:eastAsia="Calibri" w:hint="default"/>
                <w:sz w:val="24"/>
                <w:szCs w:val="24"/>
              </w:rPr>
            </w:pPr>
            <w:r>
              <w:rPr>
                <w:rFonts w:ascii="Calibri"/>
                <w:sz w:val="24"/>
              </w:rPr>
              <w:t>0.6815%</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8"/>
              <w:ind w:right="96"/>
              <w:jc w:val="right"/>
              <w:rPr>
                <w:rFonts w:ascii="Calibri" w:hAnsi="Calibri" w:cs="Calibri" w:eastAsia="Calibri" w:hint="default"/>
                <w:sz w:val="24"/>
                <w:szCs w:val="24"/>
              </w:rPr>
            </w:pPr>
            <w:r>
              <w:rPr>
                <w:rFonts w:ascii="Calibri"/>
                <w:sz w:val="24"/>
              </w:rPr>
              <w:t>0.0151%</w:t>
            </w:r>
          </w:p>
        </w:tc>
      </w:tr>
      <w:tr>
        <w:trPr>
          <w:trHeight w:val="478" w:hRule="exact"/>
        </w:trPr>
        <w:tc>
          <w:tcPr>
            <w:tcW w:w="1188" w:type="dxa"/>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李强</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24"/>
                <w:szCs w:val="24"/>
              </w:rPr>
            </w:pPr>
            <w:r>
              <w:rPr>
                <w:rFonts w:ascii="Calibri"/>
                <w:sz w:val="24"/>
              </w:rPr>
              <w:t>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Calibri" w:hAnsi="Calibri" w:cs="Calibri" w:eastAsia="Calibri" w:hint="default"/>
                <w:sz w:val="24"/>
                <w:szCs w:val="24"/>
              </w:rPr>
            </w:pPr>
            <w:r>
              <w:rPr>
                <w:rFonts w:ascii="Calibri"/>
                <w:sz w:val="24"/>
              </w:rPr>
              <w:t>0.7667%</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8"/>
              <w:ind w:right="96"/>
              <w:jc w:val="right"/>
              <w:rPr>
                <w:rFonts w:ascii="Calibri" w:hAnsi="Calibri" w:cs="Calibri" w:eastAsia="Calibri" w:hint="default"/>
                <w:sz w:val="24"/>
                <w:szCs w:val="24"/>
              </w:rPr>
            </w:pPr>
            <w:r>
              <w:rPr>
                <w:rFonts w:ascii="Calibri"/>
                <w:sz w:val="24"/>
              </w:rPr>
              <w:t>0.0170%</w:t>
            </w:r>
          </w:p>
        </w:tc>
      </w:tr>
      <w:tr>
        <w:trPr>
          <w:trHeight w:val="476" w:hRule="exact"/>
        </w:trPr>
        <w:tc>
          <w:tcPr>
            <w:tcW w:w="3783" w:type="dxa"/>
            <w:gridSpan w:val="2"/>
            <w:tcBorders>
              <w:top w:val="single" w:sz="4"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核心员工（共</w:t>
            </w:r>
            <w:r>
              <w:rPr>
                <w:rFonts w:ascii="宋体" w:hAnsi="宋体" w:cs="宋体" w:eastAsia="宋体" w:hint="default"/>
                <w:spacing w:val="-61"/>
                <w:sz w:val="24"/>
                <w:szCs w:val="24"/>
              </w:rPr>
              <w:t> </w:t>
            </w:r>
            <w:r>
              <w:rPr>
                <w:rFonts w:ascii="宋体" w:hAnsi="宋体" w:cs="宋体" w:eastAsia="宋体" w:hint="default"/>
                <w:sz w:val="24"/>
                <w:szCs w:val="24"/>
              </w:rPr>
              <w:t>350</w:t>
            </w:r>
            <w:r>
              <w:rPr>
                <w:rFonts w:ascii="宋体" w:hAnsi="宋体" w:cs="宋体" w:eastAsia="宋体" w:hint="default"/>
                <w:spacing w:val="-61"/>
                <w:sz w:val="24"/>
                <w:szCs w:val="24"/>
              </w:rPr>
              <w:t> </w:t>
            </w:r>
            <w:r>
              <w:rPr>
                <w:rFonts w:ascii="宋体" w:hAnsi="宋体" w:cs="宋体" w:eastAsia="宋体" w:hint="default"/>
                <w:sz w:val="24"/>
                <w:szCs w:val="24"/>
              </w:rPr>
              <w:t>人）</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Calibri" w:hAnsi="Calibri" w:cs="Calibri" w:eastAsia="Calibri" w:hint="default"/>
                <w:sz w:val="24"/>
                <w:szCs w:val="24"/>
              </w:rPr>
            </w:pPr>
            <w:r>
              <w:rPr>
                <w:rFonts w:ascii="Calibri"/>
                <w:sz w:val="24"/>
              </w:rPr>
              <w:t>1084.9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Calibri" w:hAnsi="Calibri" w:cs="Calibri" w:eastAsia="Calibri" w:hint="default"/>
                <w:sz w:val="24"/>
                <w:szCs w:val="24"/>
              </w:rPr>
            </w:pPr>
            <w:r>
              <w:rPr>
                <w:rFonts w:ascii="Calibri"/>
                <w:spacing w:val="-1"/>
                <w:sz w:val="24"/>
              </w:rPr>
              <w:t>92.4184%</w:t>
            </w:r>
          </w:p>
        </w:tc>
        <w:tc>
          <w:tcPr>
            <w:tcW w:w="179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6"/>
              <w:ind w:right="96"/>
              <w:jc w:val="right"/>
              <w:rPr>
                <w:rFonts w:ascii="Calibri" w:hAnsi="Calibri" w:cs="Calibri" w:eastAsia="Calibri" w:hint="default"/>
                <w:sz w:val="24"/>
                <w:szCs w:val="24"/>
              </w:rPr>
            </w:pPr>
            <w:r>
              <w:rPr>
                <w:rFonts w:ascii="Calibri"/>
                <w:sz w:val="24"/>
              </w:rPr>
              <w:t>2.0441%</w:t>
            </w:r>
          </w:p>
        </w:tc>
      </w:tr>
      <w:tr>
        <w:trPr>
          <w:trHeight w:val="480" w:hRule="exact"/>
        </w:trPr>
        <w:tc>
          <w:tcPr>
            <w:tcW w:w="3783" w:type="dxa"/>
            <w:gridSpan w:val="2"/>
            <w:tcBorders>
              <w:top w:val="single" w:sz="4" w:space="0" w:color="000000"/>
              <w:left w:val="single" w:sz="6" w:space="0" w:color="000000"/>
              <w:bottom w:val="single" w:sz="6"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9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8"/>
              <w:ind w:right="1"/>
              <w:jc w:val="center"/>
              <w:rPr>
                <w:rFonts w:ascii="Calibri" w:hAnsi="Calibri" w:cs="Calibri" w:eastAsia="Calibri" w:hint="default"/>
                <w:sz w:val="24"/>
                <w:szCs w:val="24"/>
              </w:rPr>
            </w:pPr>
            <w:r>
              <w:rPr>
                <w:rFonts w:ascii="Calibri"/>
                <w:sz w:val="24"/>
              </w:rPr>
              <w:t>1173.9</w:t>
            </w:r>
          </w:p>
        </w:tc>
        <w:tc>
          <w:tcPr>
            <w:tcW w:w="179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Calibri" w:hAnsi="Calibri" w:cs="Calibri" w:eastAsia="Calibri" w:hint="default"/>
                <w:sz w:val="24"/>
                <w:szCs w:val="24"/>
              </w:rPr>
            </w:pPr>
            <w:r>
              <w:rPr>
                <w:rFonts w:ascii="Calibri"/>
                <w:sz w:val="24"/>
              </w:rPr>
              <w:t>100.0000%</w:t>
            </w:r>
          </w:p>
        </w:tc>
        <w:tc>
          <w:tcPr>
            <w:tcW w:w="179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8"/>
              <w:ind w:right="96"/>
              <w:jc w:val="right"/>
              <w:rPr>
                <w:rFonts w:ascii="Calibri" w:hAnsi="Calibri" w:cs="Calibri" w:eastAsia="Calibri" w:hint="default"/>
                <w:sz w:val="24"/>
                <w:szCs w:val="24"/>
              </w:rPr>
            </w:pPr>
            <w:r>
              <w:rPr>
                <w:rFonts w:ascii="Calibri"/>
                <w:sz w:val="24"/>
              </w:rPr>
              <w:t>2.2118%</w:t>
            </w:r>
          </w:p>
        </w:tc>
      </w:tr>
    </w:tbl>
    <w:p>
      <w:pPr>
        <w:spacing w:line="240" w:lineRule="auto" w:before="1"/>
        <w:rPr>
          <w:rFonts w:ascii="宋体" w:hAnsi="宋体" w:cs="宋体" w:eastAsia="宋体" w:hint="default"/>
          <w:sz w:val="18"/>
          <w:szCs w:val="18"/>
        </w:rPr>
      </w:pPr>
    </w:p>
    <w:p>
      <w:pPr>
        <w:pStyle w:val="Heading3"/>
        <w:spacing w:line="240" w:lineRule="auto" w:before="19"/>
        <w:ind w:left="224" w:right="1575"/>
        <w:jc w:val="left"/>
        <w:rPr>
          <w:b w:val="0"/>
          <w:bCs w:val="0"/>
        </w:rPr>
      </w:pPr>
      <w:r>
        <w:rPr/>
        <w:t>（四）股权激励计划对公司发展的影响</w:t>
      </w:r>
      <w:r>
        <w:rPr>
          <w:b w:val="0"/>
          <w:bCs w:val="0"/>
        </w:rPr>
      </w:r>
    </w:p>
    <w:p>
      <w:pPr>
        <w:pStyle w:val="BodyText"/>
        <w:spacing w:line="338" w:lineRule="auto" w:before="124"/>
        <w:ind w:left="224" w:right="1575" w:firstLine="479"/>
        <w:jc w:val="left"/>
      </w:pPr>
      <w:r>
        <w:rPr>
          <w:rFonts w:ascii="Times New Roman" w:hAnsi="Times New Roman" w:cs="Times New Roman" w:eastAsia="Times New Roman" w:hint="default"/>
          <w:spacing w:val="-2"/>
        </w:rPr>
        <w:t>1</w:t>
      </w:r>
      <w:r>
        <w:rPr>
          <w:spacing w:val="-2"/>
        </w:rPr>
        <w:t>、通过股票期权激励计划，实现股东、公司和激励对象利益的一致，维护股东权</w:t>
      </w:r>
      <w:r>
        <w:rPr/>
        <w:t> 益，为股东带来更高效、更持续的回报；</w:t>
      </w:r>
    </w:p>
    <w:p>
      <w:pPr>
        <w:pStyle w:val="BodyText"/>
        <w:spacing w:line="240" w:lineRule="auto" w:before="53"/>
        <w:ind w:left="704" w:right="1575"/>
        <w:jc w:val="left"/>
      </w:pPr>
      <w:r>
        <w:rPr>
          <w:rFonts w:ascii="Times New Roman" w:hAnsi="Times New Roman" w:cs="Times New Roman" w:eastAsia="Times New Roman" w:hint="default"/>
        </w:rPr>
        <w:t>2</w:t>
      </w:r>
      <w:r>
        <w:rPr/>
        <w:t>、进一步完善公司法人治理结构，建立健全公司长期、有效的激励约束机制；</w:t>
      </w:r>
    </w:p>
    <w:p>
      <w:pPr>
        <w:pStyle w:val="BodyText"/>
        <w:spacing w:line="348" w:lineRule="auto" w:before="135"/>
        <w:ind w:left="224" w:right="1641" w:firstLine="479"/>
        <w:jc w:val="both"/>
      </w:pPr>
      <w:r>
        <w:rPr>
          <w:rFonts w:ascii="Times New Roman" w:hAnsi="Times New Roman" w:cs="Times New Roman" w:eastAsia="Times New Roman" w:hint="default"/>
          <w:spacing w:val="-2"/>
        </w:rPr>
        <w:t>3</w:t>
      </w:r>
      <w:r>
        <w:rPr>
          <w:spacing w:val="-2"/>
        </w:rPr>
        <w:t>、充分调度公司董事、高级管理人员及核心业务（技术）骨干人员的主动性、积</w:t>
      </w:r>
      <w:r>
        <w:rPr/>
        <w:t> 极性和创造性，增强公司管理团队和业务骨干对实现公司持续、健康发展的责任感和 使命感；</w:t>
      </w:r>
    </w:p>
    <w:p>
      <w:pPr>
        <w:pStyle w:val="BodyText"/>
        <w:spacing w:line="240" w:lineRule="auto" w:before="43"/>
        <w:ind w:left="704" w:right="1575"/>
        <w:jc w:val="left"/>
      </w:pPr>
      <w:r>
        <w:rPr>
          <w:rFonts w:ascii="Times New Roman" w:hAnsi="Times New Roman" w:cs="Times New Roman" w:eastAsia="Times New Roman" w:hint="default"/>
        </w:rPr>
        <w:t>4</w:t>
      </w:r>
      <w:r>
        <w:rPr/>
        <w:t>、平衡公司的短期目标与长期目标，促进公司持续、健康、高速的长远发展；</w:t>
      </w:r>
    </w:p>
    <w:p>
      <w:pPr>
        <w:pStyle w:val="BodyText"/>
        <w:spacing w:line="336" w:lineRule="auto" w:before="135"/>
        <w:ind w:left="224" w:right="1575" w:firstLine="479"/>
        <w:jc w:val="left"/>
      </w:pPr>
      <w:r>
        <w:rPr>
          <w:rFonts w:ascii="Times New Roman" w:hAnsi="Times New Roman" w:cs="Times New Roman" w:eastAsia="Times New Roman" w:hint="default"/>
          <w:spacing w:val="-2"/>
        </w:rPr>
        <w:t>5</w:t>
      </w:r>
      <w:r>
        <w:rPr>
          <w:spacing w:val="-2"/>
        </w:rPr>
        <w:t>、提升公司凝聚力，并为保留和引进优秀的管理人才和业务骨干提供了一个良好</w:t>
      </w:r>
      <w:r>
        <w:rPr/>
        <w:t> 的激励平台。</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pStyle w:val="Heading2"/>
        <w:spacing w:line="240" w:lineRule="auto"/>
        <w:ind w:left="224" w:right="1575"/>
        <w:jc w:val="left"/>
        <w:rPr>
          <w:b w:val="0"/>
          <w:bCs w:val="0"/>
        </w:rPr>
      </w:pPr>
      <w:r>
        <w:rPr/>
        <w:t>七、公司重大关联交易事项</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224" w:right="1575"/>
        <w:jc w:val="left"/>
        <w:rPr>
          <w:b w:val="0"/>
          <w:bCs w:val="0"/>
        </w:rPr>
      </w:pPr>
      <w:r>
        <w:rPr/>
        <w:t>（一</w:t>
      </w:r>
      <w:r>
        <w:rPr>
          <w:spacing w:val="-3"/>
        </w:rPr>
        <w:t> </w:t>
      </w:r>
      <w:r>
        <w:rPr/>
        <w:t>）与日常经营相关的关联交易</w:t>
      </w:r>
      <w:r>
        <w:rPr>
          <w:b w:val="0"/>
          <w:bCs w:val="0"/>
        </w:rPr>
      </w:r>
    </w:p>
    <w:p>
      <w:pPr>
        <w:pStyle w:val="BodyText"/>
        <w:spacing w:line="240" w:lineRule="auto" w:before="122"/>
        <w:ind w:left="704" w:right="1575"/>
        <w:jc w:val="left"/>
      </w:pPr>
      <w:r>
        <w:rPr/>
        <w:t>报告期内，公司未发生与日常经营相关的关联交易。</w:t>
      </w:r>
    </w:p>
    <w:p>
      <w:pPr>
        <w:spacing w:line="240" w:lineRule="auto" w:before="5"/>
        <w:rPr>
          <w:rFonts w:ascii="宋体" w:hAnsi="宋体" w:cs="宋体" w:eastAsia="宋体" w:hint="default"/>
          <w:sz w:val="34"/>
          <w:szCs w:val="34"/>
        </w:rPr>
      </w:pPr>
    </w:p>
    <w:p>
      <w:pPr>
        <w:pStyle w:val="Heading3"/>
        <w:spacing w:line="240" w:lineRule="auto"/>
        <w:ind w:left="224" w:right="1575"/>
        <w:jc w:val="left"/>
        <w:rPr>
          <w:b w:val="0"/>
          <w:bCs w:val="0"/>
        </w:rPr>
      </w:pPr>
      <w:r>
        <w:rPr/>
        <w:t>（二）资产收购、出售发生的关联交易</w:t>
      </w:r>
      <w:r>
        <w:rPr>
          <w:b w:val="0"/>
          <w:bCs w:val="0"/>
        </w:rPr>
      </w:r>
    </w:p>
    <w:p>
      <w:pPr>
        <w:pStyle w:val="BodyText"/>
        <w:spacing w:line="240" w:lineRule="auto" w:before="122"/>
        <w:ind w:left="704" w:right="1575"/>
        <w:jc w:val="left"/>
      </w:pPr>
      <w:r>
        <w:rPr/>
        <w:t>报告期内，公司未发生资产收购、出售相关的关联交易。</w:t>
      </w:r>
    </w:p>
    <w:p>
      <w:pPr>
        <w:spacing w:after="0" w:line="240" w:lineRule="auto"/>
        <w:jc w:val="left"/>
        <w:sectPr>
          <w:pgSz w:w="12240" w:h="15840"/>
          <w:pgMar w:header="847" w:footer="987" w:top="1360" w:bottom="1180" w:left="1420" w:right="0"/>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3"/>
        <w:spacing w:line="240" w:lineRule="auto" w:before="17"/>
        <w:ind w:right="1697"/>
        <w:jc w:val="left"/>
        <w:rPr>
          <w:b w:val="0"/>
          <w:bCs w:val="0"/>
        </w:rPr>
      </w:pPr>
      <w:r>
        <w:rPr/>
        <w:t>（三）公司与关联方共同对外投资发生的关联交易</w:t>
      </w:r>
      <w:r>
        <w:rPr>
          <w:b w:val="0"/>
          <w:bCs w:val="0"/>
        </w:rPr>
      </w:r>
    </w:p>
    <w:p>
      <w:pPr>
        <w:pStyle w:val="BodyText"/>
        <w:spacing w:line="240" w:lineRule="auto" w:before="122"/>
        <w:ind w:left="624" w:right="1697"/>
        <w:jc w:val="left"/>
      </w:pPr>
      <w:r>
        <w:rPr/>
        <w:t>报告期内，公司未发生与关联方共同对外投资的关联交易。</w:t>
      </w:r>
    </w:p>
    <w:p>
      <w:pPr>
        <w:spacing w:line="240" w:lineRule="auto" w:before="5"/>
        <w:rPr>
          <w:rFonts w:ascii="宋体" w:hAnsi="宋体" w:cs="宋体" w:eastAsia="宋体" w:hint="default"/>
          <w:sz w:val="34"/>
          <w:szCs w:val="34"/>
        </w:rPr>
      </w:pPr>
    </w:p>
    <w:p>
      <w:pPr>
        <w:pStyle w:val="Heading3"/>
        <w:spacing w:line="240" w:lineRule="auto"/>
        <w:ind w:right="1697"/>
        <w:jc w:val="left"/>
        <w:rPr>
          <w:b w:val="0"/>
          <w:bCs w:val="0"/>
        </w:rPr>
      </w:pPr>
      <w:r>
        <w:rPr/>
        <w:t>（四）关联债权债务往来</w:t>
      </w:r>
      <w:r>
        <w:rPr>
          <w:b w:val="0"/>
          <w:bCs w:val="0"/>
        </w:rPr>
      </w:r>
    </w:p>
    <w:p>
      <w:pPr>
        <w:pStyle w:val="BodyText"/>
        <w:spacing w:line="240" w:lineRule="auto" w:before="124"/>
        <w:ind w:left="624" w:right="1697"/>
        <w:jc w:val="left"/>
      </w:pPr>
      <w:r>
        <w:rPr/>
        <w:t>报告期内，不存在控股股东及其他关联方非正常占用公司资金的情况。</w:t>
      </w:r>
    </w:p>
    <w:p>
      <w:pPr>
        <w:spacing w:line="240" w:lineRule="auto" w:before="10"/>
        <w:rPr>
          <w:rFonts w:ascii="宋体" w:hAnsi="宋体" w:cs="宋体" w:eastAsia="宋体" w:hint="default"/>
          <w:sz w:val="20"/>
          <w:szCs w:val="20"/>
        </w:rPr>
      </w:pPr>
    </w:p>
    <w:p>
      <w:pPr>
        <w:pStyle w:val="BodyText"/>
        <w:spacing w:line="340" w:lineRule="auto"/>
        <w:ind w:right="1637" w:firstLine="479"/>
        <w:jc w:val="both"/>
      </w:pPr>
      <w:r>
        <w:rPr/>
        <w:t>北京兴华会计师事务所有限责任公司出具了</w:t>
      </w:r>
      <w:r>
        <w:rPr>
          <w:rFonts w:ascii="Calibri" w:hAnsi="Calibri" w:cs="Calibri" w:eastAsia="Calibri" w:hint="default"/>
        </w:rPr>
        <w:t>[2012]</w:t>
      </w:r>
      <w:r>
        <w:rPr/>
        <w:t>京会兴核字第 </w:t>
      </w:r>
      <w:r>
        <w:rPr>
          <w:rFonts w:ascii="Calibri" w:hAnsi="Calibri" w:cs="Calibri" w:eastAsia="Calibri" w:hint="default"/>
        </w:rPr>
        <w:t>03011675</w:t>
      </w:r>
      <w:r>
        <w:rPr>
          <w:rFonts w:ascii="Calibri" w:hAnsi="Calibri" w:cs="Calibri" w:eastAsia="Calibri" w:hint="default"/>
          <w:spacing w:val="-29"/>
        </w:rPr>
        <w:t> </w:t>
      </w:r>
      <w:r>
        <w:rPr/>
        <w:t>号《关 于东华软件公司控股股东及其他关联方占用资金情况的专项说明》，全文见巨潮资讯</w:t>
      </w:r>
      <w:r>
        <w:rPr>
          <w:spacing w:val="-59"/>
        </w:rPr>
        <w:t> </w:t>
      </w:r>
      <w:r>
        <w:rPr>
          <w:spacing w:val="-59"/>
        </w:rPr>
      </w:r>
      <w:r>
        <w:rPr/>
        <w:t>网（</w:t>
      </w:r>
      <w:hyperlink r:id="rId17">
        <w:r>
          <w:rPr>
            <w:rFonts w:ascii="Calibri" w:hAnsi="Calibri" w:cs="Calibri" w:eastAsia="Calibri" w:hint="default"/>
          </w:rPr>
          <w:t>www.cninfo.com.cn</w:t>
        </w:r>
      </w:hyperlink>
      <w:r>
        <w:rPr/>
        <w:t>）。</w:t>
      </w:r>
    </w:p>
    <w:p>
      <w:pPr>
        <w:pStyle w:val="BodyText"/>
        <w:spacing w:line="446" w:lineRule="auto"/>
        <w:ind w:left="624" w:right="3856"/>
        <w:jc w:val="left"/>
      </w:pPr>
      <w:r>
        <w:rPr/>
        <w:t>公司独立董事就公司关联方资金占用事项发表了独立意见。 报告期内关联往来详见下表。</w:t>
      </w:r>
    </w:p>
    <w:p>
      <w:pPr>
        <w:spacing w:after="0" w:line="446" w:lineRule="auto"/>
        <w:jc w:val="left"/>
        <w:sectPr>
          <w:pgSz w:w="12240" w:h="15840"/>
          <w:pgMar w:header="847" w:footer="987" w:top="1360" w:bottom="1180" w:left="1500" w:right="0"/>
        </w:sectPr>
      </w:pPr>
    </w:p>
    <w:p>
      <w:pPr>
        <w:spacing w:line="240" w:lineRule="auto" w:before="5"/>
        <w:rPr>
          <w:rFonts w:ascii="宋体" w:hAnsi="宋体" w:cs="宋体" w:eastAsia="宋体" w:hint="default"/>
          <w:sz w:val="16"/>
          <w:szCs w:val="16"/>
        </w:rPr>
      </w:pPr>
    </w:p>
    <w:p>
      <w:pPr>
        <w:pStyle w:val="Heading4"/>
        <w:spacing w:line="240" w:lineRule="auto" w:before="26"/>
        <w:ind w:left="3686" w:right="4088"/>
        <w:jc w:val="center"/>
        <w:rPr>
          <w:rFonts w:ascii="宋体" w:hAnsi="宋体" w:cs="宋体" w:eastAsia="宋体" w:hint="default"/>
          <w:b w:val="0"/>
          <w:bCs w:val="0"/>
        </w:rPr>
      </w:pPr>
      <w:r>
        <w:rPr>
          <w:rFonts w:ascii="宋体" w:hAnsi="宋体" w:cs="宋体" w:eastAsia="宋体" w:hint="default"/>
        </w:rPr>
        <w:t>东华软件股份公司</w:t>
      </w:r>
      <w:r>
        <w:rPr>
          <w:rFonts w:ascii="宋体" w:hAnsi="宋体" w:cs="宋体" w:eastAsia="宋体" w:hint="default"/>
          <w:spacing w:val="-63"/>
        </w:rPr>
        <w:t> </w:t>
      </w:r>
      <w:r>
        <w:rPr>
          <w:rFonts w:ascii="宋体" w:hAnsi="宋体" w:cs="宋体" w:eastAsia="宋体" w:hint="default"/>
        </w:rPr>
        <w:t>2011</w:t>
      </w:r>
      <w:r>
        <w:rPr>
          <w:rFonts w:ascii="宋体" w:hAnsi="宋体" w:cs="宋体" w:eastAsia="宋体" w:hint="default"/>
          <w:spacing w:val="-64"/>
        </w:rPr>
        <w:t> </w:t>
      </w:r>
      <w:r>
        <w:rPr>
          <w:rFonts w:ascii="宋体" w:hAnsi="宋体" w:cs="宋体" w:eastAsia="宋体" w:hint="default"/>
        </w:rPr>
        <w:t>年度控股股东及其他关联方占用资金情况汇总表</w:t>
      </w:r>
      <w:r>
        <w:rPr>
          <w:rFonts w:ascii="宋体" w:hAnsi="宋体" w:cs="宋体" w:eastAsia="宋体" w:hint="default"/>
          <w:b w:val="0"/>
          <w:bCs w:val="0"/>
        </w:rPr>
      </w:r>
    </w:p>
    <w:p>
      <w:pPr>
        <w:tabs>
          <w:tab w:pos="13895" w:val="left" w:leader="none"/>
        </w:tabs>
        <w:spacing w:line="293" w:lineRule="exact" w:before="73"/>
        <w:ind w:left="0" w:right="632" w:firstLine="0"/>
        <w:jc w:val="right"/>
        <w:rPr>
          <w:rFonts w:ascii="宋体" w:hAnsi="宋体" w:cs="宋体" w:eastAsia="宋体" w:hint="default"/>
          <w:sz w:val="18"/>
          <w:szCs w:val="18"/>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：东</w:t>
      </w:r>
      <w:r>
        <w:rPr>
          <w:rFonts w:ascii="宋体" w:hAnsi="宋体" w:cs="宋体" w:eastAsia="宋体" w:hint="default"/>
          <w:spacing w:val="2"/>
          <w:w w:val="99"/>
          <w:sz w:val="20"/>
          <w:szCs w:val="20"/>
        </w:rPr>
        <w:t>华</w:t>
      </w:r>
      <w:r>
        <w:rPr>
          <w:rFonts w:ascii="宋体" w:hAnsi="宋体" w:cs="宋体" w:eastAsia="宋体" w:hint="default"/>
          <w:w w:val="99"/>
          <w:sz w:val="20"/>
          <w:szCs w:val="20"/>
        </w:rPr>
        <w:t>软件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position w:val="12"/>
          <w:sz w:val="18"/>
          <w:szCs w:val="18"/>
        </w:rPr>
        <w:t>单位</w:t>
      </w:r>
      <w:r>
        <w:rPr>
          <w:rFonts w:ascii="宋体" w:hAnsi="宋体" w:cs="宋体" w:eastAsia="宋体" w:hint="default"/>
          <w:spacing w:val="-85"/>
          <w:position w:val="12"/>
          <w:sz w:val="18"/>
          <w:szCs w:val="18"/>
        </w:rPr>
        <w:t>：</w:t>
      </w:r>
      <w:r>
        <w:rPr>
          <w:rFonts w:ascii="宋体" w:hAnsi="宋体" w:cs="宋体" w:eastAsia="宋体" w:hint="default"/>
          <w:position w:val="12"/>
          <w:sz w:val="18"/>
          <w:szCs w:val="18"/>
        </w:rPr>
        <w:t>人</w:t>
      </w:r>
      <w:r>
        <w:rPr>
          <w:rFonts w:ascii="宋体" w:hAnsi="宋体" w:cs="宋体" w:eastAsia="宋体" w:hint="default"/>
          <w:sz w:val="18"/>
          <w:szCs w:val="18"/>
        </w:rPr>
      </w:r>
    </w:p>
    <w:p>
      <w:pPr>
        <w:spacing w:line="170" w:lineRule="exact" w:before="0"/>
        <w:ind w:left="0" w:right="729" w:firstLine="0"/>
        <w:jc w:val="right"/>
        <w:rPr>
          <w:rFonts w:ascii="宋体" w:hAnsi="宋体" w:cs="宋体" w:eastAsia="宋体" w:hint="default"/>
          <w:sz w:val="18"/>
          <w:szCs w:val="18"/>
        </w:rPr>
      </w:pPr>
      <w:r>
        <w:rPr>
          <w:rFonts w:ascii="宋体" w:hAnsi="宋体" w:cs="宋体" w:eastAsia="宋体" w:hint="default"/>
          <w:sz w:val="18"/>
          <w:szCs w:val="18"/>
        </w:rPr>
        <w:t>民币元</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36"/>
        <w:gridCol w:w="2412"/>
        <w:gridCol w:w="1133"/>
        <w:gridCol w:w="1274"/>
        <w:gridCol w:w="1560"/>
        <w:gridCol w:w="1702"/>
        <w:gridCol w:w="708"/>
        <w:gridCol w:w="1702"/>
        <w:gridCol w:w="1560"/>
        <w:gridCol w:w="708"/>
        <w:gridCol w:w="850"/>
      </w:tblGrid>
      <w:tr>
        <w:trPr>
          <w:trHeight w:val="1414" w:hRule="exact"/>
        </w:trPr>
        <w:tc>
          <w:tcPr>
            <w:tcW w:w="113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5" w:right="111" w:hanging="180"/>
              <w:jc w:val="left"/>
              <w:rPr>
                <w:rFonts w:ascii="宋体" w:hAnsi="宋体" w:cs="宋体" w:eastAsia="宋体" w:hint="default"/>
                <w:sz w:val="18"/>
                <w:szCs w:val="18"/>
              </w:rPr>
            </w:pPr>
            <w:r>
              <w:rPr>
                <w:rFonts w:ascii="宋体" w:hAnsi="宋体" w:cs="宋体" w:eastAsia="宋体" w:hint="default"/>
                <w:b/>
                <w:bCs/>
                <w:sz w:val="18"/>
                <w:szCs w:val="18"/>
              </w:rPr>
              <w:t>非经营性资</w:t>
            </w:r>
            <w:r>
              <w:rPr>
                <w:rFonts w:ascii="宋体" w:hAnsi="宋体" w:cs="宋体" w:eastAsia="宋体" w:hint="default"/>
                <w:b/>
                <w:bCs/>
                <w:w w:val="99"/>
                <w:sz w:val="18"/>
                <w:szCs w:val="18"/>
              </w:rPr>
              <w:t> </w:t>
            </w:r>
            <w:r>
              <w:rPr>
                <w:rFonts w:ascii="宋体" w:hAnsi="宋体" w:cs="宋体" w:eastAsia="宋体" w:hint="default"/>
                <w:b/>
                <w:bCs/>
                <w:sz w:val="18"/>
                <w:szCs w:val="18"/>
              </w:rPr>
              <w:t>金占用</w:t>
            </w:r>
            <w:r>
              <w:rPr>
                <w:rFonts w:ascii="宋体" w:hAnsi="宋体" w:cs="宋体" w:eastAsia="宋体" w:hint="default"/>
                <w:sz w:val="18"/>
                <w:szCs w:val="18"/>
              </w:rPr>
            </w:r>
          </w:p>
        </w:tc>
        <w:tc>
          <w:tcPr>
            <w:tcW w:w="24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8" w:right="113"/>
              <w:jc w:val="center"/>
              <w:rPr>
                <w:rFonts w:ascii="宋体" w:hAnsi="宋体" w:cs="宋体" w:eastAsia="宋体" w:hint="default"/>
                <w:sz w:val="18"/>
                <w:szCs w:val="18"/>
              </w:rPr>
            </w:pPr>
            <w:r>
              <w:rPr>
                <w:rFonts w:ascii="宋体" w:hAnsi="宋体" w:cs="宋体" w:eastAsia="宋体" w:hint="default"/>
                <w:sz w:val="18"/>
                <w:szCs w:val="18"/>
              </w:rPr>
              <w:t>占用方与上 市公司的关 联关系</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82" w:right="180"/>
              <w:jc w:val="center"/>
              <w:rPr>
                <w:rFonts w:ascii="宋体" w:hAnsi="宋体" w:cs="宋体" w:eastAsia="宋体" w:hint="default"/>
                <w:sz w:val="18"/>
                <w:szCs w:val="18"/>
              </w:rPr>
            </w:pPr>
            <w:r>
              <w:rPr>
                <w:rFonts w:ascii="宋体" w:hAnsi="宋体" w:cs="宋体" w:eastAsia="宋体" w:hint="default"/>
                <w:sz w:val="18"/>
                <w:szCs w:val="18"/>
              </w:rPr>
              <w:t>上市公司核 算的会计科 目</w:t>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119" w:hanging="29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年期初占用 资金余额</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9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年度占用累计 发生金额</w:t>
            </w:r>
          </w:p>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（不含利息）</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sz w:val="18"/>
              </w:rPr>
              <w:t>2011</w:t>
            </w: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年度 占用 资金 的利 息</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4" w:right="99" w:hanging="382"/>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年度偿还累计 发生金额</w:t>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119" w:hanging="29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年期末占用 资金余额</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占用 形成 原因</w:t>
            </w:r>
          </w:p>
        </w:tc>
        <w:tc>
          <w:tcPr>
            <w:tcW w:w="85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1" w:right="142" w:hanging="180"/>
              <w:jc w:val="left"/>
              <w:rPr>
                <w:rFonts w:ascii="宋体" w:hAnsi="宋体" w:cs="宋体" w:eastAsia="宋体" w:hint="default"/>
                <w:sz w:val="18"/>
                <w:szCs w:val="18"/>
              </w:rPr>
            </w:pPr>
            <w:r>
              <w:rPr>
                <w:rFonts w:ascii="宋体" w:hAnsi="宋体" w:cs="宋体" w:eastAsia="宋体" w:hint="default"/>
                <w:sz w:val="18"/>
                <w:szCs w:val="18"/>
              </w:rPr>
              <w:t>占用性 质</w:t>
            </w:r>
          </w:p>
        </w:tc>
      </w:tr>
      <w:tr>
        <w:trPr>
          <w:trHeight w:val="478" w:hRule="exact"/>
        </w:trPr>
        <w:tc>
          <w:tcPr>
            <w:tcW w:w="1136" w:type="dxa"/>
            <w:tcBorders>
              <w:top w:val="single" w:sz="4" w:space="0" w:color="000000"/>
              <w:left w:val="single" w:sz="8"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现大股东及</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其附属企业</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-3,180,000.00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310" w:hRule="exact"/>
        </w:trPr>
        <w:tc>
          <w:tcPr>
            <w:tcW w:w="1136" w:type="dxa"/>
            <w:tcBorders>
              <w:top w:val="single" w:sz="4" w:space="0" w:color="000000"/>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tcBorders>
              <w:top w:val="single" w:sz="4" w:space="0" w:color="000000"/>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前大股东及</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其附属企业</w:t>
            </w: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tcBorders>
              <w:top w:val="single" w:sz="4" w:space="0" w:color="000000"/>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tcBorders>
              <w:top w:val="single" w:sz="4" w:space="0" w:color="000000"/>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tcBorders>
              <w:top w:val="single" w:sz="4" w:space="0" w:color="000000"/>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1411" w:hRule="exact"/>
        </w:trPr>
        <w:tc>
          <w:tcPr>
            <w:tcW w:w="11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5" w:right="111" w:hanging="180"/>
              <w:jc w:val="left"/>
              <w:rPr>
                <w:rFonts w:ascii="宋体" w:hAnsi="宋体" w:cs="宋体" w:eastAsia="宋体" w:hint="default"/>
                <w:sz w:val="18"/>
                <w:szCs w:val="18"/>
              </w:rPr>
            </w:pPr>
            <w:r>
              <w:rPr>
                <w:rFonts w:ascii="宋体" w:hAnsi="宋体" w:cs="宋体" w:eastAsia="宋体" w:hint="default"/>
                <w:b/>
                <w:bCs/>
                <w:sz w:val="18"/>
                <w:szCs w:val="18"/>
              </w:rPr>
              <w:t>其它关联资</w:t>
            </w:r>
            <w:r>
              <w:rPr>
                <w:rFonts w:ascii="宋体" w:hAnsi="宋体" w:cs="宋体" w:eastAsia="宋体" w:hint="default"/>
                <w:b/>
                <w:bCs/>
                <w:w w:val="99"/>
                <w:sz w:val="18"/>
                <w:szCs w:val="18"/>
              </w:rPr>
              <w:t> </w:t>
            </w:r>
            <w:r>
              <w:rPr>
                <w:rFonts w:ascii="宋体" w:hAnsi="宋体" w:cs="宋体" w:eastAsia="宋体" w:hint="default"/>
                <w:b/>
                <w:bCs/>
                <w:sz w:val="18"/>
                <w:szCs w:val="18"/>
              </w:rPr>
              <w:t>金往来</w:t>
            </w:r>
            <w:r>
              <w:rPr>
                <w:rFonts w:ascii="宋体" w:hAnsi="宋体" w:cs="宋体" w:eastAsia="宋体" w:hint="default"/>
                <w:sz w:val="18"/>
                <w:szCs w:val="18"/>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资金往来方名称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8" w:right="113"/>
              <w:jc w:val="center"/>
              <w:rPr>
                <w:rFonts w:ascii="宋体" w:hAnsi="宋体" w:cs="宋体" w:eastAsia="宋体" w:hint="default"/>
                <w:sz w:val="18"/>
                <w:szCs w:val="18"/>
              </w:rPr>
            </w:pPr>
            <w:r>
              <w:rPr>
                <w:rFonts w:ascii="宋体" w:hAnsi="宋体" w:cs="宋体" w:eastAsia="宋体" w:hint="default"/>
                <w:sz w:val="18"/>
                <w:szCs w:val="18"/>
              </w:rPr>
              <w:t>往来方与上 市公司的关 联关系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82" w:right="180"/>
              <w:jc w:val="center"/>
              <w:rPr>
                <w:rFonts w:ascii="宋体" w:hAnsi="宋体" w:cs="宋体" w:eastAsia="宋体" w:hint="default"/>
                <w:sz w:val="18"/>
                <w:szCs w:val="18"/>
              </w:rPr>
            </w:pPr>
            <w:r>
              <w:rPr>
                <w:rFonts w:ascii="宋体" w:hAnsi="宋体" w:cs="宋体" w:eastAsia="宋体" w:hint="default"/>
                <w:sz w:val="18"/>
                <w:szCs w:val="18"/>
              </w:rPr>
              <w:t>上市公司核 算的会计科 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119" w:hanging="29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年期初往来 资金余额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9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年度往来累计 发生金额</w:t>
            </w:r>
          </w:p>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（不含利息）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sz w:val="18"/>
              </w:rPr>
              <w:t>2011</w:t>
            </w: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年度 往来 资金 的利 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4" w:right="99" w:hanging="382"/>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年度偿还累计 发生金额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119" w:hanging="29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年期末往来 资金余额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7" w:right="168"/>
              <w:jc w:val="both"/>
              <w:rPr>
                <w:rFonts w:ascii="宋体" w:hAnsi="宋体" w:cs="宋体" w:eastAsia="宋体" w:hint="default"/>
                <w:sz w:val="18"/>
                <w:szCs w:val="18"/>
              </w:rPr>
            </w:pPr>
            <w:r>
              <w:rPr>
                <w:rFonts w:ascii="宋体" w:hAnsi="宋体" w:cs="宋体" w:eastAsia="宋体" w:hint="default"/>
                <w:sz w:val="18"/>
                <w:szCs w:val="18"/>
              </w:rPr>
              <w:t>往来 形成 原因</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1" w:right="142" w:hanging="180"/>
              <w:jc w:val="left"/>
              <w:rPr>
                <w:rFonts w:ascii="宋体" w:hAnsi="宋体" w:cs="宋体" w:eastAsia="宋体" w:hint="default"/>
                <w:sz w:val="18"/>
                <w:szCs w:val="18"/>
              </w:rPr>
            </w:pPr>
            <w:r>
              <w:rPr>
                <w:rFonts w:ascii="宋体" w:hAnsi="宋体" w:cs="宋体" w:eastAsia="宋体" w:hint="default"/>
                <w:sz w:val="18"/>
                <w:szCs w:val="18"/>
              </w:rPr>
              <w:t>往来性 质</w:t>
            </w:r>
          </w:p>
        </w:tc>
      </w:tr>
      <w:tr>
        <w:trPr>
          <w:trHeight w:val="310" w:hRule="exact"/>
        </w:trPr>
        <w:tc>
          <w:tcPr>
            <w:tcW w:w="1136" w:type="dxa"/>
            <w:vMerge w:val="restart"/>
            <w:tcBorders>
              <w:top w:val="single" w:sz="4" w:space="0" w:color="000000"/>
              <w:left w:val="single" w:sz="8" w:space="0" w:color="000000"/>
              <w:right w:val="single" w:sz="4" w:space="0" w:color="000000"/>
            </w:tcBorders>
          </w:tcPr>
          <w:p>
            <w:pPr>
              <w:pStyle w:val="TableParagraph"/>
              <w:spacing w:line="240" w:lineRule="auto" w:before="40"/>
              <w:ind w:left="98" w:right="96"/>
              <w:jc w:val="left"/>
              <w:rPr>
                <w:rFonts w:ascii="宋体" w:hAnsi="宋体" w:cs="宋体" w:eastAsia="宋体" w:hint="default"/>
                <w:sz w:val="18"/>
                <w:szCs w:val="18"/>
              </w:rPr>
            </w:pPr>
            <w:r>
              <w:rPr>
                <w:rFonts w:ascii="宋体" w:hAnsi="宋体" w:cs="宋体" w:eastAsia="宋体" w:hint="default"/>
                <w:spacing w:val="4"/>
                <w:sz w:val="18"/>
                <w:szCs w:val="18"/>
              </w:rPr>
              <w:t>大股东及其 </w:t>
            </w:r>
            <w:r>
              <w:rPr>
                <w:rFonts w:ascii="宋体" w:hAnsi="宋体" w:cs="宋体" w:eastAsia="宋体" w:hint="default"/>
                <w:sz w:val="18"/>
                <w:szCs w:val="18"/>
              </w:rPr>
              <w:t>附属企业</w:t>
            </w: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32" w:lineRule="exact"/>
              <w:ind w:left="98" w:right="96"/>
              <w:jc w:val="both"/>
              <w:rPr>
                <w:rFonts w:ascii="宋体" w:hAnsi="宋体" w:cs="宋体" w:eastAsia="宋体" w:hint="default"/>
                <w:sz w:val="18"/>
                <w:szCs w:val="18"/>
              </w:rPr>
            </w:pPr>
            <w:r>
              <w:rPr>
                <w:rFonts w:ascii="宋体" w:hAnsi="宋体" w:cs="宋体" w:eastAsia="宋体" w:hint="default"/>
                <w:spacing w:val="4"/>
                <w:sz w:val="18"/>
                <w:szCs w:val="18"/>
              </w:rPr>
              <w:t>上市公司的 子公司及其 </w:t>
            </w:r>
            <w:r>
              <w:rPr>
                <w:rFonts w:ascii="宋体" w:hAnsi="宋体" w:cs="宋体" w:eastAsia="宋体" w:hint="default"/>
                <w:sz w:val="18"/>
                <w:szCs w:val="18"/>
              </w:rPr>
              <w:t>附属企业</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1,912,000.00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708,000.00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41,250.00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41,250.00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310"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7"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51" w:right="0"/>
              <w:jc w:val="left"/>
              <w:rPr>
                <w:rFonts w:ascii="宋体" w:hAnsi="宋体" w:cs="宋体" w:eastAsia="宋体" w:hint="default"/>
                <w:sz w:val="18"/>
                <w:szCs w:val="18"/>
              </w:rPr>
            </w:pPr>
            <w:r>
              <w:rPr>
                <w:rFonts w:ascii="宋体" w:hAnsi="宋体" w:cs="宋体" w:eastAsia="宋体" w:hint="default"/>
                <w:sz w:val="18"/>
                <w:szCs w:val="18"/>
              </w:rPr>
              <w:t>经营性</w:t>
            </w:r>
          </w:p>
        </w:tc>
      </w:tr>
    </w:tbl>
    <w:p>
      <w:pPr>
        <w:spacing w:after="0" w:line="240" w:lineRule="auto"/>
        <w:jc w:val="left"/>
        <w:rPr>
          <w:rFonts w:ascii="宋体" w:hAnsi="宋体" w:cs="宋体" w:eastAsia="宋体" w:hint="default"/>
          <w:sz w:val="18"/>
          <w:szCs w:val="18"/>
        </w:rPr>
        <w:sectPr>
          <w:headerReference w:type="even" r:id="rId48"/>
          <w:footerReference w:type="even" r:id="rId49"/>
          <w:pgSz w:w="15840" w:h="12240" w:orient="landscape"/>
          <w:pgMar w:header="847" w:footer="986" w:top="1400" w:bottom="1180" w:left="440" w:right="0"/>
          <w:pgNumType w:start="76"/>
        </w:sectPr>
      </w:pPr>
    </w:p>
    <w:p>
      <w:pPr>
        <w:spacing w:line="240" w:lineRule="auto" w:before="8"/>
        <w:rPr>
          <w:rFonts w:ascii="宋体" w:hAnsi="宋体" w:cs="宋体" w:eastAsia="宋体" w:hint="default"/>
          <w:sz w:val="6"/>
          <w:szCs w:val="6"/>
        </w:rPr>
      </w:pPr>
    </w:p>
    <w:p>
      <w:pPr>
        <w:spacing w:line="564" w:lineRule="exact"/>
        <w:ind w:left="942"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53.9pt;height:28.25pt;mso-position-horizontal-relative:char;mso-position-vertical-relative:line" coordorigin="0,0" coordsize="13078,565">
            <v:shape style="position:absolute;left:36;top:0;width:1940;height:495" type="#_x0000_t75" stroked="false">
              <v:imagedata r:id="rId9" o:title=""/>
            </v:shape>
            <v:group style="position:absolute;left:7;top:557;width:13063;height:2" coordorigin="7,557" coordsize="13063,2">
              <v:shape style="position:absolute;left:7;top:557;width:13063;height:2" coordorigin="7,557" coordsize="13063,0" path="m7,557l13070,557e" filled="false" stroked="true" strokeweight=".72pt" strokecolor="#000000">
                <v:path arrowok="t"/>
              </v:shape>
              <v:shape style="position:absolute;left:7549;top:340;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v:group>
          </v:group>
        </w:pict>
      </w:r>
      <w:r>
        <w:rPr>
          <w:rFonts w:ascii="宋体" w:hAnsi="宋体" w:cs="宋体" w:eastAsia="宋体" w:hint="default"/>
          <w:position w:val="-10"/>
          <w:sz w:val="20"/>
          <w:szCs w:val="20"/>
        </w:rPr>
      </w:r>
    </w:p>
    <w:p>
      <w:pPr>
        <w:spacing w:line="240" w:lineRule="auto" w:before="1"/>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136"/>
        <w:gridCol w:w="2412"/>
        <w:gridCol w:w="1133"/>
        <w:gridCol w:w="1274"/>
        <w:gridCol w:w="1560"/>
        <w:gridCol w:w="1702"/>
        <w:gridCol w:w="708"/>
        <w:gridCol w:w="1702"/>
        <w:gridCol w:w="1560"/>
        <w:gridCol w:w="708"/>
        <w:gridCol w:w="850"/>
      </w:tblGrid>
      <w:tr>
        <w:trPr>
          <w:trHeight w:val="305" w:hRule="exact"/>
        </w:trPr>
        <w:tc>
          <w:tcPr>
            <w:tcW w:w="1136" w:type="dxa"/>
            <w:vMerge w:val="restart"/>
            <w:tcBorders>
              <w:top w:val="nil" w:sz="6" w:space="0" w:color="auto"/>
              <w:left w:val="single" w:sz="8" w:space="0" w:color="000000"/>
              <w:right w:val="single" w:sz="4" w:space="0" w:color="000000"/>
            </w:tcBorders>
          </w:tcPr>
          <w:p>
            <w:pPr/>
          </w:p>
        </w:tc>
        <w:tc>
          <w:tcPr>
            <w:tcW w:w="24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7,878,612.80</w:t>
            </w:r>
          </w:p>
        </w:tc>
        <w:tc>
          <w:tcPr>
            <w:tcW w:w="708"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7,878,612.80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nil" w:sz="6" w:space="0" w:color="auto"/>
              <w:left w:val="single" w:sz="4" w:space="0" w:color="000000"/>
              <w:bottom w:val="single" w:sz="4" w:space="0" w:color="000000"/>
              <w:right w:val="single" w:sz="8" w:space="0" w:color="000000"/>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7,550,786.28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3,345,090.21</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3,753,578.45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7,142,298.04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-4,483,023.79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8,610,000.00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3,126,976.21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14,220,000.00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4,650,000.00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7,999,841.17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5,950,000.00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1,799,841.17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1,703,000.00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1,703,000.00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2,292,095.00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2,292,095.00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4,561,482.80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-42,480,000.00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-36,430,000.00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-1,488,517.20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12,770,000.00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-17,682,686.33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-19,547,313.67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6"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35,377.60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-284,622.40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-41,707,490.80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-107,913,220.00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-142,094,320.88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-7,526,389.92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-45,000,000.00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-12,950,000.00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-29,520,000.00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-24,481,428.00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-17,988,572.00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-2,610,000.00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-8,340,000.00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-12,725,806.50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-754,193.50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-2,230,000.00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-7,770,000.00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8"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bl>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spacing w:before="0"/>
        <w:ind w:left="3651" w:right="4088" w:firstLine="0"/>
        <w:jc w:val="center"/>
        <w:rPr>
          <w:rFonts w:ascii="Calibri" w:hAnsi="Calibri" w:cs="Calibri" w:eastAsia="Calibri" w:hint="default"/>
          <w:sz w:val="18"/>
          <w:szCs w:val="18"/>
        </w:rPr>
      </w:pPr>
      <w:r>
        <w:rPr/>
        <w:pict>
          <v:shape style="position:absolute;margin-left:690.75pt;margin-top:3.329105pt;width:101.25pt;height:57.75pt;mso-position-horizontal-relative:page;mso-position-vertical-relative:paragraph;z-index:3304" type="#_x0000_t75" stroked="false">
            <v:imagedata r:id="rId6" o:title=""/>
          </v:shape>
        </w:pict>
      </w:r>
      <w:r>
        <w:rPr>
          <w:rFonts w:ascii="Calibri"/>
          <w:sz w:val="18"/>
        </w:rPr>
        <w:t>77</w:t>
      </w:r>
    </w:p>
    <w:p>
      <w:pPr>
        <w:spacing w:after="0"/>
        <w:jc w:val="center"/>
        <w:rPr>
          <w:rFonts w:ascii="Calibri" w:hAnsi="Calibri" w:cs="Calibri" w:eastAsia="Calibri" w:hint="default"/>
          <w:sz w:val="18"/>
          <w:szCs w:val="18"/>
        </w:rPr>
        <w:sectPr>
          <w:headerReference w:type="default" r:id="rId50"/>
          <w:footerReference w:type="default" r:id="rId51"/>
          <w:pgSz w:w="15840" w:h="12240" w:orient="landscape"/>
          <w:pgMar w:header="0" w:footer="0" w:top="760" w:bottom="0" w:left="440" w:right="0"/>
        </w:sectPr>
      </w:pPr>
    </w:p>
    <w:p>
      <w:pPr>
        <w:spacing w:line="240" w:lineRule="auto" w:before="1"/>
        <w:rPr>
          <w:rFonts w:ascii="Calibri" w:hAnsi="Calibri" w:cs="Calibri" w:eastAsia="Calibri"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1136"/>
        <w:gridCol w:w="2412"/>
        <w:gridCol w:w="1133"/>
        <w:gridCol w:w="1274"/>
        <w:gridCol w:w="1560"/>
        <w:gridCol w:w="1702"/>
        <w:gridCol w:w="708"/>
        <w:gridCol w:w="1702"/>
        <w:gridCol w:w="1560"/>
        <w:gridCol w:w="708"/>
        <w:gridCol w:w="850"/>
      </w:tblGrid>
      <w:tr>
        <w:trPr>
          <w:trHeight w:val="473" w:hRule="exact"/>
        </w:trPr>
        <w:tc>
          <w:tcPr>
            <w:tcW w:w="1136" w:type="dxa"/>
            <w:vMerge w:val="restart"/>
            <w:tcBorders>
              <w:top w:val="nil" w:sz="6" w:space="0" w:color="auto"/>
              <w:left w:val="single" w:sz="8" w:space="0" w:color="000000"/>
              <w:right w:val="single" w:sz="4" w:space="0" w:color="000000"/>
            </w:tcBorders>
          </w:tcPr>
          <w:p>
            <w:pPr/>
          </w:p>
        </w:tc>
        <w:tc>
          <w:tcPr>
            <w:tcW w:w="24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北京厚盾鸿远科技有限公司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-800,000.00</w:t>
            </w:r>
          </w:p>
        </w:tc>
        <w:tc>
          <w:tcPr>
            <w:tcW w:w="708"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-800,000.00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c>
          <w:tcPr>
            <w:tcW w:w="850" w:type="dxa"/>
            <w:tcBorders>
              <w:top w:val="nil" w:sz="6" w:space="0" w:color="auto"/>
              <w:left w:val="single" w:sz="4" w:space="0" w:color="000000"/>
              <w:bottom w:val="single" w:sz="4" w:space="0" w:color="000000"/>
              <w:right w:val="single" w:sz="8"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性往来</w:t>
            </w:r>
          </w:p>
        </w:tc>
      </w:tr>
      <w:tr>
        <w:trPr>
          <w:trHeight w:val="475"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-111,699.00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-111,699.00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采购</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-343,000.00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-323,000.00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采购</w:t>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310"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-75,390,867.91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-248,466,779.82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-278,914,413.26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-44,943,234.47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5" w:hRule="exact"/>
        </w:trPr>
        <w:tc>
          <w:tcPr>
            <w:tcW w:w="1136"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40" w:lineRule="auto"/>
              <w:ind w:right="0"/>
              <w:jc w:val="left"/>
              <w:rPr>
                <w:rFonts w:ascii="Calibri" w:hAnsi="Calibri" w:cs="Calibri" w:eastAsia="Calibri" w:hint="default"/>
                <w:sz w:val="18"/>
                <w:szCs w:val="18"/>
              </w:rPr>
            </w:pPr>
          </w:p>
          <w:p>
            <w:pPr>
              <w:pStyle w:val="TableParagraph"/>
              <w:spacing w:line="237" w:lineRule="auto" w:before="140"/>
              <w:ind w:left="98" w:right="96"/>
              <w:jc w:val="both"/>
              <w:rPr>
                <w:rFonts w:ascii="宋体" w:hAnsi="宋体" w:cs="宋体" w:eastAsia="宋体" w:hint="default"/>
                <w:sz w:val="18"/>
                <w:szCs w:val="18"/>
              </w:rPr>
            </w:pPr>
            <w:r>
              <w:rPr>
                <w:rFonts w:ascii="宋体" w:hAnsi="宋体" w:cs="宋体" w:eastAsia="宋体" w:hint="default"/>
                <w:spacing w:val="4"/>
                <w:sz w:val="18"/>
                <w:szCs w:val="18"/>
              </w:rPr>
              <w:t>关联自然人 及其控制的 </w:t>
            </w:r>
            <w:r>
              <w:rPr>
                <w:rFonts w:ascii="宋体" w:hAnsi="宋体" w:cs="宋体" w:eastAsia="宋体" w:hint="default"/>
                <w:sz w:val="18"/>
                <w:szCs w:val="18"/>
              </w:rPr>
              <w:t>法人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75,570.00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7,110.00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237,270.00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580,880.00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533,195.52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284,954.48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李建国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32,243.15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221,460.00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197,432.71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56,270.44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46,946.17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5,829.94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51,116.23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6"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夏金崇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49,306.96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79,531.92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49,775.04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江海标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58,150.00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53,190.00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柏 </w:t>
            </w:r>
            <w:r>
              <w:rPr>
                <w:rFonts w:ascii="宋体" w:hAnsi="宋体" w:cs="宋体" w:eastAsia="宋体" w:hint="default"/>
                <w:spacing w:val="2"/>
                <w:sz w:val="18"/>
                <w:szCs w:val="18"/>
              </w:rPr>
              <w:t> </w:t>
            </w:r>
            <w:r>
              <w:rPr>
                <w:rFonts w:ascii="宋体" w:hAnsi="宋体" w:cs="宋体" w:eastAsia="宋体" w:hint="default"/>
                <w:sz w:val="18"/>
                <w:szCs w:val="18"/>
              </w:rPr>
              <w:t>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备用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310"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441,336.28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1,007,030.00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876,290.09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572,076.19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vMerge w:val="restart"/>
            <w:tcBorders>
              <w:top w:val="single" w:sz="4" w:space="0" w:color="000000"/>
              <w:left w:val="single" w:sz="8" w:space="0" w:color="000000"/>
              <w:right w:val="single" w:sz="4" w:space="0" w:color="000000"/>
            </w:tcBorders>
          </w:tcPr>
          <w:p>
            <w:pPr>
              <w:pStyle w:val="TableParagraph"/>
              <w:spacing w:line="237" w:lineRule="auto" w:before="80"/>
              <w:ind w:left="98" w:right="96"/>
              <w:jc w:val="both"/>
              <w:rPr>
                <w:rFonts w:ascii="宋体" w:hAnsi="宋体" w:cs="宋体" w:eastAsia="宋体" w:hint="default"/>
                <w:sz w:val="18"/>
                <w:szCs w:val="18"/>
              </w:rPr>
            </w:pPr>
            <w:r>
              <w:rPr>
                <w:rFonts w:ascii="宋体" w:hAnsi="宋体" w:cs="宋体" w:eastAsia="宋体" w:hint="default"/>
                <w:spacing w:val="4"/>
                <w:sz w:val="18"/>
                <w:szCs w:val="18"/>
              </w:rPr>
              <w:t>其他关联人 及其附属企 </w:t>
            </w:r>
            <w:r>
              <w:rPr>
                <w:rFonts w:ascii="宋体" w:hAnsi="宋体" w:cs="宋体" w:eastAsia="宋体" w:hint="default"/>
                <w:sz w:val="18"/>
                <w:szCs w:val="18"/>
              </w:rPr>
              <w:t>业</w:t>
            </w: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vMerge/>
            <w:tcBorders>
              <w:left w:val="single" w:sz="8"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1136" w:type="dxa"/>
            <w:vMerge/>
            <w:tcBorders>
              <w:left w:val="single" w:sz="8"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8" w:space="0" w:color="000000"/>
            </w:tcBorders>
          </w:tcPr>
          <w:p>
            <w:pPr/>
          </w:p>
        </w:tc>
      </w:tr>
      <w:tr>
        <w:trPr>
          <w:trHeight w:val="482" w:hRule="exact"/>
        </w:trPr>
        <w:tc>
          <w:tcPr>
            <w:tcW w:w="1136" w:type="dxa"/>
            <w:tcBorders>
              <w:top w:val="single" w:sz="4" w:space="0" w:color="000000"/>
              <w:left w:val="single" w:sz="8" w:space="0" w:color="000000"/>
              <w:bottom w:val="single" w:sz="8" w:space="0" w:color="000000"/>
              <w:right w:val="single" w:sz="4" w:space="0" w:color="000000"/>
            </w:tcBorders>
          </w:tcPr>
          <w:p>
            <w:pPr/>
          </w:p>
        </w:tc>
        <w:tc>
          <w:tcPr>
            <w:tcW w:w="24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133" w:type="dxa"/>
            <w:tcBorders>
              <w:top w:val="single" w:sz="4" w:space="0" w:color="000000"/>
              <w:left w:val="single" w:sz="4" w:space="0" w:color="000000"/>
              <w:bottom w:val="single" w:sz="8" w:space="0" w:color="000000"/>
              <w:right w:val="single" w:sz="4" w:space="0" w:color="000000"/>
            </w:tcBorders>
          </w:tcPr>
          <w:p>
            <w:pPr/>
          </w:p>
        </w:tc>
        <w:tc>
          <w:tcPr>
            <w:tcW w:w="1274"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-74,949,531.63</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-247,459,749.82</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-278,038,123.17</w:t>
            </w: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Calibri" w:hAnsi="Calibri" w:cs="Calibri" w:eastAsia="Calibri"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-44,371,158.28</w:t>
            </w:r>
          </w:p>
        </w:tc>
        <w:tc>
          <w:tcPr>
            <w:tcW w:w="708" w:type="dxa"/>
            <w:tcBorders>
              <w:top w:val="single" w:sz="4" w:space="0" w:color="000000"/>
              <w:left w:val="single" w:sz="4" w:space="0" w:color="000000"/>
              <w:bottom w:val="single" w:sz="8" w:space="0" w:color="000000"/>
              <w:right w:val="single" w:sz="4" w:space="0" w:color="000000"/>
            </w:tcBorders>
          </w:tcPr>
          <w:p>
            <w:pPr/>
          </w:p>
        </w:tc>
        <w:tc>
          <w:tcPr>
            <w:tcW w:w="850" w:type="dxa"/>
            <w:tcBorders>
              <w:top w:val="single" w:sz="4" w:space="0" w:color="000000"/>
              <w:left w:val="single" w:sz="4" w:space="0" w:color="000000"/>
              <w:bottom w:val="single" w:sz="8" w:space="0" w:color="000000"/>
              <w:right w:val="single" w:sz="8" w:space="0" w:color="000000"/>
            </w:tcBorders>
          </w:tcPr>
          <w:p>
            <w:pPr/>
          </w:p>
        </w:tc>
      </w:tr>
    </w:tbl>
    <w:p>
      <w:pPr>
        <w:tabs>
          <w:tab w:pos="6000" w:val="left" w:leader="none"/>
          <w:tab w:pos="12754" w:val="left" w:leader="none"/>
        </w:tabs>
        <w:spacing w:before="97"/>
        <w:ind w:left="416"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r>
      <w:r>
        <w:rPr>
          <w:rFonts w:ascii="宋体" w:hAnsi="宋体" w:cs="宋体" w:eastAsia="宋体" w:hint="default"/>
          <w:sz w:val="18"/>
          <w:szCs w:val="18"/>
        </w:rPr>
        <w:t>:</w:t>
      </w:r>
      <w:r>
        <w:rPr>
          <w:rFonts w:ascii="宋体" w:hAnsi="宋体" w:cs="宋体" w:eastAsia="宋体" w:hint="default"/>
          <w:sz w:val="18"/>
          <w:szCs w:val="18"/>
        </w:rPr>
        <w:t>薛向东</w:t>
        <w:tab/>
      </w:r>
      <w:r>
        <w:rPr>
          <w:rFonts w:ascii="宋体" w:hAnsi="宋体" w:cs="宋体" w:eastAsia="宋体" w:hint="default"/>
          <w:spacing w:val="-1"/>
          <w:sz w:val="18"/>
          <w:szCs w:val="18"/>
        </w:rPr>
        <w:t>主管会计工作的公司负责人</w:t>
      </w:r>
      <w:r>
        <w:rPr>
          <w:rFonts w:ascii="宋体" w:hAnsi="宋体" w:cs="宋体" w:eastAsia="宋体" w:hint="default"/>
          <w:spacing w:val="-1"/>
          <w:sz w:val="18"/>
          <w:szCs w:val="18"/>
        </w:rPr>
        <w:t>:</w:t>
      </w:r>
      <w:r>
        <w:rPr>
          <w:rFonts w:ascii="宋体" w:hAnsi="宋体" w:cs="宋体" w:eastAsia="宋体" w:hint="default"/>
          <w:spacing w:val="-1"/>
          <w:sz w:val="18"/>
          <w:szCs w:val="18"/>
        </w:rPr>
        <w:t>杨健</w:t>
        <w:tab/>
        <w:t>会计机构负责人</w:t>
      </w:r>
      <w:r>
        <w:rPr>
          <w:rFonts w:ascii="宋体" w:hAnsi="宋体" w:cs="宋体" w:eastAsia="宋体" w:hint="default"/>
          <w:spacing w:val="-1"/>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叶莉</w:t>
      </w:r>
    </w:p>
    <w:p>
      <w:pPr>
        <w:spacing w:after="0"/>
        <w:jc w:val="left"/>
        <w:rPr>
          <w:rFonts w:ascii="宋体" w:hAnsi="宋体" w:cs="宋体" w:eastAsia="宋体" w:hint="default"/>
          <w:sz w:val="18"/>
          <w:szCs w:val="18"/>
        </w:rPr>
        <w:sectPr>
          <w:headerReference w:type="even" r:id="rId52"/>
          <w:headerReference w:type="default" r:id="rId53"/>
          <w:footerReference w:type="even" r:id="rId54"/>
          <w:footerReference w:type="default" r:id="rId55"/>
          <w:pgSz w:w="15840" w:h="12240" w:orient="landscape"/>
          <w:pgMar w:header="847" w:footer="986" w:top="1400" w:bottom="1180" w:left="440" w:right="0"/>
          <w:pgNumType w:start="78"/>
        </w:sectPr>
      </w:pP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9"/>
          <w:szCs w:val="9"/>
        </w:rPr>
      </w:pPr>
    </w:p>
    <w:p>
      <w:pPr>
        <w:pStyle w:val="Heading3"/>
        <w:spacing w:line="240" w:lineRule="auto" w:before="19"/>
        <w:ind w:left="0" w:right="8624"/>
        <w:jc w:val="center"/>
        <w:rPr>
          <w:b w:val="0"/>
          <w:bCs w:val="0"/>
        </w:rPr>
      </w:pPr>
      <w:r>
        <w:rPr/>
        <w:t>（五）关联担保</w:t>
      </w:r>
      <w:r>
        <w:rPr>
          <w:b w:val="0"/>
          <w:bCs w:val="0"/>
        </w:rPr>
      </w:r>
    </w:p>
    <w:p>
      <w:pPr>
        <w:pStyle w:val="BodyText"/>
        <w:spacing w:line="240" w:lineRule="auto" w:before="122"/>
        <w:ind w:left="0" w:right="8529"/>
        <w:jc w:val="center"/>
      </w:pPr>
      <w:r>
        <w:rPr/>
        <w:t>单位：元</w:t>
      </w:r>
    </w:p>
    <w:p>
      <w:pPr>
        <w:spacing w:line="240" w:lineRule="auto" w:before="0"/>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850"/>
        <w:gridCol w:w="1909"/>
        <w:gridCol w:w="1772"/>
        <w:gridCol w:w="1200"/>
        <w:gridCol w:w="1265"/>
        <w:gridCol w:w="950"/>
        <w:gridCol w:w="900"/>
      </w:tblGrid>
      <w:tr>
        <w:trPr>
          <w:trHeight w:val="341" w:hRule="exact"/>
        </w:trPr>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Calibri" w:hAnsi="Calibri" w:cs="Calibri" w:eastAsia="Calibri" w:hint="default"/>
                <w:sz w:val="18"/>
                <w:szCs w:val="18"/>
              </w:rPr>
              <w:t>/</w:t>
            </w:r>
            <w:r>
              <w:rPr>
                <w:rFonts w:ascii="宋体" w:hAnsi="宋体" w:cs="宋体" w:eastAsia="宋体" w:hint="default"/>
                <w:sz w:val="18"/>
                <w:szCs w:val="18"/>
              </w:rPr>
              <w:t>借款银行</w:t>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7" w:right="55"/>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1" w:right="29"/>
              <w:jc w:val="right"/>
              <w:rPr>
                <w:rFonts w:ascii="宋体" w:hAnsi="宋体" w:cs="宋体" w:eastAsia="宋体" w:hint="default"/>
                <w:sz w:val="18"/>
                <w:szCs w:val="18"/>
              </w:rPr>
            </w:pPr>
            <w:r>
              <w:rPr>
                <w:rFonts w:ascii="宋体" w:hAnsi="宋体" w:cs="宋体" w:eastAsia="宋体" w:hint="default"/>
                <w:sz w:val="18"/>
                <w:szCs w:val="18"/>
              </w:rPr>
              <w:t>担保到期日</w:t>
            </w:r>
          </w:p>
        </w:tc>
      </w:tr>
      <w:tr>
        <w:trPr>
          <w:trHeight w:val="329"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b/>
                <w:bCs/>
                <w:sz w:val="18"/>
                <w:szCs w:val="18"/>
              </w:rPr>
              <w:t>东华软件股份公司</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88" w:hRule="exact"/>
        </w:trPr>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9" w:type="dxa"/>
            <w:tcBorders>
              <w:top w:val="single" w:sz="4" w:space="0" w:color="000000"/>
              <w:left w:val="single" w:sz="4" w:space="0" w:color="000000"/>
              <w:bottom w:val="nil" w:sz="6" w:space="0" w:color="auto"/>
              <w:right w:val="single" w:sz="4" w:space="0" w:color="000000"/>
            </w:tcBorders>
          </w:tcPr>
          <w:p>
            <w:pPr>
              <w:pStyle w:val="TableParagraph"/>
              <w:spacing w:line="32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1"/>
              <w:jc w:val="left"/>
              <w:rPr>
                <w:rFonts w:ascii="Calibri" w:hAnsi="Calibri" w:cs="Calibri" w:eastAsia="Calibri" w:hint="default"/>
                <w:sz w:val="18"/>
                <w:szCs w:val="18"/>
              </w:rPr>
            </w:pPr>
            <w:r>
              <w:rPr>
                <w:rFonts w:ascii="Calibri"/>
                <w:sz w:val="18"/>
              </w:rPr>
              <w:t>330,000,000.00</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Calibri" w:hAnsi="Calibri" w:cs="Calibri" w:eastAsia="Calibri" w:hint="default"/>
                <w:sz w:val="18"/>
                <w:szCs w:val="18"/>
              </w:rPr>
            </w:pPr>
            <w:r>
              <w:rPr>
                <w:rFonts w:ascii="Calibri"/>
                <w:sz w:val="18"/>
              </w:rPr>
              <w:t>9,000,000.00</w:t>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2011-10-19</w:t>
            </w:r>
            <w:r>
              <w:rPr>
                <w:rFonts w:ascii="Calibri"/>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2012-10-19</w:t>
            </w:r>
            <w:r>
              <w:rPr>
                <w:rFonts w:ascii="Calibri"/>
                <w:sz w:val="18"/>
              </w:rPr>
            </w:r>
          </w:p>
        </w:tc>
      </w:tr>
      <w:tr>
        <w:trPr>
          <w:trHeight w:val="337" w:hRule="exact"/>
        </w:trPr>
        <w:tc>
          <w:tcPr>
            <w:tcW w:w="850"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single" w:sz="4" w:space="0" w:color="000000"/>
            </w:tcBorders>
          </w:tcPr>
          <w:p>
            <w:pPr/>
          </w:p>
        </w:tc>
        <w:tc>
          <w:tcPr>
            <w:tcW w:w="177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0"/>
              <w:jc w:val="right"/>
              <w:rPr>
                <w:rFonts w:ascii="Calibri" w:hAnsi="Calibri" w:cs="Calibri" w:eastAsia="Calibri" w:hint="default"/>
                <w:sz w:val="18"/>
                <w:szCs w:val="18"/>
              </w:rPr>
            </w:pPr>
            <w:r>
              <w:rPr>
                <w:rFonts w:ascii="Calibri"/>
                <w:sz w:val="18"/>
              </w:rPr>
              <w:t>20,000,000.00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24"/>
              <w:jc w:val="right"/>
              <w:rPr>
                <w:rFonts w:ascii="Calibri" w:hAnsi="Calibri" w:cs="Calibri" w:eastAsia="Calibri" w:hint="default"/>
                <w:sz w:val="18"/>
                <w:szCs w:val="18"/>
              </w:rPr>
            </w:pPr>
            <w:r>
              <w:rPr>
                <w:rFonts w:ascii="Calibri"/>
                <w:spacing w:val="-1"/>
                <w:sz w:val="18"/>
              </w:rPr>
              <w:t>2011-11-01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24"/>
              <w:jc w:val="right"/>
              <w:rPr>
                <w:rFonts w:ascii="Calibri" w:hAnsi="Calibri" w:cs="Calibri" w:eastAsia="Calibri" w:hint="default"/>
                <w:sz w:val="18"/>
                <w:szCs w:val="18"/>
              </w:rPr>
            </w:pPr>
            <w:r>
              <w:rPr>
                <w:rFonts w:ascii="Calibri"/>
                <w:spacing w:val="-1"/>
                <w:sz w:val="18"/>
              </w:rPr>
              <w:t>2012-05-01</w:t>
            </w:r>
          </w:p>
        </w:tc>
      </w:tr>
      <w:tr>
        <w:trPr>
          <w:trHeight w:val="319" w:hRule="exact"/>
        </w:trPr>
        <w:tc>
          <w:tcPr>
            <w:tcW w:w="850"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single" w:sz="4" w:space="0" w:color="000000"/>
            </w:tcBorders>
          </w:tcPr>
          <w:p>
            <w:pPr/>
          </w:p>
        </w:tc>
        <w:tc>
          <w:tcPr>
            <w:tcW w:w="177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right"/>
              <w:rPr>
                <w:rFonts w:ascii="Calibri" w:hAnsi="Calibri" w:cs="Calibri" w:eastAsia="Calibri" w:hint="default"/>
                <w:sz w:val="18"/>
                <w:szCs w:val="18"/>
              </w:rPr>
            </w:pPr>
            <w:r>
              <w:rPr>
                <w:rFonts w:ascii="Calibri"/>
                <w:sz w:val="18"/>
              </w:rPr>
              <w:t>20,000,000.00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24"/>
              <w:jc w:val="right"/>
              <w:rPr>
                <w:rFonts w:ascii="Calibri" w:hAnsi="Calibri" w:cs="Calibri" w:eastAsia="Calibri" w:hint="default"/>
                <w:sz w:val="18"/>
                <w:szCs w:val="18"/>
              </w:rPr>
            </w:pPr>
            <w:r>
              <w:rPr>
                <w:rFonts w:ascii="Calibri"/>
                <w:spacing w:val="-1"/>
                <w:sz w:val="18"/>
              </w:rPr>
              <w:t>2011-11-10</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24"/>
              <w:jc w:val="right"/>
              <w:rPr>
                <w:rFonts w:ascii="Calibri" w:hAnsi="Calibri" w:cs="Calibri" w:eastAsia="Calibri" w:hint="default"/>
                <w:sz w:val="18"/>
                <w:szCs w:val="18"/>
              </w:rPr>
            </w:pPr>
            <w:r>
              <w:rPr>
                <w:rFonts w:ascii="Calibri"/>
                <w:spacing w:val="-1"/>
                <w:sz w:val="18"/>
              </w:rPr>
              <w:t>2012-05-10</w:t>
            </w:r>
            <w:r>
              <w:rPr>
                <w:rFonts w:ascii="Calibri"/>
                <w:sz w:val="18"/>
              </w:rPr>
            </w:r>
          </w:p>
        </w:tc>
      </w:tr>
      <w:tr>
        <w:trPr>
          <w:trHeight w:val="321" w:hRule="exact"/>
        </w:trPr>
        <w:tc>
          <w:tcPr>
            <w:tcW w:w="850"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single" w:sz="4" w:space="0" w:color="000000"/>
            </w:tcBorders>
          </w:tcPr>
          <w:p>
            <w:pPr/>
          </w:p>
        </w:tc>
        <w:tc>
          <w:tcPr>
            <w:tcW w:w="177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right"/>
              <w:rPr>
                <w:rFonts w:ascii="Calibri" w:hAnsi="Calibri" w:cs="Calibri" w:eastAsia="Calibri" w:hint="default"/>
                <w:sz w:val="18"/>
                <w:szCs w:val="18"/>
              </w:rPr>
            </w:pPr>
            <w:r>
              <w:rPr>
                <w:rFonts w:ascii="Calibri"/>
                <w:sz w:val="18"/>
              </w:rPr>
              <w:t>9,000,000.00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4"/>
              <w:jc w:val="right"/>
              <w:rPr>
                <w:rFonts w:ascii="Calibri" w:hAnsi="Calibri" w:cs="Calibri" w:eastAsia="Calibri" w:hint="default"/>
                <w:sz w:val="18"/>
                <w:szCs w:val="18"/>
              </w:rPr>
            </w:pPr>
            <w:r>
              <w:rPr>
                <w:rFonts w:ascii="Calibri"/>
                <w:spacing w:val="-1"/>
                <w:sz w:val="18"/>
              </w:rPr>
              <w:t>2011-11-16</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4"/>
              <w:jc w:val="right"/>
              <w:rPr>
                <w:rFonts w:ascii="Calibri" w:hAnsi="Calibri" w:cs="Calibri" w:eastAsia="Calibri" w:hint="default"/>
                <w:sz w:val="18"/>
                <w:szCs w:val="18"/>
              </w:rPr>
            </w:pPr>
            <w:r>
              <w:rPr>
                <w:rFonts w:ascii="Calibri"/>
                <w:spacing w:val="-1"/>
                <w:sz w:val="18"/>
              </w:rPr>
              <w:t>2012-05-16</w:t>
            </w:r>
            <w:r>
              <w:rPr>
                <w:rFonts w:ascii="Calibri"/>
                <w:sz w:val="18"/>
              </w:rPr>
            </w:r>
          </w:p>
        </w:tc>
      </w:tr>
      <w:tr>
        <w:trPr>
          <w:trHeight w:val="314" w:hRule="exact"/>
        </w:trPr>
        <w:tc>
          <w:tcPr>
            <w:tcW w:w="850" w:type="dxa"/>
            <w:tcBorders>
              <w:top w:val="nil" w:sz="6" w:space="0" w:color="auto"/>
              <w:left w:val="single" w:sz="4" w:space="0" w:color="000000"/>
              <w:bottom w:val="nil" w:sz="6" w:space="0" w:color="auto"/>
              <w:right w:val="single" w:sz="4" w:space="0" w:color="000000"/>
            </w:tcBorders>
          </w:tcPr>
          <w:p>
            <w:pPr/>
          </w:p>
        </w:tc>
        <w:tc>
          <w:tcPr>
            <w:tcW w:w="1909" w:type="dxa"/>
            <w:tcBorders>
              <w:top w:val="nil" w:sz="6" w:space="0" w:color="auto"/>
              <w:left w:val="single" w:sz="4" w:space="0" w:color="000000"/>
              <w:bottom w:val="nil" w:sz="6" w:space="0" w:color="auto"/>
              <w:right w:val="single" w:sz="4" w:space="0" w:color="000000"/>
            </w:tcBorders>
          </w:tcPr>
          <w:p>
            <w:pPr/>
          </w:p>
        </w:tc>
        <w:tc>
          <w:tcPr>
            <w:tcW w:w="177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right"/>
              <w:rPr>
                <w:rFonts w:ascii="Calibri" w:hAnsi="Calibri" w:cs="Calibri" w:eastAsia="Calibri" w:hint="default"/>
                <w:sz w:val="18"/>
                <w:szCs w:val="18"/>
              </w:rPr>
            </w:pPr>
            <w:r>
              <w:rPr>
                <w:rFonts w:ascii="Calibri"/>
                <w:sz w:val="18"/>
              </w:rPr>
              <w:t>7,000,000.00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4"/>
              <w:jc w:val="right"/>
              <w:rPr>
                <w:rFonts w:ascii="Calibri" w:hAnsi="Calibri" w:cs="Calibri" w:eastAsia="Calibri" w:hint="default"/>
                <w:sz w:val="18"/>
                <w:szCs w:val="18"/>
              </w:rPr>
            </w:pPr>
            <w:r>
              <w:rPr>
                <w:rFonts w:ascii="Calibri"/>
                <w:spacing w:val="-1"/>
                <w:sz w:val="18"/>
              </w:rPr>
              <w:t>2011-10-31</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4"/>
              <w:jc w:val="right"/>
              <w:rPr>
                <w:rFonts w:ascii="Calibri" w:hAnsi="Calibri" w:cs="Calibri" w:eastAsia="Calibri" w:hint="default"/>
                <w:sz w:val="18"/>
                <w:szCs w:val="18"/>
              </w:rPr>
            </w:pPr>
            <w:r>
              <w:rPr>
                <w:rFonts w:ascii="Calibri"/>
                <w:spacing w:val="-1"/>
                <w:sz w:val="18"/>
              </w:rPr>
              <w:t>2012-10-31</w:t>
            </w:r>
            <w:r>
              <w:rPr>
                <w:rFonts w:ascii="Calibri"/>
                <w:sz w:val="18"/>
              </w:rPr>
            </w:r>
          </w:p>
        </w:tc>
      </w:tr>
      <w:tr>
        <w:trPr>
          <w:trHeight w:val="770"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09" w:type="dxa"/>
            <w:tcBorders>
              <w:top w:val="nil" w:sz="6" w:space="0" w:color="auto"/>
              <w:left w:val="single" w:sz="4" w:space="0" w:color="000000"/>
              <w:bottom w:val="nil" w:sz="6" w:space="0" w:color="auto"/>
              <w:right w:val="single" w:sz="4" w:space="0" w:color="000000"/>
            </w:tcBorders>
          </w:tcPr>
          <w:p>
            <w:pPr>
              <w:pStyle w:val="TableParagraph"/>
              <w:spacing w:line="326" w:lineRule="auto"/>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right"/>
              <w:rPr>
                <w:rFonts w:ascii="Calibri" w:hAnsi="Calibri" w:cs="Calibri" w:eastAsia="Calibri" w:hint="default"/>
                <w:sz w:val="18"/>
                <w:szCs w:val="18"/>
              </w:rPr>
            </w:pPr>
            <w:r>
              <w:rPr>
                <w:rFonts w:ascii="Calibri"/>
                <w:spacing w:val="-1"/>
                <w:sz w:val="18"/>
              </w:rPr>
              <w:t>68,805,991.00</w:t>
            </w:r>
            <w:r>
              <w:rPr>
                <w:rFonts w:ascii="Calibri"/>
                <w:sz w:val="18"/>
              </w:rPr>
            </w:r>
          </w:p>
        </w:tc>
        <w:tc>
          <w:tcPr>
            <w:tcW w:w="9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782"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19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26" w:lineRule="auto"/>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Calibri" w:hAnsi="Calibri" w:cs="Calibri" w:eastAsia="Calibri" w:hint="default"/>
                <w:sz w:val="18"/>
                <w:szCs w:val="18"/>
              </w:rPr>
            </w:pPr>
            <w:r>
              <w:rPr>
                <w:rFonts w:ascii="Calibri"/>
                <w:sz w:val="18"/>
              </w:rPr>
              <w:t>3,115,365.00</w:t>
            </w:r>
          </w:p>
        </w:tc>
        <w:tc>
          <w:tcPr>
            <w:tcW w:w="9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650"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6" w:right="64"/>
              <w:jc w:val="left"/>
              <w:rPr>
                <w:rFonts w:ascii="宋体" w:hAnsi="宋体" w:cs="宋体" w:eastAsia="宋体" w:hint="default"/>
                <w:sz w:val="18"/>
                <w:szCs w:val="18"/>
              </w:rPr>
            </w:pPr>
            <w:r>
              <w:rPr>
                <w:rFonts w:ascii="宋体" w:hAnsi="宋体" w:cs="宋体" w:eastAsia="宋体" w:hint="default"/>
                <w:b/>
                <w:bCs/>
                <w:sz w:val="18"/>
                <w:szCs w:val="18"/>
              </w:rPr>
              <w:t>北京东华合创科技有限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106"/>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东、东华软件股份公司</w:t>
            </w:r>
          </w:p>
        </w:tc>
        <w:tc>
          <w:tcPr>
            <w:tcW w:w="1200"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Calibri" w:hAnsi="Calibri" w:cs="Calibri" w:eastAsia="Calibri" w:hint="default"/>
                <w:sz w:val="18"/>
                <w:szCs w:val="18"/>
              </w:rPr>
            </w:pPr>
            <w:r>
              <w:rPr>
                <w:rFonts w:ascii="Calibri"/>
                <w:spacing w:val="-1"/>
                <w:sz w:val="18"/>
              </w:rPr>
              <w:t>9,000,000.00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Calibri" w:hAnsi="Calibri" w:cs="Calibri" w:eastAsia="Calibri" w:hint="default"/>
                <w:sz w:val="18"/>
                <w:szCs w:val="18"/>
              </w:rPr>
            </w:pPr>
            <w:r>
              <w:rPr>
                <w:rFonts w:ascii="Calibri"/>
                <w:spacing w:val="-1"/>
                <w:sz w:val="18"/>
              </w:rPr>
              <w:t>2011-07-29</w:t>
            </w:r>
            <w:r>
              <w:rPr>
                <w:rFonts w:ascii="Calibr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Calibri" w:hAnsi="Calibri" w:cs="Calibri" w:eastAsia="Calibri" w:hint="default"/>
                <w:sz w:val="18"/>
                <w:szCs w:val="18"/>
              </w:rPr>
            </w:pPr>
            <w:r>
              <w:rPr>
                <w:rFonts w:ascii="Calibri"/>
                <w:spacing w:val="-1"/>
                <w:sz w:val="18"/>
              </w:rPr>
              <w:t>2012-07-29</w:t>
            </w:r>
            <w:r>
              <w:rPr>
                <w:rFonts w:ascii="Calibri"/>
                <w:sz w:val="18"/>
              </w:rPr>
            </w:r>
          </w:p>
        </w:tc>
      </w:tr>
      <w:tr>
        <w:trPr>
          <w:trHeight w:val="651"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26" w:right="64"/>
              <w:jc w:val="left"/>
              <w:rPr>
                <w:rFonts w:ascii="宋体" w:hAnsi="宋体" w:cs="宋体" w:eastAsia="宋体" w:hint="default"/>
                <w:sz w:val="18"/>
                <w:szCs w:val="18"/>
              </w:rPr>
            </w:pPr>
            <w:r>
              <w:rPr>
                <w:rFonts w:ascii="宋体" w:hAnsi="宋体" w:cs="宋体" w:eastAsia="宋体" w:hint="default"/>
                <w:b/>
                <w:bCs/>
                <w:sz w:val="18"/>
                <w:szCs w:val="18"/>
              </w:rPr>
              <w:t>北京联银通科技有限公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198" w:hRule="exact"/>
        </w:trPr>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1909" w:type="dxa"/>
            <w:tcBorders>
              <w:top w:val="single" w:sz="4" w:space="0" w:color="000000"/>
              <w:left w:val="single" w:sz="4" w:space="0" w:color="000000"/>
              <w:bottom w:val="nil" w:sz="6" w:space="0" w:color="auto"/>
              <w:right w:val="single" w:sz="4" w:space="0" w:color="000000"/>
            </w:tcBorders>
          </w:tcPr>
          <w:p>
            <w:pPr>
              <w:pStyle w:val="TableParagraph"/>
              <w:spacing w:line="326" w:lineRule="auto" w:before="46"/>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26" w:lineRule="auto"/>
              <w:ind w:left="23" w:right="-1"/>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东、东华软件股份公司</w:t>
            </w:r>
          </w:p>
        </w:tc>
        <w:tc>
          <w:tcPr>
            <w:tcW w:w="1200"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
              <w:jc w:val="right"/>
              <w:rPr>
                <w:rFonts w:ascii="宋体" w:hAnsi="宋体" w:cs="宋体" w:eastAsia="宋体" w:hint="default"/>
                <w:sz w:val="18"/>
                <w:szCs w:val="18"/>
              </w:rPr>
            </w:pPr>
            <w:r>
              <w:rPr>
                <w:rFonts w:ascii="Calibri" w:hAnsi="Calibri" w:cs="Calibri" w:eastAsia="Calibri" w:hint="default"/>
                <w:sz w:val="18"/>
                <w:szCs w:val="18"/>
              </w:rPr>
              <w:t>1,455,400</w:t>
            </w:r>
            <w:r>
              <w:rPr>
                <w:rFonts w:ascii="Calibri" w:hAnsi="Calibri" w:cs="Calibri" w:eastAsia="Calibri" w:hint="default"/>
                <w:spacing w:val="-1"/>
                <w:sz w:val="18"/>
                <w:szCs w:val="18"/>
              </w:rPr>
              <w:t> </w:t>
            </w:r>
            <w:r>
              <w:rPr>
                <w:rFonts w:ascii="宋体" w:hAnsi="宋体" w:cs="宋体" w:eastAsia="宋体" w:hint="default"/>
                <w:sz w:val="18"/>
                <w:szCs w:val="18"/>
              </w:rPr>
              <w:t>欧元</w:t>
            </w:r>
          </w:p>
        </w:tc>
        <w:tc>
          <w:tcPr>
            <w:tcW w:w="95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1135"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190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28" w:lineRule="auto"/>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中关村科技园区支行</w:t>
            </w:r>
          </w:p>
        </w:tc>
        <w:tc>
          <w:tcPr>
            <w:tcW w:w="177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right"/>
              <w:rPr>
                <w:rFonts w:ascii="Calibri" w:hAnsi="Calibri" w:cs="Calibri" w:eastAsia="Calibri" w:hint="default"/>
                <w:sz w:val="18"/>
                <w:szCs w:val="18"/>
              </w:rPr>
            </w:pPr>
            <w:r>
              <w:rPr>
                <w:rFonts w:ascii="Calibri"/>
                <w:sz w:val="18"/>
              </w:rPr>
              <w:t>6,507,083.20</w:t>
            </w:r>
          </w:p>
        </w:tc>
        <w:tc>
          <w:tcPr>
            <w:tcW w:w="95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329"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b/>
                <w:bCs/>
                <w:sz w:val="18"/>
                <w:szCs w:val="18"/>
              </w:rPr>
              <w:t>东华软件股份公司</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中国民生银行股份有限 公司总行营业部</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东、郭玉梅</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200,000,000.00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4"/>
              <w:jc w:val="right"/>
              <w:rPr>
                <w:rFonts w:ascii="Calibri" w:hAnsi="Calibri" w:cs="Calibri" w:eastAsia="Calibri" w:hint="default"/>
                <w:sz w:val="18"/>
                <w:szCs w:val="18"/>
              </w:rPr>
            </w:pPr>
            <w:r>
              <w:rPr>
                <w:rFonts w:ascii="Calibri"/>
                <w:sz w:val="18"/>
              </w:rPr>
              <w:t>5,594,480.52</w:t>
            </w: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48"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6" w:right="64"/>
              <w:jc w:val="left"/>
              <w:rPr>
                <w:rFonts w:ascii="宋体" w:hAnsi="宋体" w:cs="宋体" w:eastAsia="宋体" w:hint="default"/>
                <w:sz w:val="18"/>
                <w:szCs w:val="18"/>
              </w:rPr>
            </w:pPr>
            <w:r>
              <w:rPr>
                <w:rFonts w:ascii="宋体" w:hAnsi="宋体" w:cs="宋体" w:eastAsia="宋体" w:hint="default"/>
                <w:b/>
                <w:bCs/>
                <w:sz w:val="18"/>
                <w:szCs w:val="18"/>
              </w:rPr>
              <w:t>北京神州新桥科技有限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北京银行股份有限公司 大钟寺支行</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Calibri" w:hAnsi="Calibri" w:cs="Calibri" w:eastAsia="Calibri" w:hint="default"/>
                <w:sz w:val="18"/>
                <w:szCs w:val="18"/>
              </w:rPr>
            </w:pPr>
            <w:r>
              <w:rPr>
                <w:rFonts w:ascii="Calibri"/>
                <w:sz w:val="18"/>
              </w:rPr>
              <w:t>20,000,000.00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Calibri" w:hAnsi="Calibri" w:cs="Calibri" w:eastAsia="Calibri" w:hint="default"/>
                <w:sz w:val="18"/>
                <w:szCs w:val="18"/>
              </w:rPr>
            </w:pPr>
            <w:r>
              <w:rPr>
                <w:rFonts w:ascii="Calibri"/>
                <w:spacing w:val="-1"/>
                <w:sz w:val="18"/>
              </w:rPr>
              <w:t>9,900,000.00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2011-11-25</w:t>
            </w:r>
            <w:r>
              <w:rPr>
                <w:rFonts w:ascii="Calibr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2012-05-25</w:t>
            </w:r>
            <w:r>
              <w:rPr>
                <w:rFonts w:ascii="Calibri"/>
                <w:sz w:val="18"/>
              </w:rPr>
            </w:r>
          </w:p>
        </w:tc>
      </w:tr>
      <w:tr>
        <w:trPr>
          <w:trHeight w:val="338" w:hRule="exact"/>
        </w:trPr>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北京银行股份有限公司</w:t>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7"/>
                <w:sz w:val="18"/>
                <w:szCs w:val="18"/>
              </w:rPr>
              <w:t>张建华先生、张秀珍女</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right"/>
              <w:rPr>
                <w:rFonts w:ascii="Calibri" w:hAnsi="Calibri" w:cs="Calibri" w:eastAsia="Calibri" w:hint="default"/>
                <w:sz w:val="18"/>
                <w:szCs w:val="18"/>
              </w:rPr>
            </w:pPr>
            <w:r>
              <w:rPr>
                <w:rFonts w:ascii="Calibri"/>
                <w:spacing w:val="-1"/>
                <w:sz w:val="18"/>
              </w:rPr>
              <w:t>50,000,000.00</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right"/>
              <w:rPr>
                <w:rFonts w:ascii="Calibri" w:hAnsi="Calibri" w:cs="Calibri" w:eastAsia="Calibri" w:hint="default"/>
                <w:sz w:val="18"/>
                <w:szCs w:val="18"/>
              </w:rPr>
            </w:pPr>
            <w:r>
              <w:rPr>
                <w:rFonts w:ascii="Calibri"/>
                <w:spacing w:val="-1"/>
                <w:sz w:val="18"/>
              </w:rPr>
              <w:t>30,000,000.00</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1"/>
              <w:jc w:val="right"/>
              <w:rPr>
                <w:rFonts w:ascii="Calibri" w:hAnsi="Calibri" w:cs="Calibri" w:eastAsia="Calibri" w:hint="default"/>
                <w:sz w:val="18"/>
                <w:szCs w:val="18"/>
              </w:rPr>
            </w:pPr>
            <w:r>
              <w:rPr>
                <w:rFonts w:ascii="Calibri"/>
                <w:spacing w:val="-1"/>
                <w:sz w:val="18"/>
              </w:rPr>
              <w:t>2011-06-01</w:t>
            </w:r>
            <w:r>
              <w:rPr>
                <w:rFonts w:ascii="Calibri"/>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1"/>
              <w:jc w:val="right"/>
              <w:rPr>
                <w:rFonts w:ascii="Calibri" w:hAnsi="Calibri" w:cs="Calibri" w:eastAsia="Calibri" w:hint="default"/>
                <w:sz w:val="18"/>
                <w:szCs w:val="18"/>
              </w:rPr>
            </w:pPr>
            <w:r>
              <w:rPr>
                <w:rFonts w:ascii="Calibri"/>
                <w:spacing w:val="-1"/>
                <w:sz w:val="18"/>
              </w:rPr>
              <w:t>2012-05-31</w:t>
            </w:r>
            <w:r>
              <w:rPr>
                <w:rFonts w:ascii="Calibri"/>
                <w:sz w:val="18"/>
              </w:rPr>
            </w:r>
          </w:p>
        </w:tc>
      </w:tr>
    </w:tbl>
    <w:p>
      <w:pPr>
        <w:spacing w:after="0" w:line="240" w:lineRule="auto"/>
        <w:jc w:val="right"/>
        <w:rPr>
          <w:rFonts w:ascii="Calibri" w:hAnsi="Calibri" w:cs="Calibri" w:eastAsia="Calibri" w:hint="default"/>
          <w:sz w:val="18"/>
          <w:szCs w:val="18"/>
        </w:rPr>
        <w:sectPr>
          <w:pgSz w:w="12240" w:h="15840"/>
          <w:pgMar w:header="847" w:footer="987" w:top="1360" w:bottom="1180" w:left="1500" w:right="0"/>
        </w:sectPr>
      </w:pPr>
    </w:p>
    <w:p>
      <w:pPr>
        <w:spacing w:line="240" w:lineRule="auto" w:before="1"/>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850"/>
        <w:gridCol w:w="1909"/>
        <w:gridCol w:w="1772"/>
        <w:gridCol w:w="1200"/>
        <w:gridCol w:w="1265"/>
        <w:gridCol w:w="950"/>
        <w:gridCol w:w="900"/>
      </w:tblGrid>
      <w:tr>
        <w:trPr>
          <w:trHeight w:val="350" w:hRule="exact"/>
        </w:trPr>
        <w:tc>
          <w:tcPr>
            <w:tcW w:w="850" w:type="dxa"/>
            <w:tcBorders>
              <w:top w:val="single" w:sz="12" w:space="0" w:color="000000"/>
              <w:left w:val="single" w:sz="4" w:space="0" w:color="000000"/>
              <w:bottom w:val="single" w:sz="12" w:space="0" w:color="000000"/>
              <w:right w:val="single" w:sz="4" w:space="0" w:color="000000"/>
            </w:tcBorders>
          </w:tcPr>
          <w:p>
            <w:pPr/>
          </w:p>
        </w:tc>
        <w:tc>
          <w:tcPr>
            <w:tcW w:w="19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大钟寺支行</w:t>
            </w:r>
          </w:p>
        </w:tc>
        <w:tc>
          <w:tcPr>
            <w:tcW w:w="177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士（反担保）</w:t>
            </w:r>
          </w:p>
        </w:tc>
        <w:tc>
          <w:tcPr>
            <w:tcW w:w="1200" w:type="dxa"/>
            <w:tcBorders>
              <w:top w:val="single" w:sz="12" w:space="0" w:color="000000"/>
              <w:left w:val="single" w:sz="4" w:space="0" w:color="000000"/>
              <w:bottom w:val="single" w:sz="12" w:space="0" w:color="000000"/>
              <w:right w:val="single" w:sz="4" w:space="0" w:color="000000"/>
            </w:tcBorders>
          </w:tcPr>
          <w:p>
            <w:pPr/>
          </w:p>
        </w:tc>
        <w:tc>
          <w:tcPr>
            <w:tcW w:w="1265" w:type="dxa"/>
            <w:tcBorders>
              <w:top w:val="single" w:sz="12" w:space="0" w:color="000000"/>
              <w:left w:val="single" w:sz="4" w:space="0" w:color="000000"/>
              <w:bottom w:val="single" w:sz="12" w:space="0" w:color="000000"/>
              <w:right w:val="single" w:sz="4" w:space="0" w:color="000000"/>
            </w:tcBorders>
          </w:tcPr>
          <w:p>
            <w:pPr/>
          </w:p>
        </w:tc>
        <w:tc>
          <w:tcPr>
            <w:tcW w:w="950" w:type="dxa"/>
            <w:tcBorders>
              <w:top w:val="single" w:sz="12" w:space="0" w:color="000000"/>
              <w:left w:val="single" w:sz="4" w:space="0" w:color="000000"/>
              <w:bottom w:val="single" w:sz="12" w:space="0" w:color="000000"/>
              <w:right w:val="single" w:sz="4" w:space="0" w:color="000000"/>
            </w:tcBorders>
          </w:tcPr>
          <w:p>
            <w:pPr/>
          </w:p>
        </w:tc>
        <w:tc>
          <w:tcPr>
            <w:tcW w:w="900" w:type="dxa"/>
            <w:tcBorders>
              <w:top w:val="single" w:sz="12" w:space="0" w:color="000000"/>
              <w:left w:val="single" w:sz="4" w:space="0" w:color="000000"/>
              <w:bottom w:val="single" w:sz="12" w:space="0" w:color="000000"/>
              <w:right w:val="single" w:sz="4" w:space="0" w:color="000000"/>
            </w:tcBorders>
          </w:tcPr>
          <w:p>
            <w:pPr/>
          </w:p>
        </w:tc>
      </w:tr>
    </w:tbl>
    <w:p>
      <w:pPr>
        <w:pStyle w:val="BodyText"/>
        <w:spacing w:line="276" w:lineRule="exact"/>
        <w:ind w:left="744" w:right="1697"/>
        <w:jc w:val="left"/>
      </w:pPr>
      <w:r>
        <w:rPr/>
        <w:pict>
          <v:group style="position:absolute;margin-left:80.783997pt;margin-top:-18.619995pt;width:450.6pt;height:.1pt;mso-position-horizontal-relative:page;mso-position-vertical-relative:paragraph;z-index:-863320" coordorigin="1616,-372" coordsize="9012,2">
            <v:shape style="position:absolute;left:1616;top:-372;width:9012;height:2" coordorigin="1616,-372" coordsize="9012,0" path="m1616,-372l10627,-372e" filled="false" stroked="true" strokeweight=".71999pt" strokecolor="#000000">
              <v:path arrowok="t"/>
            </v:shape>
            <w10:wrap type="none"/>
          </v:group>
        </w:pict>
      </w:r>
      <w:r>
        <w:rPr/>
        <w:t>关联担保情况说明：</w:t>
      </w:r>
    </w:p>
    <w:p>
      <w:pPr>
        <w:spacing w:line="240" w:lineRule="auto" w:before="10"/>
        <w:rPr>
          <w:rFonts w:ascii="宋体" w:hAnsi="宋体" w:cs="宋体" w:eastAsia="宋体" w:hint="default"/>
          <w:sz w:val="20"/>
          <w:szCs w:val="20"/>
        </w:rPr>
      </w:pPr>
    </w:p>
    <w:p>
      <w:pPr>
        <w:pStyle w:val="BodyText"/>
        <w:spacing w:line="357" w:lineRule="auto"/>
        <w:ind w:right="1781" w:firstLine="479"/>
        <w:jc w:val="both"/>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9</w:t>
      </w:r>
      <w:r>
        <w:rPr>
          <w:rFonts w:ascii="宋体" w:hAnsi="宋体" w:cs="宋体" w:eastAsia="宋体" w:hint="default"/>
          <w:spacing w:val="-63"/>
        </w:rPr>
        <w:t> </w:t>
      </w:r>
      <w:r>
        <w:rPr/>
        <w:t>日，公司股东</w:t>
      </w:r>
      <w:r>
        <w:rPr>
          <w:rFonts w:ascii="宋体" w:hAnsi="宋体" w:cs="宋体" w:eastAsia="宋体" w:hint="default"/>
        </w:rPr>
        <w:t>-</w:t>
      </w:r>
      <w:r>
        <w:rPr/>
        <w:t>北京东华诚信电脑科技发展有限公司、薛向 </w:t>
      </w:r>
      <w:r>
        <w:rPr>
          <w:spacing w:val="-2"/>
        </w:rPr>
        <w:t>东分别与北京银行中关村科技园支行签订《最高额保证合同》，合同规定：北京东华</w:t>
      </w:r>
      <w:r>
        <w:rPr>
          <w:spacing w:val="-118"/>
        </w:rPr>
        <w:t> </w:t>
      </w:r>
      <w:r>
        <w:rPr>
          <w:spacing w:val="-118"/>
        </w:rPr>
      </w:r>
      <w:r>
        <w:rPr>
          <w:spacing w:val="-3"/>
        </w:rPr>
        <w:t>诚信电脑科技发展有限公司、薛向东为本公司与该行签订的编号为“</w:t>
      </w:r>
      <w:r>
        <w:rPr>
          <w:rFonts w:ascii="宋体" w:hAnsi="宋体" w:cs="宋体" w:eastAsia="宋体" w:hint="default"/>
          <w:spacing w:val="-3"/>
        </w:rPr>
        <w:t>2011 </w:t>
      </w:r>
      <w:r>
        <w:rPr/>
        <w:t>年</w:t>
      </w:r>
      <w:r>
        <w:rPr>
          <w:spacing w:val="-89"/>
        </w:rPr>
        <w:t> </w:t>
      </w:r>
      <w:r>
        <w:rPr>
          <w:rFonts w:ascii="宋体" w:hAnsi="宋体" w:cs="宋体" w:eastAsia="宋体" w:hint="default"/>
        </w:rPr>
        <w:t>0103669 </w:t>
      </w:r>
      <w:r>
        <w:rPr>
          <w:spacing w:val="-3"/>
        </w:rPr>
        <w:t>号”的《综合授信合同》提供担保，保证期限为债务履行期限届满之日后两年止。截</w:t>
      </w:r>
      <w:r>
        <w:rPr>
          <w:spacing w:val="-84"/>
        </w:rPr>
        <w:t> </w:t>
      </w:r>
      <w:r>
        <w:rPr>
          <w:spacing w:val="-84"/>
        </w:rPr>
      </w:r>
      <w:r>
        <w:rPr/>
        <w:t>至</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日，公司在该行短期借款余额为人民币</w:t>
      </w:r>
      <w:r>
        <w:rPr>
          <w:spacing w:val="-55"/>
        </w:rPr>
        <w:t> </w:t>
      </w:r>
      <w:r>
        <w:rPr>
          <w:rFonts w:ascii="宋体" w:hAnsi="宋体" w:cs="宋体" w:eastAsia="宋体" w:hint="default"/>
        </w:rPr>
        <w:t>6,500</w:t>
      </w:r>
      <w:r>
        <w:rPr>
          <w:rFonts w:ascii="宋体" w:hAnsi="宋体" w:cs="宋体" w:eastAsia="宋体" w:hint="default"/>
          <w:spacing w:val="-55"/>
        </w:rPr>
        <w:t> </w:t>
      </w:r>
      <w:r>
        <w:rPr/>
        <w:t>万元、应付票据余</w:t>
      </w:r>
    </w:p>
    <w:p>
      <w:pPr>
        <w:pStyle w:val="BodyText"/>
        <w:spacing w:line="240" w:lineRule="auto" w:before="36"/>
        <w:ind w:right="1697"/>
        <w:jc w:val="left"/>
      </w:pPr>
      <w:r>
        <w:rPr/>
        <w:t>额为</w:t>
      </w:r>
      <w:r>
        <w:rPr>
          <w:spacing w:val="-61"/>
        </w:rPr>
        <w:t> </w:t>
      </w:r>
      <w:r>
        <w:rPr>
          <w:rFonts w:ascii="宋体" w:hAnsi="宋体" w:cs="宋体" w:eastAsia="宋体" w:hint="default"/>
        </w:rPr>
        <w:t>68,805,991.00</w:t>
      </w:r>
      <w:r>
        <w:rPr>
          <w:rFonts w:ascii="宋体" w:hAnsi="宋体" w:cs="宋体" w:eastAsia="宋体" w:hint="default"/>
          <w:spacing w:val="-60"/>
        </w:rPr>
        <w:t> </w:t>
      </w:r>
      <w:r>
        <w:rPr/>
        <w:t>元、未结清保函余额为</w:t>
      </w:r>
      <w:r>
        <w:rPr>
          <w:spacing w:val="-60"/>
        </w:rPr>
        <w:t> </w:t>
      </w:r>
      <w:r>
        <w:rPr>
          <w:rFonts w:ascii="宋体" w:hAnsi="宋体" w:cs="宋体" w:eastAsia="宋体" w:hint="default"/>
        </w:rPr>
        <w:t>3,115,365.00</w:t>
      </w:r>
      <w:r>
        <w:rPr>
          <w:rFonts w:ascii="宋体" w:hAnsi="宋体" w:cs="宋体" w:eastAsia="宋体" w:hint="default"/>
          <w:spacing w:val="-60"/>
        </w:rPr>
        <w:t> </w:t>
      </w:r>
      <w:r>
        <w:rPr/>
        <w:t>元。</w:t>
      </w:r>
    </w:p>
    <w:p>
      <w:pPr>
        <w:spacing w:line="240" w:lineRule="auto" w:before="13"/>
        <w:rPr>
          <w:rFonts w:ascii="宋体" w:hAnsi="宋体" w:cs="宋体" w:eastAsia="宋体" w:hint="default"/>
          <w:sz w:val="20"/>
          <w:szCs w:val="20"/>
        </w:rPr>
      </w:pPr>
    </w:p>
    <w:p>
      <w:pPr>
        <w:pStyle w:val="BodyText"/>
        <w:spacing w:line="357" w:lineRule="auto"/>
        <w:ind w:right="1785" w:firstLine="479"/>
        <w:jc w:val="both"/>
      </w:pPr>
      <w:r>
        <w:rPr>
          <w:spacing w:val="-2"/>
        </w:rPr>
        <w:t>（</w:t>
      </w:r>
      <w:r>
        <w:rPr>
          <w:rFonts w:ascii="宋体" w:hAnsi="宋体" w:cs="宋体" w:eastAsia="宋体" w:hint="default"/>
          <w:spacing w:val="-2"/>
        </w:rPr>
        <w:t>2</w:t>
      </w:r>
      <w:r>
        <w:rPr>
          <w:spacing w:val="-2"/>
        </w:rPr>
        <w:t>）公司的全资子公司</w:t>
      </w:r>
      <w:r>
        <w:rPr>
          <w:rFonts w:ascii="宋体" w:hAnsi="宋体" w:cs="宋体" w:eastAsia="宋体" w:hint="default"/>
          <w:spacing w:val="-2"/>
        </w:rPr>
        <w:t>-</w:t>
      </w:r>
      <w:r>
        <w:rPr>
          <w:spacing w:val="-2"/>
        </w:rPr>
        <w:t>北京东华合创科技有限公司与北京银行股份有限公司中</w:t>
      </w:r>
      <w:r>
        <w:rPr/>
        <w:t> </w:t>
      </w:r>
      <w:r>
        <w:rPr>
          <w:spacing w:val="-7"/>
        </w:rPr>
        <w:t>关村科技园区支行签订编号为“</w:t>
      </w:r>
      <w:r>
        <w:rPr>
          <w:rFonts w:ascii="宋体" w:hAnsi="宋体" w:cs="宋体" w:eastAsia="宋体" w:hint="default"/>
          <w:spacing w:val="-7"/>
        </w:rPr>
        <w:t>2011</w:t>
      </w:r>
      <w:r>
        <w:rPr>
          <w:rFonts w:ascii="宋体" w:hAnsi="宋体" w:cs="宋体" w:eastAsia="宋体" w:hint="default"/>
          <w:spacing w:val="-60"/>
        </w:rPr>
        <w:t> </w:t>
      </w:r>
      <w:r>
        <w:rPr/>
        <w:t>年</w:t>
      </w:r>
      <w:r>
        <w:rPr>
          <w:spacing w:val="-60"/>
        </w:rPr>
        <w:t> </w:t>
      </w:r>
      <w:r>
        <w:rPr>
          <w:rFonts w:ascii="宋体" w:hAnsi="宋体" w:cs="宋体" w:eastAsia="宋体" w:hint="default"/>
        </w:rPr>
        <w:t>0099347</w:t>
      </w:r>
      <w:r>
        <w:rPr>
          <w:rFonts w:ascii="宋体" w:hAnsi="宋体" w:cs="宋体" w:eastAsia="宋体" w:hint="default"/>
          <w:spacing w:val="-59"/>
        </w:rPr>
        <w:t> </w:t>
      </w:r>
      <w:r>
        <w:rPr>
          <w:spacing w:val="-18"/>
        </w:rPr>
        <w:t>号”的借款合同占用“</w:t>
      </w:r>
      <w:r>
        <w:rPr>
          <w:rFonts w:ascii="宋体" w:hAnsi="宋体" w:cs="宋体" w:eastAsia="宋体" w:hint="default"/>
          <w:spacing w:val="-18"/>
        </w:rPr>
        <w:t>2011</w:t>
      </w:r>
      <w:r>
        <w:rPr>
          <w:rFonts w:ascii="宋体" w:hAnsi="宋体" w:cs="宋体" w:eastAsia="宋体" w:hint="default"/>
          <w:spacing w:val="-60"/>
        </w:rPr>
        <w:t> </w:t>
      </w:r>
      <w:r>
        <w:rPr/>
        <w:t>年</w:t>
      </w:r>
      <w:r>
        <w:rPr>
          <w:spacing w:val="-60"/>
        </w:rPr>
        <w:t> </w:t>
      </w:r>
      <w:r>
        <w:rPr>
          <w:rFonts w:ascii="宋体" w:hAnsi="宋体" w:cs="宋体" w:eastAsia="宋体" w:hint="default"/>
        </w:rPr>
        <w:t>0103669 </w:t>
      </w:r>
      <w:r>
        <w:rPr>
          <w:spacing w:val="-2"/>
        </w:rPr>
        <w:t>号”《综合授信合同》的授信额度。如（</w:t>
      </w:r>
      <w:r>
        <w:rPr>
          <w:rFonts w:ascii="宋体" w:hAnsi="宋体" w:cs="宋体" w:eastAsia="宋体" w:hint="default"/>
          <w:spacing w:val="-2"/>
        </w:rPr>
        <w:t>1</w:t>
      </w:r>
      <w:r>
        <w:rPr>
          <w:spacing w:val="-2"/>
        </w:rPr>
        <w:t>）所述，公司股东</w:t>
      </w:r>
      <w:r>
        <w:rPr>
          <w:rFonts w:ascii="宋体" w:hAnsi="宋体" w:cs="宋体" w:eastAsia="宋体" w:hint="default"/>
          <w:spacing w:val="-2"/>
        </w:rPr>
        <w:t>-</w:t>
      </w:r>
      <w:r>
        <w:rPr>
          <w:spacing w:val="-2"/>
        </w:rPr>
        <w:t>北京东华诚信电脑科技</w:t>
      </w:r>
      <w:r>
        <w:rPr>
          <w:spacing w:val="-118"/>
        </w:rPr>
        <w:t> </w:t>
      </w:r>
      <w:r>
        <w:rPr>
          <w:spacing w:val="-2"/>
        </w:rPr>
        <w:t>发展有限公司、薛向东为该借款提供担保，同时本公司为北京东华合创科技有限公司</w:t>
      </w:r>
      <w:r>
        <w:rPr>
          <w:spacing w:val="-118"/>
        </w:rPr>
        <w:t> </w:t>
      </w:r>
      <w:r>
        <w:rPr>
          <w:spacing w:val="-118"/>
        </w:rPr>
      </w:r>
      <w:r>
        <w:rPr/>
        <w:t>所占用的授信额度提供保证。截至</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日，北京东华合创科技有限公司</w:t>
      </w:r>
    </w:p>
    <w:p>
      <w:pPr>
        <w:pStyle w:val="BodyText"/>
        <w:spacing w:line="240" w:lineRule="auto" w:before="34"/>
        <w:ind w:right="1697"/>
        <w:jc w:val="left"/>
      </w:pPr>
      <w:r>
        <w:rPr/>
        <w:t>在该行短期借款余额为人民币</w:t>
      </w:r>
      <w:r>
        <w:rPr>
          <w:spacing w:val="-60"/>
        </w:rPr>
        <w:t> </w:t>
      </w:r>
      <w:r>
        <w:rPr>
          <w:rFonts w:ascii="宋体" w:hAnsi="宋体" w:cs="宋体" w:eastAsia="宋体" w:hint="default"/>
        </w:rPr>
        <w:t>900</w:t>
      </w:r>
      <w:r>
        <w:rPr>
          <w:rFonts w:ascii="宋体" w:hAnsi="宋体" w:cs="宋体" w:eastAsia="宋体" w:hint="default"/>
          <w:spacing w:val="-60"/>
        </w:rPr>
        <w:t> </w:t>
      </w:r>
      <w:r>
        <w:rPr/>
        <w:t>万元。</w:t>
      </w:r>
    </w:p>
    <w:p>
      <w:pPr>
        <w:spacing w:line="240" w:lineRule="auto" w:before="13"/>
        <w:rPr>
          <w:rFonts w:ascii="宋体" w:hAnsi="宋体" w:cs="宋体" w:eastAsia="宋体" w:hint="default"/>
          <w:sz w:val="20"/>
          <w:szCs w:val="20"/>
        </w:rPr>
      </w:pPr>
    </w:p>
    <w:p>
      <w:pPr>
        <w:pStyle w:val="BodyText"/>
        <w:spacing w:line="357" w:lineRule="auto"/>
        <w:ind w:right="1665" w:firstLine="479"/>
        <w:jc w:val="both"/>
      </w:pPr>
      <w:r>
        <w:rPr>
          <w:spacing w:val="-3"/>
        </w:rPr>
        <w:t>（</w:t>
      </w:r>
      <w:r>
        <w:rPr>
          <w:rFonts w:ascii="宋体" w:hAnsi="宋体" w:cs="宋体" w:eastAsia="宋体" w:hint="default"/>
          <w:spacing w:val="-3"/>
        </w:rPr>
        <w:t>3</w:t>
      </w:r>
      <w:r>
        <w:rPr>
          <w:spacing w:val="-3"/>
        </w:rPr>
        <w:t>）如（</w:t>
      </w:r>
      <w:r>
        <w:rPr>
          <w:rFonts w:ascii="宋体" w:hAnsi="宋体" w:cs="宋体" w:eastAsia="宋体" w:hint="default"/>
          <w:spacing w:val="-3"/>
        </w:rPr>
        <w:t>1</w:t>
      </w:r>
      <w:r>
        <w:rPr>
          <w:spacing w:val="-3"/>
        </w:rPr>
        <w:t>）所述，北京东华诚信电脑科技发展有限公司、薛向东为本公司与该</w:t>
      </w:r>
      <w:r>
        <w:rPr/>
        <w:t> 行签订的编号为“</w:t>
      </w:r>
      <w:r>
        <w:rPr>
          <w:rFonts w:ascii="宋体" w:hAnsi="宋体" w:cs="宋体" w:eastAsia="宋体" w:hint="default"/>
        </w:rPr>
        <w:t>2011 </w:t>
      </w:r>
      <w:r>
        <w:rPr/>
        <w:t>年 </w:t>
      </w:r>
      <w:r>
        <w:rPr>
          <w:rFonts w:ascii="宋体" w:hAnsi="宋体" w:cs="宋体" w:eastAsia="宋体" w:hint="default"/>
        </w:rPr>
        <w:t>0103669</w:t>
      </w:r>
      <w:r>
        <w:rPr>
          <w:rFonts w:ascii="宋体" w:hAnsi="宋体" w:cs="宋体" w:eastAsia="宋体" w:hint="default"/>
          <w:spacing w:val="-72"/>
        </w:rPr>
        <w:t> </w:t>
      </w:r>
      <w:r>
        <w:rPr/>
        <w:t>号”的《综合授信合同》提供担保，此授信合同 规定公司的全资子公司</w:t>
      </w:r>
      <w:r>
        <w:rPr>
          <w:rFonts w:ascii="宋体" w:hAnsi="宋体" w:cs="宋体" w:eastAsia="宋体" w:hint="default"/>
        </w:rPr>
        <w:t>-</w:t>
      </w:r>
      <w:r>
        <w:rPr/>
        <w:t>北京联银通科技有限公司在北京银行的人民币贷款、开立的</w:t>
      </w:r>
      <w:r>
        <w:rPr>
          <w:spacing w:val="-76"/>
        </w:rPr>
        <w:t> </w:t>
      </w:r>
      <w:r>
        <w:rPr>
          <w:spacing w:val="-76"/>
        </w:rPr>
      </w:r>
      <w:r>
        <w:rPr/>
        <w:t>保函和信用证占用“</w:t>
      </w:r>
      <w:r>
        <w:rPr>
          <w:rFonts w:ascii="宋体" w:hAnsi="宋体" w:cs="宋体" w:eastAsia="宋体" w:hint="default"/>
        </w:rPr>
        <w:t>2011 </w:t>
      </w:r>
      <w:r>
        <w:rPr/>
        <w:t>年 </w:t>
      </w:r>
      <w:r>
        <w:rPr>
          <w:rFonts w:ascii="宋体" w:hAnsi="宋体" w:cs="宋体" w:eastAsia="宋体" w:hint="default"/>
        </w:rPr>
        <w:t>0103669</w:t>
      </w:r>
      <w:r>
        <w:rPr>
          <w:rFonts w:ascii="宋体" w:hAnsi="宋体" w:cs="宋体" w:eastAsia="宋体" w:hint="default"/>
          <w:spacing w:val="-72"/>
        </w:rPr>
        <w:t> </w:t>
      </w:r>
      <w:r>
        <w:rPr/>
        <w:t>号”《综合授信合同》的授信额度，同时本公 </w:t>
      </w:r>
      <w:r>
        <w:rPr>
          <w:spacing w:val="-3"/>
        </w:rPr>
        <w:t>司为北京联银通科技有限公司所占用的授信额度提供保证。截至</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w:t>
      </w:r>
    </w:p>
    <w:p>
      <w:pPr>
        <w:pStyle w:val="BodyText"/>
        <w:spacing w:line="240" w:lineRule="auto" w:before="34"/>
        <w:ind w:right="1697"/>
        <w:jc w:val="left"/>
      </w:pPr>
      <w:r>
        <w:rPr/>
        <w:t>北京联银通科技有限公司在该行的未结清保函余额为 </w:t>
      </w:r>
      <w:r>
        <w:rPr>
          <w:rFonts w:ascii="宋体" w:hAnsi="宋体" w:cs="宋体" w:eastAsia="宋体" w:hint="default"/>
        </w:rPr>
        <w:t>6,507,083.20</w:t>
      </w:r>
      <w:r>
        <w:rPr>
          <w:rFonts w:ascii="宋体" w:hAnsi="宋体" w:cs="宋体" w:eastAsia="宋体" w:hint="default"/>
          <w:spacing w:val="-72"/>
        </w:rPr>
        <w:t> </w:t>
      </w:r>
      <w:r>
        <w:rPr/>
        <w:t>元、信用证余额</w:t>
      </w:r>
    </w:p>
    <w:p>
      <w:pPr>
        <w:pStyle w:val="BodyText"/>
        <w:spacing w:line="240" w:lineRule="auto" w:before="154"/>
        <w:ind w:right="1697"/>
        <w:jc w:val="left"/>
      </w:pPr>
      <w:r>
        <w:rPr/>
        <w:t>为</w:t>
      </w:r>
      <w:r>
        <w:rPr>
          <w:spacing w:val="-60"/>
        </w:rPr>
        <w:t> </w:t>
      </w:r>
      <w:r>
        <w:rPr>
          <w:rFonts w:ascii="宋体" w:hAnsi="宋体" w:cs="宋体" w:eastAsia="宋体" w:hint="default"/>
        </w:rPr>
        <w:t>145.54</w:t>
      </w:r>
      <w:r>
        <w:rPr>
          <w:rFonts w:ascii="宋体" w:hAnsi="宋体" w:cs="宋体" w:eastAsia="宋体" w:hint="default"/>
          <w:spacing w:val="-61"/>
        </w:rPr>
        <w:t> </w:t>
      </w:r>
      <w:r>
        <w:rPr/>
        <w:t>万欧元。</w:t>
      </w:r>
    </w:p>
    <w:p>
      <w:pPr>
        <w:spacing w:line="240" w:lineRule="auto" w:before="10"/>
        <w:rPr>
          <w:rFonts w:ascii="宋体" w:hAnsi="宋体" w:cs="宋体" w:eastAsia="宋体" w:hint="default"/>
          <w:sz w:val="20"/>
          <w:szCs w:val="20"/>
        </w:rPr>
      </w:pPr>
    </w:p>
    <w:p>
      <w:pPr>
        <w:pStyle w:val="BodyText"/>
        <w:spacing w:line="357" w:lineRule="auto"/>
        <w:ind w:right="1665" w:firstLine="479"/>
        <w:jc w:val="left"/>
      </w:pPr>
      <w:r>
        <w:rPr/>
        <w:t>（</w:t>
      </w: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t>月</w:t>
      </w:r>
      <w:r>
        <w:rPr>
          <w:spacing w:val="-63"/>
        </w:rPr>
        <w:t> </w:t>
      </w:r>
      <w:r>
        <w:rPr>
          <w:rFonts w:ascii="宋体" w:hAnsi="宋体" w:cs="宋体" w:eastAsia="宋体" w:hint="default"/>
        </w:rPr>
        <w:t>20</w:t>
      </w:r>
      <w:r>
        <w:rPr>
          <w:rFonts w:ascii="宋体" w:hAnsi="宋体" w:cs="宋体" w:eastAsia="宋体" w:hint="default"/>
          <w:spacing w:val="-63"/>
        </w:rPr>
        <w:t> </w:t>
      </w:r>
      <w:r>
        <w:rPr/>
        <w:t>日，公司股东</w:t>
      </w:r>
      <w:r>
        <w:rPr>
          <w:rFonts w:ascii="宋体" w:hAnsi="宋体" w:cs="宋体" w:eastAsia="宋体" w:hint="default"/>
        </w:rPr>
        <w:t>-</w:t>
      </w:r>
      <w:r>
        <w:rPr/>
        <w:t>北京东华诚信电脑科技发展有限公司、薛向 </w:t>
      </w:r>
      <w:r>
        <w:rPr>
          <w:spacing w:val="-2"/>
        </w:rPr>
        <w:t>东及妻子</w:t>
      </w:r>
      <w:r>
        <w:rPr>
          <w:rFonts w:ascii="宋体" w:hAnsi="宋体" w:cs="宋体" w:eastAsia="宋体" w:hint="default"/>
          <w:spacing w:val="-2"/>
        </w:rPr>
        <w:t>-</w:t>
      </w:r>
      <w:r>
        <w:rPr>
          <w:spacing w:val="-2"/>
        </w:rPr>
        <w:t>郭玉梅分别与中国民生银行股份公司签订《最高额保证合同》，合同规定：</w:t>
      </w:r>
      <w:r>
        <w:rPr>
          <w:spacing w:val="-117"/>
        </w:rPr>
        <w:t> </w:t>
      </w:r>
      <w:r>
        <w:rPr>
          <w:spacing w:val="-117"/>
        </w:rPr>
      </w:r>
      <w:r>
        <w:rPr/>
        <w:t>北京东华诚信电脑科技发展有限公司、薛向东、郭玉梅为本公司与该行签订的编号为</w:t>
      </w:r>
      <w:r>
        <w:rPr/>
        <w:t> “公授信字第 </w:t>
      </w:r>
      <w:r>
        <w:rPr>
          <w:rFonts w:ascii="宋体" w:hAnsi="宋体" w:cs="宋体" w:eastAsia="宋体" w:hint="default"/>
        </w:rPr>
        <w:t>01052011289601</w:t>
      </w:r>
      <w:r>
        <w:rPr>
          <w:rFonts w:ascii="宋体" w:hAnsi="宋体" w:cs="宋体" w:eastAsia="宋体" w:hint="default"/>
          <w:spacing w:val="-72"/>
        </w:rPr>
        <w:t> </w:t>
      </w:r>
      <w:r>
        <w:rPr/>
        <w:t>号”的《综合授信合同》提供担保，保证期限为债务</w:t>
      </w:r>
    </w:p>
    <w:p>
      <w:pPr>
        <w:pStyle w:val="BodyText"/>
        <w:spacing w:line="240" w:lineRule="auto" w:before="36"/>
        <w:ind w:right="1697"/>
        <w:jc w:val="left"/>
      </w:pPr>
      <w:r>
        <w:rPr/>
        <w:t>履行期限届满之日后两年止。截至</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日，公司在该行未结清保函余额</w:t>
      </w:r>
    </w:p>
    <w:p>
      <w:pPr>
        <w:pStyle w:val="BodyText"/>
        <w:spacing w:line="240" w:lineRule="auto" w:before="151"/>
        <w:ind w:right="1697"/>
        <w:jc w:val="left"/>
      </w:pPr>
      <w:r>
        <w:rPr/>
        <w:t>为</w:t>
      </w:r>
      <w:r>
        <w:rPr>
          <w:spacing w:val="-60"/>
        </w:rPr>
        <w:t> </w:t>
      </w:r>
      <w:r>
        <w:rPr>
          <w:rFonts w:ascii="宋体" w:hAnsi="宋体" w:cs="宋体" w:eastAsia="宋体" w:hint="default"/>
        </w:rPr>
        <w:t>5,594,480.52</w:t>
      </w:r>
      <w:r>
        <w:rPr>
          <w:rFonts w:ascii="宋体" w:hAnsi="宋体" w:cs="宋体" w:eastAsia="宋体" w:hint="default"/>
          <w:spacing w:val="-61"/>
        </w:rPr>
        <w:t> </w:t>
      </w:r>
      <w:r>
        <w:rPr/>
        <w:t>元。</w:t>
      </w:r>
    </w:p>
    <w:p>
      <w:pPr>
        <w:spacing w:after="0" w:line="240" w:lineRule="auto"/>
        <w:jc w:val="left"/>
        <w:sectPr>
          <w:headerReference w:type="even" r:id="rId56"/>
          <w:headerReference w:type="default" r:id="rId57"/>
          <w:footerReference w:type="even" r:id="rId58"/>
          <w:footerReference w:type="default" r:id="rId59"/>
          <w:pgSz w:w="12240" w:h="15840"/>
          <w:pgMar w:header="850" w:footer="987" w:top="1360" w:bottom="1180" w:left="1500" w:right="0"/>
          <w:pgNumType w:start="80"/>
        </w:sectPr>
      </w:pPr>
    </w:p>
    <w:p>
      <w:pPr>
        <w:pStyle w:val="BodyText"/>
        <w:spacing w:line="357" w:lineRule="auto" w:before="11"/>
        <w:ind w:left="964" w:right="1781" w:firstLine="479"/>
        <w:jc w:val="both"/>
      </w:pPr>
      <w:r>
        <w:rPr/>
        <w:pict>
          <v:group style="position:absolute;margin-left:80.783997pt;margin-top:1.845647pt;width:450.6pt;height:.1pt;mso-position-horizontal-relative:page;mso-position-vertical-relative:paragraph;z-index:-863296" coordorigin="1616,37" coordsize="9012,2">
            <v:shape style="position:absolute;left:1616;top:37;width:9012;height:2" coordorigin="1616,37" coordsize="9012,0" path="m1616,37l10627,37e" filled="false" stroked="true" strokeweight=".71999pt" strokecolor="#000000">
              <v:path arrowok="t"/>
            </v:shape>
            <w10:wrap type="none"/>
          </v:group>
        </w:pict>
      </w:r>
      <w:r>
        <w:rPr/>
        <w:t>（</w:t>
      </w: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39"/>
        </w:rPr>
        <w:t> </w:t>
      </w:r>
      <w:r>
        <w:rPr/>
        <w:t>年</w:t>
      </w:r>
      <w:r>
        <w:rPr>
          <w:spacing w:val="-38"/>
        </w:rPr>
        <w:t> </w:t>
      </w:r>
      <w:r>
        <w:rPr>
          <w:rFonts w:ascii="宋体" w:hAnsi="宋体" w:cs="宋体" w:eastAsia="宋体" w:hint="default"/>
        </w:rPr>
        <w:t>11</w:t>
      </w:r>
      <w:r>
        <w:rPr>
          <w:rFonts w:ascii="宋体" w:hAnsi="宋体" w:cs="宋体" w:eastAsia="宋体" w:hint="default"/>
          <w:spacing w:val="-39"/>
        </w:rPr>
        <w:t> </w:t>
      </w:r>
      <w:r>
        <w:rPr/>
        <w:t>月</w:t>
      </w:r>
      <w:r>
        <w:rPr>
          <w:spacing w:val="-39"/>
        </w:rPr>
        <w:t> </w:t>
      </w:r>
      <w:r>
        <w:rPr>
          <w:rFonts w:ascii="宋体" w:hAnsi="宋体" w:cs="宋体" w:eastAsia="宋体" w:hint="default"/>
        </w:rPr>
        <w:t>7</w:t>
      </w:r>
      <w:r>
        <w:rPr>
          <w:rFonts w:ascii="宋体" w:hAnsi="宋体" w:cs="宋体" w:eastAsia="宋体" w:hint="default"/>
          <w:spacing w:val="-39"/>
        </w:rPr>
        <w:t> </w:t>
      </w:r>
      <w:r>
        <w:rPr/>
        <w:t>日</w:t>
      </w:r>
      <w:r>
        <w:rPr>
          <w:rFonts w:ascii="宋体" w:hAnsi="宋体" w:cs="宋体" w:eastAsia="宋体" w:hint="default"/>
        </w:rPr>
        <w:t>, </w:t>
      </w:r>
      <w:r>
        <w:rPr/>
        <w:t>公司与北京银行股份有限公司大钟寺支行签订编号为 “</w:t>
      </w:r>
      <w:r>
        <w:rPr>
          <w:rFonts w:ascii="宋体" w:hAnsi="宋体" w:cs="宋体" w:eastAsia="宋体" w:hint="default"/>
        </w:rPr>
        <w:t>2011</w:t>
      </w:r>
      <w:r>
        <w:rPr>
          <w:rFonts w:ascii="宋体" w:hAnsi="宋体" w:cs="宋体" w:eastAsia="宋体" w:hint="default"/>
          <w:spacing w:val="-66"/>
        </w:rPr>
        <w:t> </w:t>
      </w:r>
      <w:r>
        <w:rPr/>
        <w:t>年</w:t>
      </w:r>
      <w:r>
        <w:rPr>
          <w:spacing w:val="-65"/>
        </w:rPr>
        <w:t> </w:t>
      </w:r>
      <w:r>
        <w:rPr>
          <w:rFonts w:ascii="宋体" w:hAnsi="宋体" w:cs="宋体" w:eastAsia="宋体" w:hint="default"/>
        </w:rPr>
        <w:t>0106006</w:t>
      </w:r>
      <w:r>
        <w:rPr>
          <w:rFonts w:ascii="宋体" w:hAnsi="宋体" w:cs="宋体" w:eastAsia="宋体" w:hint="default"/>
          <w:spacing w:val="-65"/>
        </w:rPr>
        <w:t> </w:t>
      </w:r>
      <w:r>
        <w:rPr/>
        <w:t>号”的《最高额保证合同》。该合同规定：公司为全资子公司</w:t>
      </w:r>
      <w:r>
        <w:rPr>
          <w:rFonts w:ascii="宋体" w:hAnsi="宋体" w:cs="宋体" w:eastAsia="宋体" w:hint="default"/>
        </w:rPr>
        <w:t>-</w:t>
      </w:r>
      <w:r>
        <w:rPr/>
        <w:t>北 京神州新桥科技有限公司与该行签订的编号为“</w:t>
      </w:r>
      <w:r>
        <w:rPr>
          <w:rFonts w:ascii="宋体" w:hAnsi="宋体" w:cs="宋体" w:eastAsia="宋体" w:hint="default"/>
        </w:rPr>
        <w:t>2011 </w:t>
      </w:r>
      <w:r>
        <w:rPr/>
        <w:t>年 </w:t>
      </w:r>
      <w:r>
        <w:rPr>
          <w:rFonts w:ascii="宋体" w:hAnsi="宋体" w:cs="宋体" w:eastAsia="宋体" w:hint="default"/>
        </w:rPr>
        <w:t>0106006</w:t>
      </w:r>
      <w:r>
        <w:rPr>
          <w:rFonts w:ascii="宋体" w:hAnsi="宋体" w:cs="宋体" w:eastAsia="宋体" w:hint="default"/>
          <w:spacing w:val="-72"/>
        </w:rPr>
        <w:t> </w:t>
      </w:r>
      <w:r>
        <w:rPr/>
        <w:t>号”的《综合授信 合同》提供担保，担保期限为债务履行期限届满之日后两年止。截至 </w:t>
      </w:r>
      <w:r>
        <w:rPr>
          <w:rFonts w:ascii="宋体" w:hAnsi="宋体" w:cs="宋体" w:eastAsia="宋体" w:hint="default"/>
        </w:rPr>
        <w:t>2011 </w:t>
      </w:r>
      <w:r>
        <w:rPr/>
        <w:t>年 </w:t>
      </w:r>
      <w:r>
        <w:rPr>
          <w:rFonts w:ascii="宋体" w:hAnsi="宋体" w:cs="宋体" w:eastAsia="宋体" w:hint="default"/>
        </w:rPr>
        <w:t>12</w:t>
      </w:r>
      <w:r>
        <w:rPr>
          <w:rFonts w:ascii="宋体" w:hAnsi="宋体" w:cs="宋体" w:eastAsia="宋体" w:hint="default"/>
          <w:spacing w:val="-70"/>
        </w:rPr>
        <w:t> </w:t>
      </w:r>
      <w:r>
        <w:rPr/>
        <w:t>月</w:t>
      </w:r>
    </w:p>
    <w:p>
      <w:pPr>
        <w:pStyle w:val="BodyText"/>
        <w:spacing w:line="240" w:lineRule="auto" w:before="36"/>
        <w:ind w:left="964" w:right="0"/>
        <w:jc w:val="left"/>
      </w:pPr>
      <w:r>
        <w:rPr>
          <w:rFonts w:ascii="宋体" w:hAnsi="宋体" w:cs="宋体" w:eastAsia="宋体" w:hint="default"/>
        </w:rPr>
        <w:t>31</w:t>
      </w:r>
      <w:r>
        <w:rPr>
          <w:rFonts w:ascii="宋体" w:hAnsi="宋体" w:cs="宋体" w:eastAsia="宋体" w:hint="default"/>
          <w:spacing w:val="-60"/>
        </w:rPr>
        <w:t> </w:t>
      </w:r>
      <w:r>
        <w:rPr/>
        <w:t>日，北京神州新桥科技有限公司在该行短期借款余额为人民币</w:t>
      </w:r>
      <w:r>
        <w:rPr>
          <w:spacing w:val="-59"/>
        </w:rPr>
        <w:t> </w:t>
      </w:r>
      <w:r>
        <w:rPr>
          <w:rFonts w:ascii="宋体" w:hAnsi="宋体" w:cs="宋体" w:eastAsia="宋体" w:hint="default"/>
        </w:rPr>
        <w:t>990</w:t>
      </w:r>
      <w:r>
        <w:rPr>
          <w:rFonts w:ascii="宋体" w:hAnsi="宋体" w:cs="宋体" w:eastAsia="宋体" w:hint="default"/>
          <w:spacing w:val="-60"/>
        </w:rPr>
        <w:t> </w:t>
      </w:r>
      <w:r>
        <w:rPr/>
        <w:t>万元。</w:t>
      </w:r>
    </w:p>
    <w:p>
      <w:pPr>
        <w:spacing w:line="240" w:lineRule="auto" w:before="10"/>
        <w:rPr>
          <w:rFonts w:ascii="宋体" w:hAnsi="宋体" w:cs="宋体" w:eastAsia="宋体" w:hint="default"/>
          <w:sz w:val="20"/>
          <w:szCs w:val="20"/>
        </w:rPr>
      </w:pPr>
    </w:p>
    <w:p>
      <w:pPr>
        <w:pStyle w:val="BodyText"/>
        <w:spacing w:line="357" w:lineRule="auto"/>
        <w:ind w:left="964" w:right="1781" w:firstLine="479"/>
        <w:jc w:val="both"/>
      </w:pPr>
      <w:r>
        <w:rPr/>
        <w:t>（</w:t>
      </w: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3"/>
        </w:rPr>
        <w:t> </w:t>
      </w:r>
      <w:r>
        <w:rPr/>
        <w:t>日，公司股东</w:t>
      </w:r>
      <w:r>
        <w:rPr>
          <w:rFonts w:ascii="宋体" w:hAnsi="宋体" w:cs="宋体" w:eastAsia="宋体" w:hint="default"/>
        </w:rPr>
        <w:t>-</w:t>
      </w:r>
      <w:r>
        <w:rPr/>
        <w:t>张建华先生、张秀珍女士及其家庭成员</w:t>
      </w:r>
      <w:r>
        <w:rPr>
          <w:rFonts w:ascii="宋体" w:hAnsi="宋体" w:cs="宋体" w:eastAsia="宋体" w:hint="default"/>
        </w:rPr>
        <w:t>-</w:t>
      </w:r>
      <w:r>
        <w:rPr/>
        <w:t>乔迁 先生与北京中关村科技担保有限公司签订编号为“</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BZ0155</w:t>
      </w:r>
      <w:r>
        <w:rPr>
          <w:rFonts w:ascii="宋体" w:hAnsi="宋体" w:cs="宋体" w:eastAsia="宋体" w:hint="default"/>
          <w:spacing w:val="-65"/>
        </w:rPr>
        <w:t> </w:t>
      </w:r>
      <w:r>
        <w:rPr/>
        <w:t>号”的《最高额反 </w:t>
      </w:r>
      <w:r>
        <w:rPr>
          <w:spacing w:val="-2"/>
        </w:rPr>
        <w:t>担保（保证）合同》。该合同规定：张建华先生、张秀珍女士及乔迁先生共同为公司</w:t>
      </w:r>
      <w:r>
        <w:rPr/>
        <w:t> 的全资子公司</w:t>
      </w:r>
      <w:r>
        <w:rPr>
          <w:rFonts w:ascii="宋体" w:hAnsi="宋体" w:cs="宋体" w:eastAsia="宋体" w:hint="default"/>
        </w:rPr>
        <w:t>-</w:t>
      </w:r>
      <w:r>
        <w:rPr/>
        <w:t>北京神州新桥科技有限公司与北京中关村科技担保有限公司签订的编</w:t>
      </w:r>
      <w:r>
        <w:rPr>
          <w:spacing w:val="-76"/>
        </w:rPr>
        <w:t> </w:t>
      </w:r>
      <w:r>
        <w:rPr>
          <w:spacing w:val="-76"/>
        </w:rPr>
      </w:r>
      <w:r>
        <w:rPr/>
        <w:t>号为“</w:t>
      </w:r>
      <w:r>
        <w:rPr>
          <w:rFonts w:ascii="宋体" w:hAnsi="宋体" w:cs="宋体" w:eastAsia="宋体" w:hint="default"/>
        </w:rPr>
        <w:t>2011</w:t>
      </w:r>
      <w:r>
        <w:rPr>
          <w:rFonts w:ascii="宋体" w:hAnsi="宋体" w:cs="宋体" w:eastAsia="宋体" w:hint="default"/>
          <w:spacing w:val="-33"/>
        </w:rPr>
        <w:t> </w:t>
      </w:r>
      <w:r>
        <w:rPr/>
        <w:t>年</w:t>
      </w:r>
      <w:r>
        <w:rPr>
          <w:spacing w:val="-33"/>
        </w:rPr>
        <w:t> </w:t>
      </w:r>
      <w:r>
        <w:rPr>
          <w:rFonts w:ascii="宋体" w:hAnsi="宋体" w:cs="宋体" w:eastAsia="宋体" w:hint="default"/>
        </w:rPr>
        <w:t>WT0155</w:t>
      </w:r>
      <w:r>
        <w:rPr>
          <w:rFonts w:ascii="宋体" w:hAnsi="宋体" w:cs="宋体" w:eastAsia="宋体" w:hint="default"/>
          <w:spacing w:val="-34"/>
        </w:rPr>
        <w:t> </w:t>
      </w:r>
      <w:r>
        <w:rPr/>
        <w:t>号”的《委托保证合同》提供反担保，担保期限为</w:t>
      </w:r>
      <w:r>
        <w:rPr>
          <w:spacing w:val="-32"/>
        </w:rPr>
        <w:t> </w:t>
      </w:r>
      <w:r>
        <w:rPr>
          <w:rFonts w:ascii="宋体" w:hAnsi="宋体" w:cs="宋体" w:eastAsia="宋体" w:hint="default"/>
        </w:rPr>
        <w:t>2011</w:t>
      </w:r>
      <w:r>
        <w:rPr>
          <w:rFonts w:ascii="宋体" w:hAnsi="宋体" w:cs="宋体" w:eastAsia="宋体" w:hint="default"/>
          <w:spacing w:val="-33"/>
        </w:rPr>
        <w:t> </w:t>
      </w:r>
      <w:r>
        <w:rPr/>
        <w:t>年</w:t>
      </w:r>
      <w:r>
        <w:rPr>
          <w:spacing w:val="-33"/>
        </w:rPr>
        <w:t> </w:t>
      </w:r>
      <w:r>
        <w:rPr>
          <w:rFonts w:ascii="宋体" w:hAnsi="宋体" w:cs="宋体" w:eastAsia="宋体" w:hint="default"/>
        </w:rPr>
        <w:t>6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日至</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6"/>
        </w:rPr>
        <w:t> </w:t>
      </w:r>
      <w:r>
        <w:rPr>
          <w:rFonts w:ascii="宋体" w:hAnsi="宋体" w:cs="宋体" w:eastAsia="宋体" w:hint="default"/>
        </w:rPr>
        <w:t>5</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8"/>
        </w:rPr>
        <w:t> </w:t>
      </w:r>
      <w:r>
        <w:rPr/>
        <w:t>日止。截至</w:t>
      </w:r>
      <w:r>
        <w:rPr>
          <w:spacing w:val="-58"/>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日，北京神州新桥科技有限公</w:t>
      </w:r>
    </w:p>
    <w:p>
      <w:pPr>
        <w:pStyle w:val="BodyText"/>
        <w:spacing w:line="240" w:lineRule="auto" w:before="36"/>
        <w:ind w:left="964" w:right="0"/>
        <w:jc w:val="left"/>
      </w:pPr>
      <w:r>
        <w:rPr/>
        <w:t>司在该行的短期借款余额为人民币</w:t>
      </w:r>
      <w:r>
        <w:rPr>
          <w:spacing w:val="-60"/>
        </w:rPr>
        <w:t> </w:t>
      </w:r>
      <w:r>
        <w:rPr>
          <w:rFonts w:ascii="宋体" w:hAnsi="宋体" w:cs="宋体" w:eastAsia="宋体" w:hint="default"/>
        </w:rPr>
        <w:t>3,000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left="964" w:right="0"/>
        <w:jc w:val="left"/>
        <w:rPr>
          <w:b w:val="0"/>
          <w:bCs w:val="0"/>
        </w:rPr>
      </w:pPr>
      <w:r>
        <w:rPr/>
        <w:t>八、公司重大合同及其履行情况</w:t>
      </w:r>
      <w:r>
        <w:rPr>
          <w:b w:val="0"/>
          <w:bCs w:val="0"/>
        </w:rPr>
      </w:r>
    </w:p>
    <w:p>
      <w:pPr>
        <w:spacing w:line="240" w:lineRule="auto" w:before="10"/>
        <w:rPr>
          <w:rFonts w:ascii="黑体" w:hAnsi="黑体" w:cs="黑体" w:eastAsia="黑体" w:hint="default"/>
          <w:b/>
          <w:bCs/>
          <w:sz w:val="22"/>
          <w:szCs w:val="22"/>
        </w:rPr>
      </w:pPr>
    </w:p>
    <w:p>
      <w:pPr>
        <w:pStyle w:val="Heading3"/>
        <w:spacing w:line="240" w:lineRule="auto"/>
        <w:ind w:left="964" w:right="0"/>
        <w:jc w:val="left"/>
        <w:rPr>
          <w:b w:val="0"/>
          <w:bCs w:val="0"/>
        </w:rPr>
      </w:pPr>
      <w:r>
        <w:rPr/>
        <w:t>（一）托管、承包、租赁资产事项</w:t>
      </w:r>
      <w:r>
        <w:rPr>
          <w:b w:val="0"/>
          <w:bCs w:val="0"/>
        </w:rPr>
      </w:r>
    </w:p>
    <w:p>
      <w:pPr>
        <w:pStyle w:val="BodyText"/>
        <w:spacing w:line="355" w:lineRule="auto" w:before="124"/>
        <w:ind w:left="964" w:right="1713" w:firstLine="479"/>
        <w:jc w:val="both"/>
      </w:pPr>
      <w:r>
        <w:rPr/>
        <w:t>报告期内，公司未发生且没有以前期间发生但延续到报告期的重大托管、承包、 租赁其他公司资产或其他公司托管、承包、租赁公司资产的事项。</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850" w:footer="987" w:top="1360" w:bottom="1180" w:left="680" w:right="0"/>
        </w:sectPr>
      </w:pPr>
    </w:p>
    <w:p>
      <w:pPr>
        <w:pStyle w:val="Heading3"/>
        <w:spacing w:line="240" w:lineRule="auto" w:before="19"/>
        <w:ind w:left="964" w:right="0"/>
        <w:jc w:val="left"/>
        <w:rPr>
          <w:b w:val="0"/>
          <w:bCs w:val="0"/>
        </w:rPr>
      </w:pPr>
      <w:r>
        <w:rPr>
          <w:w w:val="95"/>
        </w:rPr>
        <w:t>（二）重大担保</w:t>
      </w:r>
      <w:r>
        <w:rPr>
          <w:b w:val="0"/>
          <w:bCs w:val="0"/>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4"/>
        <w:rPr>
          <w:rFonts w:ascii="黑体" w:hAnsi="黑体" w:cs="黑体" w:eastAsia="黑体" w:hint="default"/>
          <w:b/>
          <w:bCs/>
          <w:sz w:val="17"/>
          <w:szCs w:val="17"/>
        </w:rPr>
      </w:pPr>
    </w:p>
    <w:p>
      <w:pPr>
        <w:spacing w:before="0"/>
        <w:ind w:left="96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2240" w:h="15840"/>
          <w:pgMar w:top="1500" w:bottom="0" w:left="680" w:right="0"/>
          <w:cols w:num="2" w:equalWidth="0">
            <w:col w:w="2790" w:space="5113"/>
            <w:col w:w="3657"/>
          </w:cols>
        </w:sectPr>
      </w:pP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25"/>
        <w:gridCol w:w="720"/>
        <w:gridCol w:w="839"/>
        <w:gridCol w:w="413"/>
        <w:gridCol w:w="142"/>
        <w:gridCol w:w="155"/>
        <w:gridCol w:w="1003"/>
        <w:gridCol w:w="556"/>
        <w:gridCol w:w="413"/>
        <w:gridCol w:w="409"/>
        <w:gridCol w:w="584"/>
        <w:gridCol w:w="437"/>
        <w:gridCol w:w="566"/>
        <w:gridCol w:w="579"/>
        <w:gridCol w:w="260"/>
        <w:gridCol w:w="862"/>
        <w:gridCol w:w="155"/>
        <w:gridCol w:w="556"/>
        <w:gridCol w:w="897"/>
      </w:tblGrid>
      <w:tr>
        <w:trPr>
          <w:trHeight w:val="277" w:hRule="exact"/>
        </w:trPr>
        <w:tc>
          <w:tcPr>
            <w:tcW w:w="10670" w:type="dxa"/>
            <w:gridSpan w:val="1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322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46" w:hRule="exact"/>
        </w:trPr>
        <w:tc>
          <w:tcPr>
            <w:tcW w:w="1125"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6"/>
              <w:jc w:val="center"/>
              <w:rPr>
                <w:rFonts w:ascii="宋体" w:hAnsi="宋体" w:cs="宋体" w:eastAsia="宋体" w:hint="default"/>
                <w:sz w:val="21"/>
                <w:szCs w:val="21"/>
              </w:rPr>
            </w:pPr>
            <w:r>
              <w:rPr>
                <w:rFonts w:ascii="宋体" w:hAnsi="宋体" w:cs="宋体" w:eastAsia="宋体" w:hint="default"/>
                <w:sz w:val="21"/>
                <w:szCs w:val="21"/>
              </w:rPr>
              <w:t>担保对象名</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55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37" w:right="0"/>
              <w:jc w:val="left"/>
              <w:rPr>
                <w:rFonts w:ascii="宋体" w:hAnsi="宋体" w:cs="宋体" w:eastAsia="宋体" w:hint="default"/>
                <w:sz w:val="21"/>
                <w:szCs w:val="21"/>
              </w:rPr>
            </w:pPr>
            <w:r>
              <w:rPr>
                <w:rFonts w:ascii="宋体" w:hAnsi="宋体" w:cs="宋体" w:eastAsia="宋体" w:hint="default"/>
                <w:sz w:val="21"/>
                <w:szCs w:val="21"/>
              </w:rPr>
              <w:t>担保额度相关公</w:t>
            </w:r>
          </w:p>
          <w:p>
            <w:pPr>
              <w:pStyle w:val="TableParagraph"/>
              <w:spacing w:line="274" w:lineRule="exact"/>
              <w:ind w:left="37" w:right="0"/>
              <w:jc w:val="left"/>
              <w:rPr>
                <w:rFonts w:ascii="宋体" w:hAnsi="宋体" w:cs="宋体" w:eastAsia="宋体" w:hint="default"/>
                <w:sz w:val="21"/>
                <w:szCs w:val="21"/>
              </w:rPr>
            </w:pPr>
            <w:r>
              <w:rPr>
                <w:rFonts w:ascii="宋体" w:hAnsi="宋体" w:cs="宋体" w:eastAsia="宋体" w:hint="default"/>
                <w:sz w:val="21"/>
                <w:szCs w:val="21"/>
              </w:rPr>
              <w:t>告披露日和编号</w:t>
            </w:r>
          </w:p>
        </w:tc>
        <w:tc>
          <w:tcPr>
            <w:tcW w:w="71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担保额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155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实际发生日期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82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z w:val="21"/>
                <w:szCs w:val="21"/>
              </w:rPr>
              <w:t>实际担</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保金额</w:t>
            </w:r>
          </w:p>
        </w:tc>
        <w:tc>
          <w:tcPr>
            <w:tcW w:w="102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4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8"/>
              <w:jc w:val="center"/>
              <w:rPr>
                <w:rFonts w:ascii="宋体" w:hAnsi="宋体" w:cs="宋体" w:eastAsia="宋体" w:hint="default"/>
                <w:sz w:val="21"/>
                <w:szCs w:val="21"/>
              </w:rPr>
            </w:pPr>
            <w:r>
              <w:rPr>
                <w:rFonts w:ascii="宋体" w:hAnsi="宋体" w:cs="宋体" w:eastAsia="宋体" w:hint="default"/>
                <w:sz w:val="21"/>
                <w:szCs w:val="21"/>
              </w:rPr>
              <w:t>是否履行完</w:t>
            </w:r>
          </w:p>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w w:val="100"/>
                <w:sz w:val="21"/>
                <w:szCs w:val="21"/>
              </w:rPr>
              <w:t>毕</w:t>
            </w:r>
          </w:p>
        </w:tc>
        <w:tc>
          <w:tcPr>
            <w:tcW w:w="160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是否为关联方担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保（是或否）</w:t>
            </w:r>
          </w:p>
        </w:tc>
      </w:tr>
      <w:tr>
        <w:trPr>
          <w:trHeight w:val="413" w:hRule="exact"/>
        </w:trPr>
        <w:tc>
          <w:tcPr>
            <w:tcW w:w="1125" w:type="dxa"/>
            <w:vMerge/>
            <w:tcBorders>
              <w:left w:val="single" w:sz="4" w:space="0" w:color="000000"/>
              <w:bottom w:val="single" w:sz="4" w:space="0" w:color="000000"/>
              <w:right w:val="single" w:sz="4" w:space="0" w:color="000000"/>
            </w:tcBorders>
            <w:shd w:val="clear" w:color="auto" w:fill="DCDCDC"/>
          </w:tcPr>
          <w:p>
            <w:pPr/>
          </w:p>
        </w:tc>
        <w:tc>
          <w:tcPr>
            <w:tcW w:w="1559" w:type="dxa"/>
            <w:gridSpan w:val="2"/>
            <w:vMerge/>
            <w:tcBorders>
              <w:left w:val="single" w:sz="4" w:space="0" w:color="000000"/>
              <w:bottom w:val="single" w:sz="4" w:space="0" w:color="000000"/>
              <w:right w:val="single" w:sz="4" w:space="0" w:color="000000"/>
            </w:tcBorders>
            <w:shd w:val="clear" w:color="auto" w:fill="DCDCDC"/>
          </w:tcPr>
          <w:p>
            <w:pPr/>
          </w:p>
        </w:tc>
        <w:tc>
          <w:tcPr>
            <w:tcW w:w="710" w:type="dxa"/>
            <w:gridSpan w:val="3"/>
            <w:vMerge/>
            <w:tcBorders>
              <w:left w:val="single" w:sz="4" w:space="0" w:color="000000"/>
              <w:bottom w:val="single" w:sz="4" w:space="0" w:color="000000"/>
              <w:right w:val="single" w:sz="4" w:space="0" w:color="000000"/>
            </w:tcBorders>
            <w:shd w:val="clear" w:color="auto" w:fill="DCDCDC"/>
          </w:tcPr>
          <w:p>
            <w:pPr/>
          </w:p>
        </w:tc>
        <w:tc>
          <w:tcPr>
            <w:tcW w:w="1559" w:type="dxa"/>
            <w:gridSpan w:val="2"/>
            <w:vMerge/>
            <w:tcBorders>
              <w:left w:val="single" w:sz="4" w:space="0" w:color="000000"/>
              <w:bottom w:val="single" w:sz="4" w:space="0" w:color="000000"/>
              <w:right w:val="single" w:sz="4" w:space="0" w:color="000000"/>
            </w:tcBorders>
            <w:shd w:val="clear" w:color="auto" w:fill="DCDCDC"/>
          </w:tcPr>
          <w:p>
            <w:pPr/>
          </w:p>
        </w:tc>
        <w:tc>
          <w:tcPr>
            <w:tcW w:w="822" w:type="dxa"/>
            <w:gridSpan w:val="2"/>
            <w:vMerge/>
            <w:tcBorders>
              <w:left w:val="single" w:sz="4" w:space="0" w:color="000000"/>
              <w:bottom w:val="single" w:sz="4" w:space="0" w:color="000000"/>
              <w:right w:val="single" w:sz="4" w:space="0" w:color="000000"/>
            </w:tcBorders>
            <w:shd w:val="clear" w:color="auto" w:fill="DCDCDC"/>
          </w:tcPr>
          <w:p>
            <w:pPr/>
          </w:p>
        </w:tc>
        <w:tc>
          <w:tcPr>
            <w:tcW w:w="1021"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145"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122" w:type="dxa"/>
            <w:gridSpan w:val="2"/>
            <w:vMerge/>
            <w:tcBorders>
              <w:left w:val="single" w:sz="4" w:space="0" w:color="000000"/>
              <w:bottom w:val="single" w:sz="4" w:space="0" w:color="000000"/>
              <w:right w:val="single" w:sz="4" w:space="0" w:color="000000"/>
            </w:tcBorders>
            <w:shd w:val="clear" w:color="auto" w:fill="DCDCDC"/>
          </w:tcPr>
          <w:p>
            <w:pPr/>
          </w:p>
        </w:tc>
        <w:tc>
          <w:tcPr>
            <w:tcW w:w="1607" w:type="dxa"/>
            <w:gridSpan w:val="3"/>
            <w:vMerge/>
            <w:tcBorders>
              <w:left w:val="single" w:sz="4" w:space="0" w:color="000000"/>
              <w:bottom w:val="single" w:sz="4" w:space="0" w:color="000000"/>
              <w:right w:val="single" w:sz="4" w:space="0" w:color="000000"/>
            </w:tcBorders>
            <w:shd w:val="clear" w:color="auto" w:fill="DCDCDC"/>
          </w:tcPr>
          <w:p>
            <w:pPr/>
          </w:p>
        </w:tc>
      </w:tr>
      <w:tr>
        <w:trPr>
          <w:trHeight w:val="556" w:hRule="exact"/>
        </w:trPr>
        <w:tc>
          <w:tcPr>
            <w:tcW w:w="309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报告期内审批的对外担保额度合</w:t>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sz w:val="21"/>
                <w:szCs w:val="21"/>
              </w:rPr>
              <w:t>计（</w:t>
            </w:r>
            <w:r>
              <w:rPr>
                <w:rFonts w:ascii="Calibri" w:hAnsi="Calibri" w:cs="Calibri" w:eastAsia="Calibri" w:hint="default"/>
                <w:sz w:val="21"/>
                <w:szCs w:val="21"/>
              </w:rPr>
              <w:t>A1</w:t>
            </w:r>
            <w:r>
              <w:rPr>
                <w:rFonts w:ascii="宋体" w:hAnsi="宋体" w:cs="宋体" w:eastAsia="宋体" w:hint="default"/>
                <w:sz w:val="21"/>
                <w:szCs w:val="21"/>
              </w:rPr>
              <w:t>）</w:t>
            </w:r>
          </w:p>
        </w:tc>
        <w:tc>
          <w:tcPr>
            <w:tcW w:w="2678" w:type="dxa"/>
            <w:gridSpan w:val="6"/>
            <w:tcBorders>
              <w:top w:val="single" w:sz="4" w:space="0" w:color="000000"/>
              <w:left w:val="single" w:sz="10" w:space="0" w:color="DCDCDC"/>
              <w:bottom w:val="single" w:sz="4" w:space="0" w:color="000000"/>
              <w:right w:val="single" w:sz="9" w:space="0" w:color="DCDCDC"/>
            </w:tcBorders>
          </w:tcPr>
          <w:p>
            <w:pPr>
              <w:pStyle w:val="TableParagraph"/>
              <w:spacing w:line="240" w:lineRule="auto" w:before="141"/>
              <w:ind w:right="32"/>
              <w:jc w:val="right"/>
              <w:rPr>
                <w:rFonts w:ascii="Calibri" w:hAnsi="Calibri" w:cs="Calibri" w:eastAsia="Calibri" w:hint="default"/>
                <w:sz w:val="21"/>
                <w:szCs w:val="21"/>
              </w:rPr>
            </w:pPr>
            <w:r>
              <w:rPr>
                <w:rFonts w:ascii="Calibri"/>
                <w:spacing w:val="-1"/>
                <w:sz w:val="21"/>
              </w:rPr>
              <w:t>0.00</w:t>
            </w:r>
          </w:p>
        </w:tc>
        <w:tc>
          <w:tcPr>
            <w:tcW w:w="242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报告期内对外担保实际发</w:t>
            </w:r>
          </w:p>
          <w:p>
            <w:pPr>
              <w:pStyle w:val="TableParagraph"/>
              <w:spacing w:line="301" w:lineRule="exact"/>
              <w:ind w:right="5"/>
              <w:jc w:val="center"/>
              <w:rPr>
                <w:rFonts w:ascii="宋体" w:hAnsi="宋体" w:cs="宋体" w:eastAsia="宋体" w:hint="default"/>
                <w:sz w:val="21"/>
                <w:szCs w:val="21"/>
              </w:rPr>
            </w:pPr>
            <w:r>
              <w:rPr>
                <w:rFonts w:ascii="宋体" w:hAnsi="宋体" w:cs="宋体" w:eastAsia="宋体" w:hint="default"/>
                <w:sz w:val="21"/>
                <w:szCs w:val="21"/>
              </w:rPr>
              <w:t>生额合计（</w:t>
            </w:r>
            <w:r>
              <w:rPr>
                <w:rFonts w:ascii="Calibri" w:hAnsi="Calibri" w:cs="Calibri" w:eastAsia="Calibri" w:hint="default"/>
                <w:sz w:val="21"/>
                <w:szCs w:val="21"/>
              </w:rPr>
              <w:t>A2</w:t>
            </w:r>
            <w:r>
              <w:rPr>
                <w:rFonts w:ascii="宋体" w:hAnsi="宋体" w:cs="宋体" w:eastAsia="宋体" w:hint="default"/>
                <w:sz w:val="21"/>
                <w:szCs w:val="21"/>
              </w:rPr>
              <w:t>）</w:t>
            </w:r>
          </w:p>
        </w:tc>
        <w:tc>
          <w:tcPr>
            <w:tcW w:w="2469" w:type="dxa"/>
            <w:gridSpan w:val="4"/>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0.00</w:t>
            </w:r>
          </w:p>
        </w:tc>
      </w:tr>
      <w:tr>
        <w:trPr>
          <w:trHeight w:val="560" w:hRule="exact"/>
        </w:trPr>
        <w:tc>
          <w:tcPr>
            <w:tcW w:w="309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报告期末已审批的对外担保额度</w:t>
            </w:r>
          </w:p>
          <w:p>
            <w:pPr>
              <w:pStyle w:val="TableParagraph"/>
              <w:spacing w:line="30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Calibri" w:hAnsi="Calibri" w:cs="Calibri" w:eastAsia="Calibri" w:hint="default"/>
                <w:sz w:val="21"/>
                <w:szCs w:val="21"/>
              </w:rPr>
              <w:t>A3</w:t>
            </w:r>
            <w:r>
              <w:rPr>
                <w:rFonts w:ascii="宋体" w:hAnsi="宋体" w:cs="宋体" w:eastAsia="宋体" w:hint="default"/>
                <w:sz w:val="21"/>
                <w:szCs w:val="21"/>
              </w:rPr>
              <w:t>）</w:t>
            </w:r>
          </w:p>
        </w:tc>
        <w:tc>
          <w:tcPr>
            <w:tcW w:w="2678" w:type="dxa"/>
            <w:gridSpan w:val="6"/>
            <w:tcBorders>
              <w:top w:val="single" w:sz="4" w:space="0" w:color="000000"/>
              <w:left w:val="single" w:sz="10" w:space="0" w:color="DCDCDC"/>
              <w:bottom w:val="single" w:sz="4" w:space="0" w:color="000000"/>
              <w:right w:val="single" w:sz="9" w:space="0" w:color="DCDCDC"/>
            </w:tcBorders>
          </w:tcPr>
          <w:p>
            <w:pPr>
              <w:pStyle w:val="TableParagraph"/>
              <w:spacing w:line="240" w:lineRule="auto" w:before="142"/>
              <w:ind w:right="32"/>
              <w:jc w:val="right"/>
              <w:rPr>
                <w:rFonts w:ascii="Calibri" w:hAnsi="Calibri" w:cs="Calibri" w:eastAsia="Calibri" w:hint="default"/>
                <w:sz w:val="21"/>
                <w:szCs w:val="21"/>
              </w:rPr>
            </w:pPr>
            <w:r>
              <w:rPr>
                <w:rFonts w:ascii="Calibri"/>
                <w:spacing w:val="-1"/>
                <w:sz w:val="21"/>
              </w:rPr>
              <w:t>0.00</w:t>
            </w:r>
          </w:p>
        </w:tc>
        <w:tc>
          <w:tcPr>
            <w:tcW w:w="242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报告期末实际对外担保余</w:t>
            </w:r>
          </w:p>
          <w:p>
            <w:pPr>
              <w:pStyle w:val="TableParagraph"/>
              <w:spacing w:line="300" w:lineRule="exact"/>
              <w:ind w:right="8"/>
              <w:jc w:val="center"/>
              <w:rPr>
                <w:rFonts w:ascii="宋体" w:hAnsi="宋体" w:cs="宋体" w:eastAsia="宋体" w:hint="default"/>
                <w:sz w:val="21"/>
                <w:szCs w:val="21"/>
              </w:rPr>
            </w:pPr>
            <w:r>
              <w:rPr>
                <w:rFonts w:ascii="宋体" w:hAnsi="宋体" w:cs="宋体" w:eastAsia="宋体" w:hint="default"/>
                <w:sz w:val="21"/>
                <w:szCs w:val="21"/>
              </w:rPr>
              <w:t>额合计（</w:t>
            </w:r>
            <w:r>
              <w:rPr>
                <w:rFonts w:ascii="Calibri" w:hAnsi="Calibri" w:cs="Calibri" w:eastAsia="Calibri" w:hint="default"/>
                <w:sz w:val="21"/>
                <w:szCs w:val="21"/>
              </w:rPr>
              <w:t>A4</w:t>
            </w:r>
            <w:r>
              <w:rPr>
                <w:rFonts w:ascii="宋体" w:hAnsi="宋体" w:cs="宋体" w:eastAsia="宋体" w:hint="default"/>
                <w:sz w:val="21"/>
                <w:szCs w:val="21"/>
              </w:rPr>
              <w:t>）</w:t>
            </w:r>
          </w:p>
        </w:tc>
        <w:tc>
          <w:tcPr>
            <w:tcW w:w="2469" w:type="dxa"/>
            <w:gridSpan w:val="4"/>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2"/>
              <w:ind w:right="20"/>
              <w:jc w:val="right"/>
              <w:rPr>
                <w:rFonts w:ascii="Calibri" w:hAnsi="Calibri" w:cs="Calibri" w:eastAsia="Calibri" w:hint="default"/>
                <w:sz w:val="21"/>
                <w:szCs w:val="21"/>
              </w:rPr>
            </w:pPr>
            <w:r>
              <w:rPr>
                <w:rFonts w:ascii="Calibri"/>
                <w:spacing w:val="-1"/>
                <w:sz w:val="21"/>
              </w:rPr>
              <w:t>0.00</w:t>
            </w:r>
          </w:p>
        </w:tc>
      </w:tr>
      <w:tr>
        <w:trPr>
          <w:trHeight w:val="271" w:hRule="exact"/>
        </w:trPr>
        <w:tc>
          <w:tcPr>
            <w:tcW w:w="10670" w:type="dxa"/>
            <w:gridSpan w:val="1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1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46" w:hRule="exact"/>
        </w:trPr>
        <w:tc>
          <w:tcPr>
            <w:tcW w:w="1845" w:type="dxa"/>
            <w:gridSpan w:val="2"/>
            <w:vMerge w:val="restart"/>
            <w:tcBorders>
              <w:top w:val="single" w:sz="4" w:space="0" w:color="000000"/>
              <w:left w:val="single" w:sz="4" w:space="0" w:color="000000"/>
              <w:right w:val="single" w:sz="4" w:space="0" w:color="000000"/>
            </w:tcBorders>
            <w:shd w:val="clear" w:color="auto" w:fill="DCDCDC"/>
          </w:tcPr>
          <w:p>
            <w:pPr/>
          </w:p>
        </w:tc>
        <w:tc>
          <w:tcPr>
            <w:tcW w:w="1394"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58"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实际发生</w:t>
            </w:r>
          </w:p>
          <w:p>
            <w:pPr>
              <w:pStyle w:val="TableParagraph"/>
              <w:spacing w:line="237" w:lineRule="auto" w:before="2"/>
              <w:ind w:left="58" w:right="55"/>
              <w:jc w:val="center"/>
              <w:rPr>
                <w:rFonts w:ascii="宋体" w:hAnsi="宋体" w:cs="宋体" w:eastAsia="宋体" w:hint="default"/>
                <w:sz w:val="21"/>
                <w:szCs w:val="21"/>
              </w:rPr>
            </w:pPr>
            <w:r>
              <w:rPr>
                <w:rFonts w:ascii="宋体" w:hAnsi="宋体" w:cs="宋体" w:eastAsia="宋体" w:hint="default"/>
                <w:sz w:val="21"/>
                <w:szCs w:val="21"/>
              </w:rPr>
              <w:t>日期（协</w:t>
            </w:r>
            <w:r>
              <w:rPr>
                <w:rFonts w:ascii="宋体" w:hAnsi="宋体" w:cs="宋体" w:eastAsia="宋体" w:hint="default"/>
                <w:w w:val="100"/>
                <w:sz w:val="21"/>
                <w:szCs w:val="21"/>
              </w:rPr>
              <w:t> </w:t>
            </w:r>
            <w:r>
              <w:rPr>
                <w:rFonts w:ascii="宋体" w:hAnsi="宋体" w:cs="宋体" w:eastAsia="宋体" w:hint="default"/>
                <w:sz w:val="21"/>
                <w:szCs w:val="21"/>
              </w:rPr>
              <w:t>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94" w:type="dxa"/>
            <w:gridSpan w:val="2"/>
            <w:vMerge w:val="restart"/>
            <w:tcBorders>
              <w:top w:val="single" w:sz="4" w:space="0" w:color="000000"/>
              <w:left w:val="single" w:sz="4" w:space="0" w:color="000000"/>
              <w:right w:val="single" w:sz="4" w:space="0" w:color="000000"/>
            </w:tcBorders>
            <w:shd w:val="clear" w:color="auto" w:fill="DCDCDC"/>
          </w:tcPr>
          <w:p>
            <w:pPr/>
          </w:p>
        </w:tc>
        <w:tc>
          <w:tcPr>
            <w:tcW w:w="1003" w:type="dxa"/>
            <w:gridSpan w:val="2"/>
            <w:vMerge w:val="restart"/>
            <w:tcBorders>
              <w:top w:val="single" w:sz="4" w:space="0" w:color="000000"/>
              <w:left w:val="single" w:sz="4" w:space="0" w:color="000000"/>
              <w:right w:val="single" w:sz="4" w:space="0" w:color="000000"/>
            </w:tcBorders>
            <w:shd w:val="clear" w:color="auto" w:fill="DCDCDC"/>
          </w:tcPr>
          <w:p>
            <w:pPr/>
          </w:p>
        </w:tc>
        <w:tc>
          <w:tcPr>
            <w:tcW w:w="1856" w:type="dxa"/>
            <w:gridSpan w:val="4"/>
            <w:vMerge w:val="restart"/>
            <w:tcBorders>
              <w:top w:val="single" w:sz="4" w:space="0" w:color="000000"/>
              <w:left w:val="single" w:sz="4" w:space="0" w:color="000000"/>
              <w:right w:val="single" w:sz="4" w:space="0" w:color="000000"/>
            </w:tcBorders>
            <w:shd w:val="clear" w:color="auto" w:fill="DCDCDC"/>
          </w:tcPr>
          <w:p>
            <w:pPr/>
          </w:p>
        </w:tc>
        <w:tc>
          <w:tcPr>
            <w:tcW w:w="556" w:type="dxa"/>
            <w:tcBorders>
              <w:top w:val="single" w:sz="4" w:space="0" w:color="000000"/>
              <w:left w:val="single" w:sz="4" w:space="0" w:color="000000"/>
              <w:bottom w:val="nil" w:sz="6" w:space="0" w:color="auto"/>
              <w:right w:val="single" w:sz="4" w:space="0" w:color="000000"/>
            </w:tcBorders>
            <w:shd w:val="clear" w:color="auto" w:fill="DCDCDC"/>
          </w:tcPr>
          <w:p>
            <w:pPr/>
          </w:p>
        </w:tc>
        <w:tc>
          <w:tcPr>
            <w:tcW w:w="897"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联方担保</w:t>
            </w:r>
          </w:p>
          <w:p>
            <w:pPr>
              <w:pStyle w:val="TableParagraph"/>
              <w:spacing w:line="240" w:lineRule="auto"/>
              <w:ind w:left="126" w:right="125"/>
              <w:jc w:val="center"/>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w w:val="100"/>
                <w:sz w:val="21"/>
                <w:szCs w:val="21"/>
              </w:rPr>
              <w:t> </w:t>
            </w:r>
            <w:r>
              <w:rPr>
                <w:rFonts w:ascii="宋体" w:hAnsi="宋体" w:cs="宋体" w:eastAsia="宋体" w:hint="default"/>
                <w:sz w:val="21"/>
                <w:szCs w:val="21"/>
              </w:rPr>
              <w:t>否）</w:t>
            </w:r>
          </w:p>
        </w:tc>
      </w:tr>
      <w:tr>
        <w:trPr>
          <w:trHeight w:val="137" w:hRule="exact"/>
        </w:trPr>
        <w:tc>
          <w:tcPr>
            <w:tcW w:w="1845" w:type="dxa"/>
            <w:gridSpan w:val="2"/>
            <w:vMerge/>
            <w:tcBorders>
              <w:left w:val="single" w:sz="4" w:space="0" w:color="000000"/>
              <w:right w:val="single" w:sz="4" w:space="0" w:color="000000"/>
            </w:tcBorders>
            <w:shd w:val="clear" w:color="auto" w:fill="DCDCDC"/>
          </w:tcPr>
          <w:p>
            <w:pPr/>
          </w:p>
        </w:tc>
        <w:tc>
          <w:tcPr>
            <w:tcW w:w="1394"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担保额度相关</w:t>
            </w:r>
          </w:p>
          <w:p>
            <w:pPr>
              <w:pStyle w:val="TableParagraph"/>
              <w:spacing w:line="272" w:lineRule="exact" w:before="27"/>
              <w:ind w:left="481" w:right="58" w:hanging="420"/>
              <w:jc w:val="left"/>
              <w:rPr>
                <w:rFonts w:ascii="宋体" w:hAnsi="宋体" w:cs="宋体" w:eastAsia="宋体" w:hint="default"/>
                <w:sz w:val="21"/>
                <w:szCs w:val="21"/>
              </w:rPr>
            </w:pPr>
            <w:r>
              <w:rPr>
                <w:rFonts w:ascii="宋体" w:hAnsi="宋体" w:cs="宋体" w:eastAsia="宋体" w:hint="default"/>
                <w:sz w:val="21"/>
                <w:szCs w:val="21"/>
              </w:rPr>
              <w:t>公告披露日和</w:t>
            </w:r>
            <w:r>
              <w:rPr>
                <w:rFonts w:ascii="宋体" w:hAnsi="宋体" w:cs="宋体" w:eastAsia="宋体" w:hint="default"/>
                <w:w w:val="100"/>
                <w:sz w:val="21"/>
                <w:szCs w:val="21"/>
              </w:rPr>
              <w:t> </w:t>
            </w:r>
            <w:r>
              <w:rPr>
                <w:rFonts w:ascii="宋体" w:hAnsi="宋体" w:cs="宋体" w:eastAsia="宋体" w:hint="default"/>
                <w:sz w:val="21"/>
                <w:szCs w:val="21"/>
              </w:rPr>
              <w:t>编号</w:t>
            </w:r>
          </w:p>
        </w:tc>
        <w:tc>
          <w:tcPr>
            <w:tcW w:w="1158" w:type="dxa"/>
            <w:gridSpan w:val="2"/>
            <w:vMerge/>
            <w:tcBorders>
              <w:left w:val="single" w:sz="4" w:space="0" w:color="000000"/>
              <w:right w:val="single" w:sz="4" w:space="0" w:color="000000"/>
            </w:tcBorders>
            <w:shd w:val="clear" w:color="auto" w:fill="DCDCDC"/>
          </w:tcPr>
          <w:p>
            <w:pPr/>
          </w:p>
        </w:tc>
        <w:tc>
          <w:tcPr>
            <w:tcW w:w="969" w:type="dxa"/>
            <w:gridSpan w:val="2"/>
            <w:vMerge/>
            <w:tcBorders>
              <w:left w:val="single" w:sz="4" w:space="0" w:color="000000"/>
              <w:right w:val="single" w:sz="4" w:space="0" w:color="000000"/>
            </w:tcBorders>
            <w:shd w:val="clear" w:color="auto" w:fill="DCDCDC"/>
          </w:tcPr>
          <w:p>
            <w:pPr/>
          </w:p>
        </w:tc>
        <w:tc>
          <w:tcPr>
            <w:tcW w:w="994" w:type="dxa"/>
            <w:gridSpan w:val="2"/>
            <w:vMerge/>
            <w:tcBorders>
              <w:left w:val="single" w:sz="4" w:space="0" w:color="000000"/>
              <w:bottom w:val="nil" w:sz="6" w:space="0" w:color="auto"/>
              <w:right w:val="single" w:sz="4" w:space="0" w:color="000000"/>
            </w:tcBorders>
            <w:shd w:val="clear" w:color="auto" w:fill="DCDCDC"/>
          </w:tcPr>
          <w:p>
            <w:pPr/>
          </w:p>
        </w:tc>
        <w:tc>
          <w:tcPr>
            <w:tcW w:w="1003" w:type="dxa"/>
            <w:gridSpan w:val="2"/>
            <w:vMerge/>
            <w:tcBorders>
              <w:left w:val="single" w:sz="4" w:space="0" w:color="000000"/>
              <w:right w:val="single" w:sz="4" w:space="0" w:color="000000"/>
            </w:tcBorders>
            <w:shd w:val="clear" w:color="auto" w:fill="DCDCDC"/>
          </w:tcPr>
          <w:p>
            <w:pPr/>
          </w:p>
        </w:tc>
        <w:tc>
          <w:tcPr>
            <w:tcW w:w="1856" w:type="dxa"/>
            <w:gridSpan w:val="4"/>
            <w:vMerge/>
            <w:tcBorders>
              <w:left w:val="single" w:sz="4" w:space="0" w:color="000000"/>
              <w:right w:val="single" w:sz="4" w:space="0" w:color="000000"/>
            </w:tcBorders>
            <w:shd w:val="clear" w:color="auto" w:fill="DCDCDC"/>
          </w:tcPr>
          <w:p>
            <w:pPr/>
          </w:p>
        </w:tc>
        <w:tc>
          <w:tcPr>
            <w:tcW w:w="55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7"/>
              <w:ind w:left="57" w:right="65"/>
              <w:jc w:val="left"/>
              <w:rPr>
                <w:rFonts w:ascii="宋体" w:hAnsi="宋体" w:cs="宋体" w:eastAsia="宋体" w:hint="default"/>
                <w:sz w:val="21"/>
                <w:szCs w:val="21"/>
              </w:rPr>
            </w:pP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897" w:type="dxa"/>
            <w:vMerge/>
            <w:tcBorders>
              <w:left w:val="single" w:sz="4" w:space="0" w:color="000000"/>
              <w:right w:val="single" w:sz="4" w:space="0" w:color="000000"/>
            </w:tcBorders>
            <w:shd w:val="clear" w:color="auto" w:fill="DCDCDC"/>
          </w:tcPr>
          <w:p>
            <w:pPr/>
          </w:p>
        </w:tc>
      </w:tr>
      <w:tr>
        <w:trPr>
          <w:trHeight w:val="137" w:hRule="exact"/>
        </w:trPr>
        <w:tc>
          <w:tcPr>
            <w:tcW w:w="1845" w:type="dxa"/>
            <w:gridSpan w:val="2"/>
            <w:vMerge/>
            <w:tcBorders>
              <w:left w:val="single" w:sz="4" w:space="0" w:color="000000"/>
              <w:bottom w:val="nil" w:sz="6" w:space="0" w:color="auto"/>
              <w:right w:val="single" w:sz="4" w:space="0" w:color="000000"/>
            </w:tcBorders>
            <w:shd w:val="clear" w:color="auto" w:fill="DCDCDC"/>
          </w:tcPr>
          <w:p>
            <w:pPr/>
          </w:p>
        </w:tc>
        <w:tc>
          <w:tcPr>
            <w:tcW w:w="1394" w:type="dxa"/>
            <w:gridSpan w:val="3"/>
            <w:vMerge/>
            <w:tcBorders>
              <w:left w:val="single" w:sz="4" w:space="0" w:color="000000"/>
              <w:right w:val="single" w:sz="4" w:space="0" w:color="000000"/>
            </w:tcBorders>
            <w:shd w:val="clear" w:color="auto" w:fill="DCDCDC"/>
          </w:tcPr>
          <w:p>
            <w:pPr/>
          </w:p>
        </w:tc>
        <w:tc>
          <w:tcPr>
            <w:tcW w:w="1158" w:type="dxa"/>
            <w:gridSpan w:val="2"/>
            <w:vMerge/>
            <w:tcBorders>
              <w:left w:val="single" w:sz="4" w:space="0" w:color="000000"/>
              <w:bottom w:val="nil" w:sz="6" w:space="0" w:color="auto"/>
              <w:right w:val="single" w:sz="4" w:space="0" w:color="000000"/>
            </w:tcBorders>
            <w:shd w:val="clear" w:color="auto" w:fill="DCDCDC"/>
          </w:tcPr>
          <w:p>
            <w:pPr/>
          </w:p>
        </w:tc>
        <w:tc>
          <w:tcPr>
            <w:tcW w:w="969" w:type="dxa"/>
            <w:gridSpan w:val="2"/>
            <w:vMerge/>
            <w:tcBorders>
              <w:left w:val="single" w:sz="4" w:space="0" w:color="000000"/>
              <w:right w:val="single" w:sz="4" w:space="0" w:color="000000"/>
            </w:tcBorders>
            <w:shd w:val="clear" w:color="auto" w:fill="DCDCDC"/>
          </w:tcPr>
          <w:p>
            <w:pPr/>
          </w:p>
        </w:tc>
        <w:tc>
          <w:tcPr>
            <w:tcW w:w="99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26" w:right="0"/>
              <w:jc w:val="center"/>
              <w:rPr>
                <w:rFonts w:ascii="宋体" w:hAnsi="宋体" w:cs="宋体" w:eastAsia="宋体" w:hint="default"/>
                <w:sz w:val="21"/>
                <w:szCs w:val="21"/>
              </w:rPr>
            </w:pPr>
            <w:r>
              <w:rPr>
                <w:rFonts w:ascii="宋体" w:hAnsi="宋体" w:cs="宋体" w:eastAsia="宋体" w:hint="default"/>
                <w:sz w:val="21"/>
                <w:szCs w:val="21"/>
              </w:rPr>
              <w:t>实际担保</w:t>
            </w:r>
          </w:p>
          <w:p>
            <w:pPr>
              <w:pStyle w:val="TableParagraph"/>
              <w:spacing w:line="273" w:lineRule="exact"/>
              <w:ind w:left="2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3" w:type="dxa"/>
            <w:gridSpan w:val="2"/>
            <w:vMerge/>
            <w:tcBorders>
              <w:left w:val="single" w:sz="4" w:space="0" w:color="000000"/>
              <w:bottom w:val="nil" w:sz="6" w:space="0" w:color="auto"/>
              <w:right w:val="single" w:sz="4" w:space="0" w:color="000000"/>
            </w:tcBorders>
            <w:shd w:val="clear" w:color="auto" w:fill="DCDCDC"/>
          </w:tcPr>
          <w:p>
            <w:pPr/>
          </w:p>
        </w:tc>
        <w:tc>
          <w:tcPr>
            <w:tcW w:w="1856" w:type="dxa"/>
            <w:gridSpan w:val="4"/>
            <w:vMerge/>
            <w:tcBorders>
              <w:left w:val="single" w:sz="4" w:space="0" w:color="000000"/>
              <w:bottom w:val="nil" w:sz="6" w:space="0" w:color="auto"/>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897" w:type="dxa"/>
            <w:vMerge/>
            <w:tcBorders>
              <w:left w:val="single" w:sz="4" w:space="0" w:color="000000"/>
              <w:right w:val="single" w:sz="4" w:space="0" w:color="000000"/>
            </w:tcBorders>
            <w:shd w:val="clear" w:color="auto" w:fill="DCDCDC"/>
          </w:tcPr>
          <w:p>
            <w:pPr/>
          </w:p>
        </w:tc>
      </w:tr>
      <w:tr>
        <w:trPr>
          <w:trHeight w:val="271" w:hRule="exact"/>
        </w:trPr>
        <w:tc>
          <w:tcPr>
            <w:tcW w:w="18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394" w:type="dxa"/>
            <w:gridSpan w:val="3"/>
            <w:vMerge/>
            <w:tcBorders>
              <w:left w:val="single" w:sz="4" w:space="0" w:color="000000"/>
              <w:right w:val="single" w:sz="4" w:space="0" w:color="000000"/>
            </w:tcBorders>
            <w:shd w:val="clear" w:color="auto" w:fill="DCDCDC"/>
          </w:tcPr>
          <w:p>
            <w:pPr/>
          </w:p>
        </w:tc>
        <w:tc>
          <w:tcPr>
            <w:tcW w:w="115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969" w:type="dxa"/>
            <w:gridSpan w:val="2"/>
            <w:vMerge/>
            <w:tcBorders>
              <w:left w:val="single" w:sz="4" w:space="0" w:color="000000"/>
              <w:right w:val="single" w:sz="4" w:space="0" w:color="000000"/>
            </w:tcBorders>
            <w:shd w:val="clear" w:color="auto" w:fill="DCDCDC"/>
          </w:tcPr>
          <w:p>
            <w:pPr/>
          </w:p>
        </w:tc>
        <w:tc>
          <w:tcPr>
            <w:tcW w:w="994" w:type="dxa"/>
            <w:gridSpan w:val="2"/>
            <w:vMerge/>
            <w:tcBorders>
              <w:left w:val="single" w:sz="4" w:space="0" w:color="000000"/>
              <w:right w:val="single" w:sz="4" w:space="0" w:color="000000"/>
            </w:tcBorders>
            <w:shd w:val="clear" w:color="auto" w:fill="DCDCDC"/>
          </w:tcPr>
          <w:p>
            <w:pPr/>
          </w:p>
        </w:tc>
        <w:tc>
          <w:tcPr>
            <w:tcW w:w="100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856"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556" w:type="dxa"/>
            <w:vMerge/>
            <w:tcBorders>
              <w:left w:val="single" w:sz="4" w:space="0" w:color="000000"/>
              <w:right w:val="single" w:sz="4" w:space="0" w:color="000000"/>
            </w:tcBorders>
            <w:shd w:val="clear" w:color="auto" w:fill="DCDCDC"/>
          </w:tcPr>
          <w:p>
            <w:pPr/>
          </w:p>
        </w:tc>
        <w:tc>
          <w:tcPr>
            <w:tcW w:w="897" w:type="dxa"/>
            <w:vMerge/>
            <w:tcBorders>
              <w:left w:val="single" w:sz="4" w:space="0" w:color="000000"/>
              <w:right w:val="single" w:sz="4" w:space="0" w:color="000000"/>
            </w:tcBorders>
            <w:shd w:val="clear" w:color="auto" w:fill="DCDCDC"/>
          </w:tcPr>
          <w:p>
            <w:pPr/>
          </w:p>
        </w:tc>
      </w:tr>
      <w:tr>
        <w:trPr>
          <w:trHeight w:val="137" w:hRule="exact"/>
        </w:trPr>
        <w:tc>
          <w:tcPr>
            <w:tcW w:w="1845" w:type="dxa"/>
            <w:gridSpan w:val="2"/>
            <w:vMerge w:val="restart"/>
            <w:tcBorders>
              <w:top w:val="nil" w:sz="6" w:space="0" w:color="auto"/>
              <w:left w:val="single" w:sz="4" w:space="0" w:color="000000"/>
              <w:right w:val="single" w:sz="4" w:space="0" w:color="000000"/>
            </w:tcBorders>
            <w:shd w:val="clear" w:color="auto" w:fill="DCDCDC"/>
          </w:tcPr>
          <w:p>
            <w:pPr/>
          </w:p>
        </w:tc>
        <w:tc>
          <w:tcPr>
            <w:tcW w:w="1394" w:type="dxa"/>
            <w:gridSpan w:val="3"/>
            <w:vMerge/>
            <w:tcBorders>
              <w:left w:val="single" w:sz="4" w:space="0" w:color="000000"/>
              <w:right w:val="single" w:sz="4" w:space="0" w:color="000000"/>
            </w:tcBorders>
            <w:shd w:val="clear" w:color="auto" w:fill="DCDCDC"/>
          </w:tcPr>
          <w:p>
            <w:pPr/>
          </w:p>
        </w:tc>
        <w:tc>
          <w:tcPr>
            <w:tcW w:w="1158" w:type="dxa"/>
            <w:gridSpan w:val="2"/>
            <w:vMerge w:val="restart"/>
            <w:tcBorders>
              <w:top w:val="nil" w:sz="6" w:space="0" w:color="auto"/>
              <w:left w:val="single" w:sz="4" w:space="0" w:color="000000"/>
              <w:right w:val="single" w:sz="4" w:space="0" w:color="000000"/>
            </w:tcBorders>
            <w:shd w:val="clear" w:color="auto" w:fill="DCDCDC"/>
          </w:tcPr>
          <w:p>
            <w:pPr/>
          </w:p>
        </w:tc>
        <w:tc>
          <w:tcPr>
            <w:tcW w:w="969" w:type="dxa"/>
            <w:gridSpan w:val="2"/>
            <w:vMerge/>
            <w:tcBorders>
              <w:left w:val="single" w:sz="4" w:space="0" w:color="000000"/>
              <w:right w:val="single" w:sz="4" w:space="0" w:color="000000"/>
            </w:tcBorders>
            <w:shd w:val="clear" w:color="auto" w:fill="DCDCDC"/>
          </w:tcPr>
          <w:p>
            <w:pPr/>
          </w:p>
        </w:tc>
        <w:tc>
          <w:tcPr>
            <w:tcW w:w="994" w:type="dxa"/>
            <w:gridSpan w:val="2"/>
            <w:vMerge/>
            <w:tcBorders>
              <w:left w:val="single" w:sz="4" w:space="0" w:color="000000"/>
              <w:bottom w:val="nil" w:sz="6" w:space="0" w:color="auto"/>
              <w:right w:val="single" w:sz="4" w:space="0" w:color="000000"/>
            </w:tcBorders>
            <w:shd w:val="clear" w:color="auto" w:fill="DCDCDC"/>
          </w:tcPr>
          <w:p>
            <w:pPr/>
          </w:p>
        </w:tc>
        <w:tc>
          <w:tcPr>
            <w:tcW w:w="1003" w:type="dxa"/>
            <w:gridSpan w:val="2"/>
            <w:vMerge w:val="restart"/>
            <w:tcBorders>
              <w:top w:val="nil" w:sz="6" w:space="0" w:color="auto"/>
              <w:left w:val="single" w:sz="4" w:space="0" w:color="000000"/>
              <w:right w:val="single" w:sz="4" w:space="0" w:color="000000"/>
            </w:tcBorders>
            <w:shd w:val="clear" w:color="auto" w:fill="DCDCDC"/>
          </w:tcPr>
          <w:p>
            <w:pPr/>
          </w:p>
        </w:tc>
        <w:tc>
          <w:tcPr>
            <w:tcW w:w="1856" w:type="dxa"/>
            <w:gridSpan w:val="4"/>
            <w:vMerge w:val="restart"/>
            <w:tcBorders>
              <w:top w:val="nil" w:sz="6" w:space="0" w:color="auto"/>
              <w:left w:val="single" w:sz="4" w:space="0" w:color="000000"/>
              <w:right w:val="single" w:sz="4" w:space="0" w:color="000000"/>
            </w:tcBorders>
            <w:shd w:val="clear" w:color="auto" w:fill="DCDCDC"/>
          </w:tcPr>
          <w:p>
            <w:pPr/>
          </w:p>
        </w:tc>
        <w:tc>
          <w:tcPr>
            <w:tcW w:w="556" w:type="dxa"/>
            <w:vMerge/>
            <w:tcBorders>
              <w:left w:val="single" w:sz="4" w:space="0" w:color="000000"/>
              <w:right w:val="single" w:sz="4" w:space="0" w:color="000000"/>
            </w:tcBorders>
            <w:shd w:val="clear" w:color="auto" w:fill="DCDCDC"/>
          </w:tcPr>
          <w:p>
            <w:pPr/>
          </w:p>
        </w:tc>
        <w:tc>
          <w:tcPr>
            <w:tcW w:w="897" w:type="dxa"/>
            <w:vMerge/>
            <w:tcBorders>
              <w:left w:val="single" w:sz="4" w:space="0" w:color="000000"/>
              <w:right w:val="single" w:sz="4" w:space="0" w:color="000000"/>
            </w:tcBorders>
            <w:shd w:val="clear" w:color="auto" w:fill="DCDCDC"/>
          </w:tcPr>
          <w:p>
            <w:pPr/>
          </w:p>
        </w:tc>
      </w:tr>
      <w:tr>
        <w:trPr>
          <w:trHeight w:val="134" w:hRule="exact"/>
        </w:trPr>
        <w:tc>
          <w:tcPr>
            <w:tcW w:w="1845" w:type="dxa"/>
            <w:gridSpan w:val="2"/>
            <w:vMerge/>
            <w:tcBorders>
              <w:left w:val="single" w:sz="4" w:space="0" w:color="000000"/>
              <w:right w:val="single" w:sz="4" w:space="0" w:color="000000"/>
            </w:tcBorders>
            <w:shd w:val="clear" w:color="auto" w:fill="DCDCDC"/>
          </w:tcPr>
          <w:p>
            <w:pPr/>
          </w:p>
        </w:tc>
        <w:tc>
          <w:tcPr>
            <w:tcW w:w="1394" w:type="dxa"/>
            <w:gridSpan w:val="3"/>
            <w:vMerge/>
            <w:tcBorders>
              <w:left w:val="single" w:sz="4" w:space="0" w:color="000000"/>
              <w:bottom w:val="nil" w:sz="6" w:space="0" w:color="auto"/>
              <w:right w:val="single" w:sz="4" w:space="0" w:color="000000"/>
            </w:tcBorders>
            <w:shd w:val="clear" w:color="auto" w:fill="DCDCDC"/>
          </w:tcPr>
          <w:p>
            <w:pPr/>
          </w:p>
        </w:tc>
        <w:tc>
          <w:tcPr>
            <w:tcW w:w="1158" w:type="dxa"/>
            <w:gridSpan w:val="2"/>
            <w:vMerge/>
            <w:tcBorders>
              <w:left w:val="single" w:sz="4" w:space="0" w:color="000000"/>
              <w:right w:val="single" w:sz="4" w:space="0" w:color="000000"/>
            </w:tcBorders>
            <w:shd w:val="clear" w:color="auto" w:fill="DCDCDC"/>
          </w:tcPr>
          <w:p>
            <w:pPr/>
          </w:p>
        </w:tc>
        <w:tc>
          <w:tcPr>
            <w:tcW w:w="969" w:type="dxa"/>
            <w:gridSpan w:val="2"/>
            <w:vMerge/>
            <w:tcBorders>
              <w:left w:val="single" w:sz="4" w:space="0" w:color="000000"/>
              <w:right w:val="single" w:sz="4" w:space="0" w:color="000000"/>
            </w:tcBorders>
            <w:shd w:val="clear" w:color="auto" w:fill="DCDCDC"/>
          </w:tcPr>
          <w:p>
            <w:pPr/>
          </w:p>
        </w:tc>
        <w:tc>
          <w:tcPr>
            <w:tcW w:w="994" w:type="dxa"/>
            <w:gridSpan w:val="2"/>
            <w:vMerge w:val="restart"/>
            <w:tcBorders>
              <w:top w:val="nil" w:sz="6" w:space="0" w:color="auto"/>
              <w:left w:val="single" w:sz="4" w:space="0" w:color="000000"/>
              <w:right w:val="single" w:sz="4" w:space="0" w:color="000000"/>
            </w:tcBorders>
            <w:shd w:val="clear" w:color="auto" w:fill="DCDCDC"/>
          </w:tcPr>
          <w:p>
            <w:pPr/>
          </w:p>
        </w:tc>
        <w:tc>
          <w:tcPr>
            <w:tcW w:w="1003" w:type="dxa"/>
            <w:gridSpan w:val="2"/>
            <w:vMerge/>
            <w:tcBorders>
              <w:left w:val="single" w:sz="4" w:space="0" w:color="000000"/>
              <w:right w:val="single" w:sz="4" w:space="0" w:color="000000"/>
            </w:tcBorders>
            <w:shd w:val="clear" w:color="auto" w:fill="DCDCDC"/>
          </w:tcPr>
          <w:p>
            <w:pPr/>
          </w:p>
        </w:tc>
        <w:tc>
          <w:tcPr>
            <w:tcW w:w="1856" w:type="dxa"/>
            <w:gridSpan w:val="4"/>
            <w:vMerge/>
            <w:tcBorders>
              <w:left w:val="single" w:sz="4" w:space="0" w:color="000000"/>
              <w:right w:val="single" w:sz="4" w:space="0" w:color="000000"/>
            </w:tcBorders>
            <w:shd w:val="clear" w:color="auto" w:fill="DCDCDC"/>
          </w:tcPr>
          <w:p>
            <w:pPr/>
          </w:p>
        </w:tc>
        <w:tc>
          <w:tcPr>
            <w:tcW w:w="556" w:type="dxa"/>
            <w:vMerge/>
            <w:tcBorders>
              <w:left w:val="single" w:sz="4" w:space="0" w:color="000000"/>
              <w:bottom w:val="nil" w:sz="6" w:space="0" w:color="auto"/>
              <w:right w:val="single" w:sz="4" w:space="0" w:color="000000"/>
            </w:tcBorders>
            <w:shd w:val="clear" w:color="auto" w:fill="DCDCDC"/>
          </w:tcPr>
          <w:p>
            <w:pPr/>
          </w:p>
        </w:tc>
        <w:tc>
          <w:tcPr>
            <w:tcW w:w="897" w:type="dxa"/>
            <w:vMerge/>
            <w:tcBorders>
              <w:left w:val="single" w:sz="4" w:space="0" w:color="000000"/>
              <w:right w:val="single" w:sz="4" w:space="0" w:color="000000"/>
            </w:tcBorders>
            <w:shd w:val="clear" w:color="auto" w:fill="DCDCDC"/>
          </w:tcPr>
          <w:p>
            <w:pPr/>
          </w:p>
        </w:tc>
      </w:tr>
      <w:tr>
        <w:trPr>
          <w:trHeight w:val="142" w:hRule="exact"/>
        </w:trPr>
        <w:tc>
          <w:tcPr>
            <w:tcW w:w="1845" w:type="dxa"/>
            <w:gridSpan w:val="2"/>
            <w:vMerge/>
            <w:tcBorders>
              <w:left w:val="single" w:sz="4" w:space="0" w:color="000000"/>
              <w:bottom w:val="single" w:sz="4" w:space="0" w:color="000000"/>
              <w:right w:val="single" w:sz="4" w:space="0" w:color="000000"/>
            </w:tcBorders>
            <w:shd w:val="clear" w:color="auto" w:fill="DCDCDC"/>
          </w:tcPr>
          <w:p>
            <w:pPr/>
          </w:p>
        </w:tc>
        <w:tc>
          <w:tcPr>
            <w:tcW w:w="1394"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158" w:type="dxa"/>
            <w:gridSpan w:val="2"/>
            <w:vMerge/>
            <w:tcBorders>
              <w:left w:val="single" w:sz="4" w:space="0" w:color="000000"/>
              <w:bottom w:val="single" w:sz="4" w:space="0" w:color="000000"/>
              <w:right w:val="single" w:sz="4" w:space="0" w:color="000000"/>
            </w:tcBorders>
            <w:shd w:val="clear" w:color="auto" w:fill="DCDCDC"/>
          </w:tcPr>
          <w:p>
            <w:pPr/>
          </w:p>
        </w:tc>
        <w:tc>
          <w:tcPr>
            <w:tcW w:w="969" w:type="dxa"/>
            <w:gridSpan w:val="2"/>
            <w:vMerge/>
            <w:tcBorders>
              <w:left w:val="single" w:sz="4" w:space="0" w:color="000000"/>
              <w:bottom w:val="single" w:sz="4" w:space="0" w:color="000000"/>
              <w:right w:val="single" w:sz="4" w:space="0" w:color="000000"/>
            </w:tcBorders>
            <w:shd w:val="clear" w:color="auto" w:fill="DCDCDC"/>
          </w:tcPr>
          <w:p>
            <w:pPr/>
          </w:p>
        </w:tc>
        <w:tc>
          <w:tcPr>
            <w:tcW w:w="994" w:type="dxa"/>
            <w:gridSpan w:val="2"/>
            <w:vMerge/>
            <w:tcBorders>
              <w:left w:val="single" w:sz="4" w:space="0" w:color="000000"/>
              <w:bottom w:val="single" w:sz="4" w:space="0" w:color="000000"/>
              <w:right w:val="single" w:sz="4" w:space="0" w:color="000000"/>
            </w:tcBorders>
            <w:shd w:val="clear" w:color="auto" w:fill="DCDCDC"/>
          </w:tcPr>
          <w:p>
            <w:pPr/>
          </w:p>
        </w:tc>
        <w:tc>
          <w:tcPr>
            <w:tcW w:w="1003" w:type="dxa"/>
            <w:gridSpan w:val="2"/>
            <w:vMerge/>
            <w:tcBorders>
              <w:left w:val="single" w:sz="4" w:space="0" w:color="000000"/>
              <w:bottom w:val="single" w:sz="4" w:space="0" w:color="000000"/>
              <w:right w:val="single" w:sz="4" w:space="0" w:color="000000"/>
            </w:tcBorders>
            <w:shd w:val="clear" w:color="auto" w:fill="DCDCDC"/>
          </w:tcPr>
          <w:p>
            <w:pPr/>
          </w:p>
        </w:tc>
        <w:tc>
          <w:tcPr>
            <w:tcW w:w="1856" w:type="dxa"/>
            <w:gridSpan w:val="4"/>
            <w:vMerge/>
            <w:tcBorders>
              <w:left w:val="single" w:sz="4" w:space="0" w:color="000000"/>
              <w:bottom w:val="single" w:sz="4" w:space="0" w:color="000000"/>
              <w:right w:val="single" w:sz="4" w:space="0" w:color="000000"/>
            </w:tcBorders>
            <w:shd w:val="clear" w:color="auto" w:fill="DCDCDC"/>
          </w:tcPr>
          <w:p>
            <w:pPr/>
          </w:p>
        </w:tc>
        <w:tc>
          <w:tcPr>
            <w:tcW w:w="556" w:type="dxa"/>
            <w:tcBorders>
              <w:top w:val="nil" w:sz="6" w:space="0" w:color="auto"/>
              <w:left w:val="single" w:sz="4" w:space="0" w:color="000000"/>
              <w:bottom w:val="single" w:sz="4" w:space="0" w:color="000000"/>
              <w:right w:val="single" w:sz="4" w:space="0" w:color="000000"/>
            </w:tcBorders>
            <w:shd w:val="clear" w:color="auto" w:fill="DCDCDC"/>
          </w:tcPr>
          <w:p>
            <w:pPr/>
          </w:p>
        </w:tc>
        <w:tc>
          <w:tcPr>
            <w:tcW w:w="897" w:type="dxa"/>
            <w:vMerge/>
            <w:tcBorders>
              <w:left w:val="single" w:sz="4" w:space="0" w:color="000000"/>
              <w:bottom w:val="single" w:sz="4" w:space="0" w:color="000000"/>
              <w:right w:val="single" w:sz="4" w:space="0" w:color="000000"/>
            </w:tcBorders>
            <w:shd w:val="clear" w:color="auto" w:fill="DCDCDC"/>
          </w:tcPr>
          <w:p>
            <w:pPr/>
          </w:p>
        </w:tc>
      </w:tr>
    </w:tbl>
    <w:p>
      <w:pPr>
        <w:spacing w:after="0"/>
        <w:sectPr>
          <w:type w:val="continuous"/>
          <w:pgSz w:w="12240" w:h="15840"/>
          <w:pgMar w:top="1500" w:bottom="0" w:left="680" w:right="0"/>
        </w:sectPr>
      </w:pPr>
    </w:p>
    <w:tbl>
      <w:tblPr>
        <w:tblW w:w="0" w:type="auto"/>
        <w:jc w:val="left"/>
        <w:tblInd w:w="107" w:type="dxa"/>
        <w:tblLayout w:type="fixed"/>
        <w:tblCellMar>
          <w:top w:w="0" w:type="dxa"/>
          <w:left w:w="0" w:type="dxa"/>
          <w:bottom w:w="0" w:type="dxa"/>
          <w:right w:w="0" w:type="dxa"/>
        </w:tblCellMar>
        <w:tblLook w:val="01E0"/>
      </w:tblPr>
      <w:tblGrid>
        <w:gridCol w:w="1846"/>
        <w:gridCol w:w="1435"/>
        <w:gridCol w:w="1117"/>
        <w:gridCol w:w="992"/>
        <w:gridCol w:w="390"/>
        <w:gridCol w:w="263"/>
        <w:gridCol w:w="341"/>
        <w:gridCol w:w="991"/>
        <w:gridCol w:w="839"/>
        <w:gridCol w:w="1004"/>
        <w:gridCol w:w="566"/>
        <w:gridCol w:w="898"/>
      </w:tblGrid>
      <w:tr>
        <w:trPr>
          <w:trHeight w:val="837" w:hRule="exact"/>
        </w:trPr>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北京联银通科技有</w:t>
            </w: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限公司、北京东华合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创科技有限公司</w:t>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86" w:lineRule="exact" w:before="103"/>
              <w:ind w:left="21" w:right="0"/>
              <w:jc w:val="left"/>
              <w:rPr>
                <w:rFonts w:ascii="Calibri" w:hAnsi="Calibri" w:cs="Calibri" w:eastAsia="Calibri"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20</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2010-026</w:t>
            </w:r>
            <w:r>
              <w:rPr>
                <w:rFonts w:ascii="宋体" w:hAnsi="宋体" w:cs="宋体" w:eastAsia="宋体" w:hint="default"/>
                <w:sz w:val="21"/>
                <w:szCs w:val="21"/>
              </w:rPr>
              <w:t>）</w:t>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10,000.00</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86" w:lineRule="exact" w:before="103"/>
              <w:ind w:left="21"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08</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09</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87" w:right="0"/>
              <w:jc w:val="left"/>
              <w:rPr>
                <w:rFonts w:ascii="Calibri" w:hAnsi="Calibri" w:cs="Calibri" w:eastAsia="Calibri" w:hint="default"/>
                <w:sz w:val="21"/>
                <w:szCs w:val="21"/>
              </w:rPr>
            </w:pPr>
            <w:r>
              <w:rPr>
                <w:rFonts w:ascii="Calibri"/>
                <w:sz w:val="21"/>
              </w:rPr>
              <w:t>0.00</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1"/>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6" w:lineRule="exact" w:before="103"/>
              <w:ind w:left="2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北京联银通科技有</w:t>
            </w: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限公司、北京东华合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创科技有限公司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21</w:t>
            </w:r>
          </w:p>
          <w:p>
            <w:pPr>
              <w:pStyle w:val="TableParagraph"/>
              <w:spacing w:line="288"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2010-028</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08</w:t>
            </w:r>
          </w:p>
          <w:p>
            <w:pPr>
              <w:pStyle w:val="TableParagraph"/>
              <w:spacing w:line="288"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5" w:right="0"/>
              <w:jc w:val="left"/>
              <w:rPr>
                <w:rFonts w:ascii="Calibri" w:hAnsi="Calibri" w:cs="Calibri" w:eastAsia="Calibri" w:hint="default"/>
                <w:sz w:val="21"/>
                <w:szCs w:val="21"/>
              </w:rPr>
            </w:pPr>
            <w:r>
              <w:rPr>
                <w:rFonts w:ascii="Calibri"/>
                <w:sz w:val="21"/>
              </w:rPr>
              <w:t>6,004.14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before="102"/>
              <w:ind w:left="2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日至</w:t>
            </w:r>
          </w:p>
          <w:p>
            <w:pPr>
              <w:pStyle w:val="TableParagraph"/>
              <w:spacing w:line="28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北京联银通科技有</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限公司、北京东华合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创科技有限公司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23</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2010-030</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08</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74" w:right="0"/>
              <w:jc w:val="left"/>
              <w:rPr>
                <w:rFonts w:ascii="Calibri" w:hAnsi="Calibri" w:cs="Calibri" w:eastAsia="Calibri" w:hint="default"/>
                <w:sz w:val="21"/>
                <w:szCs w:val="21"/>
              </w:rPr>
            </w:pPr>
            <w:r>
              <w:rPr>
                <w:rFonts w:ascii="Calibri"/>
                <w:sz w:val="21"/>
              </w:rPr>
              <w:t>361.80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8</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Calibri" w:hAnsi="Calibri" w:cs="Calibri" w:eastAsia="Calibri" w:hint="default"/>
                <w:sz w:val="21"/>
                <w:szCs w:val="21"/>
              </w:rPr>
              <w:t>26</w:t>
            </w:r>
            <w:r>
              <w:rPr>
                <w:rFonts w:ascii="Calibri" w:hAnsi="Calibri" w:cs="Calibri" w:eastAsia="Calibri" w:hint="default"/>
                <w:spacing w:val="-8"/>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北京联银通科技有</w:t>
            </w: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限公司、北京东华合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创科技有限公司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Calibri" w:hAnsi="Calibri" w:cs="Calibri" w:eastAsia="Calibri" w:hint="default"/>
                <w:sz w:val="21"/>
                <w:szCs w:val="21"/>
              </w:rPr>
              <w:t>24</w:t>
            </w:r>
            <w:r>
              <w:rPr>
                <w:rFonts w:ascii="Calibri" w:hAnsi="Calibri" w:cs="Calibri" w:eastAsia="Calibri" w:hint="default"/>
                <w:spacing w:val="5"/>
                <w:sz w:val="21"/>
                <w:szCs w:val="21"/>
              </w:rPr>
              <w:t> </w:t>
            </w:r>
            <w:r>
              <w:rPr>
                <w:rFonts w:ascii="宋体" w:hAnsi="宋体" w:cs="宋体" w:eastAsia="宋体" w:hint="default"/>
                <w:sz w:val="21"/>
                <w:szCs w:val="21"/>
              </w:rPr>
              <w:t>日</w:t>
            </w:r>
          </w:p>
          <w:p>
            <w:pPr>
              <w:pStyle w:val="TableParagraph"/>
              <w:spacing w:line="288"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2010-042</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12</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17</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17</w:t>
            </w:r>
            <w:r>
              <w:rPr>
                <w:rFonts w:ascii="Calibri" w:hAnsi="Calibri" w:cs="Calibri" w:eastAsia="Calibri" w:hint="default"/>
                <w:spacing w:val="6"/>
                <w:sz w:val="21"/>
                <w:szCs w:val="21"/>
              </w:rPr>
              <w:t> </w:t>
            </w:r>
            <w:r>
              <w:rPr>
                <w:rFonts w:ascii="宋体" w:hAnsi="宋体" w:cs="宋体" w:eastAsia="宋体" w:hint="default"/>
                <w:sz w:val="21"/>
                <w:szCs w:val="21"/>
              </w:rPr>
              <w:t>日</w:t>
            </w:r>
          </w:p>
          <w:p>
            <w:pPr>
              <w:pStyle w:val="TableParagraph"/>
              <w:spacing w:line="272" w:lineRule="exact"/>
              <w:ind w:left="23" w:right="0"/>
              <w:jc w:val="left"/>
              <w:rPr>
                <w:rFonts w:ascii="Calibri" w:hAnsi="Calibri" w:cs="Calibri" w:eastAsia="Calibri"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16</w:t>
            </w:r>
          </w:p>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北京东华合创科技</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19</w:t>
            </w:r>
          </w:p>
          <w:p>
            <w:pPr>
              <w:pStyle w:val="TableParagraph"/>
              <w:spacing w:line="288"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2011-019</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06</w:t>
            </w:r>
          </w:p>
          <w:p>
            <w:pPr>
              <w:pStyle w:val="TableParagraph"/>
              <w:spacing w:line="288"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Calibri" w:hAnsi="Calibri" w:cs="Calibri" w:eastAsia="Calibri" w:hint="default"/>
                <w:sz w:val="21"/>
                <w:szCs w:val="21"/>
              </w:rPr>
              <w:t>13</w:t>
            </w:r>
            <w:r>
              <w:rPr>
                <w:rFonts w:ascii="Calibri" w:hAnsi="Calibri" w:cs="Calibri" w:eastAsia="Calibri" w:hint="default"/>
                <w:spacing w:val="-8"/>
                <w:sz w:val="21"/>
                <w:szCs w:val="21"/>
              </w:rPr>
              <w:t> </w:t>
            </w:r>
            <w:r>
              <w:rPr>
                <w:rFonts w:ascii="宋体" w:hAnsi="宋体" w:cs="宋体" w:eastAsia="宋体" w:hint="default"/>
                <w:sz w:val="21"/>
                <w:szCs w:val="21"/>
              </w:rPr>
              <w:t>日至</w:t>
            </w:r>
          </w:p>
          <w:p>
            <w:pPr>
              <w:pStyle w:val="TableParagraph"/>
              <w:spacing w:line="28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北京联银通科技有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11</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2011-022</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14,000.00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06</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Calibri" w:hAnsi="Calibri" w:cs="Calibri" w:eastAsia="Calibri" w:hint="default"/>
                <w:sz w:val="21"/>
                <w:szCs w:val="21"/>
              </w:rPr>
              <w:t>13</w:t>
            </w:r>
            <w:r>
              <w:rPr>
                <w:rFonts w:ascii="Calibri" w:hAnsi="Calibri" w:cs="Calibri" w:eastAsia="Calibri" w:hint="default"/>
                <w:spacing w:val="-8"/>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7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北京东华合创科技</w:t>
            </w:r>
          </w:p>
          <w:p>
            <w:pPr>
              <w:pStyle w:val="TableParagraph"/>
              <w:spacing w:line="237" w:lineRule="auto"/>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有限公司、北京联银</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3"/>
                <w:w w:val="100"/>
                <w:sz w:val="21"/>
                <w:szCs w:val="21"/>
              </w:rPr>
              <w:t>通科技有限公司、北</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京神州新桥科技有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2011-024</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07</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20</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7</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Calibri" w:hAnsi="Calibri" w:cs="Calibri" w:eastAsia="Calibri" w:hint="default"/>
                <w:sz w:val="21"/>
                <w:szCs w:val="21"/>
              </w:rPr>
              <w:t>20</w:t>
            </w:r>
            <w:r>
              <w:rPr>
                <w:rFonts w:ascii="Calibri" w:hAnsi="Calibri" w:cs="Calibri" w:eastAsia="Calibri" w:hint="default"/>
                <w:spacing w:val="-8"/>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20</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北京东华合创科技</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有限公司、北京联银</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通科技有限公司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14</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2011-031</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10</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09</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5" w:right="0"/>
              <w:jc w:val="left"/>
              <w:rPr>
                <w:rFonts w:ascii="Calibri" w:hAnsi="Calibri" w:cs="Calibri" w:eastAsia="Calibri" w:hint="default"/>
                <w:sz w:val="21"/>
                <w:szCs w:val="21"/>
              </w:rPr>
            </w:pPr>
            <w:r>
              <w:rPr>
                <w:rFonts w:ascii="Calibri"/>
                <w:sz w:val="21"/>
              </w:rPr>
              <w:t>2,738.68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10</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9</w:t>
            </w:r>
            <w:r>
              <w:rPr>
                <w:rFonts w:ascii="Calibri" w:hAnsi="Calibri" w:cs="Calibri" w:eastAsia="Calibri" w:hint="default"/>
                <w:spacing w:val="-9"/>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北京神州新桥科技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30</w:t>
            </w:r>
          </w:p>
          <w:p>
            <w:pPr>
              <w:pStyle w:val="TableParagraph"/>
              <w:spacing w:line="287"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2011-033</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11</w:t>
            </w:r>
          </w:p>
          <w:p>
            <w:pPr>
              <w:pStyle w:val="TableParagraph"/>
              <w:spacing w:line="287"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07</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4" w:right="0"/>
              <w:jc w:val="left"/>
              <w:rPr>
                <w:rFonts w:ascii="Calibri" w:hAnsi="Calibri" w:cs="Calibri" w:eastAsia="Calibri" w:hint="default"/>
                <w:sz w:val="21"/>
                <w:szCs w:val="21"/>
              </w:rPr>
            </w:pPr>
            <w:r>
              <w:rPr>
                <w:rFonts w:ascii="Calibri"/>
                <w:sz w:val="21"/>
              </w:rPr>
              <w:t>990.00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连带责任</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12</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7</w:t>
            </w:r>
            <w:r>
              <w:rPr>
                <w:rFonts w:ascii="Calibri" w:hAnsi="Calibri" w:cs="Calibri" w:eastAsia="Calibri" w:hint="default"/>
                <w:spacing w:val="-9"/>
                <w:sz w:val="21"/>
                <w:szCs w:val="21"/>
              </w:rPr>
              <w:t> </w:t>
            </w:r>
            <w:r>
              <w:rPr>
                <w:rFonts w:ascii="宋体" w:hAnsi="宋体" w:cs="宋体" w:eastAsia="宋体" w:hint="default"/>
                <w:sz w:val="21"/>
                <w:szCs w:val="21"/>
              </w:rPr>
              <w:t>日至</w:t>
            </w:r>
          </w:p>
          <w:p>
            <w:pPr>
              <w:pStyle w:val="TableParagraph"/>
              <w:spacing w:line="287"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64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北京东华合创科技</w:t>
            </w:r>
          </w:p>
          <w:p>
            <w:pPr>
              <w:pStyle w:val="TableParagraph"/>
              <w:spacing w:line="237" w:lineRule="auto"/>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有限公司、北京联银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3"/>
                <w:w w:val="100"/>
                <w:sz w:val="21"/>
                <w:szCs w:val="21"/>
              </w:rPr>
              <w:t>通科技有限公司、北</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京神州新桥科技有</w:t>
            </w:r>
            <w:r>
              <w:rPr>
                <w:rFonts w:ascii="宋体" w:hAnsi="宋体" w:cs="宋体" w:eastAsia="宋体" w:hint="default"/>
                <w:w w:val="100"/>
                <w:sz w:val="21"/>
                <w:szCs w:val="21"/>
              </w:rPr>
              <w:t> </w:t>
            </w:r>
            <w:r>
              <w:rPr>
                <w:rFonts w:ascii="宋体" w:hAnsi="宋体" w:cs="宋体" w:eastAsia="宋体" w:hint="default"/>
                <w:spacing w:val="-13"/>
                <w:w w:val="100"/>
                <w:sz w:val="21"/>
                <w:szCs w:val="21"/>
              </w:rPr>
              <w:t>限公司、北京东华易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时科技有限公司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Calibri" w:hAnsi="Calibri" w:cs="Calibri" w:eastAsia="Calibri" w:hint="default"/>
                <w:sz w:val="21"/>
                <w:szCs w:val="21"/>
              </w:rPr>
              <w:t>2</w:t>
            </w:r>
          </w:p>
          <w:p>
            <w:pPr>
              <w:pStyle w:val="TableParagraph"/>
              <w:spacing w:line="286" w:lineRule="exact"/>
              <w:ind w:left="21" w:right="-4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2011-038</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1"/>
              <w:jc w:val="right"/>
              <w:rPr>
                <w:rFonts w:ascii="Calibri" w:hAnsi="Calibri" w:cs="Calibri" w:eastAsia="Calibri" w:hint="default"/>
                <w:sz w:val="21"/>
                <w:szCs w:val="21"/>
              </w:rPr>
            </w:pPr>
            <w:r>
              <w:rPr>
                <w:rFonts w:ascii="Calibri"/>
                <w:spacing w:val="-2"/>
                <w:sz w:val="21"/>
              </w:rPr>
              <w:t>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12</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587" w:right="0"/>
              <w:jc w:val="left"/>
              <w:rPr>
                <w:rFonts w:ascii="Calibri" w:hAnsi="Calibri" w:cs="Calibri" w:eastAsia="Calibri" w:hint="default"/>
                <w:sz w:val="21"/>
                <w:szCs w:val="21"/>
              </w:rPr>
            </w:pPr>
            <w:r>
              <w:rPr>
                <w:rFonts w:ascii="Calibri"/>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 w:right="115"/>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12</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5</w:t>
            </w:r>
            <w:r>
              <w:rPr>
                <w:rFonts w:ascii="Calibri" w:hAnsi="Calibri" w:cs="Calibri" w:eastAsia="Calibri" w:hint="default"/>
                <w:spacing w:val="-9"/>
                <w:sz w:val="21"/>
                <w:szCs w:val="21"/>
              </w:rPr>
              <w:t> </w:t>
            </w:r>
            <w:r>
              <w:rPr>
                <w:rFonts w:ascii="宋体" w:hAnsi="宋体" w:cs="宋体" w:eastAsia="宋体" w:hint="default"/>
                <w:sz w:val="21"/>
                <w:szCs w:val="21"/>
              </w:rPr>
              <w:t>日至</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32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31" w:right="0"/>
              <w:jc w:val="center"/>
              <w:rPr>
                <w:rFonts w:ascii="宋体" w:hAnsi="宋体" w:cs="宋体" w:eastAsia="宋体" w:hint="default"/>
                <w:sz w:val="21"/>
                <w:szCs w:val="21"/>
              </w:rPr>
            </w:pPr>
            <w:r>
              <w:rPr>
                <w:rFonts w:ascii="宋体" w:hAnsi="宋体" w:cs="宋体" w:eastAsia="宋体" w:hint="default"/>
                <w:sz w:val="21"/>
                <w:szCs w:val="21"/>
              </w:rPr>
              <w:t>报告期内审批对子公司担保额度合</w:t>
            </w:r>
          </w:p>
          <w:p>
            <w:pPr>
              <w:pStyle w:val="TableParagraph"/>
              <w:spacing w:line="300" w:lineRule="exact"/>
              <w:ind w:left="29" w:right="0"/>
              <w:jc w:val="center"/>
              <w:rPr>
                <w:rFonts w:ascii="宋体" w:hAnsi="宋体" w:cs="宋体" w:eastAsia="宋体" w:hint="default"/>
                <w:sz w:val="21"/>
                <w:szCs w:val="21"/>
              </w:rPr>
            </w:pPr>
            <w:r>
              <w:rPr>
                <w:rFonts w:ascii="宋体" w:hAnsi="宋体" w:cs="宋体" w:eastAsia="宋体" w:hint="default"/>
                <w:sz w:val="21"/>
                <w:szCs w:val="21"/>
              </w:rPr>
              <w:t>计（</w:t>
            </w:r>
            <w:r>
              <w:rPr>
                <w:rFonts w:ascii="Calibri" w:hAnsi="Calibri" w:cs="Calibri" w:eastAsia="Calibri" w:hint="default"/>
                <w:sz w:val="21"/>
                <w:szCs w:val="21"/>
              </w:rPr>
              <w:t>B1</w:t>
            </w:r>
            <w:r>
              <w:rPr>
                <w:rFonts w:ascii="宋体" w:hAnsi="宋体" w:cs="宋体" w:eastAsia="宋体" w:hint="default"/>
                <w:sz w:val="21"/>
                <w:szCs w:val="21"/>
              </w:rPr>
              <w:t>）</w:t>
            </w:r>
          </w:p>
        </w:tc>
        <w:tc>
          <w:tcPr>
            <w:tcW w:w="249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41"/>
              <w:ind w:left="1590" w:right="0"/>
              <w:jc w:val="left"/>
              <w:rPr>
                <w:rFonts w:ascii="Calibri" w:hAnsi="Calibri" w:cs="Calibri" w:eastAsia="Calibri" w:hint="default"/>
                <w:sz w:val="21"/>
                <w:szCs w:val="21"/>
              </w:rPr>
            </w:pPr>
            <w:r>
              <w:rPr>
                <w:rFonts w:ascii="Calibri"/>
                <w:sz w:val="21"/>
              </w:rPr>
              <w:t>67,000.00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w:t>
            </w:r>
          </w:p>
          <w:p>
            <w:pPr>
              <w:pStyle w:val="TableParagraph"/>
              <w:spacing w:line="300" w:lineRule="exact"/>
              <w:ind w:right="0"/>
              <w:jc w:val="center"/>
              <w:rPr>
                <w:rFonts w:ascii="宋体" w:hAnsi="宋体" w:cs="宋体" w:eastAsia="宋体" w:hint="default"/>
                <w:sz w:val="21"/>
                <w:szCs w:val="21"/>
              </w:rPr>
            </w:pPr>
            <w:r>
              <w:rPr>
                <w:rFonts w:ascii="宋体" w:hAnsi="宋体" w:cs="宋体" w:eastAsia="宋体" w:hint="default"/>
                <w:sz w:val="21"/>
                <w:szCs w:val="21"/>
              </w:rPr>
              <w:t>际发生额合计（</w:t>
            </w:r>
            <w:r>
              <w:rPr>
                <w:rFonts w:ascii="Calibri" w:hAnsi="Calibri" w:cs="Calibri" w:eastAsia="Calibri" w:hint="default"/>
                <w:sz w:val="21"/>
                <w:szCs w:val="21"/>
              </w:rPr>
              <w:t>B2</w:t>
            </w:r>
            <w:r>
              <w:rPr>
                <w:rFonts w:ascii="宋体" w:hAnsi="宋体" w:cs="宋体" w:eastAsia="宋体" w:hint="default"/>
                <w:sz w:val="21"/>
                <w:szCs w:val="21"/>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1574" w:right="0"/>
              <w:jc w:val="left"/>
              <w:rPr>
                <w:rFonts w:ascii="Calibri" w:hAnsi="Calibri" w:cs="Calibri" w:eastAsia="Calibri" w:hint="default"/>
                <w:sz w:val="21"/>
                <w:szCs w:val="21"/>
              </w:rPr>
            </w:pPr>
            <w:r>
              <w:rPr>
                <w:rFonts w:ascii="Calibri"/>
                <w:sz w:val="21"/>
              </w:rPr>
              <w:t>10,094.62</w:t>
            </w:r>
          </w:p>
        </w:tc>
      </w:tr>
      <w:tr>
        <w:trPr>
          <w:trHeight w:val="559" w:hRule="exact"/>
        </w:trPr>
        <w:tc>
          <w:tcPr>
            <w:tcW w:w="32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报告期末已审批的对子公司担保额</w:t>
            </w:r>
          </w:p>
          <w:p>
            <w:pPr>
              <w:pStyle w:val="TableParagraph"/>
              <w:spacing w:line="301" w:lineRule="exact"/>
              <w:ind w:left="32" w:right="0"/>
              <w:jc w:val="center"/>
              <w:rPr>
                <w:rFonts w:ascii="宋体" w:hAnsi="宋体" w:cs="宋体" w:eastAsia="宋体" w:hint="default"/>
                <w:sz w:val="21"/>
                <w:szCs w:val="21"/>
              </w:rPr>
            </w:pPr>
            <w:r>
              <w:rPr>
                <w:rFonts w:ascii="宋体" w:hAnsi="宋体" w:cs="宋体" w:eastAsia="宋体" w:hint="default"/>
                <w:sz w:val="21"/>
                <w:szCs w:val="21"/>
              </w:rPr>
              <w:t>度合计（</w:t>
            </w:r>
            <w:r>
              <w:rPr>
                <w:rFonts w:ascii="Calibri" w:hAnsi="Calibri" w:cs="Calibri" w:eastAsia="Calibri" w:hint="default"/>
                <w:sz w:val="21"/>
                <w:szCs w:val="21"/>
              </w:rPr>
              <w:t>B3</w:t>
            </w:r>
            <w:r>
              <w:rPr>
                <w:rFonts w:ascii="宋体" w:hAnsi="宋体" w:cs="宋体" w:eastAsia="宋体" w:hint="default"/>
                <w:sz w:val="21"/>
                <w:szCs w:val="21"/>
              </w:rPr>
              <w:t>）</w:t>
            </w:r>
          </w:p>
        </w:tc>
        <w:tc>
          <w:tcPr>
            <w:tcW w:w="249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41"/>
              <w:ind w:left="1590" w:right="0"/>
              <w:jc w:val="left"/>
              <w:rPr>
                <w:rFonts w:ascii="Calibri" w:hAnsi="Calibri" w:cs="Calibri" w:eastAsia="Calibri" w:hint="default"/>
                <w:sz w:val="21"/>
                <w:szCs w:val="21"/>
              </w:rPr>
            </w:pPr>
            <w:r>
              <w:rPr>
                <w:rFonts w:ascii="Calibri"/>
                <w:sz w:val="21"/>
              </w:rPr>
              <w:t>67,000.00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保余额合计（</w:t>
            </w:r>
            <w:r>
              <w:rPr>
                <w:rFonts w:ascii="Calibri" w:hAnsi="Calibri" w:cs="Calibri" w:eastAsia="Calibri" w:hint="default"/>
                <w:sz w:val="21"/>
                <w:szCs w:val="21"/>
              </w:rPr>
              <w:t>B4</w:t>
            </w:r>
            <w:r>
              <w:rPr>
                <w:rFonts w:ascii="宋体" w:hAnsi="宋体" w:cs="宋体" w:eastAsia="宋体" w:hint="default"/>
                <w:sz w:val="21"/>
                <w:szCs w:val="21"/>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3,728.68</w:t>
            </w:r>
          </w:p>
        </w:tc>
      </w:tr>
      <w:tr>
        <w:trPr>
          <w:trHeight w:val="274" w:hRule="exact"/>
        </w:trPr>
        <w:tc>
          <w:tcPr>
            <w:tcW w:w="10682"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60" w:hRule="exact"/>
        </w:trPr>
        <w:tc>
          <w:tcPr>
            <w:tcW w:w="32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30" w:right="0"/>
              <w:jc w:val="center"/>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300" w:lineRule="exact"/>
              <w:ind w:left="29"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A1+B1</w:t>
            </w:r>
            <w:r>
              <w:rPr>
                <w:rFonts w:ascii="宋体" w:hAnsi="宋体" w:cs="宋体" w:eastAsia="宋体" w:hint="default"/>
                <w:sz w:val="21"/>
                <w:szCs w:val="21"/>
              </w:rPr>
              <w:t>）</w:t>
            </w:r>
          </w:p>
        </w:tc>
        <w:tc>
          <w:tcPr>
            <w:tcW w:w="249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46"/>
              <w:ind w:left="1590" w:right="0"/>
              <w:jc w:val="left"/>
              <w:rPr>
                <w:rFonts w:ascii="Calibri" w:hAnsi="Calibri" w:cs="Calibri" w:eastAsia="Calibri" w:hint="default"/>
                <w:sz w:val="21"/>
                <w:szCs w:val="21"/>
              </w:rPr>
            </w:pPr>
            <w:r>
              <w:rPr>
                <w:rFonts w:ascii="Calibri"/>
                <w:sz w:val="21"/>
              </w:rPr>
              <w:t>67,000.00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报告期内担保实际发生额</w:t>
            </w:r>
          </w:p>
          <w:p>
            <w:pPr>
              <w:pStyle w:val="TableParagraph"/>
              <w:spacing w:line="30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Calibri" w:hAnsi="Calibri" w:cs="Calibri" w:eastAsia="Calibri" w:hint="default"/>
                <w:sz w:val="21"/>
                <w:szCs w:val="21"/>
              </w:rPr>
              <w:t>A2+B2</w:t>
            </w:r>
            <w:r>
              <w:rPr>
                <w:rFonts w:ascii="宋体" w:hAnsi="宋体" w:cs="宋体" w:eastAsia="宋体" w:hint="default"/>
                <w:sz w:val="21"/>
                <w:szCs w:val="21"/>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6"/>
              <w:ind w:left="1574" w:right="0"/>
              <w:jc w:val="left"/>
              <w:rPr>
                <w:rFonts w:ascii="Calibri" w:hAnsi="Calibri" w:cs="Calibri" w:eastAsia="Calibri" w:hint="default"/>
                <w:sz w:val="21"/>
                <w:szCs w:val="21"/>
              </w:rPr>
            </w:pPr>
            <w:r>
              <w:rPr>
                <w:rFonts w:ascii="Calibri"/>
                <w:sz w:val="21"/>
              </w:rPr>
              <w:t>10,094.62</w:t>
            </w:r>
          </w:p>
        </w:tc>
      </w:tr>
      <w:tr>
        <w:trPr>
          <w:trHeight w:val="559" w:hRule="exact"/>
        </w:trPr>
        <w:tc>
          <w:tcPr>
            <w:tcW w:w="32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9"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报告期末已审批的担保额度合计</w:t>
            </w:r>
          </w:p>
          <w:p>
            <w:pPr>
              <w:pStyle w:val="TableParagraph"/>
              <w:spacing w:line="300" w:lineRule="exact"/>
              <w:ind w:left="29"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A3+B3</w:t>
            </w:r>
            <w:r>
              <w:rPr>
                <w:rFonts w:ascii="宋体" w:hAnsi="宋体" w:cs="宋体" w:eastAsia="宋体" w:hint="default"/>
                <w:sz w:val="21"/>
                <w:szCs w:val="21"/>
              </w:rPr>
              <w:t>）</w:t>
            </w:r>
          </w:p>
        </w:tc>
        <w:tc>
          <w:tcPr>
            <w:tcW w:w="249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41"/>
              <w:ind w:left="1590" w:right="0"/>
              <w:jc w:val="left"/>
              <w:rPr>
                <w:rFonts w:ascii="Calibri" w:hAnsi="Calibri" w:cs="Calibri" w:eastAsia="Calibri" w:hint="default"/>
                <w:sz w:val="21"/>
                <w:szCs w:val="21"/>
              </w:rPr>
            </w:pPr>
            <w:r>
              <w:rPr>
                <w:rFonts w:ascii="Calibri"/>
                <w:sz w:val="21"/>
              </w:rPr>
              <w:t>67,000.00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报告期末实际担保余额合</w:t>
            </w:r>
          </w:p>
          <w:p>
            <w:pPr>
              <w:pStyle w:val="TableParagraph"/>
              <w:spacing w:line="300" w:lineRule="exact"/>
              <w:ind w:right="1"/>
              <w:jc w:val="center"/>
              <w:rPr>
                <w:rFonts w:ascii="宋体" w:hAnsi="宋体" w:cs="宋体" w:eastAsia="宋体" w:hint="default"/>
                <w:sz w:val="21"/>
                <w:szCs w:val="21"/>
              </w:rPr>
            </w:pPr>
            <w:r>
              <w:rPr>
                <w:rFonts w:ascii="宋体" w:hAnsi="宋体" w:cs="宋体" w:eastAsia="宋体" w:hint="default"/>
                <w:sz w:val="21"/>
                <w:szCs w:val="21"/>
              </w:rPr>
              <w:t>计（</w:t>
            </w:r>
            <w:r>
              <w:rPr>
                <w:rFonts w:ascii="Calibri" w:hAnsi="Calibri" w:cs="Calibri" w:eastAsia="Calibri" w:hint="default"/>
                <w:sz w:val="21"/>
                <w:szCs w:val="21"/>
              </w:rPr>
              <w:t>A4+B4</w:t>
            </w:r>
            <w:r>
              <w:rPr>
                <w:rFonts w:ascii="宋体" w:hAnsi="宋体" w:cs="宋体" w:eastAsia="宋体" w:hint="default"/>
                <w:sz w:val="21"/>
                <w:szCs w:val="21"/>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3,728.68</w:t>
            </w:r>
          </w:p>
        </w:tc>
      </w:tr>
      <w:tr>
        <w:trPr>
          <w:trHeight w:val="283" w:hRule="exact"/>
        </w:trPr>
        <w:tc>
          <w:tcPr>
            <w:tcW w:w="604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9"/>
                <w:sz w:val="21"/>
                <w:szCs w:val="21"/>
              </w:rPr>
              <w:t> </w:t>
            </w:r>
            <w:r>
              <w:rPr>
                <w:rFonts w:ascii="Calibri" w:hAnsi="Calibri" w:cs="Calibri" w:eastAsia="Calibri" w:hint="default"/>
                <w:sz w:val="21"/>
                <w:szCs w:val="21"/>
              </w:rPr>
              <w:t>A4+B4</w:t>
            </w:r>
            <w:r>
              <w:rPr>
                <w:rFonts w:ascii="宋体" w:hAnsi="宋体" w:cs="宋体" w:eastAsia="宋体" w:hint="default"/>
                <w:sz w:val="21"/>
                <w:szCs w:val="21"/>
              </w:rPr>
              <w:t>）占公司净资产的比例</w:t>
            </w:r>
          </w:p>
        </w:tc>
        <w:tc>
          <w:tcPr>
            <w:tcW w:w="4640" w:type="dxa"/>
            <w:gridSpan w:val="6"/>
            <w:tcBorders>
              <w:top w:val="single" w:sz="4" w:space="0" w:color="000000"/>
              <w:left w:val="single" w:sz="10" w:space="0" w:color="DCDCDC"/>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1.64%</w:t>
            </w:r>
          </w:p>
        </w:tc>
      </w:tr>
      <w:tr>
        <w:trPr>
          <w:trHeight w:val="271" w:hRule="exact"/>
        </w:trPr>
        <w:tc>
          <w:tcPr>
            <w:tcW w:w="10682"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604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Calibri" w:hAnsi="Calibri" w:cs="Calibri" w:eastAsia="Calibri" w:hint="default"/>
                <w:sz w:val="21"/>
                <w:szCs w:val="21"/>
              </w:rPr>
              <w:t>C</w:t>
            </w:r>
            <w:r>
              <w:rPr>
                <w:rFonts w:ascii="宋体" w:hAnsi="宋体" w:cs="宋体" w:eastAsia="宋体" w:hint="default"/>
                <w:sz w:val="21"/>
                <w:szCs w:val="21"/>
              </w:rPr>
              <w:t>）</w:t>
            </w:r>
          </w:p>
        </w:tc>
        <w:tc>
          <w:tcPr>
            <w:tcW w:w="4640"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20"/>
              <w:jc w:val="right"/>
              <w:rPr>
                <w:rFonts w:ascii="Calibri" w:hAnsi="Calibri" w:cs="Calibri" w:eastAsia="Calibri" w:hint="default"/>
                <w:sz w:val="21"/>
                <w:szCs w:val="21"/>
              </w:rPr>
            </w:pPr>
            <w:r>
              <w:rPr>
                <w:rFonts w:ascii="Calibri"/>
                <w:spacing w:val="-1"/>
                <w:sz w:val="21"/>
              </w:rPr>
              <w:t>0.00</w:t>
            </w:r>
          </w:p>
        </w:tc>
      </w:tr>
      <w:tr>
        <w:trPr>
          <w:trHeight w:val="554" w:hRule="exact"/>
        </w:trPr>
        <w:tc>
          <w:tcPr>
            <w:tcW w:w="604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125"/>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6"/>
                <w:sz w:val="21"/>
                <w:szCs w:val="21"/>
              </w:rPr>
              <w:t> </w:t>
            </w:r>
            <w:r>
              <w:rPr>
                <w:rFonts w:ascii="Calibri" w:hAnsi="Calibri" w:cs="Calibri" w:eastAsia="Calibri" w:hint="default"/>
                <w:sz w:val="21"/>
                <w:szCs w:val="21"/>
              </w:rPr>
              <w:t>70%</w:t>
            </w:r>
            <w:r>
              <w:rPr>
                <w:rFonts w:ascii="宋体" w:hAnsi="宋体" w:cs="宋体" w:eastAsia="宋体" w:hint="default"/>
                <w:sz w:val="21"/>
                <w:szCs w:val="21"/>
              </w:rPr>
              <w:t>的被担保对象提供的债务担保</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Calibri" w:hAnsi="Calibri" w:cs="Calibri" w:eastAsia="Calibri" w:hint="default"/>
                <w:sz w:val="21"/>
                <w:szCs w:val="21"/>
              </w:rPr>
              <w:t>D</w:t>
            </w:r>
            <w:r>
              <w:rPr>
                <w:rFonts w:ascii="宋体" w:hAnsi="宋体" w:cs="宋体" w:eastAsia="宋体" w:hint="default"/>
                <w:sz w:val="21"/>
                <w:szCs w:val="21"/>
              </w:rPr>
              <w:t>）</w:t>
            </w:r>
          </w:p>
        </w:tc>
        <w:tc>
          <w:tcPr>
            <w:tcW w:w="4640"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0"/>
              <w:ind w:right="20"/>
              <w:jc w:val="right"/>
              <w:rPr>
                <w:rFonts w:ascii="Calibri" w:hAnsi="Calibri" w:cs="Calibri" w:eastAsia="Calibri" w:hint="default"/>
                <w:sz w:val="21"/>
                <w:szCs w:val="21"/>
              </w:rPr>
            </w:pPr>
            <w:r>
              <w:rPr>
                <w:rFonts w:ascii="Calibri"/>
                <w:spacing w:val="-1"/>
                <w:sz w:val="21"/>
              </w:rPr>
              <w:t>0.00</w:t>
            </w:r>
          </w:p>
        </w:tc>
      </w:tr>
    </w:tbl>
    <w:p>
      <w:pPr>
        <w:spacing w:after="0" w:line="240" w:lineRule="auto"/>
        <w:jc w:val="right"/>
        <w:rPr>
          <w:rFonts w:ascii="Calibri" w:hAnsi="Calibri" w:cs="Calibri" w:eastAsia="Calibri" w:hint="default"/>
          <w:sz w:val="21"/>
          <w:szCs w:val="21"/>
        </w:rPr>
        <w:sectPr>
          <w:pgSz w:w="12240" w:h="15840"/>
          <w:pgMar w:header="850" w:footer="987" w:top="1380" w:bottom="1180" w:left="680" w:right="0"/>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054"/>
        <w:gridCol w:w="4628"/>
      </w:tblGrid>
      <w:tr>
        <w:trPr>
          <w:trHeight w:val="293" w:hRule="exact"/>
        </w:trPr>
        <w:tc>
          <w:tcPr>
            <w:tcW w:w="6054"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4"/>
                <w:sz w:val="21"/>
                <w:szCs w:val="21"/>
              </w:rPr>
              <w:t> </w:t>
            </w:r>
            <w:r>
              <w:rPr>
                <w:rFonts w:ascii="Calibri" w:hAnsi="Calibri" w:cs="Calibri" w:eastAsia="Calibri" w:hint="default"/>
                <w:sz w:val="21"/>
                <w:szCs w:val="21"/>
              </w:rPr>
              <w:t>50%</w:t>
            </w:r>
            <w:r>
              <w:rPr>
                <w:rFonts w:ascii="宋体" w:hAnsi="宋体" w:cs="宋体" w:eastAsia="宋体" w:hint="default"/>
                <w:sz w:val="21"/>
                <w:szCs w:val="21"/>
              </w:rPr>
              <w:t>部分的金额（</w:t>
            </w:r>
            <w:r>
              <w:rPr>
                <w:rFonts w:ascii="Calibri" w:hAnsi="Calibri" w:cs="Calibri" w:eastAsia="Calibri" w:hint="default"/>
                <w:sz w:val="21"/>
                <w:szCs w:val="21"/>
              </w:rPr>
              <w:t>E</w:t>
            </w:r>
            <w:r>
              <w:rPr>
                <w:rFonts w:ascii="宋体" w:hAnsi="宋体" w:cs="宋体" w:eastAsia="宋体" w:hint="default"/>
                <w:sz w:val="21"/>
                <w:szCs w:val="21"/>
              </w:rPr>
              <w:t>）</w:t>
            </w:r>
          </w:p>
        </w:tc>
        <w:tc>
          <w:tcPr>
            <w:tcW w:w="46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0.00</w:t>
            </w:r>
          </w:p>
        </w:tc>
      </w:tr>
      <w:tr>
        <w:trPr>
          <w:trHeight w:val="282" w:hRule="exact"/>
        </w:trPr>
        <w:tc>
          <w:tcPr>
            <w:tcW w:w="6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Calibri" w:hAnsi="Calibri" w:cs="Calibri" w:eastAsia="Calibri" w:hint="default"/>
                <w:sz w:val="21"/>
                <w:szCs w:val="21"/>
              </w:rPr>
              <w:t>C+D+E</w:t>
            </w:r>
            <w:r>
              <w:rPr>
                <w:rFonts w:ascii="宋体" w:hAnsi="宋体" w:cs="宋体" w:eastAsia="宋体" w:hint="default"/>
                <w:sz w:val="21"/>
                <w:szCs w:val="21"/>
              </w:rPr>
              <w:t>）</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Calibri" w:hAnsi="Calibri" w:cs="Calibri" w:eastAsia="Calibri" w:hint="default"/>
                <w:sz w:val="21"/>
                <w:szCs w:val="21"/>
              </w:rPr>
            </w:pPr>
            <w:r>
              <w:rPr>
                <w:rFonts w:ascii="Calibri"/>
                <w:spacing w:val="-1"/>
                <w:sz w:val="21"/>
              </w:rPr>
              <w:t>0.00</w:t>
            </w:r>
          </w:p>
        </w:tc>
      </w:tr>
      <w:tr>
        <w:trPr>
          <w:trHeight w:val="283" w:hRule="exact"/>
        </w:trPr>
        <w:tc>
          <w:tcPr>
            <w:tcW w:w="6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left="1444" w:right="0"/>
        <w:jc w:val="left"/>
      </w:pPr>
      <w:r>
        <w:rPr/>
        <w:t>公司独立董事就公司对外担保事项发表了独立意见。</w:t>
      </w:r>
    </w:p>
    <w:p>
      <w:pPr>
        <w:spacing w:line="240" w:lineRule="auto" w:before="2"/>
        <w:rPr>
          <w:rFonts w:ascii="宋体" w:hAnsi="宋体" w:cs="宋体" w:eastAsia="宋体" w:hint="default"/>
          <w:sz w:val="34"/>
          <w:szCs w:val="34"/>
        </w:rPr>
      </w:pPr>
    </w:p>
    <w:p>
      <w:pPr>
        <w:pStyle w:val="Heading3"/>
        <w:spacing w:line="240" w:lineRule="auto"/>
        <w:ind w:left="964" w:right="0"/>
        <w:jc w:val="left"/>
        <w:rPr>
          <w:b w:val="0"/>
          <w:bCs w:val="0"/>
        </w:rPr>
      </w:pPr>
      <w:r>
        <w:rPr/>
        <w:t>（三）委托他人进行现金资产管理事项</w:t>
      </w:r>
      <w:r>
        <w:rPr>
          <w:b w:val="0"/>
          <w:bCs w:val="0"/>
        </w:rPr>
      </w:r>
    </w:p>
    <w:p>
      <w:pPr>
        <w:pStyle w:val="BodyText"/>
        <w:spacing w:line="240" w:lineRule="auto" w:before="124"/>
        <w:ind w:left="1444" w:right="0"/>
        <w:jc w:val="left"/>
      </w:pPr>
      <w:r>
        <w:rPr/>
        <w:t>报告期内无公司委托他人进行现金资产管理事项。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2"/>
        <w:spacing w:line="240" w:lineRule="auto"/>
        <w:ind w:left="964" w:right="0"/>
        <w:jc w:val="left"/>
        <w:rPr>
          <w:b w:val="0"/>
          <w:bCs w:val="0"/>
        </w:rPr>
      </w:pPr>
      <w:r>
        <w:rPr/>
        <w:t>九、承诺事项履行情况</w:t>
      </w:r>
      <w:r>
        <w:rPr>
          <w:b w:val="0"/>
          <w:bCs w:val="0"/>
        </w:rPr>
      </w:r>
    </w:p>
    <w:p>
      <w:pPr>
        <w:pStyle w:val="BodyText"/>
        <w:spacing w:line="336" w:lineRule="auto" w:before="120"/>
        <w:ind w:left="964" w:right="1635" w:firstLine="479"/>
        <w:jc w:val="both"/>
      </w:pPr>
      <w:r>
        <w:rPr>
          <w:rFonts w:ascii="Calibri" w:hAnsi="Calibri" w:cs="Calibri" w:eastAsia="Calibri" w:hint="default"/>
        </w:rPr>
        <w:t>1</w:t>
      </w:r>
      <w:r>
        <w:rPr/>
        <w:t>、公司持股</w:t>
      </w:r>
      <w:r>
        <w:rPr>
          <w:spacing w:val="-61"/>
        </w:rPr>
        <w:t> </w:t>
      </w:r>
      <w:r>
        <w:rPr>
          <w:rFonts w:ascii="Calibri" w:hAnsi="Calibri" w:cs="Calibri" w:eastAsia="Calibri" w:hint="default"/>
        </w:rPr>
        <w:t>5%</w:t>
      </w:r>
      <w:r>
        <w:rPr/>
        <w:t>以上股份的股东薛向东、北京东华诚信电脑科技发展有限公司、 北京东华诚信工业设备有限公司、北京合创电商投资顾问有限公司于</w:t>
      </w:r>
      <w:r>
        <w:rPr>
          <w:spacing w:val="-59"/>
        </w:rPr>
        <w:t> </w:t>
      </w:r>
      <w:r>
        <w:rPr>
          <w:rFonts w:ascii="Calibri" w:hAnsi="Calibri" w:cs="Calibri" w:eastAsia="Calibri" w:hint="default"/>
        </w:rPr>
        <w:t>2005</w:t>
      </w:r>
      <w:r>
        <w:rPr>
          <w:rFonts w:ascii="Calibri" w:hAnsi="Calibri" w:cs="Calibri" w:eastAsia="Calibri" w:hint="default"/>
          <w:spacing w:val="6"/>
        </w:rPr>
        <w:t> </w:t>
      </w:r>
      <w:r>
        <w:rPr/>
        <w:t>年</w:t>
      </w:r>
      <w:r>
        <w:rPr>
          <w:spacing w:val="-63"/>
        </w:rPr>
        <w:t> </w:t>
      </w:r>
      <w:r>
        <w:rPr>
          <w:rFonts w:ascii="Calibri" w:hAnsi="Calibri" w:cs="Calibri" w:eastAsia="Calibri" w:hint="default"/>
        </w:rPr>
        <w:t>10</w:t>
      </w:r>
      <w:r>
        <w:rPr>
          <w:rFonts w:ascii="Calibri" w:hAnsi="Calibri" w:cs="Calibri" w:eastAsia="Calibri" w:hint="default"/>
          <w:spacing w:val="6"/>
        </w:rPr>
        <w:t> </w:t>
      </w:r>
      <w:r>
        <w:rPr/>
        <w:t>月</w:t>
      </w:r>
      <w:r>
        <w:rPr>
          <w:spacing w:val="-60"/>
        </w:rPr>
        <w:t> </w:t>
      </w:r>
      <w:r>
        <w:rPr>
          <w:rFonts w:ascii="Calibri" w:hAnsi="Calibri" w:cs="Calibri" w:eastAsia="Calibri" w:hint="default"/>
        </w:rPr>
        <w:t>28 </w:t>
      </w:r>
      <w:r>
        <w:rPr/>
        <w:t>日向本公司出具了《不竞争承诺函》，承诺函自出具之日起生效，并在承诺人作为本 公司股东或关联方的整个期间持续有效。报告期内，承诺人了履行承诺。</w:t>
      </w:r>
    </w:p>
    <w:p>
      <w:pPr>
        <w:pStyle w:val="BodyText"/>
        <w:spacing w:line="340" w:lineRule="auto" w:before="175"/>
        <w:ind w:left="964" w:right="1700" w:firstLine="479"/>
        <w:jc w:val="both"/>
      </w:pPr>
      <w:r>
        <w:rPr>
          <w:rFonts w:ascii="Calibri" w:hAnsi="Calibri" w:cs="Calibri" w:eastAsia="Calibri" w:hint="default"/>
        </w:rPr>
        <w:t>2</w:t>
      </w:r>
      <w:r>
        <w:rPr/>
        <w:t>、秦劳、翟曙春、柏红、胡明炜、谢坤</w:t>
      </w:r>
      <w:r>
        <w:rPr>
          <w:spacing w:val="-60"/>
        </w:rPr>
        <w:t> </w:t>
      </w:r>
      <w:r>
        <w:rPr>
          <w:rFonts w:ascii="Calibri" w:hAnsi="Calibri" w:cs="Calibri" w:eastAsia="Calibri" w:hint="default"/>
        </w:rPr>
        <w:t>2007</w:t>
      </w:r>
      <w:r>
        <w:rPr>
          <w:rFonts w:ascii="Calibri" w:hAnsi="Calibri" w:cs="Calibri" w:eastAsia="Calibri" w:hint="default"/>
          <w:spacing w:val="5"/>
        </w:rPr>
        <w:t> </w:t>
      </w:r>
      <w:r>
        <w:rPr/>
        <w:t>年</w:t>
      </w:r>
      <w:r>
        <w:rPr>
          <w:spacing w:val="-61"/>
        </w:rPr>
        <w:t> </w:t>
      </w:r>
      <w:r>
        <w:rPr>
          <w:rFonts w:ascii="Calibri" w:hAnsi="Calibri" w:cs="Calibri" w:eastAsia="Calibri" w:hint="default"/>
        </w:rPr>
        <w:t>9</w:t>
      </w:r>
      <w:r>
        <w:rPr>
          <w:rFonts w:ascii="Calibri" w:hAnsi="Calibri" w:cs="Calibri" w:eastAsia="Calibri" w:hint="default"/>
          <w:spacing w:val="5"/>
        </w:rPr>
        <w:t> </w:t>
      </w:r>
      <w:r>
        <w:rPr/>
        <w:t>月</w:t>
      </w:r>
      <w:r>
        <w:rPr>
          <w:spacing w:val="-61"/>
        </w:rPr>
        <w:t> </w:t>
      </w:r>
      <w:r>
        <w:rPr>
          <w:rFonts w:ascii="Calibri" w:hAnsi="Calibri" w:cs="Calibri" w:eastAsia="Calibri" w:hint="default"/>
        </w:rPr>
        <w:t>6</w:t>
      </w:r>
      <w:r>
        <w:rPr>
          <w:rFonts w:ascii="Calibri" w:hAnsi="Calibri" w:cs="Calibri" w:eastAsia="Calibri" w:hint="default"/>
          <w:spacing w:val="5"/>
        </w:rPr>
        <w:t> </w:t>
      </w:r>
      <w:r>
        <w:rPr/>
        <w:t>日与公司签订《股份认购 协议》，承诺本次认购的股份，自发行结束之日起三十六个月内不进行转让。报告期 内，承诺人履行了承诺。</w:t>
      </w:r>
    </w:p>
    <w:p>
      <w:pPr>
        <w:pStyle w:val="BodyText"/>
        <w:spacing w:line="340" w:lineRule="auto" w:before="171"/>
        <w:ind w:left="964" w:right="0" w:firstLine="479"/>
        <w:jc w:val="left"/>
      </w:pPr>
      <w:r>
        <w:rPr>
          <w:rFonts w:ascii="Calibri" w:hAnsi="Calibri" w:cs="Calibri" w:eastAsia="Calibri" w:hint="default"/>
        </w:rPr>
        <w:t>3</w:t>
      </w:r>
      <w:r>
        <w:rPr/>
        <w:t>、公司与与自然人张秀珍、张建华、江海标、王佺、吕兴海于</w:t>
      </w:r>
      <w:r>
        <w:rPr>
          <w:spacing w:val="-60"/>
        </w:rPr>
        <w:t> </w:t>
      </w:r>
      <w:r>
        <w:rPr>
          <w:rFonts w:ascii="Calibri" w:hAnsi="Calibri" w:cs="Calibri" w:eastAsia="Calibri" w:hint="default"/>
        </w:rPr>
        <w:t>2009</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18</w:t>
      </w:r>
      <w:r>
        <w:rPr>
          <w:rFonts w:ascii="Calibri" w:hAnsi="Calibri" w:cs="Calibri" w:eastAsia="Calibri" w:hint="default"/>
          <w:spacing w:val="-2"/>
        </w:rPr>
        <w:t> </w:t>
      </w:r>
      <w:r>
        <w:rPr>
          <w:spacing w:val="-2"/>
        </w:rPr>
        <w:t>日签署了《发行股份购买资产协议》。张秀珍、张建华、江海标、王佺、吕兴海承诺：</w:t>
      </w:r>
      <w:r>
        <w:rPr>
          <w:spacing w:val="-97"/>
        </w:rPr>
        <w:t> </w:t>
      </w:r>
      <w:r>
        <w:rPr>
          <w:spacing w:val="-97"/>
        </w:rPr>
      </w:r>
      <w:r>
        <w:rPr/>
        <w:t>北京神州新桥科技有限公司</w:t>
      </w:r>
      <w:r>
        <w:rPr>
          <w:spacing w:val="-88"/>
        </w:rPr>
        <w:t> </w:t>
      </w:r>
      <w:r>
        <w:rPr>
          <w:rFonts w:ascii="Calibri" w:hAnsi="Calibri" w:cs="Calibri" w:eastAsia="Calibri" w:hint="default"/>
        </w:rPr>
        <w:t>2009</w:t>
      </w:r>
      <w:r>
        <w:rPr>
          <w:rFonts w:ascii="Calibri" w:hAnsi="Calibri" w:cs="Calibri" w:eastAsia="Calibri" w:hint="default"/>
          <w:spacing w:val="-22"/>
        </w:rPr>
        <w:t> </w:t>
      </w:r>
      <w:r>
        <w:rPr/>
        <w:t>年实现的经审计扣除非经常性损益后的净利润不低于</w:t>
      </w:r>
    </w:p>
    <w:p>
      <w:pPr>
        <w:pStyle w:val="BodyText"/>
        <w:spacing w:line="324" w:lineRule="auto"/>
        <w:ind w:left="964" w:right="1627"/>
        <w:jc w:val="left"/>
      </w:pPr>
      <w:r>
        <w:rPr>
          <w:rFonts w:ascii="Calibri" w:hAnsi="Calibri" w:cs="Calibri" w:eastAsia="Calibri" w:hint="default"/>
        </w:rPr>
        <w:t>3,200 </w:t>
      </w:r>
      <w:r>
        <w:rPr/>
        <w:t>万元， </w:t>
      </w:r>
      <w:r>
        <w:rPr>
          <w:rFonts w:ascii="Calibri" w:hAnsi="Calibri" w:cs="Calibri" w:eastAsia="Calibri" w:hint="default"/>
        </w:rPr>
        <w:t>2010</w:t>
      </w:r>
      <w:r>
        <w:rPr/>
        <w:t>、 </w:t>
      </w:r>
      <w:r>
        <w:rPr>
          <w:rFonts w:ascii="Calibri" w:hAnsi="Calibri" w:cs="Calibri" w:eastAsia="Calibri" w:hint="default"/>
        </w:rPr>
        <w:t>2011</w:t>
      </w:r>
      <w:r>
        <w:rPr/>
        <w:t>、 </w:t>
      </w:r>
      <w:r>
        <w:rPr>
          <w:rFonts w:ascii="Calibri" w:hAnsi="Calibri" w:cs="Calibri" w:eastAsia="Calibri" w:hint="default"/>
        </w:rPr>
        <w:t>2012</w:t>
      </w:r>
      <w:r>
        <w:rPr>
          <w:rFonts w:ascii="Calibri" w:hAnsi="Calibri" w:cs="Calibri" w:eastAsia="Calibri" w:hint="default"/>
          <w:spacing w:val="-6"/>
        </w:rPr>
        <w:t> </w:t>
      </w:r>
      <w:r>
        <w:rPr/>
        <w:t>年实现的经审计扣除非经常性损益后的净利润分别 不低于</w:t>
      </w:r>
      <w:r>
        <w:rPr>
          <w:spacing w:val="-62"/>
        </w:rPr>
        <w:t> </w:t>
      </w:r>
      <w:r>
        <w:rPr>
          <w:rFonts w:ascii="Calibri" w:hAnsi="Calibri" w:cs="Calibri" w:eastAsia="Calibri" w:hint="default"/>
        </w:rPr>
        <w:t>3,840</w:t>
      </w:r>
      <w:r>
        <w:rPr>
          <w:rFonts w:ascii="Calibri" w:hAnsi="Calibri" w:cs="Calibri" w:eastAsia="Calibri" w:hint="default"/>
          <w:spacing w:val="6"/>
        </w:rPr>
        <w:t> </w:t>
      </w:r>
      <w:r>
        <w:rPr/>
        <w:t>万元、</w:t>
      </w:r>
      <w:r>
        <w:rPr>
          <w:rFonts w:ascii="Calibri" w:hAnsi="Calibri" w:cs="Calibri" w:eastAsia="Calibri" w:hint="default"/>
        </w:rPr>
        <w:t>4,608</w:t>
      </w:r>
      <w:r>
        <w:rPr>
          <w:rFonts w:ascii="Calibri" w:hAnsi="Calibri" w:cs="Calibri" w:eastAsia="Calibri" w:hint="default"/>
          <w:spacing w:val="6"/>
        </w:rPr>
        <w:t> </w:t>
      </w:r>
      <w:r>
        <w:rPr/>
        <w:t>万元、</w:t>
      </w:r>
      <w:r>
        <w:rPr>
          <w:rFonts w:ascii="Calibri" w:hAnsi="Calibri" w:cs="Calibri" w:eastAsia="Calibri" w:hint="default"/>
        </w:rPr>
        <w:t>4,608</w:t>
      </w:r>
      <w:r>
        <w:rPr>
          <w:rFonts w:ascii="Calibri" w:hAnsi="Calibri" w:cs="Calibri" w:eastAsia="Calibri" w:hint="default"/>
          <w:spacing w:val="6"/>
        </w:rPr>
        <w:t> </w:t>
      </w:r>
      <w:r>
        <w:rPr/>
        <w:t>万元。报告期内，承诺人履行了承诺。北京神 州新桥科技有限公司实现了业绩承诺，详细内容见巨潮资讯网</w:t>
      </w:r>
    </w:p>
    <w:p>
      <w:pPr>
        <w:pStyle w:val="BodyText"/>
        <w:spacing w:line="326" w:lineRule="auto" w:before="67"/>
        <w:ind w:left="964" w:right="0"/>
        <w:jc w:val="left"/>
      </w:pPr>
      <w:r>
        <w:rPr>
          <w:spacing w:val="-1"/>
        </w:rPr>
        <w:t>（</w:t>
      </w:r>
      <w:hyperlink r:id="rId17">
        <w:r>
          <w:rPr>
            <w:rFonts w:ascii="Calibri" w:hAnsi="Calibri" w:cs="Calibri" w:eastAsia="Calibri" w:hint="default"/>
            <w:spacing w:val="-1"/>
          </w:rPr>
          <w:t>http://www.cninfo.com.cn</w:t>
        </w:r>
      </w:hyperlink>
      <w:r>
        <w:rPr>
          <w:spacing w:val="-1"/>
        </w:rPr>
        <w:t>）《北京兴华会计师事务所关于北京神州新桥科技有限公</w:t>
      </w:r>
      <w:r>
        <w:rPr>
          <w:spacing w:val="-84"/>
        </w:rPr>
        <w:t> </w:t>
      </w:r>
      <w:r>
        <w:rPr/>
        <w:t>司盈利预测实现情况专项审核报告》。</w:t>
      </w:r>
    </w:p>
    <w:p>
      <w:pPr>
        <w:pStyle w:val="BodyText"/>
        <w:spacing w:line="324" w:lineRule="auto" w:before="185"/>
        <w:ind w:left="964" w:right="1637" w:firstLine="479"/>
        <w:jc w:val="both"/>
      </w:pPr>
      <w:r>
        <w:rPr>
          <w:rFonts w:ascii="Calibri" w:hAnsi="Calibri" w:cs="Calibri" w:eastAsia="Calibri" w:hint="default"/>
          <w:spacing w:val="-2"/>
        </w:rPr>
        <w:t>4</w:t>
      </w:r>
      <w:r>
        <w:rPr>
          <w:spacing w:val="-2"/>
        </w:rPr>
        <w:t>、自然人张秀珍、张建华、江海标、王佺、吕兴海承诺所获得的本公司新增股份</w:t>
      </w:r>
      <w:r>
        <w:rPr/>
        <w:t> </w:t>
      </w:r>
      <w:r>
        <w:rPr>
          <w:spacing w:val="-4"/>
        </w:rPr>
        <w:t>自上市之日（</w:t>
      </w:r>
      <w:r>
        <w:rPr>
          <w:rFonts w:ascii="Calibri" w:hAnsi="Calibri" w:cs="Calibri" w:eastAsia="Calibri" w:hint="default"/>
          <w:spacing w:val="-4"/>
        </w:rPr>
        <w:t>2011</w:t>
      </w:r>
      <w:r>
        <w:rPr>
          <w:rFonts w:ascii="Calibri" w:hAnsi="Calibri" w:cs="Calibri" w:eastAsia="Calibri" w:hint="default"/>
          <w:spacing w:val="11"/>
        </w:rPr>
        <w:t> </w:t>
      </w:r>
      <w:r>
        <w:rPr/>
        <w:t>年</w:t>
      </w:r>
      <w:r>
        <w:rPr>
          <w:spacing w:val="-57"/>
        </w:rPr>
        <w:t> </w:t>
      </w:r>
      <w:r>
        <w:rPr>
          <w:rFonts w:ascii="Calibri" w:hAnsi="Calibri" w:cs="Calibri" w:eastAsia="Calibri" w:hint="default"/>
        </w:rPr>
        <w:t>2</w:t>
      </w:r>
      <w:r>
        <w:rPr>
          <w:rFonts w:ascii="Calibri" w:hAnsi="Calibri" w:cs="Calibri" w:eastAsia="Calibri" w:hint="default"/>
          <w:spacing w:val="7"/>
        </w:rPr>
        <w:t> </w:t>
      </w:r>
      <w:r>
        <w:rPr/>
        <w:t>月</w:t>
      </w:r>
      <w:r>
        <w:rPr>
          <w:spacing w:val="-57"/>
        </w:rPr>
        <w:t> </w:t>
      </w:r>
      <w:r>
        <w:rPr>
          <w:rFonts w:ascii="Calibri" w:hAnsi="Calibri" w:cs="Calibri" w:eastAsia="Calibri" w:hint="default"/>
        </w:rPr>
        <w:t>24</w:t>
      </w:r>
      <w:r>
        <w:rPr>
          <w:rFonts w:ascii="Calibri" w:hAnsi="Calibri" w:cs="Calibri" w:eastAsia="Calibri" w:hint="default"/>
          <w:spacing w:val="9"/>
        </w:rPr>
        <w:t> </w:t>
      </w:r>
      <w:r>
        <w:rPr>
          <w:spacing w:val="-4"/>
        </w:rPr>
        <w:t>日）三十六个月内不得交易或转让。报告期内，承诺人履</w:t>
      </w:r>
      <w:r>
        <w:rPr/>
        <w:t> 行了承诺。</w:t>
      </w:r>
    </w:p>
    <w:p>
      <w:pPr>
        <w:spacing w:after="0" w:line="324" w:lineRule="auto"/>
        <w:jc w:val="both"/>
        <w:sectPr>
          <w:footerReference w:type="default" r:id="rId60"/>
          <w:footerReference w:type="even" r:id="rId61"/>
          <w:pgSz w:w="12240" w:h="15840"/>
          <w:pgMar w:footer="987" w:header="850" w:top="1360" w:bottom="1180" w:left="680" w:right="0"/>
          <w:pgNumType w:start="83"/>
        </w:sectPr>
      </w:pPr>
    </w:p>
    <w:p>
      <w:pPr>
        <w:spacing w:line="240" w:lineRule="auto" w:before="1"/>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pStyle w:val="Heading2"/>
        <w:spacing w:line="240" w:lineRule="auto"/>
        <w:ind w:right="1697"/>
        <w:jc w:val="left"/>
        <w:rPr>
          <w:b w:val="0"/>
          <w:bCs w:val="0"/>
        </w:rPr>
      </w:pPr>
      <w:r>
        <w:rPr/>
        <w:t>十、报告期内，公司聘任会计师事务所情况</w:t>
      </w:r>
      <w:r>
        <w:rPr>
          <w:b w:val="0"/>
          <w:bCs w:val="0"/>
        </w:rPr>
      </w:r>
    </w:p>
    <w:p>
      <w:pPr>
        <w:pStyle w:val="BodyText"/>
        <w:spacing w:line="357" w:lineRule="auto" w:before="119"/>
        <w:ind w:right="1641" w:firstLine="479"/>
        <w:jc w:val="both"/>
      </w:pPr>
      <w:r>
        <w:rPr/>
        <w:t>报告期内，公司续聘北京兴华会计师事务所有限责任公司为公司财务审计机构， 该所已连续</w:t>
      </w:r>
      <w:r>
        <w:rPr>
          <w:spacing w:val="-88"/>
        </w:rPr>
        <w:t> </w:t>
      </w:r>
      <w:r>
        <w:rPr>
          <w:rFonts w:ascii="Calibri" w:hAnsi="Calibri" w:cs="Calibri" w:eastAsia="Calibri" w:hint="default"/>
        </w:rPr>
        <w:t>11</w:t>
      </w:r>
      <w:r>
        <w:rPr>
          <w:rFonts w:ascii="Calibri" w:hAnsi="Calibri" w:cs="Calibri" w:eastAsia="Calibri" w:hint="default"/>
          <w:spacing w:val="-22"/>
        </w:rPr>
        <w:t> </w:t>
      </w:r>
      <w:r>
        <w:rPr/>
        <w:t>年为本公司提供了审计服务，报告期内公司共支付北京兴华会计师事务</w:t>
      </w:r>
    </w:p>
    <w:p>
      <w:pPr>
        <w:pStyle w:val="BodyText"/>
        <w:spacing w:line="324" w:lineRule="exact"/>
        <w:ind w:right="1557"/>
        <w:jc w:val="left"/>
      </w:pPr>
      <w:r>
        <w:rPr/>
        <w:t>所有限责任公司报酬</w:t>
      </w:r>
      <w:r>
        <w:rPr>
          <w:spacing w:val="-87"/>
        </w:rPr>
        <w:t> </w:t>
      </w:r>
      <w:r>
        <w:rPr>
          <w:rFonts w:ascii="Calibri" w:hAnsi="Calibri" w:cs="Calibri" w:eastAsia="Calibri" w:hint="default"/>
        </w:rPr>
        <w:t>87</w:t>
      </w:r>
      <w:r>
        <w:rPr>
          <w:rFonts w:ascii="Calibri" w:hAnsi="Calibri" w:cs="Calibri" w:eastAsia="Calibri" w:hint="default"/>
          <w:spacing w:val="-21"/>
        </w:rPr>
        <w:t> </w:t>
      </w:r>
      <w:r>
        <w:rPr/>
        <w:t>万元。本次为公司提供审计业务签字的注册会计师为胡毅和肖</w:t>
      </w:r>
    </w:p>
    <w:p>
      <w:pPr>
        <w:pStyle w:val="BodyText"/>
        <w:spacing w:line="240" w:lineRule="auto" w:before="121"/>
        <w:ind w:right="1697"/>
        <w:jc w:val="left"/>
      </w:pPr>
      <w:r>
        <w:rPr/>
        <w:t>丽娟，符合《关于证券期货审计业务签字注册会计师定期轮换的规定》。</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2"/>
        <w:spacing w:line="240" w:lineRule="auto"/>
        <w:ind w:right="1697"/>
        <w:jc w:val="left"/>
        <w:rPr>
          <w:b w:val="0"/>
          <w:bCs w:val="0"/>
        </w:rPr>
      </w:pPr>
      <w:r>
        <w:rPr/>
        <w:t>十一、公司及其董监高、控股股东、实际控制人受处罚等情况</w:t>
      </w:r>
      <w:r>
        <w:rPr>
          <w:b w:val="0"/>
          <w:bCs w:val="0"/>
        </w:rPr>
      </w:r>
    </w:p>
    <w:p>
      <w:pPr>
        <w:pStyle w:val="BodyText"/>
        <w:spacing w:line="357" w:lineRule="auto" w:before="120"/>
        <w:ind w:right="1713" w:firstLine="479"/>
        <w:jc w:val="both"/>
      </w:pPr>
      <w:r>
        <w:rPr/>
        <w:t>报告期内，公司及其董事、监事、高级管理人员、公司股东、实际控制人没有受 有权机关调查、司法纪检部门采取强制措施、被移送司法机关或追究刑事责任、中国 证监会稽查、中国证监会行政处罚、通报批评、证券市场禁入、认定为不适当人选、 被其他行政管理部门处罚及证券交易所公开谴责的情况；没有中国证监会及其派出机 构对公司检查后提出整改意见的情况。</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576" w:lineRule="auto"/>
        <w:ind w:right="3267"/>
        <w:jc w:val="left"/>
        <w:rPr>
          <w:b w:val="0"/>
          <w:bCs w:val="0"/>
        </w:rPr>
      </w:pPr>
      <w:r>
        <w:rPr/>
        <w:t>十二、年报披露后，公司不会面临暂停上市和终止上市风险</w:t>
      </w:r>
      <w:r>
        <w:rPr>
          <w:w w:val="99"/>
        </w:rPr>
        <w:t> </w:t>
      </w:r>
      <w:r>
        <w:rPr/>
        <w:t>十三、报告期内，公司无其他重大事项</w:t>
      </w:r>
      <w:r>
        <w:rPr>
          <w:b w:val="0"/>
          <w:bCs w:val="0"/>
        </w:rPr>
      </w:r>
    </w:p>
    <w:p>
      <w:pPr>
        <w:spacing w:after="0" w:line="576" w:lineRule="auto"/>
        <w:jc w:val="left"/>
        <w:sectPr>
          <w:pgSz w:w="12240" w:h="15840"/>
          <w:pgMar w:header="850" w:footer="987" w:top="1360" w:bottom="1180" w:left="1500" w:right="0"/>
        </w:sectPr>
      </w:pPr>
    </w:p>
    <w:p>
      <w:pPr>
        <w:spacing w:line="240" w:lineRule="auto" w:before="4"/>
        <w:rPr>
          <w:rFonts w:ascii="黑体" w:hAnsi="黑体" w:cs="黑体" w:eastAsia="黑体" w:hint="default"/>
          <w:b/>
          <w:bCs/>
          <w:sz w:val="2"/>
          <w:szCs w:val="2"/>
        </w:rPr>
      </w:pPr>
    </w:p>
    <w:p>
      <w:pPr>
        <w:spacing w:line="20" w:lineRule="exact"/>
        <w:ind w:left="108" w:right="0" w:firstLine="0"/>
        <w:rPr>
          <w:rFonts w:ascii="黑体" w:hAnsi="黑体" w:cs="黑体" w:eastAsia="黑体" w:hint="default"/>
          <w:sz w:val="2"/>
          <w:szCs w:val="2"/>
        </w:rPr>
      </w:pPr>
      <w:r>
        <w:rPr>
          <w:rFonts w:ascii="黑体" w:hAnsi="黑体" w:cs="黑体" w:eastAsia="黑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4"/>
          <w:szCs w:val="14"/>
        </w:rPr>
      </w:pPr>
    </w:p>
    <w:p>
      <w:pPr>
        <w:pStyle w:val="Heading1"/>
        <w:spacing w:line="240" w:lineRule="auto"/>
        <w:ind w:right="1498"/>
        <w:jc w:val="center"/>
        <w:rPr>
          <w:b w:val="0"/>
          <w:bCs w:val="0"/>
        </w:rPr>
      </w:pPr>
      <w:bookmarkStart w:name="_TOC_250001" w:id="12"/>
      <w:r>
        <w:rPr/>
        <w:t>第十二节</w:t>
      </w:r>
      <w:r>
        <w:rPr>
          <w:spacing w:val="-5"/>
        </w:rPr>
        <w:t> </w:t>
      </w:r>
      <w:r>
        <w:rPr/>
        <w:t>财务报告</w:t>
      </w:r>
      <w:bookmarkEnd w:id="12"/>
      <w:r>
        <w:rPr>
          <w:b w:val="0"/>
          <w:bCs w:val="0"/>
        </w:rPr>
      </w:r>
    </w:p>
    <w:p>
      <w:pPr>
        <w:spacing w:line="240" w:lineRule="auto" w:before="6"/>
        <w:rPr>
          <w:rFonts w:ascii="黑体" w:hAnsi="黑体" w:cs="黑体" w:eastAsia="黑体" w:hint="default"/>
          <w:b/>
          <w:bCs/>
          <w:sz w:val="27"/>
          <w:szCs w:val="27"/>
        </w:rPr>
      </w:pPr>
    </w:p>
    <w:p>
      <w:pPr>
        <w:spacing w:before="0"/>
        <w:ind w:left="0" w:right="1497"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pStyle w:val="Heading4"/>
        <w:spacing w:line="240" w:lineRule="auto" w:before="214"/>
        <w:ind w:left="5598" w:right="1557"/>
        <w:jc w:val="left"/>
        <w:rPr>
          <w:rFonts w:ascii="宋体" w:hAnsi="宋体" w:cs="宋体" w:eastAsia="宋体" w:hint="default"/>
          <w:b w:val="0"/>
          <w:bCs w:val="0"/>
        </w:rPr>
      </w:pPr>
      <w:r>
        <w:rPr>
          <w:rFonts w:ascii="宋体" w:hAnsi="宋体" w:cs="宋体" w:eastAsia="宋体" w:hint="default"/>
        </w:rPr>
        <w:t>[2012]</w:t>
      </w:r>
      <w:r>
        <w:rPr>
          <w:rFonts w:ascii="宋体" w:hAnsi="宋体" w:cs="宋体" w:eastAsia="宋体" w:hint="default"/>
        </w:rPr>
        <w:t>京会兴审字第</w:t>
      </w:r>
      <w:r>
        <w:rPr>
          <w:rFonts w:ascii="宋体" w:hAnsi="宋体" w:cs="宋体" w:eastAsia="宋体" w:hint="default"/>
          <w:spacing w:val="-62"/>
        </w:rPr>
        <w:t> </w:t>
      </w:r>
      <w:r>
        <w:rPr>
          <w:rFonts w:ascii="宋体" w:hAnsi="宋体" w:cs="宋体" w:eastAsia="宋体" w:hint="default"/>
        </w:rPr>
        <w:t>03012843</w:t>
      </w:r>
      <w:r>
        <w:rPr>
          <w:rFonts w:ascii="宋体" w:hAnsi="宋体" w:cs="宋体" w:eastAsia="宋体" w:hint="default"/>
          <w:spacing w:val="-63"/>
        </w:rPr>
        <w:t> </w:t>
      </w:r>
      <w:r>
        <w:rPr>
          <w:rFonts w:ascii="宋体" w:hAnsi="宋体" w:cs="宋体" w:eastAsia="宋体" w:hint="default"/>
        </w:rPr>
        <w:t>号</w:t>
      </w:r>
      <w:r>
        <w:rPr>
          <w:rFonts w:ascii="宋体" w:hAnsi="宋体" w:cs="宋体" w:eastAsia="宋体" w:hint="default"/>
          <w:b w:val="0"/>
          <w:bCs w:val="0"/>
        </w:rPr>
      </w:r>
    </w:p>
    <w:p>
      <w:pPr>
        <w:spacing w:line="240" w:lineRule="auto" w:before="6"/>
        <w:rPr>
          <w:rFonts w:ascii="宋体" w:hAnsi="宋体" w:cs="宋体" w:eastAsia="宋体" w:hint="default"/>
          <w:b/>
          <w:bCs/>
          <w:sz w:val="35"/>
          <w:szCs w:val="35"/>
        </w:rPr>
      </w:pPr>
    </w:p>
    <w:p>
      <w:pPr>
        <w:spacing w:line="448" w:lineRule="auto" w:before="0"/>
        <w:ind w:left="626" w:right="1506" w:hanging="483"/>
        <w:jc w:val="left"/>
        <w:rPr>
          <w:rFonts w:ascii="宋体" w:hAnsi="宋体" w:cs="宋体" w:eastAsia="宋体" w:hint="default"/>
          <w:sz w:val="24"/>
          <w:szCs w:val="24"/>
        </w:rPr>
      </w:pPr>
      <w:r>
        <w:rPr>
          <w:rFonts w:ascii="宋体" w:hAnsi="宋体" w:cs="宋体" w:eastAsia="宋体" w:hint="default"/>
          <w:b/>
          <w:bCs/>
          <w:sz w:val="24"/>
          <w:szCs w:val="24"/>
        </w:rPr>
        <w:t>东华软件股份公司全体股东：</w:t>
      </w:r>
      <w:r>
        <w:rPr>
          <w:rFonts w:ascii="宋体" w:hAnsi="宋体" w:cs="宋体" w:eastAsia="宋体" w:hint="default"/>
          <w:b/>
          <w:bCs/>
          <w:w w:val="99"/>
          <w:sz w:val="24"/>
          <w:szCs w:val="24"/>
        </w:rPr>
        <w:t> </w:t>
      </w:r>
      <w:r>
        <w:rPr>
          <w:rFonts w:ascii="宋体" w:hAnsi="宋体" w:cs="宋体" w:eastAsia="宋体" w:hint="default"/>
          <w:spacing w:val="-2"/>
          <w:sz w:val="24"/>
          <w:szCs w:val="24"/>
        </w:rPr>
        <w:t>我们审计了后附的东华软件股份公司的财务报表（以下简称“东华软件公司”），</w:t>
      </w:r>
    </w:p>
    <w:p>
      <w:pPr>
        <w:pStyle w:val="BodyText"/>
        <w:spacing w:line="257" w:lineRule="exact"/>
        <w:ind w:right="1557"/>
        <w:jc w:val="left"/>
      </w:pPr>
      <w:r>
        <w:rPr/>
        <w:t>包括</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日的合并及母公司的资产负债表、</w:t>
      </w:r>
      <w:r>
        <w:rPr>
          <w:rFonts w:ascii="宋体" w:hAnsi="宋体" w:cs="宋体" w:eastAsia="宋体" w:hint="default"/>
        </w:rPr>
        <w:t>2011</w:t>
      </w:r>
      <w:r>
        <w:rPr/>
        <w:t>年度的合并及母公司的利润</w:t>
      </w:r>
    </w:p>
    <w:p>
      <w:pPr>
        <w:pStyle w:val="BodyText"/>
        <w:spacing w:line="357" w:lineRule="auto" w:before="154"/>
        <w:ind w:right="1696"/>
        <w:jc w:val="left"/>
      </w:pPr>
      <w:r>
        <w:rPr/>
        <w:t>表、合并及母公司的现金流量表、合并及母公司的股东权益变动表，以及财务报表附 注。</w:t>
      </w:r>
    </w:p>
    <w:p>
      <w:pPr>
        <w:spacing w:line="448" w:lineRule="auto" w:before="154"/>
        <w:ind w:left="626" w:right="1557"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编制和公允列报财务报表是管理层的责任，这种责任包括：（</w:t>
      </w:r>
      <w:r>
        <w:rPr>
          <w:rFonts w:ascii="宋体" w:hAnsi="宋体" w:cs="宋体" w:eastAsia="宋体" w:hint="default"/>
          <w:spacing w:val="-2"/>
          <w:sz w:val="24"/>
          <w:szCs w:val="24"/>
        </w:rPr>
        <w:t>1</w:t>
      </w:r>
      <w:r>
        <w:rPr>
          <w:rFonts w:ascii="宋体" w:hAnsi="宋体" w:cs="宋体" w:eastAsia="宋体" w:hint="default"/>
          <w:spacing w:val="-2"/>
          <w:sz w:val="24"/>
          <w:szCs w:val="24"/>
        </w:rPr>
        <w:t>）在所有重大方面</w:t>
      </w:r>
    </w:p>
    <w:p>
      <w:pPr>
        <w:pStyle w:val="BodyText"/>
        <w:spacing w:line="257" w:lineRule="exact"/>
        <w:ind w:right="1531"/>
        <w:jc w:val="left"/>
      </w:pPr>
      <w:r>
        <w:rPr/>
        <w:t>按照企业会计准则的规定编制财务报表，并使其实现公允反映；（</w:t>
      </w:r>
      <w:r>
        <w:rPr>
          <w:rFonts w:ascii="宋体" w:hAnsi="宋体" w:cs="宋体" w:eastAsia="宋体" w:hint="default"/>
        </w:rPr>
        <w:t>2</w:t>
      </w:r>
      <w:r>
        <w:rPr/>
        <w:t>）设计、执行和维</w:t>
      </w:r>
    </w:p>
    <w:p>
      <w:pPr>
        <w:pStyle w:val="BodyText"/>
        <w:spacing w:line="448" w:lineRule="auto" w:before="154"/>
        <w:ind w:left="626" w:right="1694" w:hanging="483"/>
        <w:jc w:val="left"/>
      </w:pPr>
      <w:r>
        <w:rPr/>
        <w:t>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w:t>
      </w:r>
    </w:p>
    <w:p>
      <w:pPr>
        <w:pStyle w:val="BodyText"/>
        <w:spacing w:line="257" w:lineRule="exact"/>
        <w:ind w:right="1557"/>
        <w:jc w:val="left"/>
      </w:pPr>
      <w:r>
        <w:rPr/>
        <w:t>注册会计师审计准则的规定执行了审计工作。中国注册会计师审计准则要求我们遵守</w:t>
      </w:r>
    </w:p>
    <w:p>
      <w:pPr>
        <w:pStyle w:val="BodyText"/>
        <w:spacing w:line="355" w:lineRule="auto" w:before="154"/>
        <w:ind w:right="1696"/>
        <w:jc w:val="left"/>
      </w:pPr>
      <w:r>
        <w:rPr/>
        <w:t>中国注册会计师职业道德守则，计划和执行审计工作以对财务报表是否不存在重大错 报获取合理保证。</w:t>
      </w:r>
    </w:p>
    <w:p>
      <w:pPr>
        <w:pStyle w:val="BodyText"/>
        <w:spacing w:line="357" w:lineRule="auto" w:before="159"/>
        <w:ind w:right="1711" w:firstLine="482"/>
        <w:jc w:val="both"/>
      </w:pPr>
      <w:r>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的内部控制，以设计恰当的审计程序，但目的并非对内部控制的有效性发表意见。审 计工作还包括评价管理层选用会计政策的恰当性和作出会计估计的合理性，以及评价 财务报表的总体列报。</w:t>
      </w:r>
    </w:p>
    <w:p>
      <w:pPr>
        <w:spacing w:after="0" w:line="357" w:lineRule="auto"/>
        <w:jc w:val="both"/>
        <w:sectPr>
          <w:pgSz w:w="12240" w:h="15840"/>
          <w:pgMar w:header="850" w:footer="987" w:top="1360" w:bottom="1180" w:left="1500" w:right="0"/>
        </w:sectPr>
      </w:pPr>
    </w:p>
    <w:p>
      <w:pPr>
        <w:pStyle w:val="BodyText"/>
        <w:spacing w:line="448" w:lineRule="auto" w:before="8"/>
        <w:ind w:left="686" w:right="288"/>
        <w:jc w:val="left"/>
      </w:pPr>
      <w:r>
        <w:rPr/>
        <w:pict>
          <v:group style="position:absolute;margin-left:80.783997pt;margin-top:1.695647pt;width:450.6pt;height:.1pt;mso-position-horizontal-relative:page;mso-position-vertical-relative:paragraph;z-index:-863224" coordorigin="1616,34" coordsize="9012,2">
            <v:shape style="position:absolute;left:1616;top:34;width:9012;height:2" coordorigin="1616,34" coordsize="9012,0" path="m1616,34l10627,34e" filled="false" stroked="true" strokeweight=".71999pt" strokecolor="#000000">
              <v:path arrowok="t"/>
            </v:shape>
            <w10:wrap type="none"/>
          </v:group>
        </w:pict>
      </w: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2"/>
        </w:rPr>
        <w:t>我们认为，东华软件公司财务报表在所有重大方面按照企业会计准则的规定编制，</w:t>
      </w:r>
    </w:p>
    <w:p>
      <w:pPr>
        <w:pStyle w:val="BodyText"/>
        <w:spacing w:line="257" w:lineRule="exact"/>
        <w:ind w:left="204" w:right="288"/>
        <w:jc w:val="left"/>
      </w:pPr>
      <w:r>
        <w:rPr/>
        <w:t>公允反映了东华软件公司</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2011</w:t>
      </w:r>
      <w:r>
        <w:rPr/>
        <w:t>年度的合</w:t>
      </w:r>
    </w:p>
    <w:p>
      <w:pPr>
        <w:pStyle w:val="BodyText"/>
        <w:spacing w:line="240" w:lineRule="auto" w:before="154"/>
        <w:ind w:left="204" w:right="288"/>
        <w:jc w:val="left"/>
      </w:pPr>
      <w:r>
        <w:rPr/>
        <w:t>并及母公司经营成果和现金流量。</w:t>
      </w:r>
    </w:p>
    <w:p>
      <w:pPr>
        <w:spacing w:line="240" w:lineRule="auto" w:before="5"/>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4648"/>
        <w:gridCol w:w="3445"/>
      </w:tblGrid>
      <w:tr>
        <w:trPr>
          <w:trHeight w:val="708" w:hRule="exact"/>
        </w:trPr>
        <w:tc>
          <w:tcPr>
            <w:tcW w:w="4648" w:type="dxa"/>
            <w:tcBorders>
              <w:top w:val="nil" w:sz="6" w:space="0" w:color="auto"/>
              <w:left w:val="nil" w:sz="6" w:space="0" w:color="auto"/>
              <w:bottom w:val="nil" w:sz="6" w:space="0" w:color="auto"/>
              <w:right w:val="nil" w:sz="6" w:space="0" w:color="auto"/>
            </w:tcBorders>
          </w:tcPr>
          <w:p>
            <w:pPr>
              <w:pStyle w:val="TableParagraph"/>
              <w:spacing w:line="240" w:lineRule="exact"/>
              <w:ind w:right="393"/>
              <w:jc w:val="center"/>
              <w:rPr>
                <w:rFonts w:ascii="宋体" w:hAnsi="宋体" w:cs="宋体" w:eastAsia="宋体" w:hint="default"/>
                <w:sz w:val="24"/>
                <w:szCs w:val="24"/>
              </w:rPr>
            </w:pPr>
            <w:r>
              <w:rPr>
                <w:rFonts w:ascii="宋体" w:hAnsi="宋体" w:cs="宋体" w:eastAsia="宋体" w:hint="default"/>
                <w:b/>
                <w:bCs/>
                <w:sz w:val="24"/>
                <w:szCs w:val="24"/>
              </w:rPr>
              <w:t>北京兴华会计师事务所有限责任公司</w:t>
            </w:r>
            <w:r>
              <w:rPr>
                <w:rFonts w:ascii="宋体" w:hAnsi="宋体" w:cs="宋体" w:eastAsia="宋体" w:hint="default"/>
                <w:sz w:val="24"/>
                <w:szCs w:val="24"/>
              </w:rPr>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exact"/>
              <w:ind w:left="595" w:right="0"/>
              <w:jc w:val="left"/>
              <w:rPr>
                <w:rFonts w:ascii="宋体" w:hAnsi="宋体" w:cs="宋体" w:eastAsia="宋体" w:hint="default"/>
                <w:sz w:val="24"/>
                <w:szCs w:val="24"/>
              </w:rPr>
            </w:pPr>
            <w:r>
              <w:rPr>
                <w:rFonts w:ascii="宋体" w:hAnsi="宋体" w:cs="宋体" w:eastAsia="宋体" w:hint="default"/>
                <w:b/>
                <w:bCs/>
                <w:sz w:val="24"/>
                <w:szCs w:val="24"/>
              </w:rPr>
              <w:t>中国注册会计师：胡毅</w:t>
            </w:r>
            <w:r>
              <w:rPr>
                <w:rFonts w:ascii="宋体" w:hAnsi="宋体" w:cs="宋体" w:eastAsia="宋体" w:hint="default"/>
                <w:sz w:val="24"/>
                <w:szCs w:val="24"/>
              </w:rPr>
            </w:r>
          </w:p>
        </w:tc>
      </w:tr>
      <w:tr>
        <w:trPr>
          <w:trHeight w:val="1175" w:hRule="exact"/>
        </w:trPr>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379"/>
              <w:jc w:val="center"/>
              <w:rPr>
                <w:rFonts w:ascii="宋体" w:hAnsi="宋体" w:cs="宋体" w:eastAsia="宋体" w:hint="default"/>
                <w:sz w:val="24"/>
                <w:szCs w:val="24"/>
              </w:rPr>
            </w:pPr>
            <w:r>
              <w:rPr>
                <w:rFonts w:ascii="宋体" w:hAnsi="宋体" w:cs="宋体" w:eastAsia="宋体" w:hint="default"/>
                <w:b/>
                <w:bCs/>
                <w:sz w:val="24"/>
                <w:szCs w:val="24"/>
              </w:rPr>
              <w:t>中国·北京</w:t>
            </w:r>
            <w:r>
              <w:rPr>
                <w:rFonts w:ascii="宋体" w:hAnsi="宋体" w:cs="宋体" w:eastAsia="宋体" w:hint="default"/>
                <w:sz w:val="24"/>
                <w:szCs w:val="24"/>
              </w:rPr>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595" w:right="0"/>
              <w:jc w:val="left"/>
              <w:rPr>
                <w:rFonts w:ascii="宋体" w:hAnsi="宋体" w:cs="宋体" w:eastAsia="宋体" w:hint="default"/>
                <w:sz w:val="24"/>
                <w:szCs w:val="24"/>
              </w:rPr>
            </w:pPr>
            <w:r>
              <w:rPr>
                <w:rFonts w:ascii="宋体" w:hAnsi="宋体" w:cs="宋体" w:eastAsia="宋体" w:hint="default"/>
                <w:b/>
                <w:bCs/>
                <w:sz w:val="24"/>
                <w:szCs w:val="24"/>
              </w:rPr>
              <w:t>中国注册会计师：肖丽娟</w:t>
            </w:r>
            <w:r>
              <w:rPr>
                <w:rFonts w:ascii="宋体" w:hAnsi="宋体" w:cs="宋体" w:eastAsia="宋体" w:hint="default"/>
                <w:sz w:val="24"/>
                <w:szCs w:val="24"/>
              </w:rPr>
            </w:r>
          </w:p>
        </w:tc>
      </w:tr>
      <w:tr>
        <w:trPr>
          <w:trHeight w:val="707" w:hRule="exact"/>
        </w:trPr>
        <w:tc>
          <w:tcPr>
            <w:tcW w:w="4648" w:type="dxa"/>
            <w:tcBorders>
              <w:top w:val="nil" w:sz="6" w:space="0" w:color="auto"/>
              <w:left w:val="nil" w:sz="6" w:space="0" w:color="auto"/>
              <w:bottom w:val="nil" w:sz="6" w:space="0" w:color="auto"/>
              <w:right w:val="nil" w:sz="6" w:space="0" w:color="auto"/>
            </w:tcBorders>
          </w:tcPr>
          <w:p>
            <w:pP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595" w:right="0"/>
              <w:jc w:val="left"/>
              <w:rPr>
                <w:rFonts w:ascii="宋体" w:hAnsi="宋体" w:cs="宋体" w:eastAsia="宋体" w:hint="default"/>
                <w:sz w:val="24"/>
                <w:szCs w:val="24"/>
              </w:rPr>
            </w:pPr>
            <w:r>
              <w:rPr>
                <w:rFonts w:ascii="宋体" w:hAnsi="宋体" w:cs="宋体" w:eastAsia="宋体" w:hint="default"/>
                <w:b/>
                <w:bCs/>
                <w:sz w:val="24"/>
                <w:szCs w:val="24"/>
              </w:rPr>
              <w:t>二○一二年四月二十四日</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2240" w:h="15840"/>
          <w:pgMar w:header="850" w:footer="987" w:top="1360" w:bottom="1180" w:left="1440" w:right="0"/>
        </w:sectPr>
      </w:pPr>
    </w:p>
    <w:p>
      <w:pPr>
        <w:pStyle w:val="Heading4"/>
        <w:spacing w:line="240" w:lineRule="auto" w:before="11"/>
        <w:ind w:left="0" w:right="1496"/>
        <w:jc w:val="center"/>
        <w:rPr>
          <w:rFonts w:ascii="宋体" w:hAnsi="宋体" w:cs="宋体" w:eastAsia="宋体" w:hint="default"/>
          <w:b w:val="0"/>
          <w:bCs w:val="0"/>
        </w:rPr>
      </w:pPr>
      <w:r>
        <w:rPr/>
        <w:pict>
          <v:group style="position:absolute;margin-left:80.783997pt;margin-top:1.845647pt;width:450.6pt;height:.1pt;mso-position-horizontal-relative:page;mso-position-vertical-relative:paragraph;z-index:-863200"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rPr>
        <w:t>资产负债表</w:t>
      </w:r>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tabs>
          <w:tab w:pos="4623" w:val="left" w:leader="none"/>
          <w:tab w:pos="8048" w:val="left" w:leader="none"/>
        </w:tabs>
        <w:spacing w:before="0"/>
        <w:ind w:left="0" w:right="1557" w:firstLine="0"/>
        <w:jc w:val="center"/>
        <w:rPr>
          <w:rFonts w:ascii="宋体" w:hAnsi="宋体" w:cs="宋体" w:eastAsia="宋体" w:hint="default"/>
          <w:sz w:val="21"/>
          <w:szCs w:val="21"/>
        </w:rPr>
      </w:pPr>
      <w:r>
        <w:rPr>
          <w:rFonts w:ascii="宋体" w:hAnsi="宋体" w:cs="宋体" w:eastAsia="宋体" w:hint="default"/>
          <w:spacing w:val="-2"/>
          <w:sz w:val="21"/>
          <w:szCs w:val="21"/>
        </w:rPr>
        <w:t>编制单位：东华软件股份公司</w:t>
        <w:tab/>
      </w:r>
      <w:r>
        <w:rPr>
          <w:rFonts w:ascii="Calibri" w:hAnsi="Calibri" w:cs="Calibri" w:eastAsia="Calibri" w:hint="default"/>
          <w:spacing w:val="-1"/>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pacing w:val="-1"/>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pacing w:val="-1"/>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单位：元</w:t>
      </w:r>
    </w:p>
    <w:tbl>
      <w:tblPr>
        <w:tblW w:w="0" w:type="auto"/>
        <w:jc w:val="left"/>
        <w:tblInd w:w="151" w:type="dxa"/>
        <w:tblLayout w:type="fixed"/>
        <w:tblCellMar>
          <w:top w:w="0" w:type="dxa"/>
          <w:left w:w="0" w:type="dxa"/>
          <w:bottom w:w="0" w:type="dxa"/>
          <w:right w:w="0" w:type="dxa"/>
        </w:tblCellMar>
        <w:tblLook w:val="01E0"/>
      </w:tblPr>
      <w:tblGrid>
        <w:gridCol w:w="2763"/>
        <w:gridCol w:w="1556"/>
        <w:gridCol w:w="1546"/>
        <w:gridCol w:w="1544"/>
        <w:gridCol w:w="1543"/>
      </w:tblGrid>
      <w:tr>
        <w:trPr>
          <w:trHeight w:val="146" w:hRule="exact"/>
        </w:trPr>
        <w:tc>
          <w:tcPr>
            <w:tcW w:w="2763" w:type="dxa"/>
            <w:tcBorders>
              <w:top w:val="single" w:sz="4" w:space="0" w:color="000000"/>
              <w:left w:val="single" w:sz="4" w:space="0" w:color="000000"/>
              <w:bottom w:val="nil" w:sz="6" w:space="0" w:color="auto"/>
              <w:right w:val="single" w:sz="4" w:space="0" w:color="000000"/>
            </w:tcBorders>
            <w:shd w:val="clear" w:color="auto" w:fill="DCDCDC"/>
          </w:tcPr>
          <w:p>
            <w:pPr/>
          </w:p>
        </w:tc>
        <w:tc>
          <w:tcPr>
            <w:tcW w:w="310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6" w:hRule="exact"/>
        </w:trPr>
        <w:tc>
          <w:tcPr>
            <w:tcW w:w="276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gridSpan w:val="2"/>
            <w:vMerge/>
            <w:tcBorders>
              <w:left w:val="single" w:sz="4" w:space="0" w:color="000000"/>
              <w:bottom w:val="single" w:sz="4" w:space="0" w:color="000000"/>
              <w:right w:val="single" w:sz="4" w:space="0" w:color="000000"/>
            </w:tcBorders>
            <w:shd w:val="clear" w:color="auto" w:fill="DCDCDC"/>
          </w:tcPr>
          <w:p>
            <w:pPr/>
          </w:p>
        </w:tc>
        <w:tc>
          <w:tcPr>
            <w:tcW w:w="3087"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2763" w:type="dxa"/>
            <w:vMerge/>
            <w:tcBorders>
              <w:left w:val="single" w:sz="4" w:space="0" w:color="000000"/>
              <w:bottom w:val="nil" w:sz="6" w:space="0" w:color="auto"/>
              <w:right w:val="single" w:sz="4" w:space="0" w:color="000000"/>
            </w:tcBorders>
            <w:shd w:val="clear" w:color="auto" w:fill="DCDCDC"/>
          </w:tcPr>
          <w:p>
            <w:pPr/>
          </w:p>
        </w:tc>
        <w:tc>
          <w:tcPr>
            <w:tcW w:w="1556"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46"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51"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44"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543"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4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7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556" w:type="dxa"/>
            <w:vMerge/>
            <w:tcBorders>
              <w:left w:val="single" w:sz="4" w:space="0" w:color="000000"/>
              <w:bottom w:val="single" w:sz="4" w:space="0" w:color="000000"/>
              <w:right w:val="single" w:sz="4" w:space="0" w:color="000000"/>
            </w:tcBorders>
            <w:shd w:val="clear" w:color="auto" w:fill="DCDCDC"/>
          </w:tcPr>
          <w:p>
            <w:pPr/>
          </w:p>
        </w:tc>
        <w:tc>
          <w:tcPr>
            <w:tcW w:w="1546" w:type="dxa"/>
            <w:vMerge/>
            <w:tcBorders>
              <w:left w:val="single" w:sz="4" w:space="0" w:color="000000"/>
              <w:bottom w:val="single" w:sz="4" w:space="0" w:color="000000"/>
              <w:right w:val="single" w:sz="4" w:space="0" w:color="000000"/>
            </w:tcBorders>
            <w:shd w:val="clear" w:color="auto" w:fill="DCDCDC"/>
          </w:tcPr>
          <w:p>
            <w:pPr/>
          </w:p>
        </w:tc>
        <w:tc>
          <w:tcPr>
            <w:tcW w:w="1544" w:type="dxa"/>
            <w:vMerge/>
            <w:tcBorders>
              <w:left w:val="single" w:sz="4" w:space="0" w:color="000000"/>
              <w:bottom w:val="single" w:sz="4" w:space="0" w:color="000000"/>
              <w:right w:val="single" w:sz="4" w:space="0" w:color="000000"/>
            </w:tcBorders>
            <w:shd w:val="clear" w:color="auto" w:fill="DCDCDC"/>
          </w:tcPr>
          <w:p>
            <w:pPr/>
          </w:p>
        </w:tc>
        <w:tc>
          <w:tcPr>
            <w:tcW w:w="1543"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6" w:type="dxa"/>
            <w:tcBorders>
              <w:top w:val="single" w:sz="8" w:space="0" w:color="000000"/>
              <w:left w:val="single" w:sz="13" w:space="0" w:color="DCDCDC"/>
              <w:bottom w:val="single" w:sz="4" w:space="0" w:color="000000"/>
              <w:right w:val="single" w:sz="4" w:space="0" w:color="000000"/>
            </w:tcBorders>
          </w:tcPr>
          <w:p>
            <w:pPr>
              <w:pStyle w:val="TableParagraph"/>
              <w:spacing w:line="256" w:lineRule="exact"/>
              <w:ind w:right="22"/>
              <w:jc w:val="right"/>
              <w:rPr>
                <w:rFonts w:ascii="Calibri" w:hAnsi="Calibri" w:cs="Calibri" w:eastAsia="Calibri" w:hint="default"/>
                <w:sz w:val="21"/>
                <w:szCs w:val="21"/>
              </w:rPr>
            </w:pPr>
            <w:r>
              <w:rPr>
                <w:rFonts w:ascii="Calibri"/>
                <w:spacing w:val="-2"/>
                <w:sz w:val="21"/>
              </w:rPr>
              <w:t>449,721,782.23</w:t>
            </w:r>
          </w:p>
        </w:tc>
        <w:tc>
          <w:tcPr>
            <w:tcW w:w="1546" w:type="dxa"/>
            <w:tcBorders>
              <w:top w:val="single" w:sz="8"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Calibri" w:hAnsi="Calibri" w:cs="Calibri" w:eastAsia="Calibri" w:hint="default"/>
                <w:sz w:val="21"/>
                <w:szCs w:val="21"/>
              </w:rPr>
            </w:pPr>
            <w:r>
              <w:rPr>
                <w:rFonts w:ascii="Calibri"/>
                <w:spacing w:val="-2"/>
                <w:sz w:val="21"/>
              </w:rPr>
              <w:t>206,428,783.95</w:t>
            </w:r>
          </w:p>
        </w:tc>
        <w:tc>
          <w:tcPr>
            <w:tcW w:w="1544" w:type="dxa"/>
            <w:tcBorders>
              <w:top w:val="single" w:sz="8"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Calibri" w:hAnsi="Calibri" w:cs="Calibri" w:eastAsia="Calibri" w:hint="default"/>
                <w:sz w:val="21"/>
                <w:szCs w:val="21"/>
              </w:rPr>
            </w:pPr>
            <w:r>
              <w:rPr>
                <w:rFonts w:ascii="Calibri"/>
                <w:spacing w:val="-2"/>
                <w:sz w:val="21"/>
              </w:rPr>
              <w:t>432,230,533.86</w:t>
            </w:r>
          </w:p>
        </w:tc>
        <w:tc>
          <w:tcPr>
            <w:tcW w:w="1543" w:type="dxa"/>
            <w:tcBorders>
              <w:top w:val="single" w:sz="8"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Calibri" w:hAnsi="Calibri" w:cs="Calibri" w:eastAsia="Calibri" w:hint="default"/>
                <w:sz w:val="21"/>
                <w:szCs w:val="21"/>
              </w:rPr>
            </w:pPr>
            <w:r>
              <w:rPr>
                <w:rFonts w:ascii="Calibri"/>
                <w:spacing w:val="-2"/>
                <w:sz w:val="21"/>
              </w:rPr>
              <w:t>301,583,113.60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68,479,318.31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28,259,932.37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30,376,567.48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30,016,567.48</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650,674,396.86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381,744,787.13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437,889,551.17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310,495,132.01</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89,168,901.60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67,840,897.73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105,957,319.01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63,855,804.30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137,900,451.60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129,846,655.19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113,765,086.45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128,706,043.38</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1,202,015,331.31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887,738,618.13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788,786,006.02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636,716,851.42</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6" w:type="dxa"/>
            <w:tcBorders>
              <w:top w:val="single" w:sz="4" w:space="0" w:color="000000"/>
              <w:left w:val="single" w:sz="13" w:space="0" w:color="DCDCDC"/>
              <w:bottom w:val="single" w:sz="8"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2,597,960,181.91</w:t>
            </w:r>
          </w:p>
        </w:tc>
        <w:tc>
          <w:tcPr>
            <w:tcW w:w="15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1,701,859,674.50</w:t>
            </w:r>
          </w:p>
        </w:tc>
        <w:tc>
          <w:tcPr>
            <w:tcW w:w="15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1,909,005,063.99</w:t>
            </w:r>
          </w:p>
        </w:tc>
        <w:tc>
          <w:tcPr>
            <w:tcW w:w="15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1,471,373,512.19</w:t>
            </w:r>
          </w:p>
        </w:tc>
      </w:tr>
      <w:tr>
        <w:trPr>
          <w:trHeight w:val="282"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40,717,000.00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921,304,849.04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40,717,000.00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483,029,849.04</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5,825,506.64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15,753,292.26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16,700,605.56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16,690,860.30</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214,314,172.12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143,499,902.03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140,726,700.36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106,446,002.24</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8,916,239.49</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13,777,846.28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6,005,923.42</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5,576,901.93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474,828,463.00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247,618,632.50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2,094,171.68</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2,105,619.48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5,040,318.03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3,936,870.31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2,575,087.41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2,403,602.97</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757,741,794.38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1,084,494,913.64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469,798,393.52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608,570,314.55</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3,355,701,976.29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2,786,354,588.14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2,378,803,457.51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2,079,943,826.74</w:t>
            </w:r>
          </w:p>
        </w:tc>
      </w:tr>
    </w:tbl>
    <w:p>
      <w:pPr>
        <w:spacing w:after="0" w:line="240" w:lineRule="auto"/>
        <w:jc w:val="right"/>
        <w:rPr>
          <w:rFonts w:ascii="Calibri" w:hAnsi="Calibri" w:cs="Calibri" w:eastAsia="Calibri" w:hint="default"/>
          <w:sz w:val="21"/>
          <w:szCs w:val="21"/>
        </w:rPr>
        <w:sectPr>
          <w:pgSz w:w="12240" w:h="15840"/>
          <w:pgMar w:header="850" w:footer="987" w:top="1360" w:bottom="1180" w:left="1500" w:right="0"/>
        </w:sectPr>
      </w:pPr>
    </w:p>
    <w:tbl>
      <w:tblPr>
        <w:tblW w:w="0" w:type="auto"/>
        <w:jc w:val="left"/>
        <w:tblInd w:w="151" w:type="dxa"/>
        <w:tblLayout w:type="fixed"/>
        <w:tblCellMar>
          <w:top w:w="0" w:type="dxa"/>
          <w:left w:w="0" w:type="dxa"/>
          <w:bottom w:w="0" w:type="dxa"/>
          <w:right w:w="0" w:type="dxa"/>
        </w:tblCellMar>
        <w:tblLook w:val="01E0"/>
      </w:tblPr>
      <w:tblGrid>
        <w:gridCol w:w="2763"/>
        <w:gridCol w:w="1556"/>
        <w:gridCol w:w="1546"/>
        <w:gridCol w:w="1544"/>
        <w:gridCol w:w="1543"/>
      </w:tblGrid>
      <w:tr>
        <w:trPr>
          <w:trHeight w:val="279" w:hRule="exact"/>
        </w:trPr>
        <w:tc>
          <w:tcPr>
            <w:tcW w:w="27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9"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6" w:type="dxa"/>
            <w:tcBorders>
              <w:top w:val="single" w:sz="7" w:space="0" w:color="000000"/>
              <w:left w:val="single" w:sz="13" w:space="0" w:color="DCDCDC"/>
              <w:bottom w:val="single" w:sz="4" w:space="0" w:color="000000"/>
              <w:right w:val="single" w:sz="4" w:space="0" w:color="000000"/>
            </w:tcBorders>
          </w:tcPr>
          <w:p>
            <w:pPr>
              <w:pStyle w:val="TableParagraph"/>
              <w:spacing w:line="245" w:lineRule="exact"/>
              <w:ind w:right="22"/>
              <w:jc w:val="right"/>
              <w:rPr>
                <w:rFonts w:ascii="Calibri" w:hAnsi="Calibri" w:cs="Calibri" w:eastAsia="Calibri" w:hint="default"/>
                <w:sz w:val="21"/>
                <w:szCs w:val="21"/>
              </w:rPr>
            </w:pPr>
            <w:r>
              <w:rPr>
                <w:rFonts w:ascii="Calibri"/>
                <w:spacing w:val="-2"/>
                <w:sz w:val="21"/>
              </w:rPr>
              <w:t>203,900,000.00</w:t>
            </w:r>
          </w:p>
        </w:tc>
        <w:tc>
          <w:tcPr>
            <w:tcW w:w="1546" w:type="dxa"/>
            <w:tcBorders>
              <w:top w:val="single" w:sz="7" w:space="0" w:color="000000"/>
              <w:left w:val="single" w:sz="4" w:space="0" w:color="000000"/>
              <w:bottom w:val="single" w:sz="4" w:space="0" w:color="000000"/>
              <w:right w:val="single" w:sz="4" w:space="0" w:color="000000"/>
            </w:tcBorders>
          </w:tcPr>
          <w:p>
            <w:pPr>
              <w:pStyle w:val="TableParagraph"/>
              <w:spacing w:line="245" w:lineRule="exact"/>
              <w:ind w:right="22"/>
              <w:jc w:val="right"/>
              <w:rPr>
                <w:rFonts w:ascii="Calibri" w:hAnsi="Calibri" w:cs="Calibri" w:eastAsia="Calibri" w:hint="default"/>
                <w:sz w:val="21"/>
                <w:szCs w:val="21"/>
              </w:rPr>
            </w:pPr>
            <w:r>
              <w:rPr>
                <w:rFonts w:ascii="Calibri"/>
                <w:spacing w:val="-2"/>
                <w:sz w:val="21"/>
              </w:rPr>
              <w:t>155,000,000.00</w:t>
            </w:r>
          </w:p>
        </w:tc>
        <w:tc>
          <w:tcPr>
            <w:tcW w:w="1544" w:type="dxa"/>
            <w:tcBorders>
              <w:top w:val="single" w:sz="7" w:space="0" w:color="000000"/>
              <w:left w:val="single" w:sz="4" w:space="0" w:color="000000"/>
              <w:bottom w:val="single" w:sz="4" w:space="0" w:color="000000"/>
              <w:right w:val="single" w:sz="4" w:space="0" w:color="000000"/>
            </w:tcBorders>
          </w:tcPr>
          <w:p>
            <w:pPr>
              <w:pStyle w:val="TableParagraph"/>
              <w:spacing w:line="245" w:lineRule="exact"/>
              <w:ind w:right="22"/>
              <w:jc w:val="right"/>
              <w:rPr>
                <w:rFonts w:ascii="Calibri" w:hAnsi="Calibri" w:cs="Calibri" w:eastAsia="Calibri" w:hint="default"/>
                <w:sz w:val="21"/>
                <w:szCs w:val="21"/>
              </w:rPr>
            </w:pPr>
            <w:r>
              <w:rPr>
                <w:rFonts w:ascii="Calibri"/>
                <w:spacing w:val="-2"/>
                <w:sz w:val="21"/>
              </w:rPr>
              <w:t>140,000,000.00</w:t>
            </w:r>
          </w:p>
        </w:tc>
        <w:tc>
          <w:tcPr>
            <w:tcW w:w="1543" w:type="dxa"/>
            <w:tcBorders>
              <w:top w:val="single" w:sz="7" w:space="0" w:color="000000"/>
              <w:left w:val="single" w:sz="4" w:space="0" w:color="000000"/>
              <w:bottom w:val="single" w:sz="4" w:space="0" w:color="000000"/>
              <w:right w:val="single" w:sz="4" w:space="0" w:color="000000"/>
            </w:tcBorders>
          </w:tcPr>
          <w:p>
            <w:pPr>
              <w:pStyle w:val="TableParagraph"/>
              <w:spacing w:line="245" w:lineRule="exact"/>
              <w:ind w:right="22"/>
              <w:jc w:val="right"/>
              <w:rPr>
                <w:rFonts w:ascii="Calibri" w:hAnsi="Calibri" w:cs="Calibri" w:eastAsia="Calibri" w:hint="default"/>
                <w:sz w:val="21"/>
                <w:szCs w:val="21"/>
              </w:rPr>
            </w:pPr>
            <w:r>
              <w:rPr>
                <w:rFonts w:ascii="Calibri"/>
                <w:spacing w:val="-2"/>
                <w:sz w:val="21"/>
              </w:rPr>
              <w:t>140,000,000.00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68,805,991.00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2"/>
                <w:sz w:val="21"/>
              </w:rPr>
              <w:t>68,805,991.00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150,253,462.00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2"/>
                <w:sz w:val="21"/>
              </w:rPr>
              <w:t>94,139,796.00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169,757,208.94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82,114,379.80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119,053,649.38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68,334,193.37</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569,014,606.83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454,900,366.77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334,831,743.17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297,945,913.24</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1"/>
                <w:sz w:val="21"/>
              </w:rPr>
              <w:t>354,245.36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1"/>
                <w:sz w:val="21"/>
              </w:rPr>
              <w:t>202,275.58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19,461,603.00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1"/>
                <w:sz w:val="21"/>
              </w:rPr>
              <w:t>7,890,655.71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16,319,894.02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2"/>
                <w:sz w:val="21"/>
              </w:rPr>
              <w:t>15,292,202.97</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1"/>
                <w:sz w:val="21"/>
              </w:rPr>
              <w:t>2,633,220.20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1"/>
                <w:sz w:val="21"/>
              </w:rPr>
              <w:t>2,633,220.20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19,125,290.10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2"/>
                <w:sz w:val="21"/>
              </w:rPr>
              <w:t>19,125,290.10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15,801,725.71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85,466,171.81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1"/>
                <w:sz w:val="21"/>
              </w:rPr>
              <w:t>8,017,171.92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108,685,071.94</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38,475,839.66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37,390,000.00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17,755,839.66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17,300,000.00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1,088,204,440.70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894,200,785.29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805,559,325.83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760,822,467.62</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1"/>
                <w:sz w:val="21"/>
              </w:rPr>
              <w:t>135.81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1"/>
                <w:sz w:val="21"/>
              </w:rPr>
              <w:t>135.81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1"/>
                <w:sz w:val="21"/>
              </w:rPr>
              <w:t>135.81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0"/>
              <w:jc w:val="right"/>
              <w:rPr>
                <w:rFonts w:ascii="Calibri" w:hAnsi="Calibri" w:cs="Calibri" w:eastAsia="Calibri" w:hint="default"/>
                <w:sz w:val="21"/>
                <w:szCs w:val="21"/>
              </w:rPr>
            </w:pPr>
            <w:r>
              <w:rPr>
                <w:rFonts w:ascii="Calibri"/>
                <w:spacing w:val="-1"/>
                <w:sz w:val="21"/>
              </w:rPr>
              <w:t>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1"/>
              <w:jc w:val="right"/>
              <w:rPr>
                <w:rFonts w:ascii="Calibri" w:hAnsi="Calibri" w:cs="Calibri" w:eastAsia="Calibri" w:hint="default"/>
                <w:sz w:val="21"/>
                <w:szCs w:val="21"/>
              </w:rPr>
            </w:pPr>
            <w:r>
              <w:rPr>
                <w:rFonts w:ascii="Calibri"/>
                <w:spacing w:val="-1"/>
                <w:sz w:val="21"/>
              </w:rPr>
              <w:t>135.81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0"/>
              <w:jc w:val="right"/>
              <w:rPr>
                <w:rFonts w:ascii="Calibri" w:hAnsi="Calibri" w:cs="Calibri" w:eastAsia="Calibri" w:hint="default"/>
                <w:sz w:val="21"/>
                <w:szCs w:val="21"/>
              </w:rPr>
            </w:pPr>
            <w:r>
              <w:rPr>
                <w:rFonts w:ascii="Calibri"/>
                <w:spacing w:val="-1"/>
                <w:sz w:val="21"/>
              </w:rPr>
              <w:t>0.00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6" w:type="dxa"/>
            <w:tcBorders>
              <w:top w:val="single" w:sz="4" w:space="0" w:color="000000"/>
              <w:left w:val="single" w:sz="13" w:space="0" w:color="DCDCDC"/>
              <w:bottom w:val="single" w:sz="8"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1,088,204,576.51</w:t>
            </w:r>
          </w:p>
        </w:tc>
        <w:tc>
          <w:tcPr>
            <w:tcW w:w="1546" w:type="dxa"/>
            <w:tcBorders>
              <w:top w:val="single" w:sz="4" w:space="0" w:color="000000"/>
              <w:left w:val="single" w:sz="4" w:space="0" w:color="000000"/>
              <w:bottom w:val="single" w:sz="8"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894,200,785.29</w:t>
            </w:r>
          </w:p>
        </w:tc>
        <w:tc>
          <w:tcPr>
            <w:tcW w:w="1544" w:type="dxa"/>
            <w:tcBorders>
              <w:top w:val="single" w:sz="4" w:space="0" w:color="000000"/>
              <w:left w:val="single" w:sz="4" w:space="0" w:color="000000"/>
              <w:bottom w:val="single" w:sz="8"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805,559,461.64</w:t>
            </w:r>
          </w:p>
        </w:tc>
        <w:tc>
          <w:tcPr>
            <w:tcW w:w="1543" w:type="dxa"/>
            <w:tcBorders>
              <w:top w:val="single" w:sz="4" w:space="0" w:color="000000"/>
              <w:left w:val="single" w:sz="4" w:space="0" w:color="000000"/>
              <w:bottom w:val="single" w:sz="8"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760,822,467.62</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6" w:type="dxa"/>
            <w:tcBorders>
              <w:top w:val="single" w:sz="8" w:space="0" w:color="000000"/>
              <w:left w:val="single" w:sz="13" w:space="0" w:color="DCDCDC"/>
              <w:bottom w:val="single" w:sz="4" w:space="0" w:color="000000"/>
              <w:right w:val="single" w:sz="4" w:space="0" w:color="000000"/>
            </w:tcBorders>
          </w:tcPr>
          <w:p>
            <w:pPr>
              <w:pStyle w:val="TableParagraph"/>
              <w:spacing w:line="242" w:lineRule="exact"/>
              <w:ind w:right="22"/>
              <w:jc w:val="right"/>
              <w:rPr>
                <w:rFonts w:ascii="Calibri" w:hAnsi="Calibri" w:cs="Calibri" w:eastAsia="Calibri" w:hint="default"/>
                <w:sz w:val="21"/>
                <w:szCs w:val="21"/>
              </w:rPr>
            </w:pPr>
            <w:r>
              <w:rPr>
                <w:rFonts w:ascii="Calibri"/>
                <w:spacing w:val="-2"/>
                <w:sz w:val="21"/>
              </w:rPr>
              <w:t>530,744,000.00</w:t>
            </w:r>
          </w:p>
        </w:tc>
        <w:tc>
          <w:tcPr>
            <w:tcW w:w="1546" w:type="dxa"/>
            <w:tcBorders>
              <w:top w:val="single" w:sz="8"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Calibri" w:hAnsi="Calibri" w:cs="Calibri" w:eastAsia="Calibri" w:hint="default"/>
                <w:sz w:val="21"/>
                <w:szCs w:val="21"/>
              </w:rPr>
            </w:pPr>
            <w:r>
              <w:rPr>
                <w:rFonts w:ascii="Calibri"/>
                <w:spacing w:val="-2"/>
                <w:sz w:val="21"/>
              </w:rPr>
              <w:t>530,744,000.00</w:t>
            </w:r>
          </w:p>
        </w:tc>
        <w:tc>
          <w:tcPr>
            <w:tcW w:w="1544" w:type="dxa"/>
            <w:tcBorders>
              <w:top w:val="single" w:sz="8"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Calibri" w:hAnsi="Calibri" w:cs="Calibri" w:eastAsia="Calibri" w:hint="default"/>
                <w:sz w:val="21"/>
                <w:szCs w:val="21"/>
              </w:rPr>
            </w:pPr>
            <w:r>
              <w:rPr>
                <w:rFonts w:ascii="Calibri"/>
                <w:spacing w:val="-2"/>
                <w:sz w:val="21"/>
              </w:rPr>
              <w:t>425,985,090.00</w:t>
            </w:r>
          </w:p>
        </w:tc>
        <w:tc>
          <w:tcPr>
            <w:tcW w:w="1543" w:type="dxa"/>
            <w:tcBorders>
              <w:top w:val="single" w:sz="8"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Calibri" w:hAnsi="Calibri" w:cs="Calibri" w:eastAsia="Calibri" w:hint="default"/>
                <w:sz w:val="21"/>
                <w:szCs w:val="21"/>
              </w:rPr>
            </w:pPr>
            <w:r>
              <w:rPr>
                <w:rFonts w:ascii="Calibri"/>
                <w:spacing w:val="-2"/>
                <w:sz w:val="21"/>
              </w:rPr>
              <w:t>425,985,090.00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587,926,428.41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1"/>
                <w:sz w:val="21"/>
              </w:rPr>
              <w:t>587,925,206.09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284,228,005.41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284,226,783.09</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119,993,540.15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118,615,597.64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90,267,429.11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88,889,486.60</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6" w:type="dxa"/>
            <w:tcBorders>
              <w:top w:val="single" w:sz="4" w:space="0" w:color="000000"/>
              <w:left w:val="single" w:sz="13" w:space="0" w:color="DCDCDC"/>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1,028,766,494.77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654,868,999.12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770,223,354.38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520,019,999.43</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1"/>
                <w:sz w:val="21"/>
              </w:rPr>
              <w:t>-29,374.36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1"/>
                <w:sz w:val="21"/>
              </w:rPr>
              <w:t>-8,475.73</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归属于母公司所有者权益合计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2,267,401,088.97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1,892,153,802.85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1,570,695,403.17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1,319,121,359.12</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1"/>
              <w:jc w:val="right"/>
              <w:rPr>
                <w:rFonts w:ascii="Calibri" w:hAnsi="Calibri" w:cs="Calibri" w:eastAsia="Calibri" w:hint="default"/>
                <w:sz w:val="21"/>
                <w:szCs w:val="21"/>
              </w:rPr>
            </w:pPr>
            <w:r>
              <w:rPr>
                <w:rFonts w:ascii="Calibri"/>
                <w:spacing w:val="-2"/>
                <w:sz w:val="21"/>
              </w:rPr>
              <w:t>96,310.81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1"/>
                <w:sz w:val="21"/>
              </w:rPr>
              <w:t>2,548,592.70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2,267,497,399.78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1,892,153,802.85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1,573,243,995.87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Calibri" w:hAnsi="Calibri" w:cs="Calibri" w:eastAsia="Calibri" w:hint="default"/>
                <w:sz w:val="21"/>
                <w:szCs w:val="21"/>
              </w:rPr>
            </w:pPr>
            <w:r>
              <w:rPr>
                <w:rFonts w:ascii="Calibri"/>
                <w:spacing w:val="-2"/>
                <w:sz w:val="21"/>
              </w:rPr>
              <w:t>1,319,121,359.12</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556" w:type="dxa"/>
            <w:tcBorders>
              <w:top w:val="single" w:sz="4" w:space="0" w:color="000000"/>
              <w:left w:val="single" w:sz="13" w:space="0" w:color="DCDCDC"/>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3,355,701,976.29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2,786,354,588.14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2,378,803,457.51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Calibri" w:hAnsi="Calibri" w:cs="Calibri" w:eastAsia="Calibri" w:hint="default"/>
                <w:sz w:val="21"/>
                <w:szCs w:val="21"/>
              </w:rPr>
            </w:pPr>
            <w:r>
              <w:rPr>
                <w:rFonts w:ascii="Calibri"/>
                <w:spacing w:val="-2"/>
                <w:sz w:val="21"/>
              </w:rPr>
              <w:t>2,079,943,826.74</w:t>
            </w:r>
          </w:p>
        </w:tc>
      </w:tr>
    </w:tbl>
    <w:p>
      <w:pPr>
        <w:rPr>
          <w:sz w:val="2"/>
          <w:szCs w:val="2"/>
        </w:rPr>
      </w:pPr>
      <w:r>
        <w:rPr/>
        <w:pict>
          <v:group style="position:absolute;margin-left:80.783997pt;margin-top:70.200005pt;width:450.6pt;height:.1pt;mso-position-horizontal-relative:page;mso-position-vertical-relative:page;z-index:3496" coordorigin="1616,1404" coordsize="9012,2">
            <v:shape style="position:absolute;left:1616;top:1404;width:9012;height:2" coordorigin="1616,1404" coordsize="9012,0" path="m1616,1404l10627,1404e" filled="false" stroked="true" strokeweight=".71999pt" strokecolor="#000000">
              <v:path arrowok="t"/>
            </v:shape>
            <w10:wrap type="none"/>
          </v:group>
        </w:pict>
      </w:r>
    </w:p>
    <w:p>
      <w:pPr>
        <w:spacing w:after="0"/>
        <w:rPr>
          <w:sz w:val="2"/>
          <w:szCs w:val="2"/>
        </w:rPr>
        <w:sectPr>
          <w:pgSz w:w="12240" w:h="15840"/>
          <w:pgMar w:header="850" w:footer="987" w:top="1420" w:bottom="1180" w:left="1500" w:right="0"/>
        </w:sectPr>
      </w:pPr>
    </w:p>
    <w:p>
      <w:pPr>
        <w:pStyle w:val="Heading4"/>
        <w:spacing w:line="240" w:lineRule="auto" w:before="11"/>
        <w:ind w:left="5199" w:right="5738"/>
        <w:jc w:val="center"/>
        <w:rPr>
          <w:rFonts w:ascii="宋体" w:hAnsi="宋体" w:cs="宋体" w:eastAsia="宋体" w:hint="default"/>
          <w:b w:val="0"/>
          <w:bCs w:val="0"/>
        </w:rPr>
      </w:pPr>
      <w:r>
        <w:rPr/>
        <w:pict>
          <v:group style="position:absolute;margin-left:80.783997pt;margin-top:1.845647pt;width:450.6pt;height:.1pt;mso-position-horizontal-relative:page;mso-position-vertical-relative:paragraph;z-index:-863152"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rPr>
        <w:t>利润表</w:t>
      </w:r>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tabs>
          <w:tab w:pos="5727" w:val="left" w:leader="none"/>
          <w:tab w:pos="8795" w:val="left" w:leader="none"/>
        </w:tabs>
        <w:spacing w:before="0"/>
        <w:ind w:left="1104"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编制单位：东华软件股份公司</w:t>
        <w:tab/>
      </w:r>
      <w:r>
        <w:rPr>
          <w:rFonts w:ascii="Calibri" w:hAnsi="Calibri" w:cs="Calibri" w:eastAsia="Calibri" w:hint="default"/>
          <w:spacing w:val="-1"/>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pacing w:val="-1"/>
          <w:sz w:val="21"/>
          <w:szCs w:val="21"/>
        </w:rPr>
        <w:t>1-12</w:t>
      </w:r>
      <w:r>
        <w:rPr>
          <w:rFonts w:ascii="Calibri" w:hAnsi="Calibri" w:cs="Calibri" w:eastAsia="Calibri" w:hint="default"/>
          <w:spacing w:val="8"/>
          <w:sz w:val="21"/>
          <w:szCs w:val="21"/>
        </w:rPr>
        <w:t> </w:t>
      </w:r>
      <w:r>
        <w:rPr>
          <w:rFonts w:ascii="宋体" w:hAnsi="宋体" w:cs="宋体" w:eastAsia="宋体" w:hint="default"/>
          <w:sz w:val="21"/>
          <w:szCs w:val="21"/>
        </w:rPr>
        <w:t>月</w:t>
        <w:tab/>
      </w:r>
      <w:r>
        <w:rPr>
          <w:rFonts w:ascii="宋体" w:hAnsi="宋体" w:cs="宋体" w:eastAsia="宋体" w:hint="default"/>
          <w:spacing w:val="-1"/>
          <w:sz w:val="21"/>
          <w:szCs w:val="21"/>
        </w:rPr>
        <w:t>单位：元</w:t>
      </w:r>
    </w:p>
    <w:tbl>
      <w:tblPr>
        <w:tblW w:w="0" w:type="auto"/>
        <w:jc w:val="left"/>
        <w:tblInd w:w="117" w:type="dxa"/>
        <w:tblLayout w:type="fixed"/>
        <w:tblCellMar>
          <w:top w:w="0" w:type="dxa"/>
          <w:left w:w="0" w:type="dxa"/>
          <w:bottom w:w="0" w:type="dxa"/>
          <w:right w:w="0" w:type="dxa"/>
        </w:tblCellMar>
        <w:tblLook w:val="01E0"/>
      </w:tblPr>
      <w:tblGrid>
        <w:gridCol w:w="4657"/>
        <w:gridCol w:w="1570"/>
        <w:gridCol w:w="1561"/>
        <w:gridCol w:w="1560"/>
        <w:gridCol w:w="1560"/>
      </w:tblGrid>
      <w:tr>
        <w:trPr>
          <w:trHeight w:val="146" w:hRule="exact"/>
        </w:trPr>
        <w:tc>
          <w:tcPr>
            <w:tcW w:w="4657"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6" w:hRule="exact"/>
        </w:trPr>
        <w:tc>
          <w:tcPr>
            <w:tcW w:w="465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1" w:type="dxa"/>
            <w:gridSpan w:val="2"/>
            <w:vMerge/>
            <w:tcBorders>
              <w:left w:val="single" w:sz="4" w:space="0" w:color="000000"/>
              <w:bottom w:val="single" w:sz="4" w:space="0" w:color="000000"/>
              <w:right w:val="single" w:sz="4" w:space="0" w:color="000000"/>
            </w:tcBorders>
            <w:shd w:val="clear" w:color="auto" w:fill="DCDCDC"/>
          </w:tcPr>
          <w:p>
            <w:pPr/>
          </w:p>
        </w:tc>
        <w:tc>
          <w:tcPr>
            <w:tcW w:w="3120"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4657" w:type="dxa"/>
            <w:vMerge/>
            <w:tcBorders>
              <w:left w:val="single" w:sz="4" w:space="0" w:color="000000"/>
              <w:bottom w:val="nil" w:sz="6" w:space="0" w:color="auto"/>
              <w:right w:val="single" w:sz="4" w:space="0" w:color="000000"/>
            </w:tcBorders>
            <w:shd w:val="clear" w:color="auto" w:fill="DCDCDC"/>
          </w:tcPr>
          <w:p>
            <w:pPr/>
          </w:p>
        </w:tc>
        <w:tc>
          <w:tcPr>
            <w:tcW w:w="157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61"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5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45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46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0" w:type="dxa"/>
            <w:vMerge/>
            <w:tcBorders>
              <w:left w:val="single" w:sz="4" w:space="0" w:color="000000"/>
              <w:bottom w:val="single" w:sz="4" w:space="0" w:color="000000"/>
              <w:right w:val="single" w:sz="4" w:space="0" w:color="000000"/>
            </w:tcBorders>
            <w:shd w:val="clear" w:color="auto" w:fill="DCDCDC"/>
          </w:tcPr>
          <w:p>
            <w:pPr/>
          </w:p>
        </w:tc>
        <w:tc>
          <w:tcPr>
            <w:tcW w:w="1561"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2,586,386,846.58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1,529,423,511.93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1,870,161,269.56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1,482,223,826.01</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2,586,386,846.58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1,529,423,511.93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1,870,161,269.56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64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2,142,420,623.29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1,231,825,315.37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Calibri" w:hAnsi="Calibri" w:cs="Calibri" w:eastAsia="Calibri" w:hint="default"/>
                <w:sz w:val="21"/>
                <w:szCs w:val="21"/>
              </w:rPr>
            </w:pPr>
            <w:r>
              <w:rPr>
                <w:rFonts w:ascii="Calibri"/>
                <w:spacing w:val="-2"/>
                <w:sz w:val="21"/>
              </w:rPr>
              <w:t>1,543,737,073.33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1,263,349,511.95</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1,783,385,712.80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987,085,468.42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1,313,406,516.15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1,071,366,054.04</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64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25,883,316.19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14,225,828.46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18,427,940.00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11,513,871.07</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113,226,852.27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75,422,913.95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64,826,771.38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50,115,886.46</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64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194,186,414.52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134,651,814.14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8"/>
              <w:jc w:val="right"/>
              <w:rPr>
                <w:rFonts w:ascii="Calibri" w:hAnsi="Calibri" w:cs="Calibri" w:eastAsia="Calibri" w:hint="default"/>
                <w:sz w:val="21"/>
                <w:szCs w:val="21"/>
              </w:rPr>
            </w:pPr>
            <w:r>
              <w:rPr>
                <w:rFonts w:ascii="Calibri"/>
                <w:spacing w:val="-1"/>
                <w:sz w:val="21"/>
              </w:rPr>
              <w:t>136,910,799.70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120,312,376.01</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7,484,169.57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5,106,616.97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183,788.20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616,122.08</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18,254,157.95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15,332,673.44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9,981,257.90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9,425,202.29</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23"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49,535.15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30,000,000.00</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434"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444,015,758.44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307,598,196.56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326,424,196.23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248,874,314.06</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16,986,384.75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13,351,108.34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20,405,940.64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17,348,231.87</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189,550.19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181,000.00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656,327.03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206,560.00</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210.00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249,767.03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460,812,593.00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320,768,304.90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Calibri" w:hAnsi="Calibri" w:cs="Calibri" w:eastAsia="Calibri" w:hint="default"/>
                <w:sz w:val="21"/>
                <w:szCs w:val="21"/>
              </w:rPr>
            </w:pPr>
            <w:r>
              <w:rPr>
                <w:rFonts w:ascii="Calibri"/>
                <w:spacing w:val="-2"/>
                <w:sz w:val="21"/>
              </w:rPr>
              <w:t>346,173,809.84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266,015,985.93</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39,907,216.35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23,507,194.47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28,839,684.45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16,800,960.28</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420,905,376.65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297,261,110.43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317,334,125.39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249,215,025.65</w:t>
            </w: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420,955,251.13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297,261,110.43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Calibri" w:hAnsi="Calibri" w:cs="Calibri" w:eastAsia="Calibri" w:hint="default"/>
                <w:sz w:val="21"/>
                <w:szCs w:val="21"/>
              </w:rPr>
            </w:pPr>
            <w:r>
              <w:rPr>
                <w:rFonts w:ascii="Calibri"/>
                <w:spacing w:val="-2"/>
                <w:sz w:val="21"/>
              </w:rPr>
              <w:t>317,334,381.80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Calibri" w:hAnsi="Calibri" w:cs="Calibri" w:eastAsia="Calibri" w:hint="default"/>
                <w:sz w:val="21"/>
                <w:szCs w:val="21"/>
              </w:rPr>
            </w:pPr>
            <w:r>
              <w:rPr>
                <w:rFonts w:ascii="Calibri"/>
                <w:spacing w:val="-2"/>
                <w:sz w:val="21"/>
              </w:rPr>
              <w:t>249,215,025.65</w:t>
            </w:r>
          </w:p>
        </w:tc>
      </w:tr>
      <w:tr>
        <w:trPr>
          <w:trHeight w:val="284"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570" w:type="dxa"/>
            <w:tcBorders>
              <w:top w:val="single" w:sz="4" w:space="0" w:color="000000"/>
              <w:left w:val="single" w:sz="10" w:space="0" w:color="DCDCDC"/>
              <w:bottom w:val="single" w:sz="7"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-49,874.48</w:t>
            </w:r>
          </w:p>
        </w:tc>
        <w:tc>
          <w:tcPr>
            <w:tcW w:w="1561" w:type="dxa"/>
            <w:tcBorders>
              <w:top w:val="single" w:sz="4" w:space="0" w:color="000000"/>
              <w:left w:val="single" w:sz="4" w:space="0" w:color="000000"/>
              <w:bottom w:val="single" w:sz="7" w:space="0" w:color="000000"/>
              <w:right w:val="single" w:sz="4" w:space="0" w:color="000000"/>
            </w:tcBorders>
          </w:tcPr>
          <w:p>
            <w:pPr/>
          </w:p>
        </w:tc>
        <w:tc>
          <w:tcPr>
            <w:tcW w:w="156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1"/>
                <w:sz w:val="21"/>
              </w:rPr>
              <w:t>-256.41</w:t>
            </w:r>
          </w:p>
        </w:tc>
        <w:tc>
          <w:tcPr>
            <w:tcW w:w="1560" w:type="dxa"/>
            <w:tcBorders>
              <w:top w:val="single" w:sz="4" w:space="0" w:color="000000"/>
              <w:left w:val="single" w:sz="4" w:space="0" w:color="000000"/>
              <w:bottom w:val="single" w:sz="7" w:space="0" w:color="000000"/>
              <w:right w:val="single" w:sz="4" w:space="0" w:color="000000"/>
            </w:tcBorders>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5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Calibri" w:hAnsi="Calibri" w:cs="Calibri" w:eastAsia="Calibri" w:hint="default"/>
                <w:sz w:val="21"/>
                <w:szCs w:val="21"/>
              </w:rPr>
            </w:pPr>
            <w:r>
              <w:rPr>
                <w:rFonts w:ascii="Calibri"/>
                <w:spacing w:val="-1"/>
                <w:sz w:val="21"/>
              </w:rPr>
              <w:t>0.7972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8"/>
              <w:jc w:val="right"/>
              <w:rPr>
                <w:rFonts w:ascii="Calibri" w:hAnsi="Calibri" w:cs="Calibri" w:eastAsia="Calibri" w:hint="default"/>
                <w:sz w:val="21"/>
                <w:szCs w:val="21"/>
              </w:rPr>
            </w:pPr>
            <w:r>
              <w:rPr>
                <w:rFonts w:ascii="Calibri"/>
                <w:spacing w:val="-1"/>
                <w:sz w:val="21"/>
              </w:rPr>
              <w:t>0.6208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0.7972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0.6208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-20,898.63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-7,870.75</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420,884,478.02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297,261,110.43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317,326,254.64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249,215,025.65</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420,934,352.50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297,261,110.43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317,326,511.05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249,215,025.65</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7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-49,874.48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-256.41</w:t>
            </w: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850" w:footer="987" w:top="1360" w:bottom="1180" w:left="540" w:right="0"/>
        </w:sectPr>
      </w:pPr>
    </w:p>
    <w:p>
      <w:pPr>
        <w:pStyle w:val="Heading4"/>
        <w:spacing w:line="240" w:lineRule="auto" w:before="8"/>
        <w:ind w:left="4520" w:right="5495"/>
        <w:jc w:val="center"/>
        <w:rPr>
          <w:rFonts w:ascii="宋体" w:hAnsi="宋体" w:cs="宋体" w:eastAsia="宋体" w:hint="default"/>
          <w:b w:val="0"/>
          <w:bCs w:val="0"/>
        </w:rPr>
      </w:pPr>
      <w:r>
        <w:rPr/>
        <w:pict>
          <v:group style="position:absolute;margin-left:80.783997pt;margin-top:1.695647pt;width:450.6pt;height:.1pt;mso-position-horizontal-relative:page;mso-position-vertical-relative:paragraph;z-index:-863128"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rPr>
        <w:t>现金流量表</w:t>
      </w:r>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tabs>
          <w:tab w:pos="5287" w:val="left" w:leader="none"/>
          <w:tab w:pos="8355" w:val="left" w:leader="none"/>
        </w:tabs>
        <w:spacing w:before="0"/>
        <w:ind w:left="664"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编制单位：东华软件股份公司</w:t>
        <w:tab/>
      </w:r>
      <w:r>
        <w:rPr>
          <w:rFonts w:ascii="Calibri" w:hAnsi="Calibri" w:cs="Calibri" w:eastAsia="Calibri" w:hint="default"/>
          <w:spacing w:val="-1"/>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pacing w:val="-1"/>
          <w:sz w:val="21"/>
          <w:szCs w:val="21"/>
        </w:rPr>
        <w:t>1-12</w:t>
      </w:r>
      <w:r>
        <w:rPr>
          <w:rFonts w:ascii="Calibri" w:hAnsi="Calibri" w:cs="Calibri" w:eastAsia="Calibri" w:hint="default"/>
          <w:spacing w:val="8"/>
          <w:sz w:val="21"/>
          <w:szCs w:val="21"/>
        </w:rPr>
        <w:t> </w:t>
      </w:r>
      <w:r>
        <w:rPr>
          <w:rFonts w:ascii="宋体" w:hAnsi="宋体" w:cs="宋体" w:eastAsia="宋体" w:hint="default"/>
          <w:sz w:val="21"/>
          <w:szCs w:val="21"/>
        </w:rPr>
        <w:t>月</w:t>
        <w:tab/>
      </w:r>
      <w:r>
        <w:rPr>
          <w:rFonts w:ascii="宋体" w:hAnsi="宋体" w:cs="宋体" w:eastAsia="宋体" w:hint="default"/>
          <w:spacing w:val="-1"/>
          <w:sz w:val="21"/>
          <w:szCs w:val="21"/>
        </w:rPr>
        <w:t>单位：元</w:t>
      </w:r>
    </w:p>
    <w:tbl>
      <w:tblPr>
        <w:tblW w:w="0" w:type="auto"/>
        <w:jc w:val="left"/>
        <w:tblInd w:w="103" w:type="dxa"/>
        <w:tblLayout w:type="fixed"/>
        <w:tblCellMar>
          <w:top w:w="0" w:type="dxa"/>
          <w:left w:w="0" w:type="dxa"/>
          <w:bottom w:w="0" w:type="dxa"/>
          <w:right w:w="0" w:type="dxa"/>
        </w:tblCellMar>
        <w:tblLook w:val="01E0"/>
      </w:tblPr>
      <w:tblGrid>
        <w:gridCol w:w="3237"/>
        <w:gridCol w:w="1716"/>
        <w:gridCol w:w="1702"/>
        <w:gridCol w:w="1700"/>
        <w:gridCol w:w="1700"/>
      </w:tblGrid>
      <w:tr>
        <w:trPr>
          <w:trHeight w:val="146" w:hRule="exact"/>
        </w:trPr>
        <w:tc>
          <w:tcPr>
            <w:tcW w:w="3237" w:type="dxa"/>
            <w:tcBorders>
              <w:top w:val="single" w:sz="4" w:space="0" w:color="000000"/>
              <w:left w:val="single" w:sz="4" w:space="0" w:color="000000"/>
              <w:bottom w:val="nil" w:sz="6" w:space="0" w:color="auto"/>
              <w:right w:val="single" w:sz="4" w:space="0" w:color="000000"/>
            </w:tcBorders>
            <w:shd w:val="clear" w:color="auto" w:fill="DCDCDC"/>
          </w:tcPr>
          <w:p>
            <w:pPr/>
          </w:p>
        </w:tc>
        <w:tc>
          <w:tcPr>
            <w:tcW w:w="341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9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6" w:hRule="exact"/>
        </w:trPr>
        <w:tc>
          <w:tcPr>
            <w:tcW w:w="323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8" w:type="dxa"/>
            <w:gridSpan w:val="2"/>
            <w:vMerge/>
            <w:tcBorders>
              <w:left w:val="single" w:sz="4" w:space="0" w:color="000000"/>
              <w:bottom w:val="single" w:sz="4" w:space="0" w:color="000000"/>
              <w:right w:val="single" w:sz="4" w:space="0" w:color="000000"/>
            </w:tcBorders>
            <w:shd w:val="clear" w:color="auto" w:fill="DCDCDC"/>
          </w:tcPr>
          <w:p>
            <w:pPr/>
          </w:p>
        </w:tc>
        <w:tc>
          <w:tcPr>
            <w:tcW w:w="3399"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3237" w:type="dxa"/>
            <w:vMerge/>
            <w:tcBorders>
              <w:left w:val="single" w:sz="4" w:space="0" w:color="000000"/>
              <w:bottom w:val="nil" w:sz="6" w:space="0" w:color="auto"/>
              <w:right w:val="single" w:sz="4" w:space="0" w:color="000000"/>
            </w:tcBorders>
            <w:shd w:val="clear" w:color="auto" w:fill="DCDCDC"/>
          </w:tcPr>
          <w:p>
            <w:pPr/>
          </w:p>
        </w:tc>
        <w:tc>
          <w:tcPr>
            <w:tcW w:w="1716"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02"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52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0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00"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53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32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6" w:type="dxa"/>
            <w:vMerge/>
            <w:tcBorders>
              <w:left w:val="single" w:sz="4" w:space="0" w:color="000000"/>
              <w:bottom w:val="single" w:sz="4" w:space="0" w:color="000000"/>
              <w:right w:val="single" w:sz="4" w:space="0" w:color="000000"/>
            </w:tcBorders>
            <w:shd w:val="clear" w:color="auto" w:fill="DCDCDC"/>
          </w:tcPr>
          <w:p>
            <w:pPr/>
          </w:p>
        </w:tc>
        <w:tc>
          <w:tcPr>
            <w:tcW w:w="1702" w:type="dxa"/>
            <w:vMerge/>
            <w:tcBorders>
              <w:left w:val="single" w:sz="4" w:space="0" w:color="000000"/>
              <w:bottom w:val="single" w:sz="4" w:space="0" w:color="000000"/>
              <w:right w:val="single" w:sz="4" w:space="0" w:color="000000"/>
            </w:tcBorders>
            <w:shd w:val="clear" w:color="auto" w:fill="DCDCDC"/>
          </w:tcPr>
          <w:p>
            <w:pPr/>
          </w:p>
        </w:tc>
        <w:tc>
          <w:tcPr>
            <w:tcW w:w="1700" w:type="dxa"/>
            <w:vMerge/>
            <w:tcBorders>
              <w:left w:val="single" w:sz="4" w:space="0" w:color="000000"/>
              <w:bottom w:val="single" w:sz="4" w:space="0" w:color="000000"/>
              <w:right w:val="single" w:sz="4" w:space="0" w:color="000000"/>
            </w:tcBorders>
            <w:shd w:val="clear" w:color="auto" w:fill="DCDCDC"/>
          </w:tcPr>
          <w:p>
            <w:pPr/>
          </w:p>
        </w:tc>
        <w:tc>
          <w:tcPr>
            <w:tcW w:w="170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8" w:space="0" w:color="000000"/>
              <w:left w:val="single" w:sz="13" w:space="0" w:color="DCDCDC"/>
              <w:bottom w:val="single" w:sz="4" w:space="0" w:color="000000"/>
              <w:right w:val="single" w:sz="4" w:space="0" w:color="000000"/>
            </w:tcBorders>
          </w:tcPr>
          <w:p>
            <w:pPr>
              <w:pStyle w:val="TableParagraph"/>
              <w:spacing w:line="240" w:lineRule="auto" w:before="136"/>
              <w:ind w:right="22"/>
              <w:jc w:val="right"/>
              <w:rPr>
                <w:rFonts w:ascii="Calibri" w:hAnsi="Calibri" w:cs="Calibri" w:eastAsia="Calibri" w:hint="default"/>
                <w:sz w:val="21"/>
                <w:szCs w:val="21"/>
              </w:rPr>
            </w:pPr>
            <w:r>
              <w:rPr>
                <w:rFonts w:ascii="Calibri"/>
                <w:spacing w:val="-2"/>
                <w:sz w:val="21"/>
              </w:rPr>
              <w:t>2,914,947,291.02</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Calibri" w:hAnsi="Calibri" w:cs="Calibri" w:eastAsia="Calibri" w:hint="default"/>
                <w:sz w:val="21"/>
                <w:szCs w:val="21"/>
              </w:rPr>
            </w:pPr>
            <w:r>
              <w:rPr>
                <w:rFonts w:ascii="Calibri"/>
                <w:spacing w:val="-2"/>
                <w:sz w:val="21"/>
              </w:rPr>
              <w:t>1,841,437,135.78</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Calibri" w:hAnsi="Calibri" w:cs="Calibri" w:eastAsia="Calibri" w:hint="default"/>
                <w:sz w:val="21"/>
                <w:szCs w:val="21"/>
              </w:rPr>
            </w:pPr>
            <w:r>
              <w:rPr>
                <w:rFonts w:ascii="Calibri"/>
                <w:spacing w:val="-2"/>
                <w:sz w:val="21"/>
              </w:rPr>
              <w:t>1,816,986,632.66</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Calibri" w:hAnsi="Calibri" w:cs="Calibri" w:eastAsia="Calibri" w:hint="default"/>
                <w:sz w:val="21"/>
                <w:szCs w:val="21"/>
              </w:rPr>
            </w:pPr>
            <w:r>
              <w:rPr>
                <w:rFonts w:ascii="Calibri"/>
                <w:spacing w:val="-2"/>
                <w:sz w:val="21"/>
              </w:rPr>
              <w:t>1,490,190,261.17</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5,898,971.56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4,066,398.34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18,811,619.04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16,467,008.38</w:t>
            </w:r>
          </w:p>
        </w:tc>
      </w:tr>
      <w:tr>
        <w:trPr>
          <w:trHeight w:val="555"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55,661,733.94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103,427,247.80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23,438,140.71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95,019,160.21</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2,976,507,996.52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1,948,930,781.92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1,859,236,392.41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1,601,676,429.76</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2,357,629,045.67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1,426,606,976.61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1,486,189,592.63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1,250,742,070.23</w:t>
            </w: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2"/>
              <w:jc w:val="right"/>
              <w:rPr>
                <w:rFonts w:ascii="Calibri" w:hAnsi="Calibri" w:cs="Calibri" w:eastAsia="Calibri" w:hint="default"/>
                <w:sz w:val="21"/>
                <w:szCs w:val="21"/>
              </w:rPr>
            </w:pPr>
            <w:r>
              <w:rPr>
                <w:rFonts w:ascii="Calibri"/>
                <w:spacing w:val="-2"/>
                <w:sz w:val="21"/>
              </w:rPr>
              <w:t>233,051,201.34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Calibri" w:hAnsi="Calibri" w:cs="Calibri" w:eastAsia="Calibri" w:hint="default"/>
                <w:sz w:val="21"/>
                <w:szCs w:val="21"/>
              </w:rPr>
            </w:pPr>
            <w:r>
              <w:rPr>
                <w:rFonts w:ascii="Calibri"/>
                <w:spacing w:val="-2"/>
                <w:sz w:val="21"/>
              </w:rPr>
              <w:t>135,428,690.98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Calibri" w:hAnsi="Calibri" w:cs="Calibri" w:eastAsia="Calibri" w:hint="default"/>
                <w:sz w:val="21"/>
                <w:szCs w:val="21"/>
              </w:rPr>
            </w:pPr>
            <w:r>
              <w:rPr>
                <w:rFonts w:ascii="Calibri"/>
                <w:spacing w:val="-2"/>
                <w:sz w:val="21"/>
              </w:rPr>
              <w:t>143,231,498.24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Calibri" w:hAnsi="Calibri" w:cs="Calibri" w:eastAsia="Calibri" w:hint="default"/>
                <w:sz w:val="21"/>
                <w:szCs w:val="21"/>
              </w:rPr>
            </w:pPr>
            <w:r>
              <w:rPr>
                <w:rFonts w:ascii="Calibri"/>
                <w:spacing w:val="-2"/>
                <w:sz w:val="21"/>
              </w:rPr>
              <w:t>101,849,953.53</w:t>
            </w: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108,959,420.15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77,710,246.81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75,458,903.05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56,558,181.33</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201,190,741.32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185,944,399.68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127,141,079.55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104,521,419.24</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2,900,830,408.48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1,825,690,314.08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1,832,021,073.47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1,513,671,624.33</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16" w:type="dxa"/>
            <w:tcBorders>
              <w:top w:val="single" w:sz="4" w:space="0" w:color="000000"/>
              <w:left w:val="single" w:sz="13" w:space="0" w:color="DCDCDC"/>
              <w:bottom w:val="single" w:sz="8"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75,677,588.04</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123,240,467.84</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27,215,318.94</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88,004,805.43</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716" w:type="dxa"/>
            <w:tcBorders>
              <w:top w:val="single" w:sz="8" w:space="0" w:color="000000"/>
              <w:left w:val="single" w:sz="13" w:space="0" w:color="DCDCDC"/>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1700" w:type="dxa"/>
            <w:tcBorders>
              <w:top w:val="single" w:sz="8" w:space="0" w:color="000000"/>
              <w:left w:val="single" w:sz="4" w:space="0" w:color="000000"/>
              <w:bottom w:val="single" w:sz="4" w:space="0" w:color="000000"/>
              <w:right w:val="single" w:sz="4" w:space="0" w:color="000000"/>
            </w:tcBorders>
          </w:tcPr>
          <w:p>
            <w:pPr/>
          </w:p>
        </w:tc>
        <w:tc>
          <w:tcPr>
            <w:tcW w:w="1700" w:type="dxa"/>
            <w:tcBorders>
              <w:top w:val="single" w:sz="8" w:space="0" w:color="000000"/>
              <w:left w:val="single" w:sz="4" w:space="0" w:color="000000"/>
              <w:bottom w:val="single" w:sz="4" w:space="0" w:color="000000"/>
              <w:right w:val="single" w:sz="4" w:space="0" w:color="000000"/>
            </w:tcBorders>
          </w:tcPr>
          <w:p>
            <w:pPr/>
          </w:p>
        </w:tc>
      </w:tr>
    </w:tbl>
    <w:p>
      <w:pPr>
        <w:spacing w:after="0"/>
        <w:sectPr>
          <w:footerReference w:type="even" r:id="rId62"/>
          <w:footerReference w:type="default" r:id="rId63"/>
          <w:pgSz w:w="12240" w:h="15840"/>
          <w:pgMar w:footer="987" w:header="850" w:top="1360" w:bottom="1180" w:left="980" w:right="0"/>
        </w:sectPr>
      </w:pPr>
    </w:p>
    <w:p>
      <w:pPr>
        <w:spacing w:line="240" w:lineRule="auto" w:before="5"/>
        <w:rPr>
          <w:rFonts w:ascii="Times New Roman" w:hAnsi="Times New Roman" w:cs="Times New Roman" w:eastAsia="Times New Roman" w:hint="default"/>
          <w:sz w:val="17"/>
          <w:szCs w:val="17"/>
        </w:rPr>
      </w:pPr>
      <w:r>
        <w:rPr/>
        <w:pict>
          <v:shape style="position:absolute;margin-left:54.18pt;margin-top:69.840012pt;width:503.5pt;height:615.35pt;mso-position-horizontal-relative:page;mso-position-vertical-relative:page;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7"/>
                    <w:gridCol w:w="1716"/>
                    <w:gridCol w:w="1702"/>
                    <w:gridCol w:w="1700"/>
                    <w:gridCol w:w="1700"/>
                  </w:tblGrid>
                  <w:tr>
                    <w:trPr>
                      <w:trHeight w:val="292" w:hRule="exact"/>
                    </w:trPr>
                    <w:tc>
                      <w:tcPr>
                        <w:tcW w:w="3237"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716" w:type="dxa"/>
                        <w:tcBorders>
                          <w:top w:val="single" w:sz="12" w:space="0" w:color="000000"/>
                          <w:left w:val="single" w:sz="13" w:space="0" w:color="DCDCDC"/>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r>
                  <w:tr>
                    <w:trPr>
                      <w:trHeight w:val="557"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430.00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1"/>
                            <w:sz w:val="21"/>
                          </w:rPr>
                          <w:t>105,445.00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2,548,216.51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2,550,000.00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17,123,118.42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19,671,764.93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2,550,000.00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105,445.00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2"/>
                            <w:sz w:val="21"/>
                          </w:rPr>
                          <w:t>76,011,849.88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50,652,253.20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2"/>
                            <w:sz w:val="21"/>
                          </w:rPr>
                          <w:t>22,333,423.15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2"/>
                            <w:sz w:val="21"/>
                          </w:rPr>
                          <w:t>10,925,940.85</w:t>
                        </w: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120,825,000.00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91,770,000.00</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75" w:lineRule="exact"/>
                          <w:ind w:left="10"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1,903,671.89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77,915,521.77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171,477,253.20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24,333,423.15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102,695,940.85</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85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-58,243,756.84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-168,927,253.20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-24,227,978.15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-102,695,940.85</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2,450,000.00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2,450,000.00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243,900,000.00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155,000,000.00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191,500,000.00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190,500,000.00</w:t>
                        </w:r>
                      </w:p>
                    </w:tc>
                  </w:tr>
                  <w:tr>
                    <w:trPr>
                      <w:trHeight w:val="28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243,900,000.00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155,000,000.00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193,950,000.00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190,500,000.00</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140,000,000.00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151,500,000.00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149,500,000.00</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66,336,127.01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64,464,000.75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25,154,593.91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25,152,514.91</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716"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854,300.00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64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247,190,427.01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204,464,000.75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176,654,593.91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174,652,514.91</w:t>
                        </w:r>
                      </w:p>
                    </w:tc>
                  </w:tr>
                  <w:tr>
                    <w:trPr>
                      <w:trHeight w:val="555"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5" w:lineRule="exact"/>
                          <w:ind w:left="1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-3,290,427.01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-49,464,000.75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17,295,406.09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2"/>
                            <w:sz w:val="21"/>
                          </w:rPr>
                          <w:t>15,847,485.09</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-46,127.15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-3,543.54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-39,363.30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-1,776.60</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14,097,277.04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-95,154,329.65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20,243,383.58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1,154,573.07</w:t>
                        </w:r>
                      </w:p>
                    </w:tc>
                  </w:tr>
                  <w:tr>
                    <w:trPr>
                      <w:trHeight w:val="554"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432,230,533.86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301,583,113.60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411,987,150.28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300,428,540.53</w:t>
                        </w:r>
                      </w:p>
                    </w:tc>
                  </w:tr>
                  <w:tr>
                    <w:trPr>
                      <w:trHeight w:val="283" w:hRule="exact"/>
                    </w:trPr>
                    <w:tc>
                      <w:tcPr>
                        <w:tcW w:w="3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446,327,810.90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206,428,783.95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432,230,533.86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301,583,113.60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2240" w:h="15840"/>
          <w:pgMar w:header="850" w:footer="987" w:top="1420" w:bottom="1180" w:left="980" w:right="0"/>
        </w:sectPr>
      </w:pPr>
    </w:p>
    <w:p>
      <w:pPr>
        <w:spacing w:line="240" w:lineRule="auto" w:before="7"/>
        <w:rPr>
          <w:rFonts w:ascii="Times New Roman" w:hAnsi="Times New Roman" w:cs="Times New Roman" w:eastAsia="Times New Roman" w:hint="default"/>
          <w:sz w:val="7"/>
          <w:szCs w:val="7"/>
        </w:rPr>
      </w:pPr>
    </w:p>
    <w:p>
      <w:pPr>
        <w:spacing w:line="564" w:lineRule="exact"/>
        <w:ind w:left="13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53.9pt;height:28.25pt;mso-position-horizontal-relative:char;mso-position-vertical-relative:line" coordorigin="0,0" coordsize="13078,565">
            <v:shape style="position:absolute;left:36;top:0;width:1940;height:495" type="#_x0000_t75" stroked="false">
              <v:imagedata r:id="rId9" o:title=""/>
            </v:shape>
            <v:group style="position:absolute;left:7;top:557;width:13063;height:2" coordorigin="7,557" coordsize="13063,2">
              <v:shape style="position:absolute;left:7;top:557;width:13063;height:2" coordorigin="7,557" coordsize="13063,0" path="m7,557l13070,557e" filled="false" stroked="true" strokeweight=".72pt" strokecolor="#000000">
                <v:path arrowok="t"/>
              </v:shape>
              <v:shape style="position:absolute;left:7549;top:340;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v:group>
          </v:group>
        </w:pict>
      </w:r>
      <w:r>
        <w:rPr>
          <w:rFonts w:ascii="Times New Roman" w:hAnsi="Times New Roman" w:cs="Times New Roman" w:eastAsia="Times New Roman" w:hint="default"/>
          <w:position w:val="-10"/>
          <w:sz w:val="20"/>
          <w:szCs w:val="20"/>
        </w:rPr>
      </w:r>
    </w:p>
    <w:p>
      <w:pPr>
        <w:spacing w:line="240" w:lineRule="auto" w:before="6"/>
        <w:rPr>
          <w:rFonts w:ascii="Times New Roman" w:hAnsi="Times New Roman" w:cs="Times New Roman" w:eastAsia="Times New Roman" w:hint="default"/>
          <w:sz w:val="14"/>
          <w:szCs w:val="14"/>
        </w:rPr>
      </w:pPr>
    </w:p>
    <w:p>
      <w:pPr>
        <w:pStyle w:val="Heading4"/>
        <w:spacing w:line="240" w:lineRule="auto" w:before="26"/>
        <w:ind w:left="0" w:right="15"/>
        <w:jc w:val="center"/>
        <w:rPr>
          <w:rFonts w:ascii="宋体" w:hAnsi="宋体" w:cs="宋体" w:eastAsia="宋体" w:hint="default"/>
          <w:b w:val="0"/>
          <w:bCs w:val="0"/>
        </w:rPr>
      </w:pPr>
      <w:r>
        <w:rPr>
          <w:rFonts w:ascii="宋体" w:hAnsi="宋体" w:cs="宋体" w:eastAsia="宋体" w:hint="default"/>
        </w:rPr>
        <w:t>合并所有者权益变动表</w:t>
      </w:r>
      <w:r>
        <w:rPr>
          <w:rFonts w:ascii="宋体" w:hAnsi="宋体" w:cs="宋体" w:eastAsia="宋体" w:hint="default"/>
          <w:b w:val="0"/>
          <w:bCs w:val="0"/>
        </w:rPr>
      </w:r>
    </w:p>
    <w:p>
      <w:pPr>
        <w:tabs>
          <w:tab w:pos="7102" w:val="left" w:leader="none"/>
          <w:tab w:pos="12203" w:val="left" w:leader="none"/>
        </w:tabs>
        <w:spacing w:line="298" w:lineRule="exact" w:before="4"/>
        <w:ind w:left="0" w:right="13" w:firstLine="0"/>
        <w:jc w:val="center"/>
        <w:rPr>
          <w:rFonts w:ascii="宋体" w:hAnsi="宋体" w:cs="宋体" w:eastAsia="宋体" w:hint="default"/>
          <w:sz w:val="21"/>
          <w:szCs w:val="21"/>
        </w:rPr>
      </w:pPr>
      <w:r>
        <w:rPr>
          <w:rFonts w:ascii="宋体" w:hAnsi="宋体" w:cs="宋体" w:eastAsia="宋体" w:hint="default"/>
          <w:spacing w:val="-5"/>
          <w:sz w:val="21"/>
          <w:szCs w:val="21"/>
        </w:rPr>
        <w:t>编制单位：东华软件股份公司</w:t>
        <w:tab/>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w:t>
        <w:tab/>
      </w:r>
      <w:r>
        <w:rPr>
          <w:rFonts w:ascii="宋体" w:hAnsi="宋体" w:cs="宋体" w:eastAsia="宋体" w:hint="default"/>
          <w:spacing w:val="-11"/>
          <w:sz w:val="21"/>
          <w:szCs w:val="21"/>
        </w:rPr>
        <w:t>单位：元</w:t>
      </w:r>
    </w:p>
    <w:tbl>
      <w:tblPr>
        <w:tblW w:w="0" w:type="auto"/>
        <w:jc w:val="left"/>
        <w:tblInd w:w="116" w:type="dxa"/>
        <w:tblLayout w:type="fixed"/>
        <w:tblCellMar>
          <w:top w:w="0" w:type="dxa"/>
          <w:left w:w="0" w:type="dxa"/>
          <w:bottom w:w="0" w:type="dxa"/>
          <w:right w:w="0" w:type="dxa"/>
        </w:tblCellMar>
        <w:tblLook w:val="01E0"/>
      </w:tblPr>
      <w:tblGrid>
        <w:gridCol w:w="1560"/>
        <w:gridCol w:w="994"/>
        <w:gridCol w:w="991"/>
        <w:gridCol w:w="283"/>
        <w:gridCol w:w="283"/>
        <w:gridCol w:w="853"/>
        <w:gridCol w:w="283"/>
        <w:gridCol w:w="994"/>
        <w:gridCol w:w="566"/>
        <w:gridCol w:w="850"/>
        <w:gridCol w:w="992"/>
        <w:gridCol w:w="994"/>
        <w:gridCol w:w="991"/>
        <w:gridCol w:w="283"/>
        <w:gridCol w:w="286"/>
        <w:gridCol w:w="850"/>
        <w:gridCol w:w="283"/>
        <w:gridCol w:w="991"/>
        <w:gridCol w:w="569"/>
        <w:gridCol w:w="708"/>
        <w:gridCol w:w="992"/>
      </w:tblGrid>
      <w:tr>
        <w:trPr>
          <w:trHeight w:val="180" w:hRule="exact"/>
        </w:trPr>
        <w:tc>
          <w:tcPr>
            <w:tcW w:w="1560" w:type="dxa"/>
            <w:vMerge w:val="restart"/>
            <w:tcBorders>
              <w:top w:val="single" w:sz="4" w:space="0" w:color="000000"/>
              <w:left w:val="single" w:sz="4" w:space="0" w:color="000000"/>
              <w:right w:val="single" w:sz="4" w:space="0" w:color="000000"/>
            </w:tcBorders>
            <w:shd w:val="clear" w:color="auto" w:fill="DCDCDC"/>
          </w:tcPr>
          <w:p>
            <w:pPr/>
          </w:p>
        </w:tc>
        <w:tc>
          <w:tcPr>
            <w:tcW w:w="7088"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1"/>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6947"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173" w:hRule="exact"/>
        </w:trPr>
        <w:tc>
          <w:tcPr>
            <w:tcW w:w="1560" w:type="dxa"/>
            <w:vMerge/>
            <w:tcBorders>
              <w:left w:val="single" w:sz="4" w:space="0" w:color="000000"/>
              <w:right w:val="single" w:sz="4" w:space="0" w:color="000000"/>
            </w:tcBorders>
            <w:shd w:val="clear" w:color="auto" w:fill="DCDCDC"/>
          </w:tcPr>
          <w:p>
            <w:pPr/>
          </w:p>
        </w:tc>
        <w:tc>
          <w:tcPr>
            <w:tcW w:w="524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1"/>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850" w:type="dxa"/>
            <w:vMerge w:val="restart"/>
            <w:tcBorders>
              <w:top w:val="single" w:sz="4" w:space="0" w:color="000000"/>
              <w:left w:val="single" w:sz="4" w:space="0" w:color="000000"/>
              <w:right w:val="single" w:sz="4" w:space="0" w:color="000000"/>
            </w:tcBorders>
            <w:shd w:val="clear" w:color="auto" w:fill="DCDCDC"/>
          </w:tcPr>
          <w:p>
            <w:pPr/>
          </w:p>
        </w:tc>
        <w:tc>
          <w:tcPr>
            <w:tcW w:w="992" w:type="dxa"/>
            <w:vMerge w:val="restart"/>
            <w:tcBorders>
              <w:top w:val="single" w:sz="4" w:space="0" w:color="000000"/>
              <w:left w:val="single" w:sz="4" w:space="0" w:color="000000"/>
              <w:right w:val="single" w:sz="4" w:space="0" w:color="000000"/>
            </w:tcBorders>
            <w:shd w:val="clear" w:color="auto" w:fill="DCDCDC"/>
          </w:tcPr>
          <w:p>
            <w:pPr/>
          </w:p>
        </w:tc>
        <w:tc>
          <w:tcPr>
            <w:tcW w:w="524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1"/>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708" w:type="dxa"/>
            <w:vMerge w:val="restart"/>
            <w:tcBorders>
              <w:top w:val="single" w:sz="4" w:space="0" w:color="000000"/>
              <w:left w:val="single" w:sz="4" w:space="0" w:color="000000"/>
              <w:right w:val="single" w:sz="4" w:space="0" w:color="000000"/>
            </w:tcBorders>
            <w:shd w:val="clear" w:color="auto" w:fill="DCDCDC"/>
          </w:tcPr>
          <w:p>
            <w:pPr/>
          </w:p>
        </w:tc>
        <w:tc>
          <w:tcPr>
            <w:tcW w:w="992" w:type="dxa"/>
            <w:vMerge w:val="restart"/>
            <w:tcBorders>
              <w:top w:val="single" w:sz="4" w:space="0" w:color="000000"/>
              <w:left w:val="single" w:sz="4" w:space="0" w:color="000000"/>
              <w:right w:val="single" w:sz="4" w:space="0" w:color="000000"/>
            </w:tcBorders>
            <w:shd w:val="clear" w:color="auto" w:fill="DCDCDC"/>
          </w:tcPr>
          <w:p>
            <w:pPr/>
          </w:p>
        </w:tc>
      </w:tr>
      <w:tr>
        <w:trPr>
          <w:trHeight w:val="94" w:hRule="exact"/>
        </w:trPr>
        <w:tc>
          <w:tcPr>
            <w:tcW w:w="1560" w:type="dxa"/>
            <w:vMerge/>
            <w:tcBorders>
              <w:left w:val="single" w:sz="4" w:space="0" w:color="000000"/>
              <w:right w:val="single" w:sz="4" w:space="0" w:color="000000"/>
            </w:tcBorders>
            <w:shd w:val="clear" w:color="auto" w:fill="DCDCDC"/>
          </w:tcPr>
          <w:p>
            <w:pPr/>
          </w:p>
        </w:tc>
        <w:tc>
          <w:tcPr>
            <w:tcW w:w="994" w:type="dxa"/>
            <w:vMerge w:val="restart"/>
            <w:tcBorders>
              <w:top w:val="single" w:sz="4" w:space="0" w:color="000000"/>
              <w:left w:val="single" w:sz="4" w:space="0" w:color="000000"/>
              <w:right w:val="single" w:sz="4" w:space="0" w:color="000000"/>
            </w:tcBorders>
            <w:shd w:val="clear" w:color="auto" w:fill="DCDCDC"/>
          </w:tcPr>
          <w:p>
            <w:pPr/>
          </w:p>
        </w:tc>
        <w:tc>
          <w:tcPr>
            <w:tcW w:w="991" w:type="dxa"/>
            <w:vMerge w:val="restart"/>
            <w:tcBorders>
              <w:top w:val="single" w:sz="4" w:space="0" w:color="000000"/>
              <w:left w:val="single" w:sz="4" w:space="0" w:color="000000"/>
              <w:right w:val="single" w:sz="4" w:space="0" w:color="000000"/>
            </w:tcBorders>
            <w:shd w:val="clear" w:color="auto" w:fill="DCDCDC"/>
          </w:tcPr>
          <w:p>
            <w:pPr/>
          </w:p>
        </w:tc>
        <w:tc>
          <w:tcPr>
            <w:tcW w:w="283" w:type="dxa"/>
            <w:tcBorders>
              <w:top w:val="single" w:sz="37" w:space="0" w:color="DCDCDC"/>
              <w:left w:val="single" w:sz="4" w:space="0" w:color="000000"/>
              <w:bottom w:val="nil" w:sz="6" w:space="0" w:color="auto"/>
              <w:right w:val="single" w:sz="4" w:space="0" w:color="000000"/>
            </w:tcBorders>
          </w:tcPr>
          <w:p>
            <w:pPr/>
          </w:p>
        </w:tc>
        <w:tc>
          <w:tcPr>
            <w:tcW w:w="283" w:type="dxa"/>
            <w:vMerge w:val="restart"/>
            <w:tcBorders>
              <w:top w:val="single" w:sz="4" w:space="0" w:color="000000"/>
              <w:left w:val="single" w:sz="4" w:space="0" w:color="000000"/>
              <w:right w:val="single" w:sz="4" w:space="0" w:color="000000"/>
            </w:tcBorders>
            <w:shd w:val="clear" w:color="auto" w:fill="DCDCDC"/>
          </w:tcPr>
          <w:p>
            <w:pPr/>
          </w:p>
        </w:tc>
        <w:tc>
          <w:tcPr>
            <w:tcW w:w="853" w:type="dxa"/>
            <w:vMerge w:val="restart"/>
            <w:tcBorders>
              <w:top w:val="single" w:sz="4" w:space="0" w:color="000000"/>
              <w:left w:val="single" w:sz="4" w:space="0" w:color="000000"/>
              <w:right w:val="single" w:sz="4" w:space="0" w:color="000000"/>
            </w:tcBorders>
            <w:shd w:val="clear" w:color="auto" w:fill="DCDCDC"/>
          </w:tcPr>
          <w:p>
            <w:pPr/>
          </w:p>
        </w:tc>
        <w:tc>
          <w:tcPr>
            <w:tcW w:w="283" w:type="dxa"/>
            <w:vMerge w:val="restart"/>
            <w:tcBorders>
              <w:top w:val="single" w:sz="4" w:space="0" w:color="000000"/>
              <w:left w:val="single" w:sz="4" w:space="0" w:color="000000"/>
              <w:right w:val="single" w:sz="4" w:space="0" w:color="000000"/>
            </w:tcBorders>
            <w:shd w:val="clear" w:color="auto" w:fill="DCDCDC"/>
          </w:tcPr>
          <w:p>
            <w:pPr>
              <w:pStyle w:val="TableParagraph"/>
              <w:spacing w:line="149" w:lineRule="exact"/>
              <w:ind w:left="69" w:right="0"/>
              <w:jc w:val="both"/>
              <w:rPr>
                <w:rFonts w:ascii="宋体" w:hAnsi="宋体" w:cs="宋体" w:eastAsia="宋体" w:hint="default"/>
                <w:sz w:val="13"/>
                <w:szCs w:val="13"/>
              </w:rPr>
            </w:pPr>
            <w:r>
              <w:rPr>
                <w:rFonts w:ascii="宋体" w:hAnsi="宋体" w:cs="宋体" w:eastAsia="宋体" w:hint="default"/>
                <w:w w:val="99"/>
                <w:sz w:val="13"/>
                <w:szCs w:val="13"/>
              </w:rPr>
              <w:t>一</w:t>
            </w:r>
            <w:r>
              <w:rPr>
                <w:rFonts w:ascii="宋体" w:hAnsi="宋体" w:cs="宋体" w:eastAsia="宋体" w:hint="default"/>
                <w:sz w:val="13"/>
                <w:szCs w:val="13"/>
              </w:rPr>
            </w:r>
          </w:p>
          <w:p>
            <w:pPr>
              <w:pStyle w:val="TableParagraph"/>
              <w:spacing w:line="237" w:lineRule="auto"/>
              <w:ind w:left="69" w:right="72"/>
              <w:jc w:val="both"/>
              <w:rPr>
                <w:rFonts w:ascii="宋体" w:hAnsi="宋体" w:cs="宋体" w:eastAsia="宋体" w:hint="default"/>
                <w:sz w:val="13"/>
                <w:szCs w:val="13"/>
              </w:rPr>
            </w:pP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994" w:type="dxa"/>
            <w:vMerge w:val="restart"/>
            <w:tcBorders>
              <w:top w:val="single" w:sz="4" w:space="0" w:color="000000"/>
              <w:left w:val="single" w:sz="4" w:space="0" w:color="000000"/>
              <w:right w:val="single" w:sz="4" w:space="0" w:color="000000"/>
            </w:tcBorders>
            <w:shd w:val="clear" w:color="auto" w:fill="DCDCDC"/>
          </w:tcPr>
          <w:p>
            <w:pPr/>
          </w:p>
        </w:tc>
        <w:tc>
          <w:tcPr>
            <w:tcW w:w="566" w:type="dxa"/>
            <w:vMerge w:val="restart"/>
            <w:tcBorders>
              <w:top w:val="single" w:sz="4" w:space="0" w:color="000000"/>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4" w:type="dxa"/>
            <w:vMerge w:val="restart"/>
            <w:tcBorders>
              <w:top w:val="single" w:sz="4" w:space="0" w:color="000000"/>
              <w:left w:val="single" w:sz="4" w:space="0" w:color="000000"/>
              <w:right w:val="single" w:sz="4" w:space="0" w:color="000000"/>
            </w:tcBorders>
            <w:shd w:val="clear" w:color="auto" w:fill="DCDCDC"/>
          </w:tcPr>
          <w:p>
            <w:pPr/>
          </w:p>
        </w:tc>
        <w:tc>
          <w:tcPr>
            <w:tcW w:w="991" w:type="dxa"/>
            <w:vMerge w:val="restart"/>
            <w:tcBorders>
              <w:top w:val="single" w:sz="4" w:space="0" w:color="000000"/>
              <w:left w:val="single" w:sz="4" w:space="0" w:color="000000"/>
              <w:right w:val="single" w:sz="4" w:space="0" w:color="000000"/>
            </w:tcBorders>
            <w:shd w:val="clear" w:color="auto" w:fill="DCDCDC"/>
          </w:tcPr>
          <w:p>
            <w:pPr/>
          </w:p>
        </w:tc>
        <w:tc>
          <w:tcPr>
            <w:tcW w:w="283" w:type="dxa"/>
            <w:tcBorders>
              <w:top w:val="single" w:sz="37" w:space="0" w:color="DCDCDC"/>
              <w:left w:val="single" w:sz="4" w:space="0" w:color="000000"/>
              <w:bottom w:val="nil" w:sz="6" w:space="0" w:color="auto"/>
              <w:right w:val="single" w:sz="4" w:space="0" w:color="000000"/>
            </w:tcBorders>
          </w:tcPr>
          <w:p>
            <w:pPr/>
          </w:p>
        </w:tc>
        <w:tc>
          <w:tcPr>
            <w:tcW w:w="286" w:type="dxa"/>
            <w:vMerge w:val="restart"/>
            <w:tcBorders>
              <w:top w:val="single" w:sz="4" w:space="0" w:color="000000"/>
              <w:left w:val="single" w:sz="4" w:space="0" w:color="000000"/>
              <w:right w:val="single" w:sz="4" w:space="0" w:color="000000"/>
            </w:tcBorders>
            <w:shd w:val="clear" w:color="auto" w:fill="DCDCDC"/>
          </w:tcPr>
          <w:p>
            <w:pPr/>
          </w:p>
        </w:tc>
        <w:tc>
          <w:tcPr>
            <w:tcW w:w="850" w:type="dxa"/>
            <w:vMerge w:val="restart"/>
            <w:tcBorders>
              <w:top w:val="single" w:sz="4" w:space="0" w:color="000000"/>
              <w:left w:val="single" w:sz="4" w:space="0" w:color="000000"/>
              <w:right w:val="single" w:sz="4" w:space="0" w:color="000000"/>
            </w:tcBorders>
            <w:shd w:val="clear" w:color="auto" w:fill="DCDCDC"/>
          </w:tcPr>
          <w:p>
            <w:pPr/>
          </w:p>
        </w:tc>
        <w:tc>
          <w:tcPr>
            <w:tcW w:w="283" w:type="dxa"/>
            <w:vMerge w:val="restart"/>
            <w:tcBorders>
              <w:top w:val="single" w:sz="4" w:space="0" w:color="000000"/>
              <w:left w:val="single" w:sz="4" w:space="0" w:color="000000"/>
              <w:right w:val="single" w:sz="4" w:space="0" w:color="000000"/>
            </w:tcBorders>
            <w:shd w:val="clear" w:color="auto" w:fill="DCDCDC"/>
          </w:tcPr>
          <w:p>
            <w:pPr>
              <w:pStyle w:val="TableParagraph"/>
              <w:spacing w:line="149" w:lineRule="exact"/>
              <w:ind w:left="69" w:right="0"/>
              <w:jc w:val="both"/>
              <w:rPr>
                <w:rFonts w:ascii="宋体" w:hAnsi="宋体" w:cs="宋体" w:eastAsia="宋体" w:hint="default"/>
                <w:sz w:val="13"/>
                <w:szCs w:val="13"/>
              </w:rPr>
            </w:pPr>
            <w:r>
              <w:rPr>
                <w:rFonts w:ascii="宋体" w:hAnsi="宋体" w:cs="宋体" w:eastAsia="宋体" w:hint="default"/>
                <w:w w:val="99"/>
                <w:sz w:val="13"/>
                <w:szCs w:val="13"/>
              </w:rPr>
              <w:t>一</w:t>
            </w:r>
            <w:r>
              <w:rPr>
                <w:rFonts w:ascii="宋体" w:hAnsi="宋体" w:cs="宋体" w:eastAsia="宋体" w:hint="default"/>
                <w:sz w:val="13"/>
                <w:szCs w:val="13"/>
              </w:rPr>
            </w:r>
          </w:p>
          <w:p>
            <w:pPr>
              <w:pStyle w:val="TableParagraph"/>
              <w:spacing w:line="237" w:lineRule="auto"/>
              <w:ind w:left="69" w:right="72"/>
              <w:jc w:val="both"/>
              <w:rPr>
                <w:rFonts w:ascii="宋体" w:hAnsi="宋体" w:cs="宋体" w:eastAsia="宋体" w:hint="default"/>
                <w:sz w:val="13"/>
                <w:szCs w:val="13"/>
              </w:rPr>
            </w:pP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991" w:type="dxa"/>
            <w:vMerge w:val="restart"/>
            <w:tcBorders>
              <w:top w:val="single" w:sz="4" w:space="0" w:color="000000"/>
              <w:left w:val="single" w:sz="4" w:space="0" w:color="000000"/>
              <w:right w:val="single" w:sz="4" w:space="0" w:color="000000"/>
            </w:tcBorders>
            <w:shd w:val="clear" w:color="auto" w:fill="DCDCDC"/>
          </w:tcPr>
          <w:p>
            <w:pPr/>
          </w:p>
        </w:tc>
        <w:tc>
          <w:tcPr>
            <w:tcW w:w="569" w:type="dxa"/>
            <w:vMerge w:val="restart"/>
            <w:tcBorders>
              <w:top w:val="single" w:sz="4" w:space="0" w:color="000000"/>
              <w:left w:val="single" w:sz="4" w:space="0" w:color="000000"/>
              <w:right w:val="single" w:sz="4" w:space="0" w:color="000000"/>
            </w:tcBorders>
            <w:shd w:val="clear" w:color="auto" w:fill="DCDCDC"/>
          </w:tcPr>
          <w:p>
            <w:pPr/>
          </w:p>
        </w:tc>
        <w:tc>
          <w:tcPr>
            <w:tcW w:w="708"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r>
      <w:tr>
        <w:trPr>
          <w:trHeight w:val="84" w:hRule="exact"/>
        </w:trPr>
        <w:tc>
          <w:tcPr>
            <w:tcW w:w="1560"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val="restart"/>
            <w:tcBorders>
              <w:top w:val="nil" w:sz="6" w:space="0" w:color="auto"/>
              <w:left w:val="single" w:sz="4" w:space="0" w:color="000000"/>
              <w:right w:val="single" w:sz="4" w:space="0" w:color="000000"/>
            </w:tcBorders>
            <w:shd w:val="clear" w:color="auto" w:fill="DCDCDC"/>
          </w:tcPr>
          <w:p>
            <w:pPr>
              <w:pStyle w:val="TableParagraph"/>
              <w:spacing w:line="145" w:lineRule="exact"/>
              <w:ind w:left="69"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168" w:lineRule="exact" w:before="17"/>
              <w:ind w:left="69" w:right="72"/>
              <w:jc w:val="both"/>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283"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val="restart"/>
            <w:tcBorders>
              <w:top w:val="nil" w:sz="6" w:space="0" w:color="auto"/>
              <w:left w:val="single" w:sz="4" w:space="0" w:color="000000"/>
              <w:right w:val="single" w:sz="4" w:space="0" w:color="000000"/>
            </w:tcBorders>
            <w:shd w:val="clear" w:color="auto" w:fill="DCDCDC"/>
          </w:tcPr>
          <w:p>
            <w:pPr>
              <w:pStyle w:val="TableParagraph"/>
              <w:spacing w:line="145" w:lineRule="exact"/>
              <w:ind w:left="72"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168" w:lineRule="exact" w:before="17"/>
              <w:ind w:left="72" w:right="71"/>
              <w:jc w:val="both"/>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286"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708"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r>
      <w:tr>
        <w:trPr>
          <w:trHeight w:val="77" w:hRule="exact"/>
        </w:trPr>
        <w:tc>
          <w:tcPr>
            <w:tcW w:w="1560"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val="restart"/>
            <w:tcBorders>
              <w:top w:val="nil" w:sz="6" w:space="0" w:color="auto"/>
              <w:left w:val="single" w:sz="4" w:space="0" w:color="000000"/>
              <w:right w:val="single" w:sz="4" w:space="0" w:color="000000"/>
            </w:tcBorders>
            <w:shd w:val="clear" w:color="auto" w:fill="DCDCDC"/>
          </w:tcPr>
          <w:p>
            <w:pPr>
              <w:pStyle w:val="TableParagraph"/>
              <w:spacing w:line="145" w:lineRule="exact"/>
              <w:ind w:left="71" w:right="0"/>
              <w:jc w:val="both"/>
              <w:rPr>
                <w:rFonts w:ascii="宋体" w:hAnsi="宋体" w:cs="宋体" w:eastAsia="宋体" w:hint="default"/>
                <w:sz w:val="13"/>
                <w:szCs w:val="13"/>
              </w:rPr>
            </w:pPr>
            <w:r>
              <w:rPr>
                <w:rFonts w:ascii="宋体" w:hAnsi="宋体" w:cs="宋体" w:eastAsia="宋体" w:hint="default"/>
                <w:w w:val="99"/>
                <w:sz w:val="13"/>
                <w:szCs w:val="13"/>
              </w:rPr>
              <w:t>专</w:t>
            </w:r>
            <w:r>
              <w:rPr>
                <w:rFonts w:ascii="宋体" w:hAnsi="宋体" w:cs="宋体" w:eastAsia="宋体" w:hint="default"/>
                <w:sz w:val="13"/>
                <w:szCs w:val="13"/>
              </w:rPr>
            </w:r>
          </w:p>
          <w:p>
            <w:pPr>
              <w:pStyle w:val="TableParagraph"/>
              <w:spacing w:line="168" w:lineRule="exact" w:before="17"/>
              <w:ind w:left="71" w:right="71"/>
              <w:jc w:val="both"/>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85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val="restart"/>
            <w:tcBorders>
              <w:top w:val="nil" w:sz="6" w:space="0" w:color="auto"/>
              <w:left w:val="single" w:sz="4" w:space="0" w:color="000000"/>
              <w:right w:val="single" w:sz="4" w:space="0" w:color="000000"/>
            </w:tcBorders>
            <w:shd w:val="clear" w:color="auto" w:fill="DCDCDC"/>
          </w:tcPr>
          <w:p>
            <w:pPr>
              <w:pStyle w:val="TableParagraph"/>
              <w:spacing w:line="145" w:lineRule="exact"/>
              <w:ind w:left="72" w:right="0"/>
              <w:jc w:val="both"/>
              <w:rPr>
                <w:rFonts w:ascii="宋体" w:hAnsi="宋体" w:cs="宋体" w:eastAsia="宋体" w:hint="default"/>
                <w:sz w:val="13"/>
                <w:szCs w:val="13"/>
              </w:rPr>
            </w:pPr>
            <w:r>
              <w:rPr>
                <w:rFonts w:ascii="宋体" w:hAnsi="宋体" w:cs="宋体" w:eastAsia="宋体" w:hint="default"/>
                <w:w w:val="99"/>
                <w:sz w:val="13"/>
                <w:szCs w:val="13"/>
              </w:rPr>
              <w:t>专</w:t>
            </w:r>
            <w:r>
              <w:rPr>
                <w:rFonts w:ascii="宋体" w:hAnsi="宋体" w:cs="宋体" w:eastAsia="宋体" w:hint="default"/>
                <w:sz w:val="13"/>
                <w:szCs w:val="13"/>
              </w:rPr>
            </w:r>
          </w:p>
          <w:p>
            <w:pPr>
              <w:pStyle w:val="TableParagraph"/>
              <w:spacing w:line="168" w:lineRule="exact" w:before="17"/>
              <w:ind w:left="72" w:right="72"/>
              <w:jc w:val="both"/>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850"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708" w:type="dxa"/>
            <w:vMerge/>
            <w:tcBorders>
              <w:left w:val="single" w:sz="4" w:space="0" w:color="000000"/>
              <w:bottom w:val="nil" w:sz="6" w:space="0" w:color="auto"/>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r>
      <w:tr>
        <w:trPr>
          <w:trHeight w:val="91" w:hRule="exact"/>
        </w:trPr>
        <w:tc>
          <w:tcPr>
            <w:tcW w:w="1560" w:type="dxa"/>
            <w:vMerge w:val="restart"/>
            <w:tcBorders>
              <w:top w:val="nil" w:sz="6" w:space="0" w:color="auto"/>
              <w:left w:val="single" w:sz="4" w:space="0" w:color="000000"/>
              <w:right w:val="single" w:sz="4" w:space="0" w:color="000000"/>
            </w:tcBorders>
            <w:shd w:val="clear" w:color="auto" w:fill="DCDCDC"/>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94"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c>
          <w:tcPr>
            <w:tcW w:w="992"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148" w:lineRule="exact"/>
              <w:ind w:right="5"/>
              <w:jc w:val="center"/>
              <w:rPr>
                <w:rFonts w:ascii="宋体" w:hAnsi="宋体" w:cs="宋体" w:eastAsia="宋体" w:hint="default"/>
                <w:sz w:val="13"/>
                <w:szCs w:val="13"/>
              </w:rPr>
            </w:pPr>
            <w:r>
              <w:rPr>
                <w:rFonts w:ascii="宋体" w:hAnsi="宋体" w:cs="宋体" w:eastAsia="宋体" w:hint="default"/>
                <w:sz w:val="13"/>
                <w:szCs w:val="13"/>
              </w:rPr>
              <w:t>少数股东权</w:t>
            </w: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w w:val="99"/>
                <w:sz w:val="13"/>
                <w:szCs w:val="13"/>
              </w:rPr>
              <w:t>益</w:t>
            </w:r>
            <w:r>
              <w:rPr>
                <w:rFonts w:ascii="宋体" w:hAnsi="宋体" w:cs="宋体" w:eastAsia="宋体" w:hint="default"/>
                <w:sz w:val="13"/>
                <w:szCs w:val="13"/>
              </w:rPr>
            </w:r>
          </w:p>
        </w:tc>
        <w:tc>
          <w:tcPr>
            <w:tcW w:w="992" w:type="dxa"/>
            <w:vMerge/>
            <w:tcBorders>
              <w:left w:val="single" w:sz="4" w:space="0" w:color="000000"/>
              <w:bottom w:val="nil" w:sz="6" w:space="0" w:color="auto"/>
              <w:right w:val="single" w:sz="4" w:space="0" w:color="000000"/>
            </w:tcBorders>
            <w:shd w:val="clear" w:color="auto" w:fill="DCDCDC"/>
          </w:tcPr>
          <w:p>
            <w:pPr/>
          </w:p>
        </w:tc>
      </w:tr>
      <w:tr>
        <w:trPr>
          <w:trHeight w:val="83" w:hRule="exact"/>
        </w:trPr>
        <w:tc>
          <w:tcPr>
            <w:tcW w:w="1560" w:type="dxa"/>
            <w:vMerge/>
            <w:tcBorders>
              <w:left w:val="single" w:sz="4" w:space="0" w:color="000000"/>
              <w:bottom w:val="nil" w:sz="6" w:space="0" w:color="auto"/>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147" w:lineRule="exact"/>
              <w:ind w:right="2"/>
              <w:jc w:val="center"/>
              <w:rPr>
                <w:rFonts w:ascii="宋体" w:hAnsi="宋体" w:cs="宋体" w:eastAsia="宋体" w:hint="default"/>
                <w:sz w:val="13"/>
                <w:szCs w:val="13"/>
              </w:rPr>
            </w:pPr>
            <w:r>
              <w:rPr>
                <w:rFonts w:ascii="宋体" w:hAnsi="宋体" w:cs="宋体" w:eastAsia="宋体" w:hint="default"/>
                <w:sz w:val="13"/>
                <w:szCs w:val="13"/>
              </w:rPr>
              <w:t>实收资本（或股</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本）</w:t>
            </w: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Style w:val="TableParagraph"/>
              <w:spacing w:line="144" w:lineRule="exact"/>
              <w:ind w:left="2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992" w:type="dxa"/>
            <w:vMerge w:val="restart"/>
            <w:tcBorders>
              <w:top w:val="nil" w:sz="6" w:space="0" w:color="auto"/>
              <w:left w:val="single" w:sz="4" w:space="0" w:color="000000"/>
              <w:right w:val="single" w:sz="4" w:space="0" w:color="000000"/>
            </w:tcBorders>
            <w:shd w:val="clear" w:color="auto" w:fill="DCDCDC"/>
          </w:tcPr>
          <w:p>
            <w:pPr>
              <w:pStyle w:val="TableParagraph"/>
              <w:spacing w:line="144" w:lineRule="exact"/>
              <w:ind w:left="3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148" w:lineRule="exact"/>
              <w:ind w:right="2"/>
              <w:jc w:val="center"/>
              <w:rPr>
                <w:rFonts w:ascii="宋体" w:hAnsi="宋体" w:cs="宋体" w:eastAsia="宋体" w:hint="default"/>
                <w:sz w:val="13"/>
                <w:szCs w:val="13"/>
              </w:rPr>
            </w:pPr>
            <w:r>
              <w:rPr>
                <w:rFonts w:ascii="宋体" w:hAnsi="宋体" w:cs="宋体" w:eastAsia="宋体" w:hint="default"/>
                <w:sz w:val="13"/>
                <w:szCs w:val="13"/>
              </w:rPr>
              <w:t>实收资本（或股</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本）</w:t>
            </w: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569" w:type="dxa"/>
            <w:vMerge/>
            <w:tcBorders>
              <w:left w:val="single" w:sz="4" w:space="0" w:color="000000"/>
              <w:bottom w:val="nil" w:sz="6" w:space="0" w:color="auto"/>
              <w:right w:val="single" w:sz="4" w:space="0" w:color="000000"/>
            </w:tcBorders>
            <w:shd w:val="clear" w:color="auto" w:fill="DCDCDC"/>
          </w:tcPr>
          <w:p>
            <w:pPr/>
          </w:p>
        </w:tc>
        <w:tc>
          <w:tcPr>
            <w:tcW w:w="708" w:type="dxa"/>
            <w:vMerge/>
            <w:tcBorders>
              <w:left w:val="single" w:sz="4" w:space="0" w:color="000000"/>
              <w:right w:val="single" w:sz="4" w:space="0" w:color="000000"/>
            </w:tcBorders>
            <w:shd w:val="clear" w:color="auto" w:fill="DCDCDC"/>
          </w:tcPr>
          <w:p>
            <w:pPr/>
          </w:p>
        </w:tc>
        <w:tc>
          <w:tcPr>
            <w:tcW w:w="992" w:type="dxa"/>
            <w:vMerge w:val="restart"/>
            <w:tcBorders>
              <w:top w:val="nil" w:sz="6" w:space="0" w:color="auto"/>
              <w:left w:val="single" w:sz="10" w:space="0" w:color="DCDCDC"/>
              <w:right w:val="single" w:sz="12" w:space="0" w:color="DCDCDC"/>
            </w:tcBorders>
          </w:tcPr>
          <w:p>
            <w:pPr>
              <w:pStyle w:val="TableParagraph"/>
              <w:spacing w:line="144" w:lineRule="exact"/>
              <w:ind w:left="2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shd w:fill="DCDCDC" w:color="auto" w:val="clear"/>
              </w:rPr>
              <w:t>所有者权益合计</w:t>
            </w:r>
            <w:r>
              <w:rPr>
                <w:rFonts w:ascii="宋体" w:hAnsi="宋体" w:cs="宋体" w:eastAsia="宋体" w:hint="default"/>
                <w:sz w:val="13"/>
                <w:szCs w:val="13"/>
              </w:rPr>
            </w:r>
          </w:p>
        </w:tc>
      </w:tr>
      <w:tr>
        <w:trPr>
          <w:trHeight w:val="79" w:hRule="exact"/>
        </w:trPr>
        <w:tc>
          <w:tcPr>
            <w:tcW w:w="1560" w:type="dxa"/>
            <w:vMerge w:val="restart"/>
            <w:tcBorders>
              <w:top w:val="nil" w:sz="6" w:space="0" w:color="auto"/>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148" w:lineRule="exact"/>
              <w:ind w:left="22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147" w:lineRule="exact"/>
              <w:ind w:left="16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283"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16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1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850" w:type="dxa"/>
            <w:vMerge/>
            <w:tcBorders>
              <w:left w:val="single" w:sz="4" w:space="0" w:color="000000"/>
              <w:bottom w:val="nil" w:sz="6" w:space="0" w:color="auto"/>
              <w:right w:val="single" w:sz="4" w:space="0" w:color="000000"/>
            </w:tcBorders>
            <w:shd w:val="clear" w:color="auto" w:fill="DCDCDC"/>
          </w:tcPr>
          <w:p>
            <w:pPr/>
          </w:p>
        </w:tc>
        <w:tc>
          <w:tcPr>
            <w:tcW w:w="992"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22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158"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283"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16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569" w:type="dxa"/>
            <w:vMerge w:val="restart"/>
            <w:tcBorders>
              <w:top w:val="nil" w:sz="6" w:space="0" w:color="auto"/>
              <w:left w:val="single" w:sz="4" w:space="0" w:color="000000"/>
              <w:right w:val="single" w:sz="4" w:space="0" w:color="000000"/>
            </w:tcBorders>
            <w:shd w:val="clear" w:color="auto" w:fill="DCDCDC"/>
          </w:tcPr>
          <w:p>
            <w:pPr>
              <w:pStyle w:val="TableParagraph"/>
              <w:spacing w:line="146" w:lineRule="exact"/>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708" w:type="dxa"/>
            <w:vMerge/>
            <w:tcBorders>
              <w:left w:val="single" w:sz="4" w:space="0" w:color="000000"/>
              <w:right w:val="single" w:sz="4" w:space="0" w:color="000000"/>
            </w:tcBorders>
            <w:shd w:val="clear" w:color="auto" w:fill="DCDCDC"/>
          </w:tcPr>
          <w:p>
            <w:pPr/>
          </w:p>
        </w:tc>
        <w:tc>
          <w:tcPr>
            <w:tcW w:w="992" w:type="dxa"/>
            <w:vMerge/>
            <w:tcBorders>
              <w:left w:val="single" w:sz="10" w:space="0" w:color="DCDCDC"/>
              <w:bottom w:val="nil" w:sz="6" w:space="0" w:color="auto"/>
              <w:right w:val="single" w:sz="12" w:space="0" w:color="DCDCDC"/>
            </w:tcBorders>
          </w:tcPr>
          <w:p>
            <w:pPr/>
          </w:p>
        </w:tc>
      </w:tr>
      <w:tr>
        <w:trPr>
          <w:trHeight w:val="89" w:hRule="exact"/>
        </w:trPr>
        <w:tc>
          <w:tcPr>
            <w:tcW w:w="1560"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
        </w:tc>
        <w:tc>
          <w:tcPr>
            <w:tcW w:w="992" w:type="dxa"/>
            <w:vMerge w:val="restart"/>
            <w:tcBorders>
              <w:top w:val="nil" w:sz="6" w:space="0" w:color="auto"/>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569" w:type="dxa"/>
            <w:vMerge/>
            <w:tcBorders>
              <w:left w:val="single" w:sz="4" w:space="0" w:color="000000"/>
              <w:bottom w:val="nil" w:sz="6" w:space="0" w:color="auto"/>
              <w:right w:val="single" w:sz="4" w:space="0" w:color="000000"/>
            </w:tcBorders>
            <w:shd w:val="clear" w:color="auto" w:fill="DCDCDC"/>
          </w:tcPr>
          <w:p>
            <w:pPr/>
          </w:p>
        </w:tc>
        <w:tc>
          <w:tcPr>
            <w:tcW w:w="708" w:type="dxa"/>
            <w:vMerge/>
            <w:tcBorders>
              <w:left w:val="single" w:sz="4" w:space="0" w:color="000000"/>
              <w:bottom w:val="nil" w:sz="6" w:space="0" w:color="auto"/>
              <w:right w:val="single" w:sz="4" w:space="0" w:color="000000"/>
            </w:tcBorders>
            <w:shd w:val="clear" w:color="auto" w:fill="DCDCDC"/>
          </w:tcPr>
          <w:p>
            <w:pPr/>
          </w:p>
        </w:tc>
        <w:tc>
          <w:tcPr>
            <w:tcW w:w="992" w:type="dxa"/>
            <w:vMerge w:val="restart"/>
            <w:tcBorders>
              <w:top w:val="nil" w:sz="6" w:space="0" w:color="auto"/>
              <w:left w:val="single" w:sz="4" w:space="0" w:color="000000"/>
              <w:right w:val="single" w:sz="4" w:space="0" w:color="000000"/>
            </w:tcBorders>
            <w:shd w:val="clear" w:color="auto" w:fill="DCDCDC"/>
          </w:tcPr>
          <w:p>
            <w:pPr/>
          </w:p>
        </w:tc>
      </w:tr>
      <w:tr>
        <w:trPr>
          <w:trHeight w:val="84" w:hRule="exact"/>
        </w:trPr>
        <w:tc>
          <w:tcPr>
            <w:tcW w:w="1560" w:type="dxa"/>
            <w:vMerge/>
            <w:tcBorders>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
        </w:tc>
        <w:tc>
          <w:tcPr>
            <w:tcW w:w="569" w:type="dxa"/>
            <w:vMerge w:val="restart"/>
            <w:tcBorders>
              <w:top w:val="nil" w:sz="6" w:space="0" w:color="auto"/>
              <w:left w:val="single" w:sz="4" w:space="0" w:color="000000"/>
              <w:right w:val="single" w:sz="4" w:space="0" w:color="000000"/>
            </w:tcBorders>
            <w:shd w:val="clear" w:color="auto" w:fill="DCDCDC"/>
          </w:tcPr>
          <w:p>
            <w:pPr/>
          </w:p>
        </w:tc>
        <w:tc>
          <w:tcPr>
            <w:tcW w:w="708" w:type="dxa"/>
            <w:vMerge w:val="restart"/>
            <w:tcBorders>
              <w:top w:val="nil" w:sz="6" w:space="0" w:color="auto"/>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r>
      <w:tr>
        <w:trPr>
          <w:trHeight w:val="168" w:hRule="exact"/>
        </w:trPr>
        <w:tc>
          <w:tcPr>
            <w:tcW w:w="1560"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286"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28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708"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r>
      <w:tr>
        <w:trPr>
          <w:trHeight w:val="176" w:hRule="exact"/>
        </w:trPr>
        <w:tc>
          <w:tcPr>
            <w:tcW w:w="1560"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283" w:type="dxa"/>
            <w:vMerge/>
            <w:tcBorders>
              <w:left w:val="single" w:sz="4" w:space="0" w:color="000000"/>
              <w:bottom w:val="single" w:sz="4" w:space="0" w:color="000000"/>
              <w:right w:val="single" w:sz="4" w:space="0" w:color="000000"/>
            </w:tcBorders>
            <w:shd w:val="clear" w:color="auto" w:fill="DCDCDC"/>
          </w:tcPr>
          <w:p>
            <w:pPr/>
          </w:p>
        </w:tc>
        <w:tc>
          <w:tcPr>
            <w:tcW w:w="283" w:type="dxa"/>
            <w:tcBorders>
              <w:top w:val="nil" w:sz="6" w:space="0" w:color="auto"/>
              <w:left w:val="single" w:sz="4" w:space="0" w:color="000000"/>
              <w:bottom w:val="single" w:sz="4" w:space="0" w:color="000000"/>
              <w:right w:val="single" w:sz="4" w:space="0" w:color="000000"/>
            </w:tcBorders>
            <w:shd w:val="clear" w:color="auto" w:fill="DCDCDC"/>
          </w:tcPr>
          <w:p>
            <w:pPr/>
          </w:p>
        </w:tc>
        <w:tc>
          <w:tcPr>
            <w:tcW w:w="853" w:type="dxa"/>
            <w:vMerge/>
            <w:tcBorders>
              <w:left w:val="single" w:sz="4" w:space="0" w:color="000000"/>
              <w:bottom w:val="single" w:sz="4" w:space="0" w:color="000000"/>
              <w:right w:val="single" w:sz="4" w:space="0" w:color="000000"/>
            </w:tcBorders>
            <w:shd w:val="clear" w:color="auto" w:fill="DCDCDC"/>
          </w:tcPr>
          <w:p>
            <w:pPr/>
          </w:p>
        </w:tc>
        <w:tc>
          <w:tcPr>
            <w:tcW w:w="283"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283" w:type="dxa"/>
            <w:vMerge/>
            <w:tcBorders>
              <w:left w:val="single" w:sz="4" w:space="0" w:color="000000"/>
              <w:bottom w:val="single" w:sz="4" w:space="0" w:color="000000"/>
              <w:right w:val="single" w:sz="4" w:space="0" w:color="000000"/>
            </w:tcBorders>
            <w:shd w:val="clear" w:color="auto" w:fill="DCDCDC"/>
          </w:tcPr>
          <w:p>
            <w:pPr/>
          </w:p>
        </w:tc>
        <w:tc>
          <w:tcPr>
            <w:tcW w:w="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c>
          <w:tcPr>
            <w:tcW w:w="283"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569" w:type="dxa"/>
            <w:vMerge/>
            <w:tcBorders>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425,985,090.00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284,228,005.41</w:t>
            </w:r>
          </w:p>
        </w:tc>
        <w:tc>
          <w:tcPr>
            <w:tcW w:w="283" w:type="dxa"/>
            <w:tcBorders>
              <w:top w:val="single" w:sz="38" w:space="0" w:color="DCDCDC"/>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 w:right="0"/>
              <w:jc w:val="center"/>
              <w:rPr>
                <w:rFonts w:ascii="Calibri" w:hAnsi="Calibri" w:cs="Calibri" w:eastAsia="Calibri" w:hint="default"/>
                <w:sz w:val="13"/>
                <w:szCs w:val="13"/>
              </w:rPr>
            </w:pPr>
            <w:r>
              <w:rPr>
                <w:rFonts w:ascii="Calibri"/>
                <w:sz w:val="13"/>
              </w:rPr>
              <w:t>90,267,429.11</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
              <w:jc w:val="right"/>
              <w:rPr>
                <w:rFonts w:ascii="Calibri" w:hAnsi="Calibri" w:cs="Calibri" w:eastAsia="Calibri" w:hint="default"/>
                <w:sz w:val="13"/>
                <w:szCs w:val="13"/>
              </w:rPr>
            </w:pPr>
            <w:r>
              <w:rPr>
                <w:rFonts w:ascii="Calibri"/>
                <w:spacing w:val="-1"/>
                <w:sz w:val="13"/>
              </w:rPr>
              <w:t>770,223,354.38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1" w:right="0"/>
              <w:jc w:val="left"/>
              <w:rPr>
                <w:rFonts w:ascii="Calibri" w:hAnsi="Calibri" w:cs="Calibri" w:eastAsia="Calibri" w:hint="default"/>
                <w:sz w:val="13"/>
                <w:szCs w:val="13"/>
              </w:rPr>
            </w:pPr>
            <w:r>
              <w:rPr>
                <w:rFonts w:ascii="Calibri"/>
                <w:sz w:val="13"/>
              </w:rPr>
              <w:t>-8,475.73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2,548,592.70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 w:right="0"/>
              <w:jc w:val="center"/>
              <w:rPr>
                <w:rFonts w:ascii="Calibri" w:hAnsi="Calibri" w:cs="Calibri" w:eastAsia="Calibri" w:hint="default"/>
                <w:sz w:val="13"/>
                <w:szCs w:val="13"/>
              </w:rPr>
            </w:pPr>
            <w:r>
              <w:rPr>
                <w:rFonts w:ascii="Calibri"/>
                <w:sz w:val="13"/>
              </w:rPr>
              <w:t>1,573,243,995.87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425,985,090.00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284,228,005.41</w:t>
            </w:r>
          </w:p>
        </w:tc>
        <w:tc>
          <w:tcPr>
            <w:tcW w:w="283" w:type="dxa"/>
            <w:tcBorders>
              <w:top w:val="single" w:sz="38" w:space="0" w:color="DCDCDC"/>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4"/>
              <w:jc w:val="right"/>
              <w:rPr>
                <w:rFonts w:ascii="Calibri" w:hAnsi="Calibri" w:cs="Calibri" w:eastAsia="Calibri" w:hint="default"/>
                <w:sz w:val="13"/>
                <w:szCs w:val="13"/>
              </w:rPr>
            </w:pPr>
            <w:r>
              <w:rPr>
                <w:rFonts w:ascii="Calibri"/>
                <w:spacing w:val="-1"/>
                <w:sz w:val="13"/>
              </w:rPr>
              <w:t>65,345,926.54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3"/>
                <w:szCs w:val="13"/>
              </w:rPr>
            </w:pPr>
            <w:r>
              <w:rPr>
                <w:rFonts w:ascii="Calibri"/>
                <w:spacing w:val="-1"/>
                <w:sz w:val="13"/>
              </w:rPr>
              <w:t>520,408,984.15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-604.98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Calibri" w:hAnsi="Calibri" w:cs="Calibri" w:eastAsia="Calibri" w:hint="default"/>
                <w:sz w:val="13"/>
                <w:szCs w:val="13"/>
              </w:rPr>
            </w:pPr>
            <w:r>
              <w:rPr>
                <w:rFonts w:ascii="Calibri"/>
                <w:spacing w:val="-1"/>
                <w:sz w:val="13"/>
              </w:rPr>
              <w:t>98,849.11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3"/>
                <w:szCs w:val="13"/>
              </w:rPr>
            </w:pPr>
            <w:r>
              <w:rPr>
                <w:rFonts w:ascii="Calibri"/>
                <w:spacing w:val="-1"/>
                <w:sz w:val="13"/>
              </w:rPr>
              <w:t>1,296,066,250.23</w:t>
            </w: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8" w:lineRule="exact"/>
              <w:ind w:left="15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425,985,090.00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284,228,005.41</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Calibri" w:hAnsi="Calibri" w:cs="Calibri" w:eastAsia="Calibri" w:hint="default"/>
                <w:sz w:val="13"/>
                <w:szCs w:val="13"/>
              </w:rPr>
            </w:pPr>
            <w:r>
              <w:rPr>
                <w:rFonts w:ascii="Calibri"/>
                <w:sz w:val="13"/>
              </w:rPr>
              <w:t>90,267,429.11</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Calibri" w:hAnsi="Calibri" w:cs="Calibri" w:eastAsia="Calibri" w:hint="default"/>
                <w:sz w:val="13"/>
                <w:szCs w:val="13"/>
              </w:rPr>
            </w:pPr>
            <w:r>
              <w:rPr>
                <w:rFonts w:ascii="Calibri"/>
                <w:spacing w:val="-1"/>
                <w:sz w:val="13"/>
              </w:rPr>
              <w:t>770,223,354.38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 w:right="0"/>
              <w:jc w:val="left"/>
              <w:rPr>
                <w:rFonts w:ascii="Calibri" w:hAnsi="Calibri" w:cs="Calibri" w:eastAsia="Calibri" w:hint="default"/>
                <w:sz w:val="13"/>
                <w:szCs w:val="13"/>
              </w:rPr>
            </w:pPr>
            <w:r>
              <w:rPr>
                <w:rFonts w:ascii="Calibri"/>
                <w:sz w:val="13"/>
              </w:rPr>
              <w:t>-8,475.73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2,548,592.70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center"/>
              <w:rPr>
                <w:rFonts w:ascii="Calibri" w:hAnsi="Calibri" w:cs="Calibri" w:eastAsia="Calibri" w:hint="default"/>
                <w:sz w:val="13"/>
                <w:szCs w:val="13"/>
              </w:rPr>
            </w:pPr>
            <w:r>
              <w:rPr>
                <w:rFonts w:ascii="Calibri"/>
                <w:sz w:val="13"/>
              </w:rPr>
              <w:t>1,573,243,995.87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425,985,090.00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284,228,005.41</w:t>
            </w: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3"/>
                <w:szCs w:val="13"/>
              </w:rPr>
            </w:pPr>
            <w:r>
              <w:rPr>
                <w:rFonts w:ascii="Calibri"/>
                <w:spacing w:val="-1"/>
                <w:sz w:val="13"/>
              </w:rPr>
              <w:t>65,345,926.54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3"/>
                <w:szCs w:val="13"/>
              </w:rPr>
            </w:pPr>
            <w:r>
              <w:rPr>
                <w:rFonts w:ascii="Calibri"/>
                <w:spacing w:val="-1"/>
                <w:sz w:val="13"/>
              </w:rPr>
              <w:t>520,408,984.15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-604.98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98,849.11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3"/>
                <w:szCs w:val="13"/>
              </w:rPr>
            </w:pPr>
            <w:r>
              <w:rPr>
                <w:rFonts w:ascii="Calibri"/>
                <w:spacing w:val="-1"/>
                <w:sz w:val="13"/>
              </w:rPr>
              <w:t>1,296,066,250.23</w:t>
            </w:r>
          </w:p>
        </w:tc>
      </w:tr>
      <w:tr>
        <w:trPr>
          <w:trHeight w:val="3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4" w:lineRule="exact"/>
              <w:ind w:left="23" w:right="0"/>
              <w:jc w:val="left"/>
              <w:rPr>
                <w:rFonts w:ascii="宋体" w:hAnsi="宋体" w:cs="宋体" w:eastAsia="宋体" w:hint="default"/>
                <w:sz w:val="13"/>
                <w:szCs w:val="13"/>
              </w:rPr>
            </w:pPr>
            <w:r>
              <w:rPr>
                <w:rFonts w:ascii="宋体" w:hAnsi="宋体" w:cs="宋体" w:eastAsia="宋体" w:hint="default"/>
                <w:spacing w:val="-5"/>
                <w:sz w:val="13"/>
                <w:szCs w:val="13"/>
              </w:rPr>
              <w:t>三、本年增减变动金额（减</w:t>
            </w:r>
          </w:p>
          <w:p>
            <w:pPr>
              <w:pStyle w:val="TableParagraph"/>
              <w:spacing w:line="186" w:lineRule="exact"/>
              <w:ind w:left="23" w:right="0"/>
              <w:jc w:val="left"/>
              <w:rPr>
                <w:rFonts w:ascii="宋体" w:hAnsi="宋体" w:cs="宋体" w:eastAsia="宋体" w:hint="default"/>
                <w:sz w:val="13"/>
                <w:szCs w:val="13"/>
              </w:rPr>
            </w:pPr>
            <w:r>
              <w:rPr>
                <w:rFonts w:ascii="宋体" w:hAnsi="宋体" w:cs="宋体" w:eastAsia="宋体" w:hint="default"/>
                <w:sz w:val="13"/>
                <w:szCs w:val="13"/>
              </w:rPr>
              <w:t>少以“</w:t>
            </w:r>
            <w:r>
              <w:rPr>
                <w:rFonts w:ascii="Calibri" w:hAnsi="Calibri" w:cs="Calibri" w:eastAsia="Calibri" w:hint="default"/>
                <w:sz w:val="13"/>
                <w:szCs w:val="13"/>
              </w:rPr>
              <w:t>-</w:t>
            </w:r>
            <w:r>
              <w:rPr>
                <w:rFonts w:ascii="宋体" w:hAnsi="宋体" w:cs="宋体" w:eastAsia="宋体" w:hint="default"/>
                <w:sz w:val="13"/>
                <w:szCs w:val="13"/>
              </w:rPr>
              <w:t>”号填列）</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104,758,910.00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303,698,423.00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 w:right="0"/>
              <w:jc w:val="center"/>
              <w:rPr>
                <w:rFonts w:ascii="Calibri" w:hAnsi="Calibri" w:cs="Calibri" w:eastAsia="Calibri" w:hint="default"/>
                <w:sz w:val="13"/>
                <w:szCs w:val="13"/>
              </w:rPr>
            </w:pPr>
            <w:r>
              <w:rPr>
                <w:rFonts w:ascii="Calibri"/>
                <w:sz w:val="13"/>
              </w:rPr>
              <w:t>29,726,111.04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Calibri" w:hAnsi="Calibri" w:cs="Calibri" w:eastAsia="Calibri" w:hint="default"/>
                <w:sz w:val="13"/>
                <w:szCs w:val="13"/>
              </w:rPr>
            </w:pPr>
            <w:r>
              <w:rPr>
                <w:rFonts w:ascii="Calibri"/>
                <w:spacing w:val="-1"/>
                <w:sz w:val="13"/>
              </w:rPr>
              <w:t>258,543,140.39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before="8"/>
              <w:ind w:right="23"/>
              <w:jc w:val="right"/>
              <w:rPr>
                <w:rFonts w:ascii="Calibri" w:hAnsi="Calibri" w:cs="Calibri" w:eastAsia="Calibri" w:hint="default"/>
                <w:sz w:val="13"/>
                <w:szCs w:val="13"/>
              </w:rPr>
            </w:pPr>
            <w:r>
              <w:rPr>
                <w:rFonts w:ascii="Calibri"/>
                <w:spacing w:val="-1"/>
                <w:sz w:val="13"/>
              </w:rPr>
              <w:t>-20,898.6</w:t>
            </w:r>
          </w:p>
          <w:p>
            <w:pPr>
              <w:pStyle w:val="TableParagraph"/>
              <w:spacing w:line="240" w:lineRule="auto"/>
              <w:ind w:right="21"/>
              <w:jc w:val="right"/>
              <w:rPr>
                <w:rFonts w:ascii="Calibri" w:hAnsi="Calibri" w:cs="Calibri" w:eastAsia="Calibri" w:hint="default"/>
                <w:sz w:val="13"/>
                <w:szCs w:val="13"/>
              </w:rPr>
            </w:pPr>
            <w:r>
              <w:rPr>
                <w:rFonts w:ascii="Calibri"/>
                <w:w w:val="99"/>
                <w:sz w:val="13"/>
              </w:rPr>
              <w:t>3</w:t>
            </w:r>
            <w:r>
              <w:rPr>
                <w:rFonts w:ascii="Calibri"/>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-2,452,281.89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center"/>
              <w:rPr>
                <w:rFonts w:ascii="Calibri" w:hAnsi="Calibri" w:cs="Calibri" w:eastAsia="Calibri" w:hint="default"/>
                <w:sz w:val="13"/>
                <w:szCs w:val="13"/>
              </w:rPr>
            </w:pPr>
            <w:r>
              <w:rPr>
                <w:rFonts w:ascii="Calibri"/>
                <w:sz w:val="13"/>
              </w:rPr>
              <w:t>694,253,403.91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Calibri" w:hAnsi="Calibri" w:cs="Calibri" w:eastAsia="Calibri" w:hint="default"/>
                <w:sz w:val="13"/>
                <w:szCs w:val="13"/>
              </w:rPr>
            </w:pPr>
            <w:r>
              <w:rPr>
                <w:rFonts w:ascii="Calibri"/>
                <w:spacing w:val="-1"/>
                <w:sz w:val="13"/>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3"/>
                <w:szCs w:val="13"/>
              </w:rPr>
            </w:pPr>
            <w:r>
              <w:rPr>
                <w:rFonts w:ascii="Calibri"/>
                <w:spacing w:val="-1"/>
                <w:sz w:val="13"/>
              </w:rPr>
              <w:t>249,814,370.23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-7,870.75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before="8"/>
              <w:ind w:right="23"/>
              <w:jc w:val="right"/>
              <w:rPr>
                <w:rFonts w:ascii="Calibri" w:hAnsi="Calibri" w:cs="Calibri" w:eastAsia="Calibri" w:hint="default"/>
                <w:sz w:val="13"/>
                <w:szCs w:val="13"/>
              </w:rPr>
            </w:pPr>
            <w:r>
              <w:rPr>
                <w:rFonts w:ascii="Calibri"/>
                <w:spacing w:val="-1"/>
                <w:sz w:val="13"/>
              </w:rPr>
              <w:t>2,449,743.5</w:t>
            </w:r>
          </w:p>
          <w:p>
            <w:pPr>
              <w:pStyle w:val="TableParagraph"/>
              <w:spacing w:line="240" w:lineRule="auto"/>
              <w:ind w:right="21"/>
              <w:jc w:val="right"/>
              <w:rPr>
                <w:rFonts w:ascii="Calibri" w:hAnsi="Calibri" w:cs="Calibri" w:eastAsia="Calibri" w:hint="default"/>
                <w:sz w:val="13"/>
                <w:szCs w:val="13"/>
              </w:rPr>
            </w:pPr>
            <w:r>
              <w:rPr>
                <w:rFonts w:ascii="Calibri"/>
                <w:w w:val="99"/>
                <w:sz w:val="13"/>
              </w:rPr>
              <w:t>9</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3"/>
                <w:szCs w:val="13"/>
              </w:rPr>
            </w:pPr>
            <w:r>
              <w:rPr>
                <w:rFonts w:ascii="Calibri"/>
                <w:spacing w:val="-1"/>
                <w:sz w:val="13"/>
              </w:rPr>
              <w:t>277,177,745.64</w:t>
            </w: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8" w:lineRule="exact"/>
              <w:ind w:left="153"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Calibri" w:hAnsi="Calibri" w:cs="Calibri" w:eastAsia="Calibri" w:hint="default"/>
                <w:sz w:val="13"/>
                <w:szCs w:val="13"/>
              </w:rPr>
            </w:pPr>
            <w:r>
              <w:rPr>
                <w:rFonts w:ascii="Calibri"/>
                <w:spacing w:val="-1"/>
                <w:sz w:val="13"/>
              </w:rPr>
              <w:t>420,955,251.13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-49,874.48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8" w:right="0"/>
              <w:jc w:val="center"/>
              <w:rPr>
                <w:rFonts w:ascii="Calibri" w:hAnsi="Calibri" w:cs="Calibri" w:eastAsia="Calibri" w:hint="default"/>
                <w:sz w:val="13"/>
                <w:szCs w:val="13"/>
              </w:rPr>
            </w:pPr>
            <w:r>
              <w:rPr>
                <w:rFonts w:ascii="Calibri"/>
                <w:sz w:val="13"/>
              </w:rPr>
              <w:t>420,905,376.65</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3"/>
                <w:szCs w:val="13"/>
              </w:rPr>
            </w:pPr>
            <w:r>
              <w:rPr>
                <w:rFonts w:ascii="Calibri"/>
                <w:spacing w:val="-1"/>
                <w:sz w:val="13"/>
              </w:rPr>
              <w:t>317,334,381.80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13"/>
                <w:szCs w:val="13"/>
              </w:rPr>
            </w:pPr>
            <w:r>
              <w:rPr>
                <w:rFonts w:ascii="Calibri"/>
                <w:spacing w:val="-1"/>
                <w:sz w:val="13"/>
              </w:rPr>
              <w:t>-256.41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3"/>
                <w:szCs w:val="13"/>
              </w:rPr>
            </w:pPr>
            <w:r>
              <w:rPr>
                <w:rFonts w:ascii="Calibri"/>
                <w:spacing w:val="-1"/>
                <w:sz w:val="13"/>
              </w:rPr>
              <w:t>317,334,125.39</w:t>
            </w:r>
          </w:p>
        </w:tc>
      </w:tr>
      <w:tr>
        <w:trPr>
          <w:trHeight w:val="79" w:hRule="exact"/>
        </w:trPr>
        <w:tc>
          <w:tcPr>
            <w:tcW w:w="1560" w:type="dxa"/>
            <w:tcBorders>
              <w:top w:val="single" w:sz="30" w:space="0" w:color="DCDCDC"/>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14" w:space="0" w:color="DCDCDC"/>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157" w:lineRule="exact"/>
              <w:ind w:right="23"/>
              <w:jc w:val="right"/>
              <w:rPr>
                <w:rFonts w:ascii="Calibri" w:hAnsi="Calibri" w:cs="Calibri" w:eastAsia="Calibri" w:hint="default"/>
                <w:sz w:val="13"/>
                <w:szCs w:val="13"/>
              </w:rPr>
            </w:pPr>
            <w:r>
              <w:rPr>
                <w:rFonts w:ascii="Calibri"/>
                <w:spacing w:val="-1"/>
                <w:sz w:val="13"/>
              </w:rPr>
              <w:t>-20,898.6</w:t>
            </w:r>
          </w:p>
          <w:p>
            <w:pPr>
              <w:pStyle w:val="TableParagraph"/>
              <w:spacing w:line="240" w:lineRule="auto"/>
              <w:ind w:right="21"/>
              <w:jc w:val="right"/>
              <w:rPr>
                <w:rFonts w:ascii="Calibri" w:hAnsi="Calibri" w:cs="Calibri" w:eastAsia="Calibri" w:hint="default"/>
                <w:sz w:val="13"/>
                <w:szCs w:val="13"/>
              </w:rPr>
            </w:pPr>
            <w:r>
              <w:rPr>
                <w:rFonts w:ascii="Calibri"/>
                <w:w w:val="99"/>
                <w:sz w:val="13"/>
              </w:rPr>
              <w:t>3</w:t>
            </w:r>
            <w:r>
              <w:rPr>
                <w:rFonts w:ascii="Calibri"/>
                <w:sz w:val="13"/>
              </w:rPr>
            </w: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391" w:right="0"/>
              <w:jc w:val="left"/>
              <w:rPr>
                <w:rFonts w:ascii="Calibri" w:hAnsi="Calibri" w:cs="Calibri" w:eastAsia="Calibri" w:hint="default"/>
                <w:sz w:val="13"/>
                <w:szCs w:val="13"/>
              </w:rPr>
            </w:pPr>
            <w:r>
              <w:rPr>
                <w:rFonts w:ascii="Calibri"/>
                <w:sz w:val="13"/>
              </w:rPr>
              <w:t>-20,898.63</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8"/>
              <w:ind w:left="33" w:right="0"/>
              <w:jc w:val="left"/>
              <w:rPr>
                <w:rFonts w:ascii="Calibri" w:hAnsi="Calibri" w:cs="Calibri" w:eastAsia="Calibri" w:hint="default"/>
                <w:sz w:val="13"/>
                <w:szCs w:val="13"/>
              </w:rPr>
            </w:pPr>
            <w:r>
              <w:rPr>
                <w:rFonts w:ascii="Calibri"/>
                <w:sz w:val="13"/>
              </w:rPr>
              <w:t>-7,870.75</w:t>
            </w: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458" w:right="0"/>
              <w:jc w:val="left"/>
              <w:rPr>
                <w:rFonts w:ascii="Calibri" w:hAnsi="Calibri" w:cs="Calibri" w:eastAsia="Calibri" w:hint="default"/>
                <w:sz w:val="13"/>
                <w:szCs w:val="13"/>
              </w:rPr>
            </w:pPr>
            <w:r>
              <w:rPr>
                <w:rFonts w:ascii="Calibri"/>
                <w:sz w:val="13"/>
              </w:rPr>
              <w:t>-7,870.75</w:t>
            </w:r>
          </w:p>
        </w:tc>
      </w:tr>
      <w:tr>
        <w:trPr>
          <w:trHeight w:val="247"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994" w:type="dxa"/>
            <w:vMerge/>
            <w:tcBorders>
              <w:left w:val="single" w:sz="14"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79" w:hRule="exact"/>
        </w:trPr>
        <w:tc>
          <w:tcPr>
            <w:tcW w:w="1560" w:type="dxa"/>
            <w:tcBorders>
              <w:top w:val="single" w:sz="30" w:space="0" w:color="DCDCDC"/>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14" w:space="0" w:color="DCDCDC"/>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8"/>
              <w:ind w:left="134" w:right="0"/>
              <w:jc w:val="left"/>
              <w:rPr>
                <w:rFonts w:ascii="Calibri" w:hAnsi="Calibri" w:cs="Calibri" w:eastAsia="Calibri" w:hint="default"/>
                <w:sz w:val="13"/>
                <w:szCs w:val="13"/>
              </w:rPr>
            </w:pPr>
            <w:r>
              <w:rPr>
                <w:rFonts w:ascii="Calibri"/>
                <w:sz w:val="13"/>
              </w:rPr>
              <w:t>420,955,251.13</w:t>
            </w:r>
          </w:p>
        </w:tc>
        <w:tc>
          <w:tcPr>
            <w:tcW w:w="566" w:type="dxa"/>
            <w:vMerge w:val="restart"/>
            <w:tcBorders>
              <w:top w:val="single" w:sz="4" w:space="0" w:color="000000"/>
              <w:left w:val="single" w:sz="4" w:space="0" w:color="000000"/>
              <w:right w:val="single" w:sz="4" w:space="0" w:color="000000"/>
            </w:tcBorders>
          </w:tcPr>
          <w:p>
            <w:pPr>
              <w:pStyle w:val="TableParagraph"/>
              <w:spacing w:line="157" w:lineRule="exact"/>
              <w:ind w:right="23"/>
              <w:jc w:val="right"/>
              <w:rPr>
                <w:rFonts w:ascii="Calibri" w:hAnsi="Calibri" w:cs="Calibri" w:eastAsia="Calibri" w:hint="default"/>
                <w:sz w:val="13"/>
                <w:szCs w:val="13"/>
              </w:rPr>
            </w:pPr>
            <w:r>
              <w:rPr>
                <w:rFonts w:ascii="Calibri"/>
                <w:spacing w:val="-1"/>
                <w:sz w:val="13"/>
              </w:rPr>
              <w:t>-20,898.6</w:t>
            </w:r>
          </w:p>
          <w:p>
            <w:pPr>
              <w:pStyle w:val="TableParagraph"/>
              <w:spacing w:line="240" w:lineRule="auto"/>
              <w:ind w:right="21"/>
              <w:jc w:val="right"/>
              <w:rPr>
                <w:rFonts w:ascii="Calibri" w:hAnsi="Calibri" w:cs="Calibri" w:eastAsia="Calibri" w:hint="default"/>
                <w:sz w:val="13"/>
                <w:szCs w:val="13"/>
              </w:rPr>
            </w:pPr>
            <w:r>
              <w:rPr>
                <w:rFonts w:ascii="Calibri"/>
                <w:w w:val="99"/>
                <w:sz w:val="13"/>
              </w:rPr>
              <w:t>3</w:t>
            </w:r>
            <w:r>
              <w:rPr>
                <w:rFonts w:ascii="Calibri"/>
                <w:sz w:val="13"/>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8"/>
              <w:ind w:left="249" w:right="0"/>
              <w:jc w:val="left"/>
              <w:rPr>
                <w:rFonts w:ascii="Calibri" w:hAnsi="Calibri" w:cs="Calibri" w:eastAsia="Calibri" w:hint="default"/>
                <w:sz w:val="13"/>
                <w:szCs w:val="13"/>
              </w:rPr>
            </w:pPr>
            <w:r>
              <w:rPr>
                <w:rFonts w:ascii="Calibri"/>
                <w:sz w:val="13"/>
              </w:rPr>
              <w:t>-49,874.48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134" w:right="0"/>
              <w:jc w:val="left"/>
              <w:rPr>
                <w:rFonts w:ascii="Calibri" w:hAnsi="Calibri" w:cs="Calibri" w:eastAsia="Calibri" w:hint="default"/>
                <w:sz w:val="13"/>
                <w:szCs w:val="13"/>
              </w:rPr>
            </w:pPr>
            <w:r>
              <w:rPr>
                <w:rFonts w:ascii="Calibri"/>
                <w:sz w:val="13"/>
              </w:rPr>
              <w:t>420,884,478.02</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8"/>
              <w:ind w:left="136" w:right="0"/>
              <w:jc w:val="left"/>
              <w:rPr>
                <w:rFonts w:ascii="Calibri" w:hAnsi="Calibri" w:cs="Calibri" w:eastAsia="Calibri" w:hint="default"/>
                <w:sz w:val="13"/>
                <w:szCs w:val="13"/>
              </w:rPr>
            </w:pPr>
            <w:r>
              <w:rPr>
                <w:rFonts w:ascii="Calibri"/>
                <w:sz w:val="13"/>
              </w:rPr>
              <w:t>317,334,381.80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8"/>
              <w:ind w:left="33" w:right="0"/>
              <w:jc w:val="left"/>
              <w:rPr>
                <w:rFonts w:ascii="Calibri" w:hAnsi="Calibri" w:cs="Calibri" w:eastAsia="Calibri" w:hint="default"/>
                <w:sz w:val="13"/>
                <w:szCs w:val="13"/>
              </w:rPr>
            </w:pPr>
            <w:r>
              <w:rPr>
                <w:rFonts w:ascii="Calibri"/>
                <w:sz w:val="13"/>
              </w:rPr>
              <w:t>-7,870.75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78"/>
              <w:ind w:left="271" w:right="0"/>
              <w:jc w:val="left"/>
              <w:rPr>
                <w:rFonts w:ascii="Calibri" w:hAnsi="Calibri" w:cs="Calibri" w:eastAsia="Calibri" w:hint="default"/>
                <w:sz w:val="13"/>
                <w:szCs w:val="13"/>
              </w:rPr>
            </w:pPr>
            <w:r>
              <w:rPr>
                <w:rFonts w:ascii="Calibri"/>
                <w:sz w:val="13"/>
              </w:rPr>
              <w:t>-256.41</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136" w:right="0"/>
              <w:jc w:val="left"/>
              <w:rPr>
                <w:rFonts w:ascii="Calibri" w:hAnsi="Calibri" w:cs="Calibri" w:eastAsia="Calibri" w:hint="default"/>
                <w:sz w:val="13"/>
                <w:szCs w:val="13"/>
              </w:rPr>
            </w:pPr>
            <w:r>
              <w:rPr>
                <w:rFonts w:ascii="Calibri"/>
                <w:sz w:val="13"/>
              </w:rPr>
              <w:t>317,326,254.64</w:t>
            </w:r>
          </w:p>
        </w:tc>
      </w:tr>
      <w:tr>
        <w:trPr>
          <w:trHeight w:val="250"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right="22"/>
              <w:jc w:val="right"/>
              <w:rPr>
                <w:rFonts w:ascii="宋体" w:hAnsi="宋体" w:cs="宋体" w:eastAsia="宋体" w:hint="default"/>
                <w:sz w:val="13"/>
                <w:szCs w:val="13"/>
              </w:rPr>
            </w:pPr>
            <w:r>
              <w:rPr>
                <w:rFonts w:ascii="宋体" w:hAnsi="宋体" w:cs="宋体" w:eastAsia="宋体" w:hint="default"/>
                <w:spacing w:val="-6"/>
                <w:sz w:val="13"/>
                <w:szCs w:val="13"/>
              </w:rPr>
              <w:t>上述（一）和（二）小计</w:t>
            </w:r>
          </w:p>
        </w:tc>
        <w:tc>
          <w:tcPr>
            <w:tcW w:w="994" w:type="dxa"/>
            <w:vMerge/>
            <w:tcBorders>
              <w:left w:val="single" w:sz="14"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w w:val="99"/>
                <w:sz w:val="13"/>
                <w:szCs w:val="13"/>
              </w:rPr>
              <w:t>（三</w:t>
            </w:r>
            <w:r>
              <w:rPr>
                <w:rFonts w:ascii="宋体" w:hAnsi="宋体" w:cs="宋体" w:eastAsia="宋体" w:hint="default"/>
                <w:spacing w:val="-56"/>
                <w:w w:val="99"/>
                <w:sz w:val="13"/>
                <w:szCs w:val="13"/>
              </w:rPr>
              <w:t>）</w:t>
            </w:r>
            <w:r>
              <w:rPr>
                <w:rFonts w:ascii="宋体" w:hAnsi="宋体" w:cs="宋体" w:eastAsia="宋体" w:hint="default"/>
                <w:w w:val="99"/>
                <w:sz w:val="13"/>
                <w:szCs w:val="13"/>
              </w:rPr>
              <w:t>所有者投入</w:t>
            </w:r>
            <w:r>
              <w:rPr>
                <w:rFonts w:ascii="宋体" w:hAnsi="宋体" w:cs="宋体" w:eastAsia="宋体" w:hint="default"/>
                <w:spacing w:val="2"/>
                <w:w w:val="99"/>
                <w:sz w:val="13"/>
                <w:szCs w:val="13"/>
              </w:rPr>
              <w:t>和</w:t>
            </w:r>
            <w:r>
              <w:rPr>
                <w:rFonts w:ascii="宋体" w:hAnsi="宋体" w:cs="宋体" w:eastAsia="宋体" w:hint="default"/>
                <w:w w:val="99"/>
                <w:sz w:val="13"/>
                <w:szCs w:val="13"/>
              </w:rPr>
              <w:t>减少</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sz w:val="13"/>
                <w:szCs w:val="13"/>
              </w:rPr>
              <w:t>资本</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87"/>
              <w:ind w:right="24"/>
              <w:jc w:val="right"/>
              <w:rPr>
                <w:rFonts w:ascii="Calibri" w:hAnsi="Calibri" w:cs="Calibri" w:eastAsia="Calibri" w:hint="default"/>
                <w:sz w:val="13"/>
                <w:szCs w:val="13"/>
              </w:rPr>
            </w:pPr>
            <w:r>
              <w:rPr>
                <w:rFonts w:ascii="Calibri"/>
                <w:spacing w:val="-1"/>
                <w:sz w:val="13"/>
              </w:rPr>
              <w:t>16,301,577.00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303,698,423.00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Calibri" w:hAnsi="Calibri" w:cs="Calibri" w:eastAsia="Calibri" w:hint="default"/>
                <w:sz w:val="13"/>
                <w:szCs w:val="13"/>
              </w:rPr>
            </w:pPr>
            <w:r>
              <w:rPr>
                <w:rFonts w:ascii="Calibri"/>
                <w:spacing w:val="-1"/>
                <w:sz w:val="13"/>
              </w:rPr>
              <w:t>-2,402,407.41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center"/>
              <w:rPr>
                <w:rFonts w:ascii="Calibri" w:hAnsi="Calibri" w:cs="Calibri" w:eastAsia="Calibri" w:hint="default"/>
                <w:sz w:val="13"/>
                <w:szCs w:val="13"/>
              </w:rPr>
            </w:pPr>
            <w:r>
              <w:rPr>
                <w:rFonts w:ascii="Calibri"/>
                <w:sz w:val="13"/>
              </w:rPr>
              <w:t>317,597,592.59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Calibri" w:hAnsi="Calibri" w:cs="Calibri" w:eastAsia="Calibri" w:hint="default"/>
                <w:sz w:val="13"/>
                <w:szCs w:val="13"/>
              </w:rPr>
            </w:pPr>
            <w:r>
              <w:rPr>
                <w:rFonts w:ascii="Calibri"/>
                <w:spacing w:val="-1"/>
                <w:sz w:val="13"/>
              </w:rPr>
              <w:t>2,450,000.0</w:t>
            </w:r>
          </w:p>
          <w:p>
            <w:pPr>
              <w:pStyle w:val="TableParagraph"/>
              <w:spacing w:line="240" w:lineRule="auto"/>
              <w:ind w:right="21"/>
              <w:jc w:val="right"/>
              <w:rPr>
                <w:rFonts w:ascii="Calibri" w:hAnsi="Calibri" w:cs="Calibri" w:eastAsia="Calibri" w:hint="default"/>
                <w:sz w:val="13"/>
                <w:szCs w:val="13"/>
              </w:rPr>
            </w:pPr>
            <w:r>
              <w:rPr>
                <w:rFonts w:ascii="Calibri"/>
                <w:w w:val="99"/>
                <w:sz w:val="13"/>
              </w:rPr>
              <w:t>0</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3"/>
                <w:szCs w:val="13"/>
              </w:rPr>
            </w:pPr>
            <w:r>
              <w:rPr>
                <w:rFonts w:ascii="Calibri"/>
                <w:spacing w:val="-1"/>
                <w:sz w:val="13"/>
              </w:rPr>
              <w:t>2,450,000.00</w:t>
            </w:r>
          </w:p>
        </w:tc>
      </w:tr>
      <w:tr>
        <w:trPr>
          <w:trHeight w:val="79" w:hRule="exact"/>
        </w:trPr>
        <w:tc>
          <w:tcPr>
            <w:tcW w:w="1560" w:type="dxa"/>
            <w:tcBorders>
              <w:top w:val="single" w:sz="30" w:space="0" w:color="DCDCDC"/>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14" w:space="0" w:color="DCDCDC"/>
              <w:right w:val="single" w:sz="4" w:space="0" w:color="000000"/>
            </w:tcBorders>
          </w:tcPr>
          <w:p>
            <w:pPr>
              <w:pStyle w:val="TableParagraph"/>
              <w:spacing w:line="240" w:lineRule="auto" w:before="78"/>
              <w:ind w:left="191" w:right="0"/>
              <w:jc w:val="left"/>
              <w:rPr>
                <w:rFonts w:ascii="Calibri" w:hAnsi="Calibri" w:cs="Calibri" w:eastAsia="Calibri" w:hint="default"/>
                <w:sz w:val="13"/>
                <w:szCs w:val="13"/>
              </w:rPr>
            </w:pPr>
            <w:r>
              <w:rPr>
                <w:rFonts w:ascii="Calibri"/>
                <w:sz w:val="13"/>
              </w:rPr>
              <w:t>16,301,577.00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8"/>
              <w:ind w:left="134" w:right="0"/>
              <w:jc w:val="left"/>
              <w:rPr>
                <w:rFonts w:ascii="Calibri" w:hAnsi="Calibri" w:cs="Calibri" w:eastAsia="Calibri" w:hint="default"/>
                <w:sz w:val="13"/>
                <w:szCs w:val="13"/>
              </w:rPr>
            </w:pPr>
            <w:r>
              <w:rPr>
                <w:rFonts w:ascii="Calibri"/>
                <w:sz w:val="13"/>
              </w:rPr>
              <w:t>303,698,423.00</w:t>
            </w:r>
          </w:p>
        </w:tc>
        <w:tc>
          <w:tcPr>
            <w:tcW w:w="28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8"/>
              <w:ind w:left="86" w:right="0"/>
              <w:jc w:val="left"/>
              <w:rPr>
                <w:rFonts w:ascii="Calibri" w:hAnsi="Calibri" w:cs="Calibri" w:eastAsia="Calibri" w:hint="default"/>
                <w:sz w:val="13"/>
                <w:szCs w:val="13"/>
              </w:rPr>
            </w:pPr>
            <w:r>
              <w:rPr>
                <w:rFonts w:ascii="Calibri"/>
                <w:sz w:val="13"/>
              </w:rPr>
              <w:t>-2,402,407.41</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134" w:right="0"/>
              <w:jc w:val="left"/>
              <w:rPr>
                <w:rFonts w:ascii="Calibri" w:hAnsi="Calibri" w:cs="Calibri" w:eastAsia="Calibri" w:hint="default"/>
                <w:sz w:val="13"/>
                <w:szCs w:val="13"/>
              </w:rPr>
            </w:pPr>
            <w:r>
              <w:rPr>
                <w:rFonts w:ascii="Calibri"/>
                <w:sz w:val="13"/>
              </w:rPr>
              <w:t>317,597,592.59</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157" w:lineRule="exact"/>
              <w:ind w:right="23"/>
              <w:jc w:val="right"/>
              <w:rPr>
                <w:rFonts w:ascii="Calibri" w:hAnsi="Calibri" w:cs="Calibri" w:eastAsia="Calibri" w:hint="default"/>
                <w:sz w:val="13"/>
                <w:szCs w:val="13"/>
              </w:rPr>
            </w:pPr>
            <w:r>
              <w:rPr>
                <w:rFonts w:ascii="Calibri"/>
                <w:spacing w:val="-1"/>
                <w:sz w:val="13"/>
              </w:rPr>
              <w:t>2,450,000.0</w:t>
            </w:r>
          </w:p>
          <w:p>
            <w:pPr>
              <w:pStyle w:val="TableParagraph"/>
              <w:spacing w:line="240" w:lineRule="auto" w:before="2"/>
              <w:ind w:right="21"/>
              <w:jc w:val="right"/>
              <w:rPr>
                <w:rFonts w:ascii="Calibri" w:hAnsi="Calibri" w:cs="Calibri" w:eastAsia="Calibri" w:hint="default"/>
                <w:sz w:val="13"/>
                <w:szCs w:val="13"/>
              </w:rPr>
            </w:pPr>
            <w:r>
              <w:rPr>
                <w:rFonts w:ascii="Calibri"/>
                <w:w w:val="99"/>
                <w:sz w:val="13"/>
              </w:rPr>
              <w:t>0</w:t>
            </w:r>
            <w:r>
              <w:rPr>
                <w:rFonts w:ascii="Calibri"/>
                <w:sz w:val="13"/>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8"/>
              <w:ind w:left="268" w:right="0"/>
              <w:jc w:val="left"/>
              <w:rPr>
                <w:rFonts w:ascii="Calibri" w:hAnsi="Calibri" w:cs="Calibri" w:eastAsia="Calibri" w:hint="default"/>
                <w:sz w:val="13"/>
                <w:szCs w:val="13"/>
              </w:rPr>
            </w:pPr>
            <w:r>
              <w:rPr>
                <w:rFonts w:ascii="Calibri"/>
                <w:sz w:val="13"/>
              </w:rPr>
              <w:t>2,450,000.00</w:t>
            </w:r>
          </w:p>
        </w:tc>
      </w:tr>
      <w:tr>
        <w:trPr>
          <w:trHeight w:val="250"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62" w:lineRule="exact"/>
              <w:ind w:left="283" w:right="0"/>
              <w:jc w:val="left"/>
              <w:rPr>
                <w:rFonts w:ascii="宋体" w:hAnsi="宋体" w:cs="宋体" w:eastAsia="宋体" w:hint="default"/>
                <w:sz w:val="13"/>
                <w:szCs w:val="13"/>
              </w:rPr>
            </w:pPr>
            <w:r>
              <w:rPr>
                <w:rFonts w:ascii="Calibri" w:hAnsi="Calibri" w:cs="Calibri" w:eastAsia="Calibri" w:hint="default"/>
                <w:sz w:val="13"/>
                <w:szCs w:val="13"/>
              </w:rPr>
              <w:t>1</w:t>
            </w:r>
            <w:r>
              <w:rPr>
                <w:rFonts w:ascii="宋体" w:hAnsi="宋体" w:cs="宋体" w:eastAsia="宋体" w:hint="default"/>
                <w:sz w:val="13"/>
                <w:szCs w:val="13"/>
              </w:rPr>
              <w:t>．所有者投入资本</w:t>
            </w:r>
          </w:p>
        </w:tc>
        <w:tc>
          <w:tcPr>
            <w:tcW w:w="994" w:type="dxa"/>
            <w:vMerge/>
            <w:tcBorders>
              <w:left w:val="single" w:sz="14"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left="283" w:right="0"/>
              <w:jc w:val="left"/>
              <w:rPr>
                <w:rFonts w:ascii="宋体" w:hAnsi="宋体" w:cs="宋体" w:eastAsia="宋体" w:hint="default"/>
                <w:sz w:val="13"/>
                <w:szCs w:val="13"/>
              </w:rPr>
            </w:pPr>
            <w:r>
              <w:rPr>
                <w:rFonts w:ascii="Calibri" w:hAnsi="Calibri" w:cs="Calibri" w:eastAsia="Calibri" w:hint="default"/>
                <w:sz w:val="13"/>
                <w:szCs w:val="13"/>
              </w:rPr>
              <w:t>2</w:t>
            </w:r>
            <w:r>
              <w:rPr>
                <w:rFonts w:ascii="宋体" w:hAnsi="宋体" w:cs="宋体" w:eastAsia="宋体" w:hint="default"/>
                <w:sz w:val="13"/>
                <w:szCs w:val="13"/>
              </w:rPr>
              <w:t>．股份支付计入所有</w:t>
            </w:r>
          </w:p>
          <w:p>
            <w:pPr>
              <w:pStyle w:val="TableParagraph"/>
              <w:spacing w:line="161" w:lineRule="exact"/>
              <w:ind w:left="23" w:right="0"/>
              <w:jc w:val="left"/>
              <w:rPr>
                <w:rFonts w:ascii="宋体" w:hAnsi="宋体" w:cs="宋体" w:eastAsia="宋体" w:hint="default"/>
                <w:sz w:val="13"/>
                <w:szCs w:val="13"/>
              </w:rPr>
            </w:pPr>
            <w:r>
              <w:rPr>
                <w:rFonts w:ascii="宋体" w:hAnsi="宋体" w:cs="宋体" w:eastAsia="宋体" w:hint="default"/>
                <w:sz w:val="13"/>
                <w:szCs w:val="13"/>
              </w:rPr>
              <w:t>者权益的金额</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5" w:lineRule="exact"/>
              <w:ind w:left="283" w:right="0"/>
              <w:jc w:val="left"/>
              <w:rPr>
                <w:rFonts w:ascii="宋体" w:hAnsi="宋体" w:cs="宋体" w:eastAsia="宋体" w:hint="default"/>
                <w:sz w:val="13"/>
                <w:szCs w:val="13"/>
              </w:rPr>
            </w:pPr>
            <w:r>
              <w:rPr>
                <w:rFonts w:ascii="Calibri" w:hAnsi="Calibri" w:cs="Calibri" w:eastAsia="Calibri" w:hint="default"/>
                <w:sz w:val="13"/>
                <w:szCs w:val="13"/>
              </w:rPr>
              <w:t>3</w:t>
            </w:r>
            <w:r>
              <w:rPr>
                <w:rFonts w:ascii="宋体" w:hAnsi="宋体" w:cs="宋体" w:eastAsia="宋体" w:hint="default"/>
                <w:sz w:val="13"/>
                <w:szCs w:val="13"/>
              </w:rPr>
              <w:t>．其他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3"/>
              <w:ind w:right="24"/>
              <w:jc w:val="right"/>
              <w:rPr>
                <w:rFonts w:ascii="Calibri" w:hAnsi="Calibri" w:cs="Calibri" w:eastAsia="Calibri" w:hint="default"/>
                <w:sz w:val="13"/>
                <w:szCs w:val="13"/>
              </w:rPr>
            </w:pPr>
            <w:r>
              <w:rPr>
                <w:rFonts w:ascii="Calibri"/>
                <w:spacing w:val="-1"/>
                <w:sz w:val="13"/>
              </w:rPr>
              <w:t>88,457,333.00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 w:right="0"/>
              <w:jc w:val="center"/>
              <w:rPr>
                <w:rFonts w:ascii="Calibri" w:hAnsi="Calibri" w:cs="Calibri" w:eastAsia="Calibri" w:hint="default"/>
                <w:sz w:val="13"/>
                <w:szCs w:val="13"/>
              </w:rPr>
            </w:pPr>
            <w:r>
              <w:rPr>
                <w:rFonts w:ascii="Calibri"/>
                <w:sz w:val="13"/>
              </w:rPr>
              <w:t>29,726,111.04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
              <w:jc w:val="right"/>
              <w:rPr>
                <w:rFonts w:ascii="Calibri" w:hAnsi="Calibri" w:cs="Calibri" w:eastAsia="Calibri" w:hint="default"/>
                <w:sz w:val="13"/>
                <w:szCs w:val="13"/>
              </w:rPr>
            </w:pPr>
            <w:r>
              <w:rPr>
                <w:rFonts w:ascii="Calibri"/>
                <w:spacing w:val="-1"/>
                <w:sz w:val="13"/>
              </w:rPr>
              <w:t>-162,412,110.74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4" w:right="0"/>
              <w:jc w:val="center"/>
              <w:rPr>
                <w:rFonts w:ascii="Calibri" w:hAnsi="Calibri" w:cs="Calibri" w:eastAsia="Calibri" w:hint="default"/>
                <w:sz w:val="13"/>
                <w:szCs w:val="13"/>
              </w:rPr>
            </w:pPr>
            <w:r>
              <w:rPr>
                <w:rFonts w:ascii="Calibri"/>
                <w:sz w:val="13"/>
              </w:rPr>
              <w:t>-44,228,666.70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4"/>
              <w:jc w:val="right"/>
              <w:rPr>
                <w:rFonts w:ascii="Calibri" w:hAnsi="Calibri" w:cs="Calibri" w:eastAsia="Calibri" w:hint="default"/>
                <w:sz w:val="13"/>
                <w:szCs w:val="13"/>
              </w:rPr>
            </w:pPr>
            <w:r>
              <w:rPr>
                <w:rFonts w:ascii="Calibri"/>
                <w:spacing w:val="-1"/>
                <w:sz w:val="13"/>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3"/>
                <w:szCs w:val="13"/>
              </w:rPr>
            </w:pPr>
            <w:r>
              <w:rPr>
                <w:rFonts w:ascii="Calibri"/>
                <w:spacing w:val="-1"/>
                <w:sz w:val="13"/>
              </w:rPr>
              <w:t>-67,520,011.57</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3"/>
                <w:szCs w:val="13"/>
              </w:rPr>
            </w:pPr>
            <w:r>
              <w:rPr>
                <w:rFonts w:ascii="Calibri"/>
                <w:spacing w:val="-1"/>
                <w:sz w:val="13"/>
              </w:rPr>
              <w:t>-42,598,509.00</w:t>
            </w: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left="283" w:right="0"/>
              <w:jc w:val="left"/>
              <w:rPr>
                <w:rFonts w:ascii="宋体" w:hAnsi="宋体" w:cs="宋体" w:eastAsia="宋体" w:hint="default"/>
                <w:sz w:val="13"/>
                <w:szCs w:val="13"/>
              </w:rPr>
            </w:pPr>
            <w:r>
              <w:rPr>
                <w:rFonts w:ascii="Calibri" w:hAnsi="Calibri" w:cs="Calibri" w:eastAsia="Calibri" w:hint="default"/>
                <w:sz w:val="13"/>
                <w:szCs w:val="13"/>
              </w:rPr>
              <w:t>1</w:t>
            </w:r>
            <w:r>
              <w:rPr>
                <w:rFonts w:ascii="宋体" w:hAnsi="宋体" w:cs="宋体" w:eastAsia="宋体" w:hint="default"/>
                <w:sz w:val="13"/>
                <w:szCs w:val="13"/>
              </w:rPr>
              <w:t>．提取盈余公积</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 w:right="0"/>
              <w:jc w:val="center"/>
              <w:rPr>
                <w:rFonts w:ascii="Calibri" w:hAnsi="Calibri" w:cs="Calibri" w:eastAsia="Calibri" w:hint="default"/>
                <w:sz w:val="13"/>
                <w:szCs w:val="13"/>
              </w:rPr>
            </w:pPr>
            <w:r>
              <w:rPr>
                <w:rFonts w:ascii="Calibri"/>
                <w:sz w:val="13"/>
              </w:rPr>
              <w:t>29,726,111.04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
              <w:jc w:val="right"/>
              <w:rPr>
                <w:rFonts w:ascii="Calibri" w:hAnsi="Calibri" w:cs="Calibri" w:eastAsia="Calibri" w:hint="default"/>
                <w:sz w:val="13"/>
                <w:szCs w:val="13"/>
              </w:rPr>
            </w:pPr>
            <w:r>
              <w:rPr>
                <w:rFonts w:ascii="Calibri"/>
                <w:spacing w:val="-1"/>
                <w:sz w:val="13"/>
              </w:rPr>
              <w:t>-29,726,111.04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4"/>
              <w:jc w:val="right"/>
              <w:rPr>
                <w:rFonts w:ascii="Calibri" w:hAnsi="Calibri" w:cs="Calibri" w:eastAsia="Calibri" w:hint="default"/>
                <w:sz w:val="13"/>
                <w:szCs w:val="13"/>
              </w:rPr>
            </w:pPr>
            <w:r>
              <w:rPr>
                <w:rFonts w:ascii="Calibri"/>
                <w:spacing w:val="-1"/>
                <w:sz w:val="13"/>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3"/>
                <w:szCs w:val="13"/>
              </w:rPr>
            </w:pPr>
            <w:r>
              <w:rPr>
                <w:rFonts w:ascii="Calibri"/>
                <w:spacing w:val="-1"/>
                <w:sz w:val="13"/>
              </w:rPr>
              <w:t>-24,921,502.57</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right="32"/>
              <w:jc w:val="right"/>
              <w:rPr>
                <w:rFonts w:ascii="宋体" w:hAnsi="宋体" w:cs="宋体" w:eastAsia="宋体" w:hint="default"/>
                <w:sz w:val="13"/>
                <w:szCs w:val="13"/>
              </w:rPr>
            </w:pPr>
            <w:r>
              <w:rPr>
                <w:rFonts w:ascii="Calibri" w:hAnsi="Calibri" w:cs="Calibri" w:eastAsia="Calibri" w:hint="default"/>
                <w:w w:val="95"/>
                <w:sz w:val="13"/>
                <w:szCs w:val="13"/>
              </w:rPr>
              <w:t>2</w:t>
            </w:r>
            <w:r>
              <w:rPr>
                <w:rFonts w:ascii="宋体" w:hAnsi="宋体" w:cs="宋体" w:eastAsia="宋体" w:hint="default"/>
                <w:w w:val="95"/>
                <w:sz w:val="13"/>
                <w:szCs w:val="13"/>
              </w:rPr>
              <w:t>．提取一般风险准备</w:t>
            </w:r>
            <w:r>
              <w:rPr>
                <w:rFonts w:ascii="宋体" w:hAnsi="宋体" w:cs="宋体" w:eastAsia="宋体" w:hint="default"/>
                <w:sz w:val="13"/>
                <w:szCs w:val="13"/>
              </w:rPr>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left="283" w:right="0"/>
              <w:jc w:val="left"/>
              <w:rPr>
                <w:rFonts w:ascii="宋体" w:hAnsi="宋体" w:cs="宋体" w:eastAsia="宋体" w:hint="default"/>
                <w:sz w:val="13"/>
                <w:szCs w:val="13"/>
              </w:rPr>
            </w:pPr>
            <w:r>
              <w:rPr>
                <w:rFonts w:ascii="Calibri" w:hAnsi="Calibri" w:cs="Calibri" w:eastAsia="Calibri" w:hint="default"/>
                <w:spacing w:val="-6"/>
                <w:sz w:val="13"/>
                <w:szCs w:val="13"/>
              </w:rPr>
              <w:t>3</w:t>
            </w:r>
            <w:r>
              <w:rPr>
                <w:rFonts w:ascii="宋体" w:hAnsi="宋体" w:cs="宋体" w:eastAsia="宋体" w:hint="default"/>
                <w:spacing w:val="-6"/>
                <w:sz w:val="13"/>
                <w:szCs w:val="13"/>
              </w:rPr>
              <w:t>．对所有者（或股东</w:t>
            </w:r>
          </w:p>
          <w:p>
            <w:pPr>
              <w:pStyle w:val="TableParagraph"/>
              <w:spacing w:line="161" w:lineRule="exact"/>
              <w:ind w:left="23" w:right="0"/>
              <w:jc w:val="left"/>
              <w:rPr>
                <w:rFonts w:ascii="宋体" w:hAnsi="宋体" w:cs="宋体" w:eastAsia="宋体" w:hint="default"/>
                <w:sz w:val="13"/>
                <w:szCs w:val="13"/>
              </w:rPr>
            </w:pPr>
            <w:r>
              <w:rPr>
                <w:rFonts w:ascii="宋体" w:hAnsi="宋体" w:cs="宋体" w:eastAsia="宋体" w:hint="default"/>
                <w:sz w:val="13"/>
                <w:szCs w:val="13"/>
              </w:rPr>
              <w:t>的分配</w:t>
            </w:r>
          </w:p>
        </w:tc>
        <w:tc>
          <w:tcPr>
            <w:tcW w:w="994" w:type="dxa"/>
            <w:tcBorders>
              <w:top w:val="single" w:sz="4" w:space="0" w:color="000000"/>
              <w:left w:val="single" w:sz="14" w:space="0" w:color="DCDCDC"/>
              <w:bottom w:val="single" w:sz="4" w:space="0" w:color="000000"/>
              <w:right w:val="single" w:sz="4" w:space="0" w:color="000000"/>
            </w:tcBorders>
          </w:tcPr>
          <w:p>
            <w:pPr>
              <w:pStyle w:val="TableParagraph"/>
              <w:spacing w:line="116" w:lineRule="exact"/>
              <w:ind w:left="-112"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p>
            <w:pPr>
              <w:pStyle w:val="TableParagraph"/>
              <w:spacing w:line="130" w:lineRule="exact"/>
              <w:ind w:left="191" w:right="0"/>
              <w:jc w:val="left"/>
              <w:rPr>
                <w:rFonts w:ascii="Calibri" w:hAnsi="Calibri" w:cs="Calibri" w:eastAsia="Calibri" w:hint="default"/>
                <w:sz w:val="13"/>
                <w:szCs w:val="13"/>
              </w:rPr>
            </w:pPr>
            <w:r>
              <w:rPr>
                <w:rFonts w:ascii="Calibri"/>
                <w:sz w:val="13"/>
              </w:rPr>
              <w:t>88,457,333.00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Calibri" w:hAnsi="Calibri" w:cs="Calibri" w:eastAsia="Calibri" w:hint="default"/>
                <w:sz w:val="13"/>
                <w:szCs w:val="13"/>
              </w:rPr>
            </w:pPr>
            <w:r>
              <w:rPr>
                <w:rFonts w:ascii="Calibri"/>
                <w:spacing w:val="-1"/>
                <w:sz w:val="13"/>
              </w:rPr>
              <w:t>-132,685,999.70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center"/>
              <w:rPr>
                <w:rFonts w:ascii="Calibri" w:hAnsi="Calibri" w:cs="Calibri" w:eastAsia="Calibri" w:hint="default"/>
                <w:sz w:val="13"/>
                <w:szCs w:val="13"/>
              </w:rPr>
            </w:pPr>
            <w:r>
              <w:rPr>
                <w:rFonts w:ascii="Calibri"/>
                <w:sz w:val="13"/>
              </w:rPr>
              <w:t>-44,228,666.70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3"/>
                <w:szCs w:val="13"/>
              </w:rPr>
            </w:pPr>
            <w:r>
              <w:rPr>
                <w:rFonts w:ascii="Calibri"/>
                <w:spacing w:val="-1"/>
                <w:sz w:val="13"/>
              </w:rPr>
              <w:t>-42,598,509.00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Calibri" w:hAnsi="Calibri" w:cs="Calibri" w:eastAsia="Calibri" w:hint="default"/>
                <w:sz w:val="13"/>
                <w:szCs w:val="13"/>
              </w:rPr>
            </w:pPr>
            <w:r>
              <w:rPr>
                <w:rFonts w:ascii="Calibri"/>
                <w:spacing w:val="-1"/>
                <w:sz w:val="13"/>
              </w:rPr>
              <w:t>-42,598,509.00</w:t>
            </w: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left="283" w:right="0"/>
              <w:jc w:val="left"/>
              <w:rPr>
                <w:rFonts w:ascii="宋体" w:hAnsi="宋体" w:cs="宋体" w:eastAsia="宋体" w:hint="default"/>
                <w:sz w:val="13"/>
                <w:szCs w:val="13"/>
              </w:rPr>
            </w:pPr>
            <w:r>
              <w:rPr>
                <w:rFonts w:ascii="Calibri" w:hAnsi="Calibri" w:cs="Calibri" w:eastAsia="Calibri" w:hint="default"/>
                <w:sz w:val="13"/>
                <w:szCs w:val="13"/>
              </w:rPr>
              <w:t>4</w:t>
            </w:r>
            <w:r>
              <w:rPr>
                <w:rFonts w:ascii="宋体" w:hAnsi="宋体" w:cs="宋体" w:eastAsia="宋体" w:hint="default"/>
                <w:sz w:val="13"/>
                <w:szCs w:val="13"/>
              </w:rPr>
              <w:t>．其他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4" w:lineRule="exact"/>
              <w:ind w:left="153" w:right="0"/>
              <w:jc w:val="left"/>
              <w:rPr>
                <w:rFonts w:ascii="宋体" w:hAnsi="宋体" w:cs="宋体" w:eastAsia="宋体" w:hint="default"/>
                <w:sz w:val="13"/>
                <w:szCs w:val="13"/>
              </w:rPr>
            </w:pPr>
            <w:r>
              <w:rPr>
                <w:rFonts w:ascii="宋体" w:hAnsi="宋体" w:cs="宋体" w:eastAsia="宋体" w:hint="default"/>
                <w:w w:val="99"/>
                <w:sz w:val="13"/>
                <w:szCs w:val="13"/>
              </w:rPr>
              <w:t>（五</w:t>
            </w:r>
            <w:r>
              <w:rPr>
                <w:rFonts w:ascii="宋体" w:hAnsi="宋体" w:cs="宋体" w:eastAsia="宋体" w:hint="default"/>
                <w:spacing w:val="-56"/>
                <w:w w:val="99"/>
                <w:sz w:val="13"/>
                <w:szCs w:val="13"/>
              </w:rPr>
              <w:t>）</w:t>
            </w:r>
            <w:r>
              <w:rPr>
                <w:rFonts w:ascii="宋体" w:hAnsi="宋体" w:cs="宋体" w:eastAsia="宋体" w:hint="default"/>
                <w:w w:val="99"/>
                <w:sz w:val="13"/>
                <w:szCs w:val="13"/>
              </w:rPr>
              <w:t>所有者权益</w:t>
            </w:r>
            <w:r>
              <w:rPr>
                <w:rFonts w:ascii="宋体" w:hAnsi="宋体" w:cs="宋体" w:eastAsia="宋体" w:hint="default"/>
                <w:spacing w:val="2"/>
                <w:w w:val="99"/>
                <w:sz w:val="13"/>
                <w:szCs w:val="13"/>
              </w:rPr>
              <w:t>内</w:t>
            </w:r>
            <w:r>
              <w:rPr>
                <w:rFonts w:ascii="宋体" w:hAnsi="宋体" w:cs="宋体" w:eastAsia="宋体" w:hint="default"/>
                <w:w w:val="99"/>
                <w:sz w:val="13"/>
                <w:szCs w:val="13"/>
              </w:rPr>
              <w:t>部结</w:t>
            </w:r>
            <w:r>
              <w:rPr>
                <w:rFonts w:ascii="宋体" w:hAnsi="宋体" w:cs="宋体" w:eastAsia="宋体" w:hint="default"/>
                <w:sz w:val="13"/>
                <w:szCs w:val="13"/>
              </w:rPr>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转</w:t>
            </w:r>
            <w:r>
              <w:rPr>
                <w:rFonts w:ascii="宋体" w:hAnsi="宋体" w:cs="宋体" w:eastAsia="宋体" w:hint="default"/>
                <w:sz w:val="13"/>
                <w:szCs w:val="13"/>
              </w:rPr>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left="283" w:right="0"/>
              <w:jc w:val="left"/>
              <w:rPr>
                <w:rFonts w:ascii="宋体" w:hAnsi="宋体" w:cs="宋体" w:eastAsia="宋体" w:hint="default"/>
                <w:sz w:val="13"/>
                <w:szCs w:val="13"/>
              </w:rPr>
            </w:pPr>
            <w:r>
              <w:rPr>
                <w:rFonts w:ascii="Calibri" w:hAnsi="Calibri" w:cs="Calibri" w:eastAsia="Calibri" w:hint="default"/>
                <w:sz w:val="13"/>
                <w:szCs w:val="13"/>
              </w:rPr>
              <w:t>1</w:t>
            </w:r>
            <w:r>
              <w:rPr>
                <w:rFonts w:ascii="宋体" w:hAnsi="宋体" w:cs="宋体" w:eastAsia="宋体" w:hint="default"/>
                <w:sz w:val="13"/>
                <w:szCs w:val="13"/>
              </w:rPr>
              <w:t>．资本公积转增资本</w:t>
            </w:r>
          </w:p>
          <w:p>
            <w:pPr>
              <w:pStyle w:val="TableParagraph"/>
              <w:spacing w:line="161" w:lineRule="exact"/>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5" w:lineRule="exact"/>
              <w:ind w:left="283" w:right="0"/>
              <w:jc w:val="left"/>
              <w:rPr>
                <w:rFonts w:ascii="宋体" w:hAnsi="宋体" w:cs="宋体" w:eastAsia="宋体" w:hint="default"/>
                <w:sz w:val="13"/>
                <w:szCs w:val="13"/>
              </w:rPr>
            </w:pPr>
            <w:r>
              <w:rPr>
                <w:rFonts w:ascii="Calibri" w:hAnsi="Calibri" w:cs="Calibri" w:eastAsia="Calibri" w:hint="default"/>
                <w:sz w:val="13"/>
                <w:szCs w:val="13"/>
              </w:rPr>
              <w:t>2</w:t>
            </w:r>
            <w:r>
              <w:rPr>
                <w:rFonts w:ascii="宋体" w:hAnsi="宋体" w:cs="宋体" w:eastAsia="宋体" w:hint="default"/>
                <w:sz w:val="13"/>
                <w:szCs w:val="13"/>
              </w:rPr>
              <w:t>．盈余公积转增资本</w:t>
            </w:r>
          </w:p>
          <w:p>
            <w:pPr>
              <w:pStyle w:val="TableParagraph"/>
              <w:spacing w:line="161" w:lineRule="exact"/>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right="32"/>
              <w:jc w:val="right"/>
              <w:rPr>
                <w:rFonts w:ascii="宋体" w:hAnsi="宋体" w:cs="宋体" w:eastAsia="宋体" w:hint="default"/>
                <w:sz w:val="13"/>
                <w:szCs w:val="13"/>
              </w:rPr>
            </w:pPr>
            <w:r>
              <w:rPr>
                <w:rFonts w:ascii="Calibri" w:hAnsi="Calibri" w:cs="Calibri" w:eastAsia="Calibri" w:hint="default"/>
                <w:w w:val="95"/>
                <w:sz w:val="13"/>
                <w:szCs w:val="13"/>
              </w:rPr>
              <w:t>3</w:t>
            </w:r>
            <w:r>
              <w:rPr>
                <w:rFonts w:ascii="宋体" w:hAnsi="宋体" w:cs="宋体" w:eastAsia="宋体" w:hint="default"/>
                <w:w w:val="95"/>
                <w:sz w:val="13"/>
                <w:szCs w:val="13"/>
              </w:rPr>
              <w:t>．盈余公积弥补亏损</w:t>
            </w:r>
            <w:r>
              <w:rPr>
                <w:rFonts w:ascii="宋体" w:hAnsi="宋体" w:cs="宋体" w:eastAsia="宋体" w:hint="default"/>
                <w:sz w:val="13"/>
                <w:szCs w:val="13"/>
              </w:rPr>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5" w:lineRule="exact"/>
              <w:ind w:left="283" w:right="0"/>
              <w:jc w:val="left"/>
              <w:rPr>
                <w:rFonts w:ascii="宋体" w:hAnsi="宋体" w:cs="宋体" w:eastAsia="宋体" w:hint="default"/>
                <w:sz w:val="13"/>
                <w:szCs w:val="13"/>
              </w:rPr>
            </w:pPr>
            <w:r>
              <w:rPr>
                <w:rFonts w:ascii="Calibri" w:hAnsi="Calibri" w:cs="Calibri" w:eastAsia="Calibri" w:hint="default"/>
                <w:sz w:val="13"/>
                <w:szCs w:val="13"/>
              </w:rPr>
              <w:t>4</w:t>
            </w:r>
            <w:r>
              <w:rPr>
                <w:rFonts w:ascii="宋体" w:hAnsi="宋体" w:cs="宋体" w:eastAsia="宋体" w:hint="default"/>
                <w:sz w:val="13"/>
                <w:szCs w:val="13"/>
              </w:rPr>
              <w:t>．其他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left="283" w:right="0"/>
              <w:jc w:val="left"/>
              <w:rPr>
                <w:rFonts w:ascii="宋体" w:hAnsi="宋体" w:cs="宋体" w:eastAsia="宋体" w:hint="default"/>
                <w:sz w:val="13"/>
                <w:szCs w:val="13"/>
              </w:rPr>
            </w:pPr>
            <w:r>
              <w:rPr>
                <w:rFonts w:ascii="Calibri" w:hAnsi="Calibri" w:cs="Calibri" w:eastAsia="Calibri" w:hint="default"/>
                <w:sz w:val="13"/>
                <w:szCs w:val="13"/>
              </w:rPr>
              <w:t>1</w:t>
            </w:r>
            <w:r>
              <w:rPr>
                <w:rFonts w:ascii="宋体" w:hAnsi="宋体" w:cs="宋体" w:eastAsia="宋体" w:hint="default"/>
                <w:sz w:val="13"/>
                <w:szCs w:val="13"/>
              </w:rPr>
              <w:t>．本期提取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2" w:lineRule="exact"/>
              <w:ind w:left="283" w:right="0"/>
              <w:jc w:val="left"/>
              <w:rPr>
                <w:rFonts w:ascii="宋体" w:hAnsi="宋体" w:cs="宋体" w:eastAsia="宋体" w:hint="default"/>
                <w:sz w:val="13"/>
                <w:szCs w:val="13"/>
              </w:rPr>
            </w:pPr>
            <w:r>
              <w:rPr>
                <w:rFonts w:ascii="Calibri" w:hAnsi="Calibri" w:cs="Calibri" w:eastAsia="Calibri" w:hint="default"/>
                <w:sz w:val="13"/>
                <w:szCs w:val="13"/>
              </w:rPr>
              <w:t>2</w:t>
            </w:r>
            <w:r>
              <w:rPr>
                <w:rFonts w:ascii="宋体" w:hAnsi="宋体" w:cs="宋体" w:eastAsia="宋体" w:hint="default"/>
                <w:sz w:val="13"/>
                <w:szCs w:val="13"/>
              </w:rPr>
              <w:t>．本期使用</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53" w:right="0"/>
              <w:jc w:val="left"/>
              <w:rPr>
                <w:rFonts w:ascii="宋体" w:hAnsi="宋体" w:cs="宋体" w:eastAsia="宋体" w:hint="default"/>
                <w:sz w:val="13"/>
                <w:szCs w:val="13"/>
              </w:rPr>
            </w:pPr>
            <w:r>
              <w:rPr>
                <w:rFonts w:ascii="宋体" w:hAnsi="宋体" w:cs="宋体" w:eastAsia="宋体" w:hint="default"/>
                <w:sz w:val="13"/>
                <w:szCs w:val="13"/>
              </w:rPr>
              <w:t>（七）其他</w:t>
            </w:r>
          </w:p>
        </w:tc>
        <w:tc>
          <w:tcPr>
            <w:tcW w:w="994" w:type="dxa"/>
            <w:tcBorders>
              <w:top w:val="single" w:sz="4" w:space="0" w:color="000000"/>
              <w:left w:val="single" w:sz="14" w:space="0" w:color="DCDCDC"/>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9" w:hRule="exact"/>
        </w:trPr>
        <w:tc>
          <w:tcPr>
            <w:tcW w:w="1560" w:type="dxa"/>
            <w:tcBorders>
              <w:top w:val="single" w:sz="34" w:space="0" w:color="DCDCDC"/>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14" w:space="0" w:color="DCDCDC"/>
              <w:right w:val="single" w:sz="4" w:space="0" w:color="000000"/>
            </w:tcBorders>
          </w:tcPr>
          <w:p>
            <w:pPr>
              <w:pStyle w:val="TableParagraph"/>
              <w:spacing w:line="240" w:lineRule="auto" w:before="77"/>
              <w:ind w:left="124" w:right="0"/>
              <w:jc w:val="left"/>
              <w:rPr>
                <w:rFonts w:ascii="Calibri" w:hAnsi="Calibri" w:cs="Calibri" w:eastAsia="Calibri" w:hint="default"/>
                <w:sz w:val="13"/>
                <w:szCs w:val="13"/>
              </w:rPr>
            </w:pPr>
            <w:r>
              <w:rPr>
                <w:rFonts w:ascii="Calibri"/>
                <w:sz w:val="13"/>
              </w:rPr>
              <w:t>530,744,000.00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7"/>
              <w:ind w:left="134" w:right="0"/>
              <w:jc w:val="left"/>
              <w:rPr>
                <w:rFonts w:ascii="Calibri" w:hAnsi="Calibri" w:cs="Calibri" w:eastAsia="Calibri" w:hint="default"/>
                <w:sz w:val="13"/>
                <w:szCs w:val="13"/>
              </w:rPr>
            </w:pPr>
            <w:r>
              <w:rPr>
                <w:rFonts w:ascii="Calibri"/>
                <w:sz w:val="13"/>
              </w:rPr>
              <w:t>587,926,428.41</w:t>
            </w:r>
          </w:p>
        </w:tc>
        <w:tc>
          <w:tcPr>
            <w:tcW w:w="28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157" w:lineRule="exact"/>
              <w:ind w:right="24"/>
              <w:jc w:val="right"/>
              <w:rPr>
                <w:rFonts w:ascii="Calibri" w:hAnsi="Calibri" w:cs="Calibri" w:eastAsia="Calibri" w:hint="default"/>
                <w:sz w:val="13"/>
                <w:szCs w:val="13"/>
              </w:rPr>
            </w:pPr>
            <w:r>
              <w:rPr>
                <w:rFonts w:ascii="Calibri"/>
                <w:spacing w:val="-1"/>
                <w:sz w:val="13"/>
              </w:rPr>
              <w:t>119,993,540.1</w:t>
            </w:r>
          </w:p>
          <w:p>
            <w:pPr>
              <w:pStyle w:val="TableParagraph"/>
              <w:spacing w:line="240" w:lineRule="auto"/>
              <w:ind w:right="21"/>
              <w:jc w:val="right"/>
              <w:rPr>
                <w:rFonts w:ascii="Calibri" w:hAnsi="Calibri" w:cs="Calibri" w:eastAsia="Calibri" w:hint="default"/>
                <w:sz w:val="13"/>
                <w:szCs w:val="13"/>
              </w:rPr>
            </w:pPr>
            <w:r>
              <w:rPr>
                <w:rFonts w:ascii="Calibri"/>
                <w:w w:val="99"/>
                <w:sz w:val="13"/>
              </w:rPr>
              <w:t>5</w:t>
            </w:r>
            <w:r>
              <w:rPr>
                <w:rFonts w:ascii="Calibri"/>
                <w:sz w:val="13"/>
              </w:rPr>
            </w: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7"/>
              <w:ind w:left="36" w:right="0"/>
              <w:jc w:val="left"/>
              <w:rPr>
                <w:rFonts w:ascii="Calibri" w:hAnsi="Calibri" w:cs="Calibri" w:eastAsia="Calibri" w:hint="default"/>
                <w:sz w:val="13"/>
                <w:szCs w:val="13"/>
              </w:rPr>
            </w:pPr>
            <w:r>
              <w:rPr>
                <w:rFonts w:ascii="Calibri"/>
                <w:sz w:val="13"/>
              </w:rPr>
              <w:t>1,028,766,494.77</w:t>
            </w:r>
          </w:p>
        </w:tc>
        <w:tc>
          <w:tcPr>
            <w:tcW w:w="566" w:type="dxa"/>
            <w:vMerge w:val="restart"/>
            <w:tcBorders>
              <w:top w:val="single" w:sz="4" w:space="0" w:color="000000"/>
              <w:left w:val="single" w:sz="4" w:space="0" w:color="000000"/>
              <w:right w:val="single" w:sz="4" w:space="0" w:color="000000"/>
            </w:tcBorders>
          </w:tcPr>
          <w:p>
            <w:pPr>
              <w:pStyle w:val="TableParagraph"/>
              <w:spacing w:line="157" w:lineRule="exact"/>
              <w:ind w:right="23"/>
              <w:jc w:val="right"/>
              <w:rPr>
                <w:rFonts w:ascii="Calibri" w:hAnsi="Calibri" w:cs="Calibri" w:eastAsia="Calibri" w:hint="default"/>
                <w:sz w:val="13"/>
                <w:szCs w:val="13"/>
              </w:rPr>
            </w:pPr>
            <w:r>
              <w:rPr>
                <w:rFonts w:ascii="Calibri"/>
                <w:spacing w:val="-1"/>
                <w:sz w:val="13"/>
              </w:rPr>
              <w:t>-29,374.3</w:t>
            </w:r>
          </w:p>
          <w:p>
            <w:pPr>
              <w:pStyle w:val="TableParagraph"/>
              <w:spacing w:line="240" w:lineRule="auto"/>
              <w:ind w:right="21"/>
              <w:jc w:val="right"/>
              <w:rPr>
                <w:rFonts w:ascii="Calibri" w:hAnsi="Calibri" w:cs="Calibri" w:eastAsia="Calibri" w:hint="default"/>
                <w:sz w:val="13"/>
                <w:szCs w:val="13"/>
              </w:rPr>
            </w:pPr>
            <w:r>
              <w:rPr>
                <w:rFonts w:ascii="Calibri"/>
                <w:w w:val="99"/>
                <w:sz w:val="13"/>
              </w:rPr>
              <w:t>6</w:t>
            </w:r>
            <w:r>
              <w:rPr>
                <w:rFonts w:ascii="Calibri"/>
                <w:sz w:val="13"/>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7"/>
              <w:ind w:left="290" w:right="0"/>
              <w:jc w:val="left"/>
              <w:rPr>
                <w:rFonts w:ascii="Calibri" w:hAnsi="Calibri" w:cs="Calibri" w:eastAsia="Calibri" w:hint="default"/>
                <w:sz w:val="13"/>
                <w:szCs w:val="13"/>
              </w:rPr>
            </w:pPr>
            <w:r>
              <w:rPr>
                <w:rFonts w:ascii="Calibri"/>
                <w:sz w:val="13"/>
              </w:rPr>
              <w:t>96,310.81</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7"/>
              <w:ind w:left="35" w:right="0"/>
              <w:jc w:val="left"/>
              <w:rPr>
                <w:rFonts w:ascii="Calibri" w:hAnsi="Calibri" w:cs="Calibri" w:eastAsia="Calibri" w:hint="default"/>
                <w:sz w:val="13"/>
                <w:szCs w:val="13"/>
              </w:rPr>
            </w:pPr>
            <w:r>
              <w:rPr>
                <w:rFonts w:ascii="Calibri"/>
                <w:sz w:val="13"/>
              </w:rPr>
              <w:t>2,267,497,399.78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7"/>
              <w:ind w:left="136" w:right="0"/>
              <w:jc w:val="left"/>
              <w:rPr>
                <w:rFonts w:ascii="Calibri" w:hAnsi="Calibri" w:cs="Calibri" w:eastAsia="Calibri" w:hint="default"/>
                <w:sz w:val="13"/>
                <w:szCs w:val="13"/>
              </w:rPr>
            </w:pPr>
            <w:r>
              <w:rPr>
                <w:rFonts w:ascii="Calibri"/>
                <w:sz w:val="13"/>
              </w:rPr>
              <w:t>425,985,090.00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7"/>
              <w:ind w:left="134" w:right="0"/>
              <w:jc w:val="left"/>
              <w:rPr>
                <w:rFonts w:ascii="Calibri" w:hAnsi="Calibri" w:cs="Calibri" w:eastAsia="Calibri" w:hint="default"/>
                <w:sz w:val="13"/>
                <w:szCs w:val="13"/>
              </w:rPr>
            </w:pPr>
            <w:r>
              <w:rPr>
                <w:rFonts w:ascii="Calibri"/>
                <w:sz w:val="13"/>
              </w:rPr>
              <w:t>284,228,005.41</w:t>
            </w:r>
          </w:p>
        </w:tc>
        <w:tc>
          <w:tcPr>
            <w:tcW w:w="283" w:type="dxa"/>
            <w:vMerge w:val="restart"/>
            <w:tcBorders>
              <w:top w:val="single" w:sz="4" w:space="0" w:color="000000"/>
              <w:left w:val="single" w:sz="4" w:space="0" w:color="000000"/>
              <w:right w:val="single" w:sz="4" w:space="0" w:color="000000"/>
            </w:tcBorders>
          </w:tcPr>
          <w:p>
            <w:pPr/>
          </w:p>
        </w:tc>
        <w:tc>
          <w:tcPr>
            <w:tcW w:w="28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7"/>
              <w:ind w:left="60" w:right="0"/>
              <w:jc w:val="left"/>
              <w:rPr>
                <w:rFonts w:ascii="Calibri" w:hAnsi="Calibri" w:cs="Calibri" w:eastAsia="Calibri" w:hint="default"/>
                <w:sz w:val="13"/>
                <w:szCs w:val="13"/>
              </w:rPr>
            </w:pPr>
            <w:r>
              <w:rPr>
                <w:rFonts w:ascii="Calibri"/>
                <w:sz w:val="13"/>
              </w:rPr>
              <w:t>90,267,429.11</w:t>
            </w: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7"/>
              <w:ind w:left="136" w:right="0"/>
              <w:jc w:val="left"/>
              <w:rPr>
                <w:rFonts w:ascii="Calibri" w:hAnsi="Calibri" w:cs="Calibri" w:eastAsia="Calibri" w:hint="default"/>
                <w:sz w:val="13"/>
                <w:szCs w:val="13"/>
              </w:rPr>
            </w:pPr>
            <w:r>
              <w:rPr>
                <w:rFonts w:ascii="Calibri"/>
                <w:sz w:val="13"/>
              </w:rPr>
              <w:t>770,223,354.38</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7"/>
              <w:ind w:left="33" w:right="0"/>
              <w:jc w:val="left"/>
              <w:rPr>
                <w:rFonts w:ascii="Calibri" w:hAnsi="Calibri" w:cs="Calibri" w:eastAsia="Calibri" w:hint="default"/>
                <w:sz w:val="13"/>
                <w:szCs w:val="13"/>
              </w:rPr>
            </w:pPr>
            <w:r>
              <w:rPr>
                <w:rFonts w:ascii="Calibri"/>
                <w:sz w:val="13"/>
              </w:rPr>
              <w:t>-8,475.73</w:t>
            </w:r>
          </w:p>
        </w:tc>
        <w:tc>
          <w:tcPr>
            <w:tcW w:w="708" w:type="dxa"/>
            <w:vMerge w:val="restart"/>
            <w:tcBorders>
              <w:top w:val="single" w:sz="4" w:space="0" w:color="000000"/>
              <w:left w:val="single" w:sz="4" w:space="0" w:color="000000"/>
              <w:right w:val="single" w:sz="4" w:space="0" w:color="000000"/>
            </w:tcBorders>
          </w:tcPr>
          <w:p>
            <w:pPr>
              <w:pStyle w:val="TableParagraph"/>
              <w:spacing w:line="157" w:lineRule="exact"/>
              <w:ind w:right="23"/>
              <w:jc w:val="right"/>
              <w:rPr>
                <w:rFonts w:ascii="Calibri" w:hAnsi="Calibri" w:cs="Calibri" w:eastAsia="Calibri" w:hint="default"/>
                <w:sz w:val="13"/>
                <w:szCs w:val="13"/>
              </w:rPr>
            </w:pPr>
            <w:r>
              <w:rPr>
                <w:rFonts w:ascii="Calibri"/>
                <w:spacing w:val="-1"/>
                <w:sz w:val="13"/>
              </w:rPr>
              <w:t>2,548,592.7</w:t>
            </w:r>
          </w:p>
          <w:p>
            <w:pPr>
              <w:pStyle w:val="TableParagraph"/>
              <w:spacing w:line="240" w:lineRule="auto"/>
              <w:ind w:right="21"/>
              <w:jc w:val="right"/>
              <w:rPr>
                <w:rFonts w:ascii="Calibri" w:hAnsi="Calibri" w:cs="Calibri" w:eastAsia="Calibri" w:hint="default"/>
                <w:sz w:val="13"/>
                <w:szCs w:val="13"/>
              </w:rPr>
            </w:pPr>
            <w:r>
              <w:rPr>
                <w:rFonts w:ascii="Calibri"/>
                <w:w w:val="99"/>
                <w:sz w:val="13"/>
              </w:rPr>
              <w:t>0</w:t>
            </w:r>
            <w:r>
              <w:rPr>
                <w:rFonts w:ascii="Calibri"/>
                <w:sz w:val="13"/>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7"/>
              <w:ind w:left="38" w:right="0"/>
              <w:jc w:val="left"/>
              <w:rPr>
                <w:rFonts w:ascii="Calibri" w:hAnsi="Calibri" w:cs="Calibri" w:eastAsia="Calibri" w:hint="default"/>
                <w:sz w:val="13"/>
                <w:szCs w:val="13"/>
              </w:rPr>
            </w:pPr>
            <w:r>
              <w:rPr>
                <w:rFonts w:ascii="Calibri"/>
                <w:sz w:val="13"/>
              </w:rPr>
              <w:t>1,573,243,995.87</w:t>
            </w:r>
          </w:p>
        </w:tc>
      </w:tr>
      <w:tr>
        <w:trPr>
          <w:trHeight w:val="247"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994" w:type="dxa"/>
            <w:vMerge/>
            <w:tcBorders>
              <w:left w:val="single" w:sz="14"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0" w:right="17" w:firstLine="0"/>
        <w:jc w:val="center"/>
        <w:rPr>
          <w:rFonts w:ascii="Calibri" w:hAnsi="Calibri" w:cs="Calibri" w:eastAsia="Calibri" w:hint="default"/>
          <w:sz w:val="18"/>
          <w:szCs w:val="18"/>
        </w:rPr>
      </w:pPr>
      <w:r>
        <w:rPr/>
        <w:pict>
          <v:shape style="position:absolute;margin-left:690.75pt;margin-top:11.279105pt;width:101.25pt;height:57.75pt;mso-position-horizontal-relative:page;mso-position-vertical-relative:paragraph;z-index:3640" type="#_x0000_t75" stroked="false">
            <v:imagedata r:id="rId6" o:title=""/>
          </v:shape>
        </w:pict>
      </w:r>
      <w:r>
        <w:rPr>
          <w:rFonts w:ascii="Calibri"/>
          <w:sz w:val="18"/>
        </w:rPr>
        <w:t>92</w:t>
      </w:r>
    </w:p>
    <w:p>
      <w:pPr>
        <w:spacing w:after="0"/>
        <w:jc w:val="center"/>
        <w:rPr>
          <w:rFonts w:ascii="Calibri" w:hAnsi="Calibri" w:cs="Calibri" w:eastAsia="Calibri" w:hint="default"/>
          <w:sz w:val="18"/>
          <w:szCs w:val="18"/>
        </w:rPr>
        <w:sectPr>
          <w:headerReference w:type="even" r:id="rId64"/>
          <w:footerReference w:type="even" r:id="rId65"/>
          <w:pgSz w:w="15840" w:h="12240" w:orient="landscape"/>
          <w:pgMar w:header="0" w:footer="0" w:top="760" w:bottom="0" w:left="20" w:right="0"/>
        </w:sectPr>
      </w:pPr>
    </w:p>
    <w:p>
      <w:pPr>
        <w:spacing w:line="240" w:lineRule="auto" w:before="2"/>
        <w:rPr>
          <w:rFonts w:ascii="Calibri" w:hAnsi="Calibri" w:cs="Calibri" w:eastAsia="Calibri" w:hint="default"/>
          <w:sz w:val="7"/>
          <w:szCs w:val="7"/>
        </w:rPr>
      </w:pPr>
    </w:p>
    <w:p>
      <w:pPr>
        <w:spacing w:line="564" w:lineRule="exact"/>
        <w:ind w:left="1202" w:right="0" w:firstLine="0"/>
        <w:rPr>
          <w:rFonts w:ascii="Calibri" w:hAnsi="Calibri" w:cs="Calibri" w:eastAsia="Calibri" w:hint="default"/>
          <w:sz w:val="20"/>
          <w:szCs w:val="20"/>
        </w:rPr>
      </w:pPr>
      <w:r>
        <w:rPr>
          <w:rFonts w:ascii="Calibri" w:hAnsi="Calibri" w:cs="Calibri" w:eastAsia="Calibri" w:hint="default"/>
          <w:position w:val="-10"/>
          <w:sz w:val="20"/>
          <w:szCs w:val="20"/>
        </w:rPr>
        <w:pict>
          <v:group style="width:653.9pt;height:28.25pt;mso-position-horizontal-relative:char;mso-position-vertical-relative:line" coordorigin="0,0" coordsize="13078,565">
            <v:shape style="position:absolute;left:36;top:0;width:1940;height:495" type="#_x0000_t75" stroked="false">
              <v:imagedata r:id="rId9" o:title=""/>
            </v:shape>
            <v:group style="position:absolute;left:7;top:557;width:13063;height:2" coordorigin="7,557" coordsize="13063,2">
              <v:shape style="position:absolute;left:7;top:557;width:13063;height:2" coordorigin="7,557" coordsize="13063,0" path="m7,557l13070,557e" filled="false" stroked="true" strokeweight=".72pt" strokecolor="#000000">
                <v:path arrowok="t"/>
              </v:shape>
              <v:shape style="position:absolute;left:7549;top:340;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v:group>
          </v:group>
        </w:pict>
      </w:r>
      <w:r>
        <w:rPr>
          <w:rFonts w:ascii="Calibri" w:hAnsi="Calibri" w:cs="Calibri" w:eastAsia="Calibri" w:hint="default"/>
          <w:position w:val="-10"/>
          <w:sz w:val="20"/>
          <w:szCs w:val="20"/>
        </w:rPr>
      </w:r>
    </w:p>
    <w:p>
      <w:pPr>
        <w:spacing w:line="240" w:lineRule="auto" w:before="8"/>
        <w:rPr>
          <w:rFonts w:ascii="Calibri" w:hAnsi="Calibri" w:cs="Calibri" w:eastAsia="Calibri" w:hint="default"/>
          <w:sz w:val="13"/>
          <w:szCs w:val="13"/>
        </w:rPr>
      </w:pPr>
    </w:p>
    <w:p>
      <w:pPr>
        <w:pStyle w:val="Heading4"/>
        <w:spacing w:line="240" w:lineRule="auto" w:before="26"/>
        <w:ind w:left="0" w:right="175"/>
        <w:jc w:val="center"/>
        <w:rPr>
          <w:rFonts w:ascii="宋体" w:hAnsi="宋体" w:cs="宋体" w:eastAsia="宋体" w:hint="default"/>
          <w:b w:val="0"/>
          <w:bCs w:val="0"/>
        </w:rPr>
      </w:pPr>
      <w:r>
        <w:rPr>
          <w:rFonts w:ascii="宋体" w:hAnsi="宋体" w:cs="宋体" w:eastAsia="宋体" w:hint="default"/>
        </w:rPr>
        <w:t>母公司所有者权益变动表</w:t>
      </w:r>
      <w:r>
        <w:rPr>
          <w:rFonts w:ascii="宋体" w:hAnsi="宋体" w:cs="宋体" w:eastAsia="宋体" w:hint="default"/>
          <w:b w:val="0"/>
          <w:bCs w:val="0"/>
        </w:rPr>
      </w:r>
    </w:p>
    <w:p>
      <w:pPr>
        <w:tabs>
          <w:tab w:pos="7102" w:val="left" w:leader="none"/>
          <w:tab w:pos="12203" w:val="left" w:leader="none"/>
        </w:tabs>
        <w:spacing w:line="298" w:lineRule="exact" w:before="4"/>
        <w:ind w:left="0" w:right="209" w:firstLine="0"/>
        <w:jc w:val="center"/>
        <w:rPr>
          <w:rFonts w:ascii="宋体" w:hAnsi="宋体" w:cs="宋体" w:eastAsia="宋体" w:hint="default"/>
          <w:sz w:val="21"/>
          <w:szCs w:val="21"/>
        </w:rPr>
      </w:pPr>
      <w:r>
        <w:rPr>
          <w:rFonts w:ascii="宋体" w:hAnsi="宋体" w:cs="宋体" w:eastAsia="宋体" w:hint="default"/>
          <w:spacing w:val="-5"/>
          <w:sz w:val="21"/>
          <w:szCs w:val="21"/>
        </w:rPr>
        <w:t>编制单位：东华软件股份公司</w:t>
        <w:tab/>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w:t>
        <w:tab/>
      </w:r>
      <w:r>
        <w:rPr>
          <w:rFonts w:ascii="宋体" w:hAnsi="宋体" w:cs="宋体" w:eastAsia="宋体" w:hint="default"/>
          <w:spacing w:val="-20"/>
          <w:sz w:val="21"/>
          <w:szCs w:val="21"/>
        </w:rPr>
        <w:t>单位：元</w:t>
      </w:r>
      <w:r>
        <w:rPr>
          <w:rFonts w:ascii="宋体" w:hAnsi="宋体" w:cs="宋体" w:eastAsia="宋体"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2105"/>
        <w:gridCol w:w="1145"/>
        <w:gridCol w:w="1135"/>
        <w:gridCol w:w="283"/>
        <w:gridCol w:w="284"/>
        <w:gridCol w:w="1135"/>
        <w:gridCol w:w="281"/>
        <w:gridCol w:w="1135"/>
        <w:gridCol w:w="1133"/>
        <w:gridCol w:w="1135"/>
        <w:gridCol w:w="1133"/>
        <w:gridCol w:w="286"/>
        <w:gridCol w:w="284"/>
        <w:gridCol w:w="991"/>
        <w:gridCol w:w="283"/>
        <w:gridCol w:w="1135"/>
        <w:gridCol w:w="1133"/>
      </w:tblGrid>
      <w:tr>
        <w:trPr>
          <w:trHeight w:val="204" w:hRule="exact"/>
        </w:trPr>
        <w:tc>
          <w:tcPr>
            <w:tcW w:w="2105" w:type="dxa"/>
            <w:vMerge w:val="restart"/>
            <w:tcBorders>
              <w:top w:val="single" w:sz="4" w:space="0" w:color="000000"/>
              <w:left w:val="single" w:sz="4" w:space="0" w:color="000000"/>
              <w:right w:val="single" w:sz="4" w:space="0" w:color="000000"/>
            </w:tcBorders>
            <w:shd w:val="clear" w:color="auto" w:fill="DCDCDC"/>
          </w:tcPr>
          <w:p>
            <w:pPr/>
          </w:p>
        </w:tc>
        <w:tc>
          <w:tcPr>
            <w:tcW w:w="653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9"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638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201" w:hRule="exact"/>
        </w:trPr>
        <w:tc>
          <w:tcPr>
            <w:tcW w:w="2105" w:type="dxa"/>
            <w:vMerge/>
            <w:tcBorders>
              <w:left w:val="single" w:sz="4" w:space="0" w:color="000000"/>
              <w:right w:val="single" w:sz="4" w:space="0" w:color="000000"/>
            </w:tcBorders>
            <w:shd w:val="clear" w:color="auto" w:fill="DCDCDC"/>
          </w:tcPr>
          <w:p>
            <w:pPr/>
          </w:p>
        </w:tc>
        <w:tc>
          <w:tcPr>
            <w:tcW w:w="1145" w:type="dxa"/>
            <w:vMerge w:val="restart"/>
            <w:tcBorders>
              <w:top w:val="single" w:sz="4" w:space="0" w:color="000000"/>
              <w:left w:val="single" w:sz="4" w:space="0" w:color="000000"/>
              <w:right w:val="single" w:sz="4" w:space="0" w:color="000000"/>
            </w:tcBorders>
            <w:shd w:val="clear" w:color="auto" w:fill="DCDCDC"/>
          </w:tcPr>
          <w:p>
            <w:pPr/>
          </w:p>
        </w:tc>
        <w:tc>
          <w:tcPr>
            <w:tcW w:w="1135" w:type="dxa"/>
            <w:vMerge w:val="restart"/>
            <w:tcBorders>
              <w:top w:val="single" w:sz="4" w:space="0" w:color="000000"/>
              <w:left w:val="single" w:sz="4" w:space="0" w:color="000000"/>
              <w:right w:val="single" w:sz="4" w:space="0" w:color="000000"/>
            </w:tcBorders>
            <w:shd w:val="clear" w:color="auto" w:fill="DCDCDC"/>
          </w:tcPr>
          <w:p>
            <w:pPr/>
          </w:p>
        </w:tc>
        <w:tc>
          <w:tcPr>
            <w:tcW w:w="283" w:type="dxa"/>
            <w:vMerge w:val="restart"/>
            <w:tcBorders>
              <w:top w:val="single" w:sz="4" w:space="0" w:color="000000"/>
              <w:left w:val="single" w:sz="9" w:space="0" w:color="DCDCDC"/>
              <w:right w:val="single" w:sz="22" w:space="0" w:color="DCDCDC"/>
            </w:tcBorders>
          </w:tcPr>
          <w:p>
            <w:pPr>
              <w:pStyle w:val="TableParagraph"/>
              <w:spacing w:line="195" w:lineRule="exact" w:before="74"/>
              <w:ind w:left="1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减</w:t>
            </w:r>
            <w:r>
              <w:rPr>
                <w:rFonts w:ascii="宋体" w:hAnsi="宋体" w:cs="宋体" w:eastAsia="宋体" w:hint="default"/>
                <w:sz w:val="15"/>
                <w:szCs w:val="15"/>
              </w:rPr>
            </w:r>
          </w:p>
          <w:p>
            <w:pPr>
              <w:pStyle w:val="TableParagraph"/>
              <w:spacing w:line="240" w:lineRule="auto"/>
              <w:ind w:left="53" w:right="37" w:hanging="39"/>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w:t>
            </w:r>
            <w:r>
              <w:rPr>
                <w:rFonts w:ascii="宋体" w:hAnsi="宋体" w:cs="宋体" w:eastAsia="宋体" w:hint="default"/>
                <w:w w:val="100"/>
                <w:sz w:val="15"/>
                <w:szCs w:val="15"/>
              </w:rPr>
            </w:r>
            <w:r>
              <w:rPr>
                <w:rFonts w:ascii="宋体" w:hAnsi="宋体" w:cs="宋体" w:eastAsia="宋体" w:hint="default"/>
                <w:w w:val="100"/>
                <w:sz w:val="15"/>
                <w:szCs w:val="15"/>
              </w:rPr>
              <w:t> </w:t>
            </w:r>
            <w:r>
              <w:rPr>
                <w:rFonts w:ascii="宋体" w:hAnsi="宋体" w:cs="宋体" w:eastAsia="宋体" w:hint="default"/>
                <w:sz w:val="15"/>
                <w:szCs w:val="15"/>
              </w:rPr>
              <w:t>库</w:t>
            </w:r>
          </w:p>
          <w:p>
            <w:pPr>
              <w:pStyle w:val="TableParagraph"/>
              <w:spacing w:line="193"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存</w:t>
            </w:r>
            <w:r>
              <w:rPr>
                <w:rFonts w:ascii="宋体" w:hAnsi="宋体" w:cs="宋体" w:eastAsia="宋体" w:hint="default"/>
                <w:sz w:val="15"/>
                <w:szCs w:val="15"/>
              </w:rPr>
            </w:r>
          </w:p>
          <w:p>
            <w:pPr>
              <w:pStyle w:val="TableParagraph"/>
              <w:spacing w:line="195"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股</w:t>
            </w:r>
            <w:r>
              <w:rPr>
                <w:rFonts w:ascii="宋体" w:hAnsi="宋体" w:cs="宋体" w:eastAsia="宋体" w:hint="default"/>
                <w:sz w:val="15"/>
                <w:szCs w:val="15"/>
              </w:rPr>
            </w:r>
          </w:p>
        </w:tc>
        <w:tc>
          <w:tcPr>
            <w:tcW w:w="284" w:type="dxa"/>
            <w:vMerge w:val="restart"/>
            <w:tcBorders>
              <w:top w:val="single" w:sz="4" w:space="0" w:color="000000"/>
              <w:left w:val="single" w:sz="22" w:space="0" w:color="DCDCDC"/>
              <w:right w:val="single" w:sz="10" w:space="0" w:color="DCDCDC"/>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left="37" w:right="0"/>
              <w:jc w:val="left"/>
              <w:rPr>
                <w:rFonts w:ascii="宋体" w:hAnsi="宋体" w:cs="宋体" w:eastAsia="宋体" w:hint="default"/>
                <w:sz w:val="15"/>
                <w:szCs w:val="15"/>
              </w:rPr>
            </w:pPr>
            <w:r>
              <w:rPr>
                <w:rFonts w:ascii="宋体" w:hAnsi="宋体" w:cs="宋体" w:eastAsia="宋体" w:hint="default"/>
                <w:w w:val="100"/>
                <w:sz w:val="15"/>
                <w:szCs w:val="15"/>
              </w:rPr>
              <w:t>专</w:t>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项</w:t>
            </w:r>
            <w:r>
              <w:rPr>
                <w:rFonts w:ascii="宋体" w:hAnsi="宋体" w:cs="宋体" w:eastAsia="宋体" w:hint="default"/>
                <w:sz w:val="15"/>
                <w:szCs w:val="15"/>
              </w:rPr>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储</w:t>
            </w:r>
            <w:r>
              <w:rPr>
                <w:rFonts w:ascii="宋体" w:hAnsi="宋体" w:cs="宋体" w:eastAsia="宋体" w:hint="default"/>
                <w:sz w:val="15"/>
                <w:szCs w:val="15"/>
              </w:rPr>
            </w:r>
          </w:p>
          <w:p>
            <w:pPr>
              <w:pStyle w:val="TableParagraph"/>
              <w:spacing w:line="195"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备</w:t>
            </w:r>
            <w:r>
              <w:rPr>
                <w:rFonts w:ascii="宋体" w:hAnsi="宋体" w:cs="宋体" w:eastAsia="宋体" w:hint="default"/>
                <w:sz w:val="15"/>
                <w:szCs w:val="15"/>
              </w:rPr>
            </w:r>
          </w:p>
        </w:tc>
        <w:tc>
          <w:tcPr>
            <w:tcW w:w="1135" w:type="dxa"/>
            <w:vMerge w:val="restart"/>
            <w:tcBorders>
              <w:top w:val="single" w:sz="4" w:space="0" w:color="000000"/>
              <w:left w:val="single" w:sz="4" w:space="0" w:color="000000"/>
              <w:right w:val="single" w:sz="4" w:space="0" w:color="000000"/>
            </w:tcBorders>
            <w:shd w:val="clear" w:color="auto" w:fill="DCDCDC"/>
          </w:tcPr>
          <w:p>
            <w:pPr/>
          </w:p>
        </w:tc>
        <w:tc>
          <w:tcPr>
            <w:tcW w:w="281" w:type="dxa"/>
            <w:tcBorders>
              <w:top w:val="single" w:sz="4" w:space="0" w:color="000000"/>
              <w:left w:val="single" w:sz="10" w:space="0" w:color="DCDCDC"/>
              <w:bottom w:val="nil" w:sz="6" w:space="0" w:color="auto"/>
              <w:right w:val="single" w:sz="12" w:space="0" w:color="DCDCDC"/>
            </w:tcBorders>
          </w:tcPr>
          <w:p>
            <w:pPr>
              <w:pStyle w:val="TableParagraph"/>
              <w:spacing w:line="175" w:lineRule="exact"/>
              <w:ind w:left="3" w:right="0"/>
              <w:jc w:val="center"/>
              <w:rPr>
                <w:rFonts w:ascii="宋体" w:hAnsi="宋体" w:cs="宋体" w:eastAsia="宋体" w:hint="default"/>
                <w:sz w:val="15"/>
                <w:szCs w:val="15"/>
              </w:rPr>
            </w:pPr>
            <w:r>
              <w:rPr>
                <w:rFonts w:ascii="宋体" w:hAnsi="宋体" w:cs="宋体" w:eastAsia="宋体" w:hint="default"/>
                <w:w w:val="100"/>
                <w:sz w:val="15"/>
                <w:szCs w:val="15"/>
              </w:rPr>
              <w:t>一</w:t>
            </w:r>
          </w:p>
        </w:tc>
        <w:tc>
          <w:tcPr>
            <w:tcW w:w="1135" w:type="dxa"/>
            <w:vMerge w:val="restart"/>
            <w:tcBorders>
              <w:top w:val="single" w:sz="4" w:space="0" w:color="000000"/>
              <w:left w:val="single" w:sz="4" w:space="0" w:color="000000"/>
              <w:right w:val="single" w:sz="4" w:space="0" w:color="000000"/>
            </w:tcBorders>
            <w:shd w:val="clear" w:color="auto" w:fill="DCDCDC"/>
          </w:tcPr>
          <w:p>
            <w:pPr/>
          </w:p>
        </w:tc>
        <w:tc>
          <w:tcPr>
            <w:tcW w:w="1133" w:type="dxa"/>
            <w:vMerge w:val="restart"/>
            <w:tcBorders>
              <w:top w:val="single" w:sz="4" w:space="0" w:color="000000"/>
              <w:left w:val="single" w:sz="4" w:space="0" w:color="000000"/>
              <w:right w:val="single" w:sz="4" w:space="0" w:color="000000"/>
            </w:tcBorders>
            <w:shd w:val="clear" w:color="auto" w:fill="DCDCDC"/>
          </w:tcPr>
          <w:p>
            <w:pPr/>
          </w:p>
        </w:tc>
        <w:tc>
          <w:tcPr>
            <w:tcW w:w="1135" w:type="dxa"/>
            <w:vMerge w:val="restart"/>
            <w:tcBorders>
              <w:top w:val="single" w:sz="4" w:space="0" w:color="000000"/>
              <w:left w:val="single" w:sz="4" w:space="0" w:color="000000"/>
              <w:right w:val="single" w:sz="4" w:space="0" w:color="000000"/>
            </w:tcBorders>
            <w:shd w:val="clear" w:color="auto" w:fill="DCDCDC"/>
          </w:tcPr>
          <w:p>
            <w:pPr/>
          </w:p>
        </w:tc>
        <w:tc>
          <w:tcPr>
            <w:tcW w:w="1133" w:type="dxa"/>
            <w:vMerge w:val="restart"/>
            <w:tcBorders>
              <w:top w:val="single" w:sz="4" w:space="0" w:color="000000"/>
              <w:left w:val="single" w:sz="4" w:space="0" w:color="000000"/>
              <w:right w:val="single" w:sz="4" w:space="0" w:color="000000"/>
            </w:tcBorders>
            <w:shd w:val="clear" w:color="auto" w:fill="DCDCDC"/>
          </w:tcPr>
          <w:p>
            <w:pPr/>
          </w:p>
        </w:tc>
        <w:tc>
          <w:tcPr>
            <w:tcW w:w="286" w:type="dxa"/>
            <w:vMerge w:val="restart"/>
            <w:tcBorders>
              <w:top w:val="single" w:sz="4" w:space="0" w:color="000000"/>
              <w:left w:val="single" w:sz="13" w:space="0" w:color="DCDCDC"/>
              <w:right w:val="single" w:sz="22" w:space="0" w:color="DCDCDC"/>
            </w:tcBorders>
          </w:tcPr>
          <w:p>
            <w:pPr>
              <w:pStyle w:val="TableParagraph"/>
              <w:spacing w:line="195" w:lineRule="exact" w:before="74"/>
              <w:ind w:left="1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减</w:t>
            </w:r>
            <w:r>
              <w:rPr>
                <w:rFonts w:ascii="宋体" w:hAnsi="宋体" w:cs="宋体" w:eastAsia="宋体" w:hint="default"/>
                <w:sz w:val="15"/>
                <w:szCs w:val="15"/>
              </w:rPr>
            </w:r>
          </w:p>
          <w:p>
            <w:pPr>
              <w:pStyle w:val="TableParagraph"/>
              <w:spacing w:line="240" w:lineRule="auto"/>
              <w:ind w:left="50" w:right="37" w:hanging="39"/>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w:t>
            </w:r>
            <w:r>
              <w:rPr>
                <w:rFonts w:ascii="宋体" w:hAnsi="宋体" w:cs="宋体" w:eastAsia="宋体" w:hint="default"/>
                <w:w w:val="100"/>
                <w:sz w:val="15"/>
                <w:szCs w:val="15"/>
              </w:rPr>
            </w:r>
            <w:r>
              <w:rPr>
                <w:rFonts w:ascii="宋体" w:hAnsi="宋体" w:cs="宋体" w:eastAsia="宋体" w:hint="default"/>
                <w:w w:val="100"/>
                <w:sz w:val="15"/>
                <w:szCs w:val="15"/>
              </w:rPr>
              <w:t> </w:t>
            </w:r>
            <w:r>
              <w:rPr>
                <w:rFonts w:ascii="宋体" w:hAnsi="宋体" w:cs="宋体" w:eastAsia="宋体" w:hint="default"/>
                <w:sz w:val="15"/>
                <w:szCs w:val="15"/>
              </w:rPr>
              <w:t>库</w:t>
            </w:r>
          </w:p>
          <w:p>
            <w:pPr>
              <w:pStyle w:val="TableParagraph"/>
              <w:spacing w:line="193" w:lineRule="exact"/>
              <w:ind w:left="1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存</w:t>
            </w:r>
            <w:r>
              <w:rPr>
                <w:rFonts w:ascii="宋体" w:hAnsi="宋体" w:cs="宋体" w:eastAsia="宋体" w:hint="default"/>
                <w:sz w:val="15"/>
                <w:szCs w:val="15"/>
              </w:rPr>
            </w:r>
          </w:p>
          <w:p>
            <w:pPr>
              <w:pStyle w:val="TableParagraph"/>
              <w:spacing w:line="195" w:lineRule="exact"/>
              <w:ind w:left="1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股</w:t>
            </w:r>
            <w:r>
              <w:rPr>
                <w:rFonts w:ascii="宋体" w:hAnsi="宋体" w:cs="宋体" w:eastAsia="宋体" w:hint="default"/>
                <w:sz w:val="15"/>
                <w:szCs w:val="15"/>
              </w:rPr>
            </w:r>
          </w:p>
        </w:tc>
        <w:tc>
          <w:tcPr>
            <w:tcW w:w="284"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vMerge w:val="restart"/>
            <w:tcBorders>
              <w:top w:val="single" w:sz="4" w:space="0" w:color="000000"/>
              <w:left w:val="single" w:sz="4" w:space="0" w:color="000000"/>
              <w:right w:val="single" w:sz="4" w:space="0" w:color="000000"/>
            </w:tcBorders>
            <w:shd w:val="clear" w:color="auto" w:fill="DCDCDC"/>
          </w:tcPr>
          <w:p>
            <w:pPr/>
          </w:p>
        </w:tc>
        <w:tc>
          <w:tcPr>
            <w:tcW w:w="283" w:type="dxa"/>
            <w:tcBorders>
              <w:top w:val="single" w:sz="4" w:space="0" w:color="000000"/>
              <w:left w:val="single" w:sz="12" w:space="0" w:color="DCDCDC"/>
              <w:bottom w:val="nil" w:sz="6" w:space="0" w:color="auto"/>
              <w:right w:val="single" w:sz="13" w:space="0" w:color="DCDCDC"/>
            </w:tcBorders>
          </w:tcPr>
          <w:p>
            <w:pPr>
              <w:pStyle w:val="TableParagraph"/>
              <w:spacing w:line="175" w:lineRule="exact"/>
              <w:ind w:left="49" w:right="0"/>
              <w:jc w:val="left"/>
              <w:rPr>
                <w:rFonts w:ascii="宋体" w:hAnsi="宋体" w:cs="宋体" w:eastAsia="宋体" w:hint="default"/>
                <w:sz w:val="15"/>
                <w:szCs w:val="15"/>
              </w:rPr>
            </w:pPr>
            <w:r>
              <w:rPr>
                <w:rFonts w:ascii="宋体" w:hAnsi="宋体" w:cs="宋体" w:eastAsia="宋体" w:hint="default"/>
                <w:w w:val="100"/>
                <w:sz w:val="15"/>
                <w:szCs w:val="15"/>
              </w:rPr>
              <w:t>一</w:t>
            </w:r>
          </w:p>
        </w:tc>
        <w:tc>
          <w:tcPr>
            <w:tcW w:w="1135" w:type="dxa"/>
            <w:vMerge w:val="restart"/>
            <w:tcBorders>
              <w:top w:val="single" w:sz="4" w:space="0" w:color="000000"/>
              <w:left w:val="single" w:sz="4" w:space="0" w:color="000000"/>
              <w:right w:val="single" w:sz="4" w:space="0" w:color="000000"/>
            </w:tcBorders>
            <w:shd w:val="clear" w:color="auto" w:fill="DCDCDC"/>
          </w:tcPr>
          <w:p>
            <w:pPr/>
          </w:p>
        </w:tc>
        <w:tc>
          <w:tcPr>
            <w:tcW w:w="1133" w:type="dxa"/>
            <w:vMerge w:val="restart"/>
            <w:tcBorders>
              <w:top w:val="single" w:sz="4" w:space="0" w:color="000000"/>
              <w:left w:val="single" w:sz="4" w:space="0" w:color="000000"/>
              <w:right w:val="single" w:sz="4" w:space="0" w:color="000000"/>
            </w:tcBorders>
            <w:shd w:val="clear" w:color="auto" w:fill="DCDCDC"/>
          </w:tcPr>
          <w:p>
            <w:pPr/>
          </w:p>
        </w:tc>
      </w:tr>
      <w:tr>
        <w:trPr>
          <w:trHeight w:val="192" w:hRule="exact"/>
        </w:trPr>
        <w:tc>
          <w:tcPr>
            <w:tcW w:w="2105" w:type="dxa"/>
            <w:vMerge/>
            <w:tcBorders>
              <w:left w:val="single" w:sz="4" w:space="0" w:color="000000"/>
              <w:bottom w:val="nil" w:sz="6" w:space="0" w:color="auto"/>
              <w:right w:val="single" w:sz="4" w:space="0" w:color="000000"/>
            </w:tcBorders>
            <w:shd w:val="clear" w:color="auto" w:fill="DCDCDC"/>
          </w:tcPr>
          <w:p>
            <w:pPr/>
          </w:p>
        </w:tc>
        <w:tc>
          <w:tcPr>
            <w:tcW w:w="1145" w:type="dxa"/>
            <w:vMerge/>
            <w:tcBorders>
              <w:left w:val="single" w:sz="4" w:space="0" w:color="000000"/>
              <w:bottom w:val="nil" w:sz="6" w:space="0" w:color="auto"/>
              <w:right w:val="single" w:sz="4" w:space="0" w:color="000000"/>
            </w:tcBorders>
            <w:shd w:val="clear" w:color="auto" w:fill="DCDCDC"/>
          </w:tcPr>
          <w:p>
            <w:pPr/>
          </w:p>
        </w:tc>
        <w:tc>
          <w:tcPr>
            <w:tcW w:w="1135" w:type="dxa"/>
            <w:vMerge/>
            <w:tcBorders>
              <w:left w:val="single" w:sz="4" w:space="0" w:color="000000"/>
              <w:right w:val="single" w:sz="4" w:space="0" w:color="000000"/>
            </w:tcBorders>
            <w:shd w:val="clear" w:color="auto" w:fill="DCDCDC"/>
          </w:tcPr>
          <w:p>
            <w:pPr/>
          </w:p>
        </w:tc>
        <w:tc>
          <w:tcPr>
            <w:tcW w:w="283" w:type="dxa"/>
            <w:vMerge/>
            <w:tcBorders>
              <w:left w:val="single" w:sz="9" w:space="0" w:color="DCDCDC"/>
              <w:right w:val="single" w:sz="22" w:space="0" w:color="DCDCDC"/>
            </w:tcBorders>
          </w:tcPr>
          <w:p>
            <w:pPr/>
          </w:p>
        </w:tc>
        <w:tc>
          <w:tcPr>
            <w:tcW w:w="284" w:type="dxa"/>
            <w:vMerge/>
            <w:tcBorders>
              <w:left w:val="single" w:sz="22" w:space="0" w:color="DCDCDC"/>
              <w:right w:val="single" w:sz="10" w:space="0" w:color="DCDCDC"/>
            </w:tcBorders>
          </w:tcPr>
          <w:p>
            <w:pPr/>
          </w:p>
        </w:tc>
        <w:tc>
          <w:tcPr>
            <w:tcW w:w="1135" w:type="dxa"/>
            <w:vMerge/>
            <w:tcBorders>
              <w:left w:val="single" w:sz="4" w:space="0" w:color="000000"/>
              <w:right w:val="single" w:sz="4" w:space="0" w:color="000000"/>
            </w:tcBorders>
            <w:shd w:val="clear" w:color="auto" w:fill="DCDCDC"/>
          </w:tcPr>
          <w:p>
            <w:pPr/>
          </w:p>
        </w:tc>
        <w:tc>
          <w:tcPr>
            <w:tcW w:w="281" w:type="dxa"/>
            <w:vMerge w:val="restart"/>
            <w:tcBorders>
              <w:top w:val="nil" w:sz="6" w:space="0" w:color="auto"/>
              <w:left w:val="single" w:sz="10" w:space="0" w:color="DCDCDC"/>
              <w:right w:val="single" w:sz="12" w:space="0" w:color="DCDCDC"/>
            </w:tcBorders>
          </w:tcPr>
          <w:p>
            <w:pPr>
              <w:pStyle w:val="TableParagraph"/>
              <w:spacing w:line="172" w:lineRule="exact"/>
              <w:ind w:left="1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般</w:t>
            </w:r>
            <w:r>
              <w:rPr>
                <w:rFonts w:ascii="宋体" w:hAnsi="宋体" w:cs="宋体" w:eastAsia="宋体" w:hint="default"/>
                <w:sz w:val="15"/>
                <w:szCs w:val="15"/>
              </w:rPr>
            </w:r>
          </w:p>
          <w:p>
            <w:pPr>
              <w:pStyle w:val="TableParagraph"/>
              <w:spacing w:line="194" w:lineRule="exact"/>
              <w:ind w:left="1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风</w:t>
            </w:r>
            <w:r>
              <w:rPr>
                <w:rFonts w:ascii="宋体" w:hAnsi="宋体" w:cs="宋体" w:eastAsia="宋体" w:hint="default"/>
                <w:sz w:val="15"/>
                <w:szCs w:val="15"/>
              </w:rPr>
            </w:r>
          </w:p>
          <w:p>
            <w:pPr>
              <w:pStyle w:val="TableParagraph"/>
              <w:spacing w:line="194" w:lineRule="exact"/>
              <w:ind w:left="1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险</w:t>
            </w:r>
            <w:r>
              <w:rPr>
                <w:rFonts w:ascii="宋体" w:hAnsi="宋体" w:cs="宋体" w:eastAsia="宋体" w:hint="default"/>
                <w:sz w:val="15"/>
                <w:szCs w:val="15"/>
              </w:rPr>
            </w:r>
          </w:p>
          <w:p>
            <w:pPr>
              <w:pStyle w:val="TableParagraph"/>
              <w:spacing w:line="195" w:lineRule="exact"/>
              <w:ind w:left="1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准</w:t>
            </w:r>
            <w:r>
              <w:rPr>
                <w:rFonts w:ascii="宋体" w:hAnsi="宋体" w:cs="宋体" w:eastAsia="宋体" w:hint="default"/>
                <w:sz w:val="15"/>
                <w:szCs w:val="15"/>
              </w:rPr>
            </w:r>
          </w:p>
        </w:tc>
        <w:tc>
          <w:tcPr>
            <w:tcW w:w="1135"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c>
          <w:tcPr>
            <w:tcW w:w="286" w:type="dxa"/>
            <w:vMerge/>
            <w:tcBorders>
              <w:left w:val="single" w:sz="13" w:space="0" w:color="DCDCDC"/>
              <w:right w:val="single" w:sz="22" w:space="0" w:color="DCDCDC"/>
            </w:tcBorders>
          </w:tcPr>
          <w:p>
            <w:pPr/>
          </w:p>
        </w:tc>
        <w:tc>
          <w:tcPr>
            <w:tcW w:w="284" w:type="dxa"/>
            <w:vMerge w:val="restart"/>
            <w:tcBorders>
              <w:top w:val="nil" w:sz="6" w:space="0" w:color="auto"/>
              <w:left w:val="single" w:sz="22" w:space="0" w:color="DCDCDC"/>
              <w:right w:val="single" w:sz="14" w:space="0" w:color="DCDCDC"/>
            </w:tcBorders>
          </w:tcPr>
          <w:p>
            <w:pPr>
              <w:pStyle w:val="TableParagraph"/>
              <w:spacing w:line="172"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专</w:t>
            </w:r>
            <w:r>
              <w:rPr>
                <w:rFonts w:ascii="宋体" w:hAnsi="宋体" w:cs="宋体" w:eastAsia="宋体" w:hint="default"/>
                <w:sz w:val="15"/>
                <w:szCs w:val="15"/>
              </w:rPr>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项</w:t>
            </w:r>
            <w:r>
              <w:rPr>
                <w:rFonts w:ascii="宋体" w:hAnsi="宋体" w:cs="宋体" w:eastAsia="宋体" w:hint="default"/>
                <w:sz w:val="15"/>
                <w:szCs w:val="15"/>
              </w:rPr>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储</w:t>
            </w:r>
            <w:r>
              <w:rPr>
                <w:rFonts w:ascii="宋体" w:hAnsi="宋体" w:cs="宋体" w:eastAsia="宋体" w:hint="default"/>
                <w:sz w:val="15"/>
                <w:szCs w:val="15"/>
              </w:rPr>
            </w:r>
          </w:p>
          <w:p>
            <w:pPr>
              <w:pStyle w:val="TableParagraph"/>
              <w:spacing w:line="195"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备</w:t>
            </w:r>
            <w:r>
              <w:rPr>
                <w:rFonts w:ascii="宋体" w:hAnsi="宋体" w:cs="宋体" w:eastAsia="宋体" w:hint="default"/>
                <w:sz w:val="15"/>
                <w:szCs w:val="15"/>
              </w:rPr>
            </w:r>
          </w:p>
        </w:tc>
        <w:tc>
          <w:tcPr>
            <w:tcW w:w="991" w:type="dxa"/>
            <w:vMerge/>
            <w:tcBorders>
              <w:left w:val="single" w:sz="4" w:space="0" w:color="000000"/>
              <w:right w:val="single" w:sz="4" w:space="0" w:color="000000"/>
            </w:tcBorders>
            <w:shd w:val="clear" w:color="auto" w:fill="DCDCDC"/>
          </w:tcPr>
          <w:p>
            <w:pPr/>
          </w:p>
        </w:tc>
        <w:tc>
          <w:tcPr>
            <w:tcW w:w="283" w:type="dxa"/>
            <w:vMerge w:val="restart"/>
            <w:tcBorders>
              <w:top w:val="nil" w:sz="6" w:space="0" w:color="auto"/>
              <w:left w:val="single" w:sz="22" w:space="0" w:color="DCDCDC"/>
              <w:right w:val="single" w:sz="13" w:space="0" w:color="DCDCDC"/>
            </w:tcBorders>
          </w:tcPr>
          <w:p>
            <w:pPr>
              <w:pStyle w:val="TableParagraph"/>
              <w:spacing w:line="172"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般</w:t>
            </w:r>
            <w:r>
              <w:rPr>
                <w:rFonts w:ascii="宋体" w:hAnsi="宋体" w:cs="宋体" w:eastAsia="宋体" w:hint="default"/>
                <w:sz w:val="15"/>
                <w:szCs w:val="15"/>
              </w:rPr>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风</w:t>
            </w:r>
            <w:r>
              <w:rPr>
                <w:rFonts w:ascii="宋体" w:hAnsi="宋体" w:cs="宋体" w:eastAsia="宋体" w:hint="default"/>
                <w:sz w:val="15"/>
                <w:szCs w:val="15"/>
              </w:rPr>
            </w:r>
          </w:p>
          <w:p>
            <w:pPr>
              <w:pStyle w:val="TableParagraph"/>
              <w:spacing w:line="19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险</w:t>
            </w:r>
            <w:r>
              <w:rPr>
                <w:rFonts w:ascii="宋体" w:hAnsi="宋体" w:cs="宋体" w:eastAsia="宋体" w:hint="default"/>
                <w:sz w:val="15"/>
                <w:szCs w:val="15"/>
              </w:rPr>
            </w:r>
          </w:p>
          <w:p>
            <w:pPr>
              <w:pStyle w:val="TableParagraph"/>
              <w:spacing w:line="195" w:lineRule="exact"/>
              <w:ind w:left="-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shd w:fill="DCDCDC" w:color="auto" w:val="clear"/>
              </w:rPr>
              <w:t> </w:t>
            </w:r>
            <w:r>
              <w:rPr>
                <w:rFonts w:ascii="宋体" w:hAnsi="宋体" w:cs="宋体" w:eastAsia="宋体" w:hint="default"/>
                <w:sz w:val="15"/>
                <w:szCs w:val="15"/>
                <w:shd w:fill="DCDCDC" w:color="auto" w:val="clear"/>
              </w:rPr>
              <w:t>准</w:t>
            </w:r>
            <w:r>
              <w:rPr>
                <w:rFonts w:ascii="宋体" w:hAnsi="宋体" w:cs="宋体" w:eastAsia="宋体" w:hint="default"/>
                <w:sz w:val="15"/>
                <w:szCs w:val="15"/>
              </w:rPr>
            </w:r>
          </w:p>
        </w:tc>
        <w:tc>
          <w:tcPr>
            <w:tcW w:w="1135"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r>
      <w:tr>
        <w:trPr>
          <w:trHeight w:val="98" w:hRule="exact"/>
        </w:trPr>
        <w:tc>
          <w:tcPr>
            <w:tcW w:w="2105" w:type="dxa"/>
            <w:vMerge w:val="restart"/>
            <w:tcBorders>
              <w:top w:val="nil" w:sz="6" w:space="0" w:color="auto"/>
              <w:left w:val="single" w:sz="4" w:space="0" w:color="000000"/>
              <w:right w:val="single" w:sz="4" w:space="0" w:color="000000"/>
            </w:tcBorders>
            <w:shd w:val="clear" w:color="auto" w:fill="DCDCDC"/>
          </w:tcPr>
          <w:p>
            <w:pPr>
              <w:pStyle w:val="TableParagraph"/>
              <w:spacing w:line="170" w:lineRule="exact"/>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5" w:type="dxa"/>
            <w:vMerge w:val="restart"/>
            <w:tcBorders>
              <w:top w:val="nil" w:sz="6" w:space="0" w:color="auto"/>
              <w:left w:val="single" w:sz="4" w:space="0" w:color="000000"/>
              <w:right w:val="single" w:sz="4" w:space="0" w:color="000000"/>
            </w:tcBorders>
            <w:shd w:val="clear" w:color="auto" w:fill="DCDCDC"/>
          </w:tcPr>
          <w:p>
            <w:pPr>
              <w:pStyle w:val="TableParagraph"/>
              <w:spacing w:line="174" w:lineRule="exact"/>
              <w:ind w:left="9"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left="12"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135"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9" w:space="0" w:color="DCDCDC"/>
              <w:right w:val="single" w:sz="22" w:space="0" w:color="DCDCDC"/>
            </w:tcBorders>
          </w:tcPr>
          <w:p>
            <w:pPr/>
          </w:p>
        </w:tc>
        <w:tc>
          <w:tcPr>
            <w:tcW w:w="284" w:type="dxa"/>
            <w:vMerge/>
            <w:tcBorders>
              <w:left w:val="single" w:sz="22" w:space="0" w:color="DCDCDC"/>
              <w:right w:val="single" w:sz="10"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281" w:type="dxa"/>
            <w:vMerge/>
            <w:tcBorders>
              <w:left w:val="single" w:sz="10" w:space="0" w:color="DCDCDC"/>
              <w:right w:val="single" w:sz="12"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1135" w:type="dxa"/>
            <w:vMerge w:val="restart"/>
            <w:tcBorders>
              <w:top w:val="nil" w:sz="6" w:space="0" w:color="auto"/>
              <w:left w:val="single" w:sz="4" w:space="0" w:color="000000"/>
              <w:right w:val="single" w:sz="4" w:space="0" w:color="000000"/>
            </w:tcBorders>
            <w:shd w:val="clear" w:color="auto" w:fill="DCDCDC"/>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133" w:type="dxa"/>
            <w:vMerge/>
            <w:tcBorders>
              <w:left w:val="single" w:sz="4" w:space="0" w:color="000000"/>
              <w:bottom w:val="nil" w:sz="6" w:space="0" w:color="auto"/>
              <w:right w:val="single" w:sz="4" w:space="0" w:color="000000"/>
            </w:tcBorders>
            <w:shd w:val="clear" w:color="auto" w:fill="DCDCDC"/>
          </w:tcPr>
          <w:p>
            <w:pPr/>
          </w:p>
        </w:tc>
        <w:tc>
          <w:tcPr>
            <w:tcW w:w="286" w:type="dxa"/>
            <w:vMerge/>
            <w:tcBorders>
              <w:left w:val="single" w:sz="13" w:space="0" w:color="DCDCDC"/>
              <w:right w:val="single" w:sz="22" w:space="0" w:color="DCDCDC"/>
            </w:tcBorders>
          </w:tcPr>
          <w:p>
            <w:pPr/>
          </w:p>
        </w:tc>
        <w:tc>
          <w:tcPr>
            <w:tcW w:w="284" w:type="dxa"/>
            <w:vMerge/>
            <w:tcBorders>
              <w:left w:val="single" w:sz="22" w:space="0" w:color="DCDCDC"/>
              <w:right w:val="single" w:sz="14" w:space="0" w:color="DCDCDC"/>
            </w:tcBorders>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22" w:space="0" w:color="DCDCDC"/>
              <w:right w:val="single" w:sz="13"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r>
      <w:tr>
        <w:trPr>
          <w:trHeight w:val="94" w:hRule="exact"/>
        </w:trPr>
        <w:tc>
          <w:tcPr>
            <w:tcW w:w="2105" w:type="dxa"/>
            <w:vMerge/>
            <w:tcBorders>
              <w:left w:val="single" w:sz="4" w:space="0" w:color="000000"/>
              <w:bottom w:val="nil" w:sz="6" w:space="0" w:color="auto"/>
              <w:right w:val="single" w:sz="4" w:space="0" w:color="000000"/>
            </w:tcBorders>
            <w:shd w:val="clear" w:color="auto" w:fill="DCDCDC"/>
          </w:tcPr>
          <w:p>
            <w:pPr/>
          </w:p>
        </w:tc>
        <w:tc>
          <w:tcPr>
            <w:tcW w:w="1145" w:type="dxa"/>
            <w:vMerge/>
            <w:tcBorders>
              <w:left w:val="single" w:sz="4" w:space="0" w:color="000000"/>
              <w:right w:val="single" w:sz="4" w:space="0" w:color="000000"/>
            </w:tcBorders>
            <w:shd w:val="clear" w:color="auto" w:fill="DCDCDC"/>
          </w:tcPr>
          <w:p>
            <w:pPr/>
          </w:p>
        </w:tc>
        <w:tc>
          <w:tcPr>
            <w:tcW w:w="1135"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283" w:type="dxa"/>
            <w:vMerge/>
            <w:tcBorders>
              <w:left w:val="single" w:sz="9" w:space="0" w:color="DCDCDC"/>
              <w:right w:val="single" w:sz="22" w:space="0" w:color="DCDCDC"/>
            </w:tcBorders>
          </w:tcPr>
          <w:p>
            <w:pPr/>
          </w:p>
        </w:tc>
        <w:tc>
          <w:tcPr>
            <w:tcW w:w="284" w:type="dxa"/>
            <w:vMerge/>
            <w:tcBorders>
              <w:left w:val="single" w:sz="22" w:space="0" w:color="DCDCDC"/>
              <w:right w:val="single" w:sz="10"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281" w:type="dxa"/>
            <w:vMerge/>
            <w:tcBorders>
              <w:left w:val="single" w:sz="10" w:space="0" w:color="DCDCDC"/>
              <w:right w:val="single" w:sz="12"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18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3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1135" w:type="dxa"/>
            <w:vMerge/>
            <w:tcBorders>
              <w:left w:val="single" w:sz="4" w:space="0" w:color="000000"/>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25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286" w:type="dxa"/>
            <w:vMerge/>
            <w:tcBorders>
              <w:left w:val="single" w:sz="13" w:space="0" w:color="DCDCDC"/>
              <w:right w:val="single" w:sz="22" w:space="0" w:color="DCDCDC"/>
            </w:tcBorders>
          </w:tcPr>
          <w:p>
            <w:pPr/>
          </w:p>
        </w:tc>
        <w:tc>
          <w:tcPr>
            <w:tcW w:w="284" w:type="dxa"/>
            <w:vMerge/>
            <w:tcBorders>
              <w:left w:val="single" w:sz="22" w:space="0" w:color="DCDCDC"/>
              <w:right w:val="single" w:sz="14" w:space="0" w:color="DCDCDC"/>
            </w:tcBorders>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18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283" w:type="dxa"/>
            <w:vMerge/>
            <w:tcBorders>
              <w:left w:val="single" w:sz="22" w:space="0" w:color="DCDCDC"/>
              <w:right w:val="single" w:sz="13"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18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172" w:lineRule="exact"/>
              <w:ind w:left="3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01" w:hRule="exact"/>
        </w:trPr>
        <w:tc>
          <w:tcPr>
            <w:tcW w:w="2105" w:type="dxa"/>
            <w:vMerge w:val="restart"/>
            <w:tcBorders>
              <w:top w:val="nil" w:sz="6" w:space="0" w:color="auto"/>
              <w:left w:val="single" w:sz="4" w:space="0" w:color="000000"/>
              <w:right w:val="single" w:sz="4" w:space="0" w:color="000000"/>
            </w:tcBorders>
            <w:shd w:val="clear" w:color="auto" w:fill="DCDCDC"/>
          </w:tcPr>
          <w:p>
            <w:pPr/>
          </w:p>
        </w:tc>
        <w:tc>
          <w:tcPr>
            <w:tcW w:w="1145" w:type="dxa"/>
            <w:vMerge/>
            <w:tcBorders>
              <w:left w:val="single" w:sz="4" w:space="0" w:color="000000"/>
              <w:right w:val="single" w:sz="4" w:space="0" w:color="000000"/>
            </w:tcBorders>
            <w:shd w:val="clear" w:color="auto" w:fill="DCDCDC"/>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9" w:space="0" w:color="DCDCDC"/>
              <w:right w:val="single" w:sz="22" w:space="0" w:color="DCDCDC"/>
            </w:tcBorders>
          </w:tcPr>
          <w:p>
            <w:pPr/>
          </w:p>
        </w:tc>
        <w:tc>
          <w:tcPr>
            <w:tcW w:w="284" w:type="dxa"/>
            <w:vMerge/>
            <w:tcBorders>
              <w:left w:val="single" w:sz="22" w:space="0" w:color="DCDCDC"/>
              <w:right w:val="single" w:sz="10"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281" w:type="dxa"/>
            <w:vMerge/>
            <w:tcBorders>
              <w:left w:val="single" w:sz="10" w:space="0" w:color="DCDCDC"/>
              <w:right w:val="single" w:sz="12"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1135"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286" w:type="dxa"/>
            <w:vMerge/>
            <w:tcBorders>
              <w:left w:val="single" w:sz="13" w:space="0" w:color="DCDCDC"/>
              <w:right w:val="single" w:sz="22" w:space="0" w:color="DCDCDC"/>
            </w:tcBorders>
          </w:tcPr>
          <w:p>
            <w:pPr/>
          </w:p>
        </w:tc>
        <w:tc>
          <w:tcPr>
            <w:tcW w:w="284" w:type="dxa"/>
            <w:vMerge/>
            <w:tcBorders>
              <w:left w:val="single" w:sz="22" w:space="0" w:color="DCDCDC"/>
              <w:right w:val="single" w:sz="14" w:space="0" w:color="DCDCDC"/>
            </w:tcBorders>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283" w:type="dxa"/>
            <w:vMerge/>
            <w:tcBorders>
              <w:left w:val="single" w:sz="22" w:space="0" w:color="DCDCDC"/>
              <w:right w:val="single" w:sz="13" w:space="0" w:color="DCDCDC"/>
            </w:tcBorders>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r>
      <w:tr>
        <w:trPr>
          <w:trHeight w:val="98" w:hRule="exact"/>
        </w:trPr>
        <w:tc>
          <w:tcPr>
            <w:tcW w:w="2105" w:type="dxa"/>
            <w:vMerge/>
            <w:tcBorders>
              <w:left w:val="single" w:sz="4" w:space="0" w:color="000000"/>
              <w:right w:val="single" w:sz="4" w:space="0" w:color="000000"/>
            </w:tcBorders>
            <w:shd w:val="clear" w:color="auto" w:fill="DCDCDC"/>
          </w:tcPr>
          <w:p>
            <w:pPr/>
          </w:p>
        </w:tc>
        <w:tc>
          <w:tcPr>
            <w:tcW w:w="1145" w:type="dxa"/>
            <w:vMerge/>
            <w:tcBorders>
              <w:left w:val="single" w:sz="4" w:space="0" w:color="000000"/>
              <w:bottom w:val="nil" w:sz="6" w:space="0" w:color="auto"/>
              <w:right w:val="single" w:sz="4" w:space="0" w:color="000000"/>
            </w:tcBorders>
            <w:shd w:val="clear" w:color="auto" w:fill="DCDCDC"/>
          </w:tcPr>
          <w:p>
            <w:pPr/>
          </w:p>
        </w:tc>
        <w:tc>
          <w:tcPr>
            <w:tcW w:w="1135"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9" w:space="0" w:color="DCDCDC"/>
              <w:right w:val="single" w:sz="22" w:space="0" w:color="DCDCDC"/>
            </w:tcBorders>
          </w:tcPr>
          <w:p>
            <w:pPr/>
          </w:p>
        </w:tc>
        <w:tc>
          <w:tcPr>
            <w:tcW w:w="284" w:type="dxa"/>
            <w:vMerge/>
            <w:tcBorders>
              <w:left w:val="single" w:sz="22" w:space="0" w:color="DCDCDC"/>
              <w:right w:val="single" w:sz="10"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
        </w:tc>
        <w:tc>
          <w:tcPr>
            <w:tcW w:w="281" w:type="dxa"/>
            <w:vMerge/>
            <w:tcBorders>
              <w:left w:val="single" w:sz="10" w:space="0" w:color="DCDCDC"/>
              <w:right w:val="single" w:sz="12"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
        </w:tc>
        <w:tc>
          <w:tcPr>
            <w:tcW w:w="1135" w:type="dxa"/>
            <w:vMerge/>
            <w:tcBorders>
              <w:left w:val="single" w:sz="4" w:space="0" w:color="000000"/>
              <w:bottom w:val="nil" w:sz="6" w:space="0" w:color="auto"/>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
        </w:tc>
        <w:tc>
          <w:tcPr>
            <w:tcW w:w="286" w:type="dxa"/>
            <w:vMerge/>
            <w:tcBorders>
              <w:left w:val="single" w:sz="13" w:space="0" w:color="DCDCDC"/>
              <w:right w:val="single" w:sz="22" w:space="0" w:color="DCDCDC"/>
            </w:tcBorders>
          </w:tcPr>
          <w:p>
            <w:pPr/>
          </w:p>
        </w:tc>
        <w:tc>
          <w:tcPr>
            <w:tcW w:w="284" w:type="dxa"/>
            <w:vMerge/>
            <w:tcBorders>
              <w:left w:val="single" w:sz="22" w:space="0" w:color="DCDCDC"/>
              <w:right w:val="single" w:sz="14" w:space="0" w:color="DCDCDC"/>
            </w:tcBorders>
          </w:tcPr>
          <w:p>
            <w:pPr/>
          </w:p>
        </w:tc>
        <w:tc>
          <w:tcPr>
            <w:tcW w:w="991" w:type="dxa"/>
            <w:vMerge w:val="restart"/>
            <w:tcBorders>
              <w:top w:val="nil" w:sz="6" w:space="0" w:color="auto"/>
              <w:left w:val="single" w:sz="4" w:space="0" w:color="000000"/>
              <w:right w:val="single" w:sz="4" w:space="0" w:color="000000"/>
            </w:tcBorders>
            <w:shd w:val="clear" w:color="auto" w:fill="DCDCDC"/>
          </w:tcPr>
          <w:p>
            <w:pPr/>
          </w:p>
        </w:tc>
        <w:tc>
          <w:tcPr>
            <w:tcW w:w="283" w:type="dxa"/>
            <w:vMerge/>
            <w:tcBorders>
              <w:left w:val="single" w:sz="22" w:space="0" w:color="DCDCDC"/>
              <w:right w:val="single" w:sz="13" w:space="0" w:color="DCDCDC"/>
            </w:tcBorders>
          </w:tcPr>
          <w:p>
            <w:pPr/>
          </w:p>
        </w:tc>
        <w:tc>
          <w:tcPr>
            <w:tcW w:w="1135" w:type="dxa"/>
            <w:vMerge w:val="restart"/>
            <w:tcBorders>
              <w:top w:val="nil" w:sz="6" w:space="0" w:color="auto"/>
              <w:left w:val="single" w:sz="4" w:space="0" w:color="000000"/>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
        </w:tc>
      </w:tr>
      <w:tr>
        <w:trPr>
          <w:trHeight w:val="194" w:hRule="exact"/>
        </w:trPr>
        <w:tc>
          <w:tcPr>
            <w:tcW w:w="2105" w:type="dxa"/>
            <w:vMerge/>
            <w:tcBorders>
              <w:left w:val="single" w:sz="4" w:space="0" w:color="000000"/>
              <w:right w:val="single" w:sz="4" w:space="0" w:color="000000"/>
            </w:tcBorders>
            <w:shd w:val="clear" w:color="auto" w:fill="DCDCDC"/>
          </w:tcPr>
          <w:p>
            <w:pPr/>
          </w:p>
        </w:tc>
        <w:tc>
          <w:tcPr>
            <w:tcW w:w="1145" w:type="dxa"/>
            <w:vMerge w:val="restart"/>
            <w:tcBorders>
              <w:top w:val="nil" w:sz="6" w:space="0" w:color="auto"/>
              <w:left w:val="single" w:sz="4" w:space="0" w:color="000000"/>
              <w:right w:val="single" w:sz="4" w:space="0" w:color="000000"/>
            </w:tcBorders>
            <w:shd w:val="clear" w:color="auto" w:fill="DCDCDC"/>
          </w:tcPr>
          <w:p>
            <w:pPr/>
          </w:p>
        </w:tc>
        <w:tc>
          <w:tcPr>
            <w:tcW w:w="1135" w:type="dxa"/>
            <w:vMerge/>
            <w:tcBorders>
              <w:left w:val="single" w:sz="4" w:space="0" w:color="000000"/>
              <w:right w:val="single" w:sz="4" w:space="0" w:color="000000"/>
            </w:tcBorders>
            <w:shd w:val="clear" w:color="auto" w:fill="DCDCDC"/>
          </w:tcPr>
          <w:p>
            <w:pPr/>
          </w:p>
        </w:tc>
        <w:tc>
          <w:tcPr>
            <w:tcW w:w="283" w:type="dxa"/>
            <w:vMerge/>
            <w:tcBorders>
              <w:left w:val="single" w:sz="9" w:space="0" w:color="DCDCDC"/>
              <w:right w:val="single" w:sz="22" w:space="0" w:color="DCDCDC"/>
            </w:tcBorders>
          </w:tcPr>
          <w:p>
            <w:pPr/>
          </w:p>
        </w:tc>
        <w:tc>
          <w:tcPr>
            <w:tcW w:w="284" w:type="dxa"/>
            <w:vMerge/>
            <w:tcBorders>
              <w:left w:val="single" w:sz="22" w:space="0" w:color="DCDCDC"/>
              <w:bottom w:val="nil" w:sz="6" w:space="0" w:color="auto"/>
              <w:right w:val="single" w:sz="10" w:space="0" w:color="DCDCDC"/>
            </w:tcBorders>
          </w:tcPr>
          <w:p>
            <w:pPr/>
          </w:p>
        </w:tc>
        <w:tc>
          <w:tcPr>
            <w:tcW w:w="1135" w:type="dxa"/>
            <w:vMerge/>
            <w:tcBorders>
              <w:left w:val="single" w:sz="4" w:space="0" w:color="000000"/>
              <w:right w:val="single" w:sz="4" w:space="0" w:color="000000"/>
            </w:tcBorders>
            <w:shd w:val="clear" w:color="auto" w:fill="DCDCDC"/>
          </w:tcPr>
          <w:p>
            <w:pPr/>
          </w:p>
        </w:tc>
        <w:tc>
          <w:tcPr>
            <w:tcW w:w="281" w:type="dxa"/>
            <w:vMerge/>
            <w:tcBorders>
              <w:left w:val="single" w:sz="10" w:space="0" w:color="DCDCDC"/>
              <w:bottom w:val="nil" w:sz="6" w:space="0" w:color="auto"/>
              <w:right w:val="single" w:sz="12" w:space="0" w:color="DCDCDC"/>
            </w:tcBorders>
          </w:tcPr>
          <w:p>
            <w:pPr/>
          </w:p>
        </w:tc>
        <w:tc>
          <w:tcPr>
            <w:tcW w:w="1135"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c>
          <w:tcPr>
            <w:tcW w:w="1135" w:type="dxa"/>
            <w:vMerge w:val="restart"/>
            <w:tcBorders>
              <w:top w:val="nil" w:sz="6" w:space="0" w:color="auto"/>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c>
          <w:tcPr>
            <w:tcW w:w="286" w:type="dxa"/>
            <w:vMerge/>
            <w:tcBorders>
              <w:left w:val="single" w:sz="13" w:space="0" w:color="DCDCDC"/>
              <w:right w:val="single" w:sz="22" w:space="0" w:color="DCDCDC"/>
            </w:tcBorders>
          </w:tcPr>
          <w:p>
            <w:pPr/>
          </w:p>
        </w:tc>
        <w:tc>
          <w:tcPr>
            <w:tcW w:w="284" w:type="dxa"/>
            <w:vMerge/>
            <w:tcBorders>
              <w:left w:val="single" w:sz="22" w:space="0" w:color="DCDCDC"/>
              <w:bottom w:val="nil" w:sz="6" w:space="0" w:color="auto"/>
              <w:right w:val="single" w:sz="14" w:space="0" w:color="DCDCDC"/>
            </w:tcBorders>
          </w:tcPr>
          <w:p>
            <w:pPr/>
          </w:p>
        </w:tc>
        <w:tc>
          <w:tcPr>
            <w:tcW w:w="991" w:type="dxa"/>
            <w:vMerge/>
            <w:tcBorders>
              <w:left w:val="single" w:sz="4" w:space="0" w:color="000000"/>
              <w:right w:val="single" w:sz="4" w:space="0" w:color="000000"/>
            </w:tcBorders>
            <w:shd w:val="clear" w:color="auto" w:fill="DCDCDC"/>
          </w:tcPr>
          <w:p>
            <w:pPr/>
          </w:p>
        </w:tc>
        <w:tc>
          <w:tcPr>
            <w:tcW w:w="283" w:type="dxa"/>
            <w:vMerge/>
            <w:tcBorders>
              <w:left w:val="single" w:sz="22" w:space="0" w:color="DCDCDC"/>
              <w:bottom w:val="nil" w:sz="6" w:space="0" w:color="auto"/>
              <w:right w:val="single" w:sz="13" w:space="0" w:color="DCDCDC"/>
            </w:tcBorders>
          </w:tcPr>
          <w:p>
            <w:pPr/>
          </w:p>
        </w:tc>
        <w:tc>
          <w:tcPr>
            <w:tcW w:w="1135"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r>
      <w:tr>
        <w:trPr>
          <w:trHeight w:val="200" w:hRule="exact"/>
        </w:trPr>
        <w:tc>
          <w:tcPr>
            <w:tcW w:w="2105" w:type="dxa"/>
            <w:vMerge/>
            <w:tcBorders>
              <w:left w:val="single" w:sz="4" w:space="0" w:color="000000"/>
              <w:bottom w:val="single" w:sz="4" w:space="0" w:color="000000"/>
              <w:right w:val="single" w:sz="4" w:space="0" w:color="000000"/>
            </w:tcBorders>
            <w:shd w:val="clear" w:color="auto" w:fill="DCDCDC"/>
          </w:tcPr>
          <w:p>
            <w:pPr/>
          </w:p>
        </w:tc>
        <w:tc>
          <w:tcPr>
            <w:tcW w:w="1145" w:type="dxa"/>
            <w:vMerge/>
            <w:tcBorders>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283" w:type="dxa"/>
            <w:vMerge/>
            <w:tcBorders>
              <w:left w:val="single" w:sz="9" w:space="0" w:color="DCDCDC"/>
              <w:bottom w:val="single" w:sz="4" w:space="0" w:color="000000"/>
              <w:right w:val="single" w:sz="22" w:space="0" w:color="DCDCDC"/>
            </w:tcBorders>
          </w:tcPr>
          <w:p>
            <w:pPr/>
          </w:p>
        </w:tc>
        <w:tc>
          <w:tcPr>
            <w:tcW w:w="28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281" w:type="dxa"/>
            <w:tcBorders>
              <w:top w:val="nil" w:sz="6" w:space="0" w:color="auto"/>
              <w:left w:val="single" w:sz="10" w:space="0" w:color="DCDCDC"/>
              <w:bottom w:val="single" w:sz="4" w:space="0" w:color="000000"/>
              <w:right w:val="single" w:sz="12" w:space="0" w:color="DCDCDC"/>
            </w:tcBorders>
          </w:tcPr>
          <w:p>
            <w:pPr>
              <w:pStyle w:val="TableParagraph"/>
              <w:spacing w:line="173" w:lineRule="exact"/>
              <w:ind w:left="3" w:right="0"/>
              <w:jc w:val="center"/>
              <w:rPr>
                <w:rFonts w:ascii="宋体" w:hAnsi="宋体" w:cs="宋体" w:eastAsia="宋体" w:hint="default"/>
                <w:sz w:val="15"/>
                <w:szCs w:val="15"/>
              </w:rPr>
            </w:pPr>
            <w:r>
              <w:rPr>
                <w:rFonts w:ascii="宋体" w:hAnsi="宋体" w:cs="宋体" w:eastAsia="宋体" w:hint="default"/>
                <w:w w:val="100"/>
                <w:sz w:val="15"/>
                <w:szCs w:val="15"/>
              </w:rPr>
              <w:t>备</w:t>
            </w:r>
          </w:p>
        </w:tc>
        <w:tc>
          <w:tcPr>
            <w:tcW w:w="1135" w:type="dxa"/>
            <w:vMerge/>
            <w:tcBorders>
              <w:left w:val="single" w:sz="4" w:space="0" w:color="000000"/>
              <w:bottom w:val="single" w:sz="4" w:space="0" w:color="000000"/>
              <w:right w:val="single" w:sz="4" w:space="0" w:color="000000"/>
            </w:tcBorders>
            <w:shd w:val="clear" w:color="auto" w:fill="DCDCDC"/>
          </w:tcPr>
          <w:p>
            <w:pPr/>
          </w:p>
        </w:tc>
        <w:tc>
          <w:tcPr>
            <w:tcW w:w="1133" w:type="dxa"/>
            <w:vMerge/>
            <w:tcBorders>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1133" w:type="dxa"/>
            <w:vMerge/>
            <w:tcBorders>
              <w:left w:val="single" w:sz="4" w:space="0" w:color="000000"/>
              <w:bottom w:val="single" w:sz="4" w:space="0" w:color="000000"/>
              <w:right w:val="single" w:sz="4" w:space="0" w:color="000000"/>
            </w:tcBorders>
            <w:shd w:val="clear" w:color="auto" w:fill="DCDCDC"/>
          </w:tcPr>
          <w:p>
            <w:pPr/>
          </w:p>
        </w:tc>
        <w:tc>
          <w:tcPr>
            <w:tcW w:w="286" w:type="dxa"/>
            <w:vMerge/>
            <w:tcBorders>
              <w:left w:val="single" w:sz="13" w:space="0" w:color="DCDCDC"/>
              <w:bottom w:val="single" w:sz="4" w:space="0" w:color="000000"/>
              <w:right w:val="single" w:sz="22" w:space="0" w:color="DCDCDC"/>
            </w:tcBorders>
          </w:tcPr>
          <w:p>
            <w:pPr/>
          </w:p>
        </w:tc>
        <w:tc>
          <w:tcPr>
            <w:tcW w:w="284"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283" w:type="dxa"/>
            <w:tcBorders>
              <w:top w:val="nil" w:sz="6" w:space="0" w:color="auto"/>
              <w:left w:val="single" w:sz="12" w:space="0" w:color="DCDCDC"/>
              <w:bottom w:val="single" w:sz="4" w:space="0" w:color="000000"/>
              <w:right w:val="single" w:sz="13" w:space="0" w:color="DCDCDC"/>
            </w:tcBorders>
          </w:tcPr>
          <w:p>
            <w:pPr>
              <w:pStyle w:val="TableParagraph"/>
              <w:spacing w:line="173" w:lineRule="exact"/>
              <w:ind w:left="49" w:right="0"/>
              <w:jc w:val="left"/>
              <w:rPr>
                <w:rFonts w:ascii="宋体" w:hAnsi="宋体" w:cs="宋体" w:eastAsia="宋体" w:hint="default"/>
                <w:sz w:val="15"/>
                <w:szCs w:val="15"/>
              </w:rPr>
            </w:pPr>
            <w:r>
              <w:rPr>
                <w:rFonts w:ascii="宋体" w:hAnsi="宋体" w:cs="宋体" w:eastAsia="宋体" w:hint="default"/>
                <w:w w:val="100"/>
                <w:sz w:val="15"/>
                <w:szCs w:val="15"/>
              </w:rPr>
              <w:t>备</w:t>
            </w:r>
          </w:p>
        </w:tc>
        <w:tc>
          <w:tcPr>
            <w:tcW w:w="1135" w:type="dxa"/>
            <w:vMerge/>
            <w:tcBorders>
              <w:left w:val="single" w:sz="4" w:space="0" w:color="000000"/>
              <w:bottom w:val="single" w:sz="4" w:space="0" w:color="000000"/>
              <w:right w:val="single" w:sz="4" w:space="0" w:color="000000"/>
            </w:tcBorders>
            <w:shd w:val="clear" w:color="auto" w:fill="DCDCDC"/>
          </w:tcPr>
          <w:p>
            <w:pPr/>
          </w:p>
        </w:tc>
        <w:tc>
          <w:tcPr>
            <w:tcW w:w="1133" w:type="dxa"/>
            <w:vMerge/>
            <w:tcBorders>
              <w:left w:val="single" w:sz="4" w:space="0" w:color="000000"/>
              <w:bottom w:val="single" w:sz="4" w:space="0" w:color="000000"/>
              <w:right w:val="single" w:sz="4" w:space="0" w:color="000000"/>
            </w:tcBorders>
            <w:shd w:val="clear" w:color="auto" w:fill="DCDCDC"/>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425,985,090.00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284,226,783.09</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Calibri" w:hAnsi="Calibri" w:cs="Calibri" w:eastAsia="Calibri" w:hint="default"/>
                <w:sz w:val="15"/>
                <w:szCs w:val="15"/>
              </w:rPr>
            </w:pPr>
            <w:r>
              <w:rPr>
                <w:rFonts w:ascii="Calibri"/>
                <w:spacing w:val="-1"/>
                <w:sz w:val="15"/>
              </w:rPr>
              <w:t>88,889,486.60</w:t>
            </w:r>
            <w:r>
              <w:rPr>
                <w:rFonts w:ascii="Calibri"/>
                <w:sz w:val="15"/>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520,019,999.43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 w:right="0"/>
              <w:jc w:val="center"/>
              <w:rPr>
                <w:rFonts w:ascii="Calibri" w:hAnsi="Calibri" w:cs="Calibri" w:eastAsia="Calibri" w:hint="default"/>
                <w:sz w:val="15"/>
                <w:szCs w:val="15"/>
              </w:rPr>
            </w:pPr>
            <w:r>
              <w:rPr>
                <w:rFonts w:ascii="Calibri"/>
                <w:sz w:val="15"/>
              </w:rPr>
              <w:t>1,319,121,359.12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425,985,090.00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284,226,783.09</w:t>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 w:right="0"/>
              <w:jc w:val="center"/>
              <w:rPr>
                <w:rFonts w:ascii="Calibri" w:hAnsi="Calibri" w:cs="Calibri" w:eastAsia="Calibri" w:hint="default"/>
                <w:sz w:val="15"/>
                <w:szCs w:val="15"/>
              </w:rPr>
            </w:pPr>
            <w:r>
              <w:rPr>
                <w:rFonts w:ascii="Calibri"/>
                <w:sz w:val="15"/>
              </w:rPr>
              <w:t>63,967,984.03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338,324,985.35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5"/>
                <w:szCs w:val="15"/>
              </w:rPr>
            </w:pPr>
            <w:r>
              <w:rPr>
                <w:rFonts w:ascii="Calibri"/>
                <w:spacing w:val="-1"/>
                <w:sz w:val="15"/>
              </w:rPr>
              <w:t>1,112,504,842.47</w:t>
            </w:r>
            <w:r>
              <w:rPr>
                <w:rFonts w:ascii="Calibri"/>
                <w:sz w:val="15"/>
              </w:rPr>
            </w: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425,985,090.00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284,226,783.09</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Calibri" w:hAnsi="Calibri" w:cs="Calibri" w:eastAsia="Calibri" w:hint="default"/>
                <w:sz w:val="15"/>
                <w:szCs w:val="15"/>
              </w:rPr>
            </w:pPr>
            <w:r>
              <w:rPr>
                <w:rFonts w:ascii="Calibri"/>
                <w:spacing w:val="-1"/>
                <w:sz w:val="15"/>
              </w:rPr>
              <w:t>88,889,486.60</w:t>
            </w:r>
            <w:r>
              <w:rPr>
                <w:rFonts w:ascii="Calibri"/>
                <w:sz w:val="15"/>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520,019,999.43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 w:right="0"/>
              <w:jc w:val="center"/>
              <w:rPr>
                <w:rFonts w:ascii="Calibri" w:hAnsi="Calibri" w:cs="Calibri" w:eastAsia="Calibri" w:hint="default"/>
                <w:sz w:val="15"/>
                <w:szCs w:val="15"/>
              </w:rPr>
            </w:pPr>
            <w:r>
              <w:rPr>
                <w:rFonts w:ascii="Calibri"/>
                <w:sz w:val="15"/>
              </w:rPr>
              <w:t>1,319,121,359.12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425,985,090.00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284,226,783.09</w:t>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 w:right="0"/>
              <w:jc w:val="center"/>
              <w:rPr>
                <w:rFonts w:ascii="Calibri" w:hAnsi="Calibri" w:cs="Calibri" w:eastAsia="Calibri" w:hint="default"/>
                <w:sz w:val="15"/>
                <w:szCs w:val="15"/>
              </w:rPr>
            </w:pPr>
            <w:r>
              <w:rPr>
                <w:rFonts w:ascii="Calibri"/>
                <w:sz w:val="15"/>
              </w:rPr>
              <w:t>63,967,984.03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338,324,985.35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Calibri" w:hAnsi="Calibri" w:cs="Calibri" w:eastAsia="Calibri" w:hint="default"/>
                <w:sz w:val="15"/>
                <w:szCs w:val="15"/>
              </w:rPr>
            </w:pPr>
            <w:r>
              <w:rPr>
                <w:rFonts w:ascii="Calibri"/>
                <w:spacing w:val="-1"/>
                <w:sz w:val="15"/>
              </w:rPr>
              <w:t>1,112,504,842.47</w:t>
            </w:r>
            <w:r>
              <w:rPr>
                <w:rFonts w:ascii="Calibri"/>
                <w:sz w:val="15"/>
              </w:rPr>
            </w:r>
          </w:p>
        </w:tc>
      </w:tr>
      <w:tr>
        <w:trPr>
          <w:trHeight w:val="398"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spacing w:val="-4"/>
                <w:sz w:val="15"/>
                <w:szCs w:val="15"/>
              </w:rPr>
              <w:t>三、本年增减变动金额（减少以</w:t>
            </w:r>
          </w:p>
          <w:p>
            <w:pPr>
              <w:pStyle w:val="TableParagraph"/>
              <w:spacing w:line="215" w:lineRule="exact"/>
              <w:ind w:left="11" w:right="0"/>
              <w:jc w:val="left"/>
              <w:rPr>
                <w:rFonts w:ascii="宋体" w:hAnsi="宋体" w:cs="宋体" w:eastAsia="宋体" w:hint="default"/>
                <w:sz w:val="15"/>
                <w:szCs w:val="15"/>
              </w:rPr>
            </w:pP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5"/>
                <w:szCs w:val="15"/>
              </w:rPr>
            </w:pPr>
            <w:r>
              <w:rPr>
                <w:rFonts w:ascii="Calibri"/>
                <w:spacing w:val="-1"/>
                <w:sz w:val="15"/>
              </w:rPr>
              <w:t>104,758,910.00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5"/>
                <w:szCs w:val="15"/>
              </w:rPr>
            </w:pPr>
            <w:r>
              <w:rPr>
                <w:rFonts w:ascii="Calibri"/>
                <w:spacing w:val="-1"/>
                <w:sz w:val="15"/>
              </w:rPr>
              <w:t>303,698,423.00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Calibri" w:hAnsi="Calibri" w:cs="Calibri" w:eastAsia="Calibri" w:hint="default"/>
                <w:sz w:val="15"/>
                <w:szCs w:val="15"/>
              </w:rPr>
            </w:pPr>
            <w:r>
              <w:rPr>
                <w:rFonts w:ascii="Calibri"/>
                <w:spacing w:val="-1"/>
                <w:sz w:val="15"/>
              </w:rPr>
              <w:t>29,726,111.04</w:t>
            </w:r>
            <w:r>
              <w:rPr>
                <w:rFonts w:ascii="Calibri"/>
                <w:sz w:val="15"/>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5"/>
                <w:szCs w:val="15"/>
              </w:rPr>
            </w:pPr>
            <w:r>
              <w:rPr>
                <w:rFonts w:ascii="Calibri"/>
                <w:spacing w:val="-1"/>
                <w:sz w:val="15"/>
              </w:rPr>
              <w:t>134,848,999.69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8" w:right="0"/>
              <w:jc w:val="center"/>
              <w:rPr>
                <w:rFonts w:ascii="Calibri" w:hAnsi="Calibri" w:cs="Calibri" w:eastAsia="Calibri" w:hint="default"/>
                <w:sz w:val="15"/>
                <w:szCs w:val="15"/>
              </w:rPr>
            </w:pPr>
            <w:r>
              <w:rPr>
                <w:rFonts w:ascii="Calibri"/>
                <w:sz w:val="15"/>
              </w:rPr>
              <w:t>573,032,443.73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 w:right="0"/>
              <w:jc w:val="center"/>
              <w:rPr>
                <w:rFonts w:ascii="Calibri" w:hAnsi="Calibri" w:cs="Calibri" w:eastAsia="Calibri" w:hint="default"/>
                <w:sz w:val="15"/>
                <w:szCs w:val="15"/>
              </w:rPr>
            </w:pPr>
            <w:r>
              <w:rPr>
                <w:rFonts w:ascii="Calibri"/>
                <w:sz w:val="15"/>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5"/>
                <w:szCs w:val="15"/>
              </w:rPr>
            </w:pPr>
            <w:r>
              <w:rPr>
                <w:rFonts w:ascii="Calibri"/>
                <w:spacing w:val="-1"/>
                <w:sz w:val="15"/>
              </w:rPr>
              <w:t>181,695,014.08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Calibri" w:hAnsi="Calibri" w:cs="Calibri" w:eastAsia="Calibri" w:hint="default"/>
                <w:sz w:val="15"/>
                <w:szCs w:val="15"/>
              </w:rPr>
            </w:pPr>
            <w:r>
              <w:rPr>
                <w:rFonts w:ascii="Calibri"/>
                <w:spacing w:val="-1"/>
                <w:sz w:val="15"/>
              </w:rPr>
              <w:t>206,616,516.65</w:t>
            </w: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297,261,110.43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8" w:right="0"/>
              <w:jc w:val="center"/>
              <w:rPr>
                <w:rFonts w:ascii="Calibri" w:hAnsi="Calibri" w:cs="Calibri" w:eastAsia="Calibri" w:hint="default"/>
                <w:sz w:val="15"/>
                <w:szCs w:val="15"/>
              </w:rPr>
            </w:pPr>
            <w:r>
              <w:rPr>
                <w:rFonts w:ascii="Calibri"/>
                <w:sz w:val="15"/>
              </w:rPr>
              <w:t>297,261,110.43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249,215,025.65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5"/>
                <w:szCs w:val="15"/>
              </w:rPr>
            </w:pPr>
            <w:r>
              <w:rPr>
                <w:rFonts w:ascii="Calibri"/>
                <w:spacing w:val="-1"/>
                <w:sz w:val="15"/>
              </w:rPr>
              <w:t>249,215,025.65</w:t>
            </w:r>
          </w:p>
        </w:tc>
      </w:tr>
      <w:tr>
        <w:trPr>
          <w:trHeight w:val="206"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5" w:lineRule="exact"/>
              <w:ind w:left="16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297,261,110.43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8" w:right="0"/>
              <w:jc w:val="center"/>
              <w:rPr>
                <w:rFonts w:ascii="Calibri" w:hAnsi="Calibri" w:cs="Calibri" w:eastAsia="Calibri" w:hint="default"/>
                <w:sz w:val="15"/>
                <w:szCs w:val="15"/>
              </w:rPr>
            </w:pPr>
            <w:r>
              <w:rPr>
                <w:rFonts w:ascii="Calibri"/>
                <w:sz w:val="15"/>
              </w:rPr>
              <w:t>297,261,110.43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249,215,025.65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249,215,025.65</w:t>
            </w: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pacing w:val="-4"/>
                <w:sz w:val="15"/>
                <w:szCs w:val="15"/>
              </w:rPr>
              <w:t>（三）所有者投入和减少资本</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16,301,577.00</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Calibri" w:hAnsi="Calibri" w:cs="Calibri" w:eastAsia="Calibri" w:hint="default"/>
                <w:sz w:val="15"/>
                <w:szCs w:val="15"/>
              </w:rPr>
            </w:pPr>
            <w:r>
              <w:rPr>
                <w:rFonts w:ascii="Calibri"/>
                <w:spacing w:val="-1"/>
                <w:sz w:val="15"/>
              </w:rPr>
              <w:t>303,698,423.00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8" w:right="0"/>
              <w:jc w:val="center"/>
              <w:rPr>
                <w:rFonts w:ascii="Calibri" w:hAnsi="Calibri" w:cs="Calibri" w:eastAsia="Calibri" w:hint="default"/>
                <w:sz w:val="15"/>
                <w:szCs w:val="15"/>
              </w:rPr>
            </w:pPr>
            <w:r>
              <w:rPr>
                <w:rFonts w:ascii="Calibri"/>
                <w:sz w:val="15"/>
              </w:rPr>
              <w:t>320,000,000.00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2" w:lineRule="exact"/>
              <w:ind w:left="309"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5"/>
                <w:szCs w:val="15"/>
              </w:rPr>
            </w:pPr>
            <w:r>
              <w:rPr>
                <w:rFonts w:ascii="Calibri"/>
                <w:spacing w:val="-1"/>
                <w:sz w:val="15"/>
              </w:rPr>
              <w:t>16,301,577.00</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303,698,423.00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8" w:right="0"/>
              <w:jc w:val="center"/>
              <w:rPr>
                <w:rFonts w:ascii="Calibri" w:hAnsi="Calibri" w:cs="Calibri" w:eastAsia="Calibri" w:hint="default"/>
                <w:sz w:val="15"/>
                <w:szCs w:val="15"/>
              </w:rPr>
            </w:pPr>
            <w:r>
              <w:rPr>
                <w:rFonts w:ascii="Calibri"/>
                <w:sz w:val="15"/>
              </w:rPr>
              <w:t>320,000,000.00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1" w:right="53" w:firstLine="297"/>
              <w:jc w:val="left"/>
              <w:rPr>
                <w:rFonts w:ascii="宋体" w:hAnsi="宋体" w:cs="宋体" w:eastAsia="宋体" w:hint="default"/>
                <w:sz w:val="15"/>
                <w:szCs w:val="15"/>
              </w:rPr>
            </w:pPr>
            <w:r>
              <w:rPr>
                <w:rFonts w:ascii="Calibri" w:hAnsi="Calibri" w:cs="Calibri" w:eastAsia="Calibri" w:hint="default"/>
                <w:spacing w:val="-1"/>
                <w:sz w:val="15"/>
                <w:szCs w:val="15"/>
              </w:rPr>
              <w:t>2</w:t>
            </w:r>
            <w:r>
              <w:rPr>
                <w:rFonts w:ascii="宋体" w:hAnsi="宋体" w:cs="宋体" w:eastAsia="宋体" w:hint="default"/>
                <w:spacing w:val="-1"/>
                <w:sz w:val="15"/>
                <w:szCs w:val="15"/>
              </w:rPr>
              <w:t>．股份支付计入所有者权</w:t>
            </w:r>
            <w:r>
              <w:rPr>
                <w:rFonts w:ascii="宋体" w:hAnsi="宋体" w:cs="宋体" w:eastAsia="宋体" w:hint="default"/>
                <w:w w:val="100"/>
                <w:sz w:val="15"/>
                <w:szCs w:val="15"/>
              </w:rPr>
              <w:t> </w:t>
            </w:r>
            <w:r>
              <w:rPr>
                <w:rFonts w:ascii="宋体" w:hAnsi="宋体" w:cs="宋体" w:eastAsia="宋体" w:hint="default"/>
                <w:sz w:val="15"/>
                <w:szCs w:val="15"/>
              </w:rPr>
              <w:t>益的金额</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88,457,333.00</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Calibri" w:hAnsi="Calibri" w:cs="Calibri" w:eastAsia="Calibri" w:hint="default"/>
                <w:sz w:val="15"/>
                <w:szCs w:val="15"/>
              </w:rPr>
            </w:pPr>
            <w:r>
              <w:rPr>
                <w:rFonts w:ascii="Calibri"/>
                <w:spacing w:val="-1"/>
                <w:sz w:val="15"/>
              </w:rPr>
              <w:t>29,726,111.04</w:t>
            </w:r>
            <w:r>
              <w:rPr>
                <w:rFonts w:ascii="Calibri"/>
                <w:sz w:val="15"/>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-162,412,110.74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7" w:right="0"/>
              <w:jc w:val="center"/>
              <w:rPr>
                <w:rFonts w:ascii="Calibri" w:hAnsi="Calibri" w:cs="Calibri" w:eastAsia="Calibri" w:hint="default"/>
                <w:sz w:val="15"/>
                <w:szCs w:val="15"/>
              </w:rPr>
            </w:pPr>
            <w:r>
              <w:rPr>
                <w:rFonts w:ascii="Calibri"/>
                <w:sz w:val="15"/>
              </w:rPr>
              <w:t>-44,228,666.70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 w:right="0"/>
              <w:jc w:val="center"/>
              <w:rPr>
                <w:rFonts w:ascii="Calibri" w:hAnsi="Calibri" w:cs="Calibri" w:eastAsia="Calibri" w:hint="default"/>
                <w:sz w:val="15"/>
                <w:szCs w:val="15"/>
              </w:rPr>
            </w:pPr>
            <w:r>
              <w:rPr>
                <w:rFonts w:ascii="Calibri"/>
                <w:sz w:val="15"/>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-67,520,011.57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Calibri" w:hAnsi="Calibri" w:cs="Calibri" w:eastAsia="Calibri" w:hint="default"/>
                <w:sz w:val="15"/>
                <w:szCs w:val="15"/>
              </w:rPr>
            </w:pPr>
            <w:r>
              <w:rPr>
                <w:rFonts w:ascii="Calibri"/>
                <w:spacing w:val="-1"/>
                <w:sz w:val="15"/>
              </w:rPr>
              <w:t>-42,598,509.00</w:t>
            </w: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5"/>
                <w:szCs w:val="15"/>
              </w:rPr>
            </w:pPr>
            <w:r>
              <w:rPr>
                <w:rFonts w:ascii="Calibri"/>
                <w:spacing w:val="-1"/>
                <w:sz w:val="15"/>
              </w:rPr>
              <w:t>29,726,111.04</w:t>
            </w:r>
            <w:r>
              <w:rPr>
                <w:rFonts w:ascii="Calibri"/>
                <w:sz w:val="15"/>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5"/>
                <w:szCs w:val="15"/>
              </w:rPr>
            </w:pPr>
            <w:r>
              <w:rPr>
                <w:rFonts w:ascii="Calibri"/>
                <w:spacing w:val="-1"/>
                <w:sz w:val="15"/>
              </w:rPr>
              <w:t>-29,726,111.04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1" w:right="0"/>
              <w:jc w:val="center"/>
              <w:rPr>
                <w:rFonts w:ascii="Calibri" w:hAnsi="Calibri" w:cs="Calibri" w:eastAsia="Calibri" w:hint="default"/>
                <w:sz w:val="15"/>
                <w:szCs w:val="15"/>
              </w:rPr>
            </w:pPr>
            <w:r>
              <w:rPr>
                <w:rFonts w:ascii="Calibri"/>
                <w:sz w:val="15"/>
              </w:rPr>
              <w:t>24,921,502.57</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15"/>
                <w:szCs w:val="15"/>
              </w:rPr>
            </w:pPr>
            <w:r>
              <w:rPr>
                <w:rFonts w:ascii="Calibri"/>
                <w:spacing w:val="-1"/>
                <w:sz w:val="15"/>
              </w:rPr>
              <w:t>-24,921,502.57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1" w:right="53" w:firstLine="297"/>
              <w:jc w:val="left"/>
              <w:rPr>
                <w:rFonts w:ascii="宋体" w:hAnsi="宋体" w:cs="宋体" w:eastAsia="宋体" w:hint="default"/>
                <w:sz w:val="15"/>
                <w:szCs w:val="15"/>
              </w:rPr>
            </w:pPr>
            <w:r>
              <w:rPr>
                <w:rFonts w:ascii="Calibri" w:hAnsi="Calibri" w:cs="Calibri" w:eastAsia="Calibri" w:hint="default"/>
                <w:spacing w:val="-1"/>
                <w:sz w:val="15"/>
                <w:szCs w:val="15"/>
              </w:rPr>
              <w:t>3</w:t>
            </w:r>
            <w:r>
              <w:rPr>
                <w:rFonts w:ascii="宋体" w:hAnsi="宋体" w:cs="宋体" w:eastAsia="宋体" w:hint="default"/>
                <w:spacing w:val="-1"/>
                <w:sz w:val="15"/>
                <w:szCs w:val="15"/>
              </w:rPr>
              <w:t>．对所有者（或股东）的</w:t>
            </w:r>
            <w:r>
              <w:rPr>
                <w:rFonts w:ascii="宋体" w:hAnsi="宋体" w:cs="宋体" w:eastAsia="宋体" w:hint="default"/>
                <w:w w:val="100"/>
                <w:sz w:val="15"/>
                <w:szCs w:val="15"/>
              </w:rPr>
              <w:t> </w:t>
            </w:r>
            <w:r>
              <w:rPr>
                <w:rFonts w:ascii="宋体" w:hAnsi="宋体" w:cs="宋体" w:eastAsia="宋体" w:hint="default"/>
                <w:sz w:val="15"/>
                <w:szCs w:val="15"/>
              </w:rPr>
              <w:t>分配</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20"/>
              <w:jc w:val="right"/>
              <w:rPr>
                <w:rFonts w:ascii="Calibri" w:hAnsi="Calibri" w:cs="Calibri" w:eastAsia="Calibri" w:hint="default"/>
                <w:sz w:val="15"/>
                <w:szCs w:val="15"/>
              </w:rPr>
            </w:pPr>
            <w:r>
              <w:rPr>
                <w:rFonts w:ascii="Calibri"/>
                <w:spacing w:val="-1"/>
                <w:sz w:val="15"/>
              </w:rPr>
              <w:t>88,457,333.00</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Calibri" w:hAnsi="Calibri" w:cs="Calibri" w:eastAsia="Calibri" w:hint="default"/>
                <w:sz w:val="15"/>
                <w:szCs w:val="15"/>
              </w:rPr>
            </w:pPr>
            <w:r>
              <w:rPr>
                <w:rFonts w:ascii="Calibri"/>
                <w:spacing w:val="-1"/>
                <w:sz w:val="15"/>
              </w:rPr>
              <w:t>-132,685,999.70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7" w:right="0"/>
              <w:jc w:val="center"/>
              <w:rPr>
                <w:rFonts w:ascii="Calibri" w:hAnsi="Calibri" w:cs="Calibri" w:eastAsia="Calibri" w:hint="default"/>
                <w:sz w:val="15"/>
                <w:szCs w:val="15"/>
              </w:rPr>
            </w:pPr>
            <w:r>
              <w:rPr>
                <w:rFonts w:ascii="Calibri"/>
                <w:sz w:val="15"/>
              </w:rPr>
              <w:t>-44,228,666.70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Calibri" w:hAnsi="Calibri" w:cs="Calibri" w:eastAsia="Calibri" w:hint="default"/>
                <w:sz w:val="15"/>
                <w:szCs w:val="15"/>
              </w:rPr>
            </w:pPr>
            <w:r>
              <w:rPr>
                <w:rFonts w:ascii="Calibri"/>
                <w:spacing w:val="-1"/>
                <w:sz w:val="15"/>
              </w:rPr>
              <w:t>-42,598,509.00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Calibri" w:hAnsi="Calibri" w:cs="Calibri" w:eastAsia="Calibri" w:hint="default"/>
                <w:sz w:val="15"/>
                <w:szCs w:val="15"/>
              </w:rPr>
            </w:pPr>
            <w:r>
              <w:rPr>
                <w:rFonts w:ascii="Calibri"/>
                <w:spacing w:val="-1"/>
                <w:sz w:val="15"/>
              </w:rPr>
              <w:t>-42,598,509.00</w:t>
            </w: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1" w:right="53" w:firstLine="297"/>
              <w:jc w:val="left"/>
              <w:rPr>
                <w:rFonts w:ascii="宋体" w:hAnsi="宋体" w:cs="宋体" w:eastAsia="宋体" w:hint="default"/>
                <w:sz w:val="15"/>
                <w:szCs w:val="15"/>
              </w:rPr>
            </w:pPr>
            <w:r>
              <w:rPr>
                <w:rFonts w:ascii="Calibri" w:hAnsi="Calibri" w:cs="Calibri" w:eastAsia="Calibri" w:hint="default"/>
                <w:spacing w:val="-1"/>
                <w:sz w:val="15"/>
                <w:szCs w:val="15"/>
              </w:rPr>
              <w:t>1</w:t>
            </w:r>
            <w:r>
              <w:rPr>
                <w:rFonts w:ascii="宋体" w:hAnsi="宋体" w:cs="宋体" w:eastAsia="宋体" w:hint="default"/>
                <w:spacing w:val="-1"/>
                <w:sz w:val="15"/>
                <w:szCs w:val="15"/>
              </w:rPr>
              <w:t>．资本公积转增资本（或</w:t>
            </w:r>
            <w:r>
              <w:rPr>
                <w:rFonts w:ascii="宋体" w:hAnsi="宋体" w:cs="宋体" w:eastAsia="宋体" w:hint="default"/>
                <w:w w:val="100"/>
                <w:sz w:val="15"/>
                <w:szCs w:val="15"/>
              </w:rPr>
              <w:t> </w:t>
            </w:r>
            <w:r>
              <w:rPr>
                <w:rFonts w:ascii="宋体" w:hAnsi="宋体" w:cs="宋体" w:eastAsia="宋体" w:hint="default"/>
                <w:sz w:val="15"/>
                <w:szCs w:val="15"/>
              </w:rPr>
              <w:t>股本）</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11" w:right="53" w:firstLine="297"/>
              <w:jc w:val="left"/>
              <w:rPr>
                <w:rFonts w:ascii="宋体" w:hAnsi="宋体" w:cs="宋体" w:eastAsia="宋体" w:hint="default"/>
                <w:sz w:val="15"/>
                <w:szCs w:val="15"/>
              </w:rPr>
            </w:pPr>
            <w:r>
              <w:rPr>
                <w:rFonts w:ascii="Calibri" w:hAnsi="Calibri" w:cs="Calibri" w:eastAsia="Calibri" w:hint="default"/>
                <w:spacing w:val="-1"/>
                <w:sz w:val="15"/>
                <w:szCs w:val="15"/>
              </w:rPr>
              <w:t>2</w:t>
            </w:r>
            <w:r>
              <w:rPr>
                <w:rFonts w:ascii="宋体" w:hAnsi="宋体" w:cs="宋体" w:eastAsia="宋体" w:hint="default"/>
                <w:spacing w:val="-1"/>
                <w:sz w:val="15"/>
                <w:szCs w:val="15"/>
              </w:rPr>
              <w:t>．盈余公积转增资本（或</w:t>
            </w:r>
            <w:r>
              <w:rPr>
                <w:rFonts w:ascii="宋体" w:hAnsi="宋体" w:cs="宋体" w:eastAsia="宋体" w:hint="default"/>
                <w:w w:val="100"/>
                <w:sz w:val="15"/>
                <w:szCs w:val="15"/>
              </w:rPr>
              <w:t> </w:t>
            </w:r>
            <w:r>
              <w:rPr>
                <w:rFonts w:ascii="宋体" w:hAnsi="宋体" w:cs="宋体" w:eastAsia="宋体" w:hint="default"/>
                <w:sz w:val="15"/>
                <w:szCs w:val="15"/>
              </w:rPr>
              <w:t>股本）</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left="309"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1" w:lineRule="exact"/>
              <w:ind w:left="309"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6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45" w:type="dxa"/>
            <w:tcBorders>
              <w:top w:val="single" w:sz="4" w:space="0" w:color="000000"/>
              <w:left w:val="single" w:sz="13" w:space="0" w:color="DCDCDC"/>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530,744,000.00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587,925,206.09</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5"/>
                <w:szCs w:val="15"/>
              </w:rPr>
            </w:pPr>
            <w:r>
              <w:rPr>
                <w:rFonts w:ascii="Calibri"/>
                <w:spacing w:val="-1"/>
                <w:sz w:val="15"/>
              </w:rPr>
              <w:t>118,615,597.64</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654,868,999.12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 w:right="0"/>
              <w:jc w:val="center"/>
              <w:rPr>
                <w:rFonts w:ascii="Calibri" w:hAnsi="Calibri" w:cs="Calibri" w:eastAsia="Calibri" w:hint="default"/>
                <w:sz w:val="15"/>
                <w:szCs w:val="15"/>
              </w:rPr>
            </w:pPr>
            <w:r>
              <w:rPr>
                <w:rFonts w:ascii="Calibri"/>
                <w:sz w:val="15"/>
              </w:rPr>
              <w:t>1,892,153,802.85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425,985,090.00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284,226,783.09</w:t>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1" w:right="0"/>
              <w:jc w:val="center"/>
              <w:rPr>
                <w:rFonts w:ascii="Calibri" w:hAnsi="Calibri" w:cs="Calibri" w:eastAsia="Calibri" w:hint="default"/>
                <w:sz w:val="15"/>
                <w:szCs w:val="15"/>
              </w:rPr>
            </w:pPr>
            <w:r>
              <w:rPr>
                <w:rFonts w:ascii="Calibri"/>
                <w:sz w:val="15"/>
              </w:rPr>
              <w:t>88,889,486.60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15"/>
                <w:szCs w:val="15"/>
              </w:rPr>
            </w:pPr>
            <w:r>
              <w:rPr>
                <w:rFonts w:ascii="Calibri"/>
                <w:spacing w:val="-1"/>
                <w:sz w:val="15"/>
              </w:rPr>
              <w:t>520,019,999.43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15"/>
                <w:szCs w:val="15"/>
              </w:rPr>
            </w:pPr>
            <w:r>
              <w:rPr>
                <w:rFonts w:ascii="Calibri"/>
                <w:spacing w:val="-1"/>
                <w:sz w:val="15"/>
              </w:rPr>
              <w:t>1,319,121,359.12</w:t>
            </w:r>
            <w:r>
              <w:rPr>
                <w:rFonts w:ascii="Calibri"/>
                <w:sz w:val="15"/>
              </w:rPr>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0" w:right="177" w:firstLine="0"/>
        <w:jc w:val="center"/>
        <w:rPr>
          <w:rFonts w:ascii="Calibri" w:hAnsi="Calibri" w:cs="Calibri" w:eastAsia="Calibri" w:hint="default"/>
          <w:sz w:val="18"/>
          <w:szCs w:val="18"/>
        </w:rPr>
      </w:pPr>
      <w:r>
        <w:rPr/>
        <w:pict>
          <v:shape style="position:absolute;margin-left:690.75pt;margin-top:3.329105pt;width:101.25pt;height:57.75pt;mso-position-horizontal-relative:page;mso-position-vertical-relative:paragraph;z-index:3712" type="#_x0000_t75" stroked="false">
            <v:imagedata r:id="rId6" o:title=""/>
          </v:shape>
        </w:pict>
      </w:r>
      <w:r>
        <w:rPr>
          <w:rFonts w:ascii="Calibri"/>
          <w:sz w:val="18"/>
        </w:rPr>
        <w:t>93</w:t>
      </w:r>
    </w:p>
    <w:p>
      <w:pPr>
        <w:spacing w:after="0"/>
        <w:jc w:val="center"/>
        <w:rPr>
          <w:rFonts w:ascii="Calibri" w:hAnsi="Calibri" w:cs="Calibri" w:eastAsia="Calibri" w:hint="default"/>
          <w:sz w:val="18"/>
          <w:szCs w:val="18"/>
        </w:rPr>
        <w:sectPr>
          <w:headerReference w:type="default" r:id="rId66"/>
          <w:footerReference w:type="default" r:id="rId67"/>
          <w:pgSz w:w="15840" w:h="12240" w:orient="landscape"/>
          <w:pgMar w:header="0" w:footer="0" w:top="760" w:bottom="0" w:left="180" w:right="0"/>
        </w:sectPr>
      </w:pPr>
    </w:p>
    <w:p>
      <w:pPr>
        <w:spacing w:line="412" w:lineRule="exact" w:before="0"/>
        <w:ind w:left="0" w:right="1501" w:firstLine="0"/>
        <w:jc w:val="center"/>
        <w:rPr>
          <w:rFonts w:ascii="宋体" w:hAnsi="宋体" w:cs="宋体" w:eastAsia="宋体" w:hint="default"/>
          <w:sz w:val="32"/>
          <w:szCs w:val="32"/>
        </w:rPr>
      </w:pPr>
      <w:r>
        <w:rPr/>
        <w:pict>
          <v:group style="position:absolute;margin-left:80.783997pt;margin-top:1.73438pt;width:450.6pt;height:.1pt;mso-position-horizontal-relative:page;mso-position-vertical-relative:paragraph;z-index:-862936"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b/>
          <w:bCs/>
          <w:sz w:val="32"/>
          <w:szCs w:val="32"/>
        </w:rPr>
        <w:t>东华软件股份公司</w:t>
      </w:r>
      <w:r>
        <w:rPr>
          <w:rFonts w:ascii="宋体" w:hAnsi="宋体" w:cs="宋体" w:eastAsia="宋体" w:hint="default"/>
          <w:sz w:val="32"/>
          <w:szCs w:val="32"/>
        </w:rPr>
      </w:r>
    </w:p>
    <w:p>
      <w:pPr>
        <w:spacing w:line="458" w:lineRule="exact" w:before="0"/>
        <w:ind w:left="0" w:right="1498" w:firstLine="0"/>
        <w:jc w:val="center"/>
        <w:rPr>
          <w:rFonts w:ascii="宋体" w:hAnsi="宋体" w:cs="宋体" w:eastAsia="宋体" w:hint="default"/>
          <w:sz w:val="32"/>
          <w:szCs w:val="32"/>
        </w:rPr>
      </w:pPr>
      <w:r>
        <w:rPr>
          <w:rFonts w:ascii="Calibri" w:hAnsi="Calibri" w:cs="Calibri" w:eastAsia="Calibri" w:hint="default"/>
          <w:b/>
          <w:bCs/>
          <w:sz w:val="32"/>
          <w:szCs w:val="32"/>
        </w:rPr>
        <w:t>2011</w:t>
      </w:r>
      <w:r>
        <w:rPr>
          <w:rFonts w:ascii="Calibri" w:hAnsi="Calibri" w:cs="Calibri" w:eastAsia="Calibri" w:hint="default"/>
          <w:b/>
          <w:bCs/>
          <w:spacing w:val="4"/>
          <w:sz w:val="32"/>
          <w:szCs w:val="32"/>
        </w:rPr>
        <w:t> </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2"/>
        <w:rPr>
          <w:rFonts w:ascii="宋体" w:hAnsi="宋体" w:cs="宋体" w:eastAsia="宋体" w:hint="default"/>
          <w:b/>
          <w:bCs/>
          <w:sz w:val="40"/>
          <w:szCs w:val="40"/>
        </w:rPr>
      </w:pPr>
    </w:p>
    <w:p>
      <w:pPr>
        <w:spacing w:line="338" w:lineRule="auto" w:before="0"/>
        <w:ind w:left="617" w:right="8889" w:hanging="473"/>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、历史沿革</w:t>
      </w:r>
      <w:r>
        <w:rPr>
          <w:rFonts w:ascii="宋体" w:hAnsi="宋体" w:cs="宋体" w:eastAsia="宋体" w:hint="default"/>
          <w:sz w:val="21"/>
          <w:szCs w:val="21"/>
        </w:rPr>
      </w:r>
    </w:p>
    <w:p>
      <w:pPr>
        <w:spacing w:line="285" w:lineRule="auto" w:before="4"/>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东华软件股份公司（原“北京东华合创数码科技股份有限公司”，以下简称“本公司”或“公</w:t>
      </w:r>
      <w:r>
        <w:rPr>
          <w:rFonts w:ascii="宋体" w:hAnsi="宋体" w:cs="宋体" w:eastAsia="宋体" w:hint="default"/>
          <w:w w:val="100"/>
          <w:sz w:val="21"/>
          <w:szCs w:val="21"/>
        </w:rPr>
        <w:t> </w:t>
      </w:r>
      <w:r>
        <w:rPr>
          <w:rFonts w:ascii="宋体" w:hAnsi="宋体" w:cs="宋体" w:eastAsia="宋体" w:hint="default"/>
          <w:spacing w:val="-4"/>
          <w:sz w:val="21"/>
          <w:szCs w:val="21"/>
        </w:rPr>
        <w:t>司”）是由北京东华诚信电脑科技发展有限公司（原北京东华诚信电脑科技发展公司）、北京东华</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5"/>
          <w:sz w:val="21"/>
          <w:szCs w:val="21"/>
        </w:rPr>
        <w:t>诚信工业设备有限公司、北京合创电商投资顾问有限公司等</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家法人企业及薛向东等</w:t>
      </w:r>
      <w:r>
        <w:rPr>
          <w:rFonts w:ascii="宋体" w:hAnsi="宋体" w:cs="宋体" w:eastAsia="宋体" w:hint="default"/>
          <w:spacing w:val="13"/>
          <w:sz w:val="21"/>
          <w:szCs w:val="21"/>
        </w:rPr>
        <w:t> </w:t>
      </w:r>
      <w:r>
        <w:rPr>
          <w:rFonts w:ascii="宋体" w:hAnsi="宋体" w:cs="宋体" w:eastAsia="宋体" w:hint="default"/>
          <w:sz w:val="21"/>
          <w:szCs w:val="21"/>
        </w:rPr>
        <w:t>12</w:t>
      </w:r>
      <w:r>
        <w:rPr>
          <w:rFonts w:ascii="宋体" w:hAnsi="宋体" w:cs="宋体" w:eastAsia="宋体" w:hint="default"/>
          <w:spacing w:val="13"/>
          <w:sz w:val="21"/>
          <w:szCs w:val="21"/>
        </w:rPr>
        <w:t> </w:t>
      </w:r>
      <w:r>
        <w:rPr>
          <w:rFonts w:ascii="宋体" w:hAnsi="宋体" w:cs="宋体" w:eastAsia="宋体" w:hint="default"/>
          <w:sz w:val="21"/>
          <w:szCs w:val="21"/>
        </w:rPr>
        <w:t>个自然人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共同发起，在原北京东华合创数码科技有限公司的基础上，依法改制设立的股份有限公司。公司的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注册资本为人民币</w:t>
      </w:r>
      <w:r>
        <w:rPr>
          <w:rFonts w:ascii="宋体" w:hAnsi="宋体" w:cs="宋体" w:eastAsia="宋体" w:hint="default"/>
          <w:spacing w:val="-54"/>
          <w:sz w:val="21"/>
          <w:szCs w:val="21"/>
        </w:rPr>
        <w:t> </w:t>
      </w:r>
      <w:r>
        <w:rPr>
          <w:rFonts w:ascii="宋体" w:hAnsi="宋体" w:cs="宋体" w:eastAsia="宋体" w:hint="default"/>
          <w:sz w:val="21"/>
          <w:szCs w:val="21"/>
        </w:rPr>
        <w:t>53,074.4</w:t>
      </w:r>
      <w:r>
        <w:rPr>
          <w:rFonts w:ascii="宋体" w:hAnsi="宋体" w:cs="宋体" w:eastAsia="宋体" w:hint="default"/>
          <w:spacing w:val="-54"/>
          <w:sz w:val="21"/>
          <w:szCs w:val="21"/>
        </w:rPr>
        <w:t> </w:t>
      </w:r>
      <w:r>
        <w:rPr>
          <w:rFonts w:ascii="宋体" w:hAnsi="宋体" w:cs="宋体" w:eastAsia="宋体" w:hint="default"/>
          <w:sz w:val="21"/>
          <w:szCs w:val="21"/>
        </w:rPr>
        <w:t>万元，注册地址位于北京市海淀区紫金数码园</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6"/>
          <w:sz w:val="21"/>
          <w:szCs w:val="21"/>
        </w:rPr>
        <w:t> </w:t>
      </w:r>
      <w:r>
        <w:rPr>
          <w:rFonts w:ascii="宋体" w:hAnsi="宋体" w:cs="宋体" w:eastAsia="宋体" w:hint="default"/>
          <w:sz w:val="21"/>
          <w:szCs w:val="21"/>
        </w:rPr>
        <w:t>1501</w:t>
      </w:r>
      <w:r>
        <w:rPr>
          <w:rFonts w:ascii="宋体" w:hAnsi="宋体" w:cs="宋体" w:eastAsia="宋体" w:hint="default"/>
          <w:spacing w:val="-56"/>
          <w:sz w:val="21"/>
          <w:szCs w:val="21"/>
        </w:rPr>
        <w:t> </w:t>
      </w:r>
      <w:r>
        <w:rPr>
          <w:rFonts w:ascii="宋体" w:hAnsi="宋体" w:cs="宋体" w:eastAsia="宋体" w:hint="default"/>
          <w:sz w:val="21"/>
          <w:szCs w:val="21"/>
        </w:rPr>
        <w:t>室，</w:t>
      </w:r>
    </w:p>
    <w:p>
      <w:pPr>
        <w:spacing w:before="11"/>
        <w:ind w:left="144" w:right="1697" w:firstLine="0"/>
        <w:jc w:val="left"/>
        <w:rPr>
          <w:rFonts w:ascii="宋体" w:hAnsi="宋体" w:cs="宋体" w:eastAsia="宋体" w:hint="default"/>
          <w:sz w:val="21"/>
          <w:szCs w:val="21"/>
        </w:rPr>
      </w:pPr>
      <w:r>
        <w:rPr>
          <w:rFonts w:ascii="宋体" w:hAnsi="宋体" w:cs="宋体" w:eastAsia="宋体" w:hint="default"/>
          <w:sz w:val="21"/>
          <w:szCs w:val="21"/>
        </w:rPr>
        <w:t>法定代表人：薛向东，企业法人营业执照为“第</w:t>
      </w:r>
      <w:r>
        <w:rPr>
          <w:rFonts w:ascii="宋体" w:hAnsi="宋体" w:cs="宋体" w:eastAsia="宋体" w:hint="default"/>
          <w:spacing w:val="-55"/>
          <w:sz w:val="21"/>
          <w:szCs w:val="21"/>
        </w:rPr>
        <w:t> </w:t>
      </w:r>
      <w:r>
        <w:rPr>
          <w:rFonts w:ascii="宋体" w:hAnsi="宋体" w:cs="宋体" w:eastAsia="宋体" w:hint="default"/>
          <w:sz w:val="21"/>
          <w:szCs w:val="21"/>
        </w:rPr>
        <w:t>110000001930643</w:t>
      </w:r>
      <w:r>
        <w:rPr>
          <w:rFonts w:ascii="宋体" w:hAnsi="宋体" w:cs="宋体" w:eastAsia="宋体" w:hint="default"/>
          <w:spacing w:val="-57"/>
          <w:sz w:val="21"/>
          <w:szCs w:val="21"/>
        </w:rPr>
        <w:t> </w:t>
      </w:r>
      <w:r>
        <w:rPr>
          <w:rFonts w:ascii="宋体" w:hAnsi="宋体" w:cs="宋体" w:eastAsia="宋体" w:hint="default"/>
          <w:sz w:val="21"/>
          <w:szCs w:val="21"/>
        </w:rPr>
        <w:t>号”。</w:t>
      </w:r>
    </w:p>
    <w:p>
      <w:pPr>
        <w:spacing w:line="285" w:lineRule="auto" w:before="90"/>
        <w:ind w:left="144" w:right="1506" w:firstLine="419"/>
        <w:jc w:val="left"/>
        <w:rPr>
          <w:rFonts w:ascii="宋体" w:hAnsi="宋体" w:cs="宋体" w:eastAsia="宋体" w:hint="default"/>
          <w:sz w:val="21"/>
          <w:szCs w:val="21"/>
        </w:rPr>
      </w:pPr>
      <w:r>
        <w:rPr>
          <w:rFonts w:ascii="宋体" w:hAnsi="宋体" w:cs="宋体" w:eastAsia="宋体" w:hint="default"/>
          <w:sz w:val="21"/>
          <w:szCs w:val="21"/>
        </w:rPr>
        <w:t>公司的前身北京东华合创数码科技有限公司，成立于</w:t>
      </w:r>
      <w:r>
        <w:rPr>
          <w:rFonts w:ascii="宋体" w:hAnsi="宋体" w:cs="宋体" w:eastAsia="宋体" w:hint="default"/>
          <w:spacing w:val="-53"/>
          <w:sz w:val="21"/>
          <w:szCs w:val="21"/>
        </w:rPr>
        <w:t> </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月，注册资本为人民币</w:t>
      </w:r>
      <w:r>
        <w:rPr>
          <w:rFonts w:ascii="宋体" w:hAnsi="宋体" w:cs="宋体" w:eastAsia="宋体" w:hint="default"/>
          <w:spacing w:val="-53"/>
          <w:sz w:val="21"/>
          <w:szCs w:val="21"/>
        </w:rPr>
        <w:t> </w:t>
      </w:r>
      <w:r>
        <w:rPr>
          <w:rFonts w:ascii="宋体" w:hAnsi="宋体" w:cs="宋体" w:eastAsia="宋体" w:hint="default"/>
          <w:sz w:val="21"/>
          <w:szCs w:val="21"/>
        </w:rPr>
        <w:t>3,700</w:t>
      </w:r>
      <w:r>
        <w:rPr>
          <w:rFonts w:ascii="宋体" w:hAnsi="宋体" w:cs="宋体" w:eastAsia="宋体" w:hint="default"/>
          <w:w w:val="100"/>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pacing w:val="-3"/>
          <w:sz w:val="21"/>
          <w:szCs w:val="21"/>
        </w:rPr>
        <w:t>日，经北京市人民政府经济体制改革办公室以“京政体改股函</w:t>
      </w:r>
      <w:r>
        <w:rPr>
          <w:rFonts w:ascii="宋体" w:hAnsi="宋体" w:cs="宋体" w:eastAsia="宋体" w:hint="default"/>
          <w:spacing w:val="-3"/>
          <w:sz w:val="21"/>
          <w:szCs w:val="21"/>
        </w:rPr>
        <w:t>[2001]69</w:t>
      </w:r>
      <w:r>
        <w:rPr>
          <w:rFonts w:ascii="宋体" w:hAnsi="宋体" w:cs="宋体" w:eastAsia="宋体" w:hint="default"/>
          <w:spacing w:val="-46"/>
          <w:sz w:val="21"/>
          <w:szCs w:val="21"/>
        </w:rPr>
        <w:t> </w:t>
      </w:r>
      <w:r>
        <w:rPr>
          <w:rFonts w:ascii="宋体" w:hAnsi="宋体" w:cs="宋体" w:eastAsia="宋体" w:hint="default"/>
          <w:sz w:val="21"/>
          <w:szCs w:val="21"/>
        </w:rPr>
        <w:t>号”</w:t>
      </w:r>
      <w:r>
        <w:rPr>
          <w:rFonts w:ascii="宋体" w:hAnsi="宋体" w:cs="宋体" w:eastAsia="宋体" w:hint="default"/>
          <w:spacing w:val="-102"/>
          <w:sz w:val="21"/>
          <w:szCs w:val="21"/>
        </w:rPr>
        <w:t> </w:t>
      </w:r>
      <w:r>
        <w:rPr>
          <w:rFonts w:ascii="宋体" w:hAnsi="宋体" w:cs="宋体" w:eastAsia="宋体" w:hint="default"/>
          <w:spacing w:val="-2"/>
          <w:sz w:val="21"/>
          <w:szCs w:val="21"/>
        </w:rPr>
        <w:t>文《关于同意北京东华合创数码科技有限公司变更为北京东华合创数码科技股份有限公司的通知》</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5"/>
          <w:sz w:val="21"/>
          <w:szCs w:val="21"/>
        </w:rPr>
        <w:t>批复，北京东华合创数码科技有限公司依法改制设立为股份有限公司，注册资本为人民币</w:t>
      </w:r>
      <w:r>
        <w:rPr>
          <w:rFonts w:ascii="宋体" w:hAnsi="宋体" w:cs="宋体" w:eastAsia="宋体" w:hint="default"/>
          <w:spacing w:val="-35"/>
          <w:sz w:val="21"/>
          <w:szCs w:val="21"/>
        </w:rPr>
        <w:t> </w:t>
      </w:r>
      <w:r>
        <w:rPr>
          <w:rFonts w:ascii="宋体" w:hAnsi="宋体" w:cs="宋体" w:eastAsia="宋体" w:hint="default"/>
          <w:sz w:val="21"/>
          <w:szCs w:val="21"/>
        </w:rPr>
        <w:t>4,856.25</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万元。</w:t>
      </w:r>
    </w:p>
    <w:p>
      <w:pPr>
        <w:spacing w:before="5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sz w:val="21"/>
          <w:szCs w:val="21"/>
        </w:rPr>
        <w:t>本总额</w:t>
      </w:r>
      <w:r>
        <w:rPr>
          <w:rFonts w:ascii="宋体" w:hAnsi="宋体" w:cs="宋体" w:eastAsia="宋体" w:hint="default"/>
          <w:spacing w:val="-45"/>
          <w:sz w:val="21"/>
          <w:szCs w:val="21"/>
        </w:rPr>
        <w:t> </w:t>
      </w:r>
      <w:r>
        <w:rPr>
          <w:rFonts w:ascii="宋体" w:hAnsi="宋体" w:cs="宋体" w:eastAsia="宋体" w:hint="default"/>
          <w:sz w:val="21"/>
          <w:szCs w:val="21"/>
        </w:rPr>
        <w:t>4,856.25</w:t>
      </w:r>
      <w:r>
        <w:rPr>
          <w:rFonts w:ascii="宋体" w:hAnsi="宋体" w:cs="宋体" w:eastAsia="宋体" w:hint="default"/>
          <w:spacing w:val="-45"/>
          <w:sz w:val="21"/>
          <w:szCs w:val="21"/>
        </w:rPr>
        <w:t> </w:t>
      </w:r>
      <w:r>
        <w:rPr>
          <w:rFonts w:ascii="宋体" w:hAnsi="宋体" w:cs="宋体" w:eastAsia="宋体" w:hint="default"/>
          <w:spacing w:val="-4"/>
          <w:sz w:val="21"/>
          <w:szCs w:val="21"/>
        </w:rPr>
        <w:t>万元为基数，按</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比</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3"/>
          <w:sz w:val="21"/>
          <w:szCs w:val="21"/>
        </w:rPr>
        <w:t>的比例向公司的全体股东派送红股，共增加股本</w:t>
      </w:r>
      <w:r>
        <w:rPr>
          <w:rFonts w:ascii="宋体" w:hAnsi="宋体" w:cs="宋体" w:eastAsia="宋体" w:hint="default"/>
          <w:spacing w:val="-44"/>
          <w:sz w:val="21"/>
          <w:szCs w:val="21"/>
        </w:rPr>
        <w:t> </w:t>
      </w:r>
      <w:r>
        <w:rPr>
          <w:rFonts w:ascii="宋体" w:hAnsi="宋体" w:cs="宋体" w:eastAsia="宋体" w:hint="default"/>
          <w:sz w:val="21"/>
          <w:szCs w:val="21"/>
        </w:rPr>
        <w:t>485.625</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万元。该增资事项完成后，公司的股本增加为人民币</w:t>
      </w:r>
      <w:r>
        <w:rPr>
          <w:rFonts w:ascii="宋体" w:hAnsi="宋体" w:cs="宋体" w:eastAsia="宋体" w:hint="default"/>
          <w:spacing w:val="-55"/>
          <w:sz w:val="21"/>
          <w:szCs w:val="21"/>
        </w:rPr>
        <w:t> </w:t>
      </w:r>
      <w:r>
        <w:rPr>
          <w:rFonts w:ascii="宋体" w:hAnsi="宋体" w:cs="宋体" w:eastAsia="宋体" w:hint="default"/>
          <w:sz w:val="21"/>
          <w:szCs w:val="21"/>
        </w:rPr>
        <w:t>5,341.875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w w:val="100"/>
          <w:sz w:val="21"/>
          <w:szCs w:val="21"/>
        </w:rPr>
        <w:t>本总额</w:t>
      </w:r>
      <w:r>
        <w:rPr>
          <w:rFonts w:ascii="宋体" w:hAnsi="宋体" w:cs="宋体" w:eastAsia="宋体" w:hint="default"/>
          <w:spacing w:val="-58"/>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,34</w:t>
      </w:r>
      <w:r>
        <w:rPr>
          <w:rFonts w:ascii="宋体" w:hAnsi="宋体" w:cs="宋体" w:eastAsia="宋体" w:hint="default"/>
          <w:spacing w:val="-3"/>
          <w:w w:val="100"/>
          <w:sz w:val="21"/>
          <w:szCs w:val="21"/>
        </w:rPr>
        <w:t>1</w:t>
      </w:r>
      <w:r>
        <w:rPr>
          <w:rFonts w:ascii="宋体" w:hAnsi="宋体" w:cs="宋体" w:eastAsia="宋体" w:hint="default"/>
          <w:w w:val="100"/>
          <w:sz w:val="21"/>
          <w:szCs w:val="21"/>
        </w:rPr>
        <w:t>.875</w:t>
      </w:r>
      <w:r>
        <w:rPr>
          <w:rFonts w:ascii="宋体" w:hAnsi="宋体" w:cs="宋体" w:eastAsia="宋体" w:hint="default"/>
          <w:spacing w:val="-58"/>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为</w:t>
      </w:r>
      <w:r>
        <w:rPr>
          <w:rFonts w:ascii="宋体" w:hAnsi="宋体" w:cs="宋体" w:eastAsia="宋体" w:hint="default"/>
          <w:w w:val="100"/>
          <w:sz w:val="21"/>
          <w:szCs w:val="21"/>
        </w:rPr>
        <w:t>基数</w:t>
      </w:r>
      <w:r>
        <w:rPr>
          <w:rFonts w:ascii="宋体" w:hAnsi="宋体" w:cs="宋体" w:eastAsia="宋体" w:hint="default"/>
          <w:spacing w:val="-106"/>
          <w:w w:val="100"/>
          <w:sz w:val="21"/>
          <w:szCs w:val="21"/>
        </w:rPr>
        <w:t>，</w:t>
      </w:r>
      <w:r>
        <w:rPr>
          <w:rFonts w:ascii="宋体" w:hAnsi="宋体" w:cs="宋体" w:eastAsia="宋体" w:hint="default"/>
          <w:w w:val="100"/>
          <w:sz w:val="21"/>
          <w:szCs w:val="21"/>
        </w:rPr>
        <w:t>按</w:t>
      </w:r>
      <w:r>
        <w:rPr>
          <w:rFonts w:ascii="宋体" w:hAnsi="宋体" w:cs="宋体" w:eastAsia="宋体" w:hint="default"/>
          <w:spacing w:val="-59"/>
          <w:sz w:val="21"/>
          <w:szCs w:val="21"/>
        </w:rPr>
        <w:t> </w:t>
      </w:r>
      <w:r>
        <w:rPr>
          <w:rFonts w:ascii="宋体" w:hAnsi="宋体" w:cs="宋体" w:eastAsia="宋体" w:hint="default"/>
          <w:w w:val="100"/>
          <w:sz w:val="21"/>
          <w:szCs w:val="21"/>
        </w:rPr>
        <w:t>10</w:t>
      </w:r>
      <w:r>
        <w:rPr>
          <w:rFonts w:ascii="宋体" w:hAnsi="宋体" w:cs="宋体" w:eastAsia="宋体" w:hint="default"/>
          <w:spacing w:val="-57"/>
          <w:sz w:val="21"/>
          <w:szCs w:val="21"/>
        </w:rPr>
        <w:t> </w:t>
      </w:r>
      <w:r>
        <w:rPr>
          <w:rFonts w:ascii="宋体" w:hAnsi="宋体" w:cs="宋体" w:eastAsia="宋体" w:hint="default"/>
          <w:w w:val="100"/>
          <w:sz w:val="21"/>
          <w:szCs w:val="21"/>
        </w:rPr>
        <w:t>比</w:t>
      </w:r>
      <w:r>
        <w:rPr>
          <w:rFonts w:ascii="宋体" w:hAnsi="宋体" w:cs="宋体" w:eastAsia="宋体" w:hint="default"/>
          <w:spacing w:val="-57"/>
          <w:sz w:val="21"/>
          <w:szCs w:val="21"/>
        </w:rPr>
        <w:t> </w:t>
      </w: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spacing w:val="-3"/>
          <w:w w:val="100"/>
          <w:sz w:val="21"/>
          <w:szCs w:val="21"/>
        </w:rPr>
        <w:t>的</w:t>
      </w:r>
      <w:r>
        <w:rPr>
          <w:rFonts w:ascii="宋体" w:hAnsi="宋体" w:cs="宋体" w:eastAsia="宋体" w:hint="default"/>
          <w:w w:val="100"/>
          <w:sz w:val="21"/>
          <w:szCs w:val="21"/>
        </w:rPr>
        <w:t>比例</w:t>
      </w:r>
      <w:r>
        <w:rPr>
          <w:rFonts w:ascii="宋体" w:hAnsi="宋体" w:cs="宋体" w:eastAsia="宋体" w:hint="default"/>
          <w:spacing w:val="-3"/>
          <w:w w:val="100"/>
          <w:sz w:val="21"/>
          <w:szCs w:val="21"/>
        </w:rPr>
        <w:t>向</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派</w:t>
      </w:r>
      <w:r>
        <w:rPr>
          <w:rFonts w:ascii="宋体" w:hAnsi="宋体" w:cs="宋体" w:eastAsia="宋体" w:hint="default"/>
          <w:spacing w:val="-3"/>
          <w:w w:val="100"/>
          <w:sz w:val="21"/>
          <w:szCs w:val="21"/>
        </w:rPr>
        <w:t>送</w:t>
      </w:r>
      <w:r>
        <w:rPr>
          <w:rFonts w:ascii="宋体" w:hAnsi="宋体" w:cs="宋体" w:eastAsia="宋体" w:hint="default"/>
          <w:w w:val="100"/>
          <w:sz w:val="21"/>
          <w:szCs w:val="21"/>
        </w:rPr>
        <w:t>红</w:t>
      </w:r>
      <w:r>
        <w:rPr>
          <w:rFonts w:ascii="宋体" w:hAnsi="宋体" w:cs="宋体" w:eastAsia="宋体" w:hint="default"/>
          <w:spacing w:val="-3"/>
          <w:w w:val="100"/>
          <w:sz w:val="21"/>
          <w:szCs w:val="21"/>
        </w:rPr>
        <w:t>股</w:t>
      </w:r>
      <w:r>
        <w:rPr>
          <w:rFonts w:ascii="宋体" w:hAnsi="宋体" w:cs="宋体" w:eastAsia="宋体" w:hint="default"/>
          <w:spacing w:val="-108"/>
          <w:w w:val="100"/>
          <w:sz w:val="21"/>
          <w:szCs w:val="21"/>
        </w:rPr>
        <w:t>，</w:t>
      </w:r>
      <w:r>
        <w:rPr>
          <w:rFonts w:ascii="宋体" w:hAnsi="宋体" w:cs="宋体" w:eastAsia="宋体" w:hint="default"/>
          <w:w w:val="100"/>
          <w:sz w:val="21"/>
          <w:szCs w:val="21"/>
        </w:rPr>
        <w:t>共增</w:t>
      </w:r>
      <w:r>
        <w:rPr>
          <w:rFonts w:ascii="宋体" w:hAnsi="宋体" w:cs="宋体" w:eastAsia="宋体" w:hint="default"/>
          <w:spacing w:val="-3"/>
          <w:w w:val="100"/>
          <w:sz w:val="21"/>
          <w:szCs w:val="21"/>
        </w:rPr>
        <w:t>加</w:t>
      </w:r>
      <w:r>
        <w:rPr>
          <w:rFonts w:ascii="宋体" w:hAnsi="宋体" w:cs="宋体" w:eastAsia="宋体" w:hint="default"/>
          <w:w w:val="100"/>
          <w:sz w:val="21"/>
          <w:szCs w:val="21"/>
        </w:rPr>
        <w:t>股本</w:t>
      </w:r>
      <w:r>
        <w:rPr>
          <w:rFonts w:ascii="宋体" w:hAnsi="宋体" w:cs="宋体" w:eastAsia="宋体" w:hint="default"/>
          <w:spacing w:val="-57"/>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34.</w:t>
      </w:r>
      <w:r>
        <w:rPr>
          <w:rFonts w:ascii="宋体" w:hAnsi="宋体" w:cs="宋体" w:eastAsia="宋体" w:hint="default"/>
          <w:spacing w:val="-3"/>
          <w:w w:val="100"/>
          <w:sz w:val="21"/>
          <w:szCs w:val="21"/>
        </w:rPr>
        <w:t>1</w:t>
      </w:r>
      <w:r>
        <w:rPr>
          <w:rFonts w:ascii="宋体" w:hAnsi="宋体" w:cs="宋体" w:eastAsia="宋体" w:hint="default"/>
          <w:w w:val="100"/>
          <w:sz w:val="21"/>
          <w:szCs w:val="21"/>
        </w:rPr>
        <w:t>875</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万元。该增资事项完成后，公司的股本增加为人民币</w:t>
      </w:r>
      <w:r>
        <w:rPr>
          <w:rFonts w:ascii="宋体" w:hAnsi="宋体" w:cs="宋体" w:eastAsia="宋体" w:hint="default"/>
          <w:spacing w:val="-54"/>
          <w:sz w:val="21"/>
          <w:szCs w:val="21"/>
        </w:rPr>
        <w:t> </w:t>
      </w:r>
      <w:r>
        <w:rPr>
          <w:rFonts w:ascii="宋体" w:hAnsi="宋体" w:cs="宋体" w:eastAsia="宋体" w:hint="default"/>
          <w:sz w:val="21"/>
          <w:szCs w:val="21"/>
        </w:rPr>
        <w:t>5,876.0625</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w w:val="100"/>
          <w:sz w:val="21"/>
          <w:szCs w:val="21"/>
        </w:rPr>
        <w:t>本总额</w:t>
      </w:r>
      <w:r>
        <w:rPr>
          <w:rFonts w:ascii="宋体" w:hAnsi="宋体" w:cs="宋体" w:eastAsia="宋体" w:hint="default"/>
          <w:spacing w:val="-74"/>
          <w:sz w:val="21"/>
          <w:szCs w:val="21"/>
        </w:rPr>
        <w:t> </w:t>
      </w:r>
      <w:r>
        <w:rPr>
          <w:rFonts w:ascii="宋体" w:hAnsi="宋体" w:cs="宋体" w:eastAsia="宋体" w:hint="default"/>
          <w:w w:val="100"/>
          <w:sz w:val="21"/>
          <w:szCs w:val="21"/>
        </w:rPr>
        <w:t>5,8</w:t>
      </w:r>
      <w:r>
        <w:rPr>
          <w:rFonts w:ascii="宋体" w:hAnsi="宋体" w:cs="宋体" w:eastAsia="宋体" w:hint="default"/>
          <w:spacing w:val="-3"/>
          <w:w w:val="100"/>
          <w:sz w:val="21"/>
          <w:szCs w:val="21"/>
        </w:rPr>
        <w:t>7</w:t>
      </w:r>
      <w:r>
        <w:rPr>
          <w:rFonts w:ascii="宋体" w:hAnsi="宋体" w:cs="宋体" w:eastAsia="宋体" w:hint="default"/>
          <w:w w:val="100"/>
          <w:sz w:val="21"/>
          <w:szCs w:val="21"/>
        </w:rPr>
        <w:t>6.0</w:t>
      </w:r>
      <w:r>
        <w:rPr>
          <w:rFonts w:ascii="宋体" w:hAnsi="宋体" w:cs="宋体" w:eastAsia="宋体" w:hint="default"/>
          <w:spacing w:val="-3"/>
          <w:w w:val="100"/>
          <w:sz w:val="21"/>
          <w:szCs w:val="21"/>
        </w:rPr>
        <w:t>6</w:t>
      </w:r>
      <w:r>
        <w:rPr>
          <w:rFonts w:ascii="宋体" w:hAnsi="宋体" w:cs="宋体" w:eastAsia="宋体" w:hint="default"/>
          <w:w w:val="100"/>
          <w:sz w:val="21"/>
          <w:szCs w:val="21"/>
        </w:rPr>
        <w:t>25</w:t>
      </w:r>
      <w:r>
        <w:rPr>
          <w:rFonts w:ascii="宋体" w:hAnsi="宋体" w:cs="宋体" w:eastAsia="宋体" w:hint="default"/>
          <w:spacing w:val="-7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为</w:t>
      </w:r>
      <w:r>
        <w:rPr>
          <w:rFonts w:ascii="宋体" w:hAnsi="宋体" w:cs="宋体" w:eastAsia="宋体" w:hint="default"/>
          <w:w w:val="100"/>
          <w:sz w:val="21"/>
          <w:szCs w:val="21"/>
        </w:rPr>
        <w:t>基数</w:t>
      </w:r>
      <w:r>
        <w:rPr>
          <w:rFonts w:ascii="宋体" w:hAnsi="宋体" w:cs="宋体" w:eastAsia="宋体" w:hint="default"/>
          <w:spacing w:val="-108"/>
          <w:w w:val="100"/>
          <w:sz w:val="21"/>
          <w:szCs w:val="21"/>
        </w:rPr>
        <w:t>，</w:t>
      </w:r>
      <w:r>
        <w:rPr>
          <w:rFonts w:ascii="宋体" w:hAnsi="宋体" w:cs="宋体" w:eastAsia="宋体" w:hint="default"/>
          <w:w w:val="100"/>
          <w:sz w:val="21"/>
          <w:szCs w:val="21"/>
        </w:rPr>
        <w:t>按</w:t>
      </w:r>
      <w:r>
        <w:rPr>
          <w:rFonts w:ascii="宋体" w:hAnsi="宋体" w:cs="宋体" w:eastAsia="宋体" w:hint="default"/>
          <w:spacing w:val="-72"/>
          <w:sz w:val="21"/>
          <w:szCs w:val="21"/>
        </w:rPr>
        <w:t> </w:t>
      </w:r>
      <w:r>
        <w:rPr>
          <w:rFonts w:ascii="宋体" w:hAnsi="宋体" w:cs="宋体" w:eastAsia="宋体" w:hint="default"/>
          <w:w w:val="100"/>
          <w:sz w:val="21"/>
          <w:szCs w:val="21"/>
        </w:rPr>
        <w:t>10</w:t>
      </w:r>
      <w:r>
        <w:rPr>
          <w:rFonts w:ascii="宋体" w:hAnsi="宋体" w:cs="宋体" w:eastAsia="宋体" w:hint="default"/>
          <w:spacing w:val="-72"/>
          <w:sz w:val="21"/>
          <w:szCs w:val="21"/>
        </w:rPr>
        <w:t> </w:t>
      </w:r>
      <w:r>
        <w:rPr>
          <w:rFonts w:ascii="宋体" w:hAnsi="宋体" w:cs="宋体" w:eastAsia="宋体" w:hint="default"/>
          <w:w w:val="100"/>
          <w:sz w:val="21"/>
          <w:szCs w:val="21"/>
        </w:rPr>
        <w:t>比</w:t>
      </w:r>
      <w:r>
        <w:rPr>
          <w:rFonts w:ascii="宋体" w:hAnsi="宋体" w:cs="宋体" w:eastAsia="宋体" w:hint="default"/>
          <w:spacing w:val="-74"/>
          <w:sz w:val="21"/>
          <w:szCs w:val="21"/>
        </w:rPr>
        <w:t> </w:t>
      </w:r>
      <w:r>
        <w:rPr>
          <w:rFonts w:ascii="宋体" w:hAnsi="宋体" w:cs="宋体" w:eastAsia="宋体" w:hint="default"/>
          <w:w w:val="100"/>
          <w:sz w:val="21"/>
          <w:szCs w:val="21"/>
        </w:rPr>
        <w:t>1</w:t>
      </w:r>
      <w:r>
        <w:rPr>
          <w:rFonts w:ascii="宋体" w:hAnsi="宋体" w:cs="宋体" w:eastAsia="宋体" w:hint="default"/>
          <w:spacing w:val="-72"/>
          <w:sz w:val="21"/>
          <w:szCs w:val="21"/>
        </w:rPr>
        <w:t> </w:t>
      </w:r>
      <w:r>
        <w:rPr>
          <w:rFonts w:ascii="宋体" w:hAnsi="宋体" w:cs="宋体" w:eastAsia="宋体" w:hint="default"/>
          <w:spacing w:val="-3"/>
          <w:w w:val="100"/>
          <w:sz w:val="21"/>
          <w:szCs w:val="21"/>
        </w:rPr>
        <w:t>的</w:t>
      </w:r>
      <w:r>
        <w:rPr>
          <w:rFonts w:ascii="宋体" w:hAnsi="宋体" w:cs="宋体" w:eastAsia="宋体" w:hint="default"/>
          <w:w w:val="100"/>
          <w:sz w:val="21"/>
          <w:szCs w:val="21"/>
        </w:rPr>
        <w:t>比例</w:t>
      </w:r>
      <w:r>
        <w:rPr>
          <w:rFonts w:ascii="宋体" w:hAnsi="宋体" w:cs="宋体" w:eastAsia="宋体" w:hint="default"/>
          <w:spacing w:val="-3"/>
          <w:w w:val="100"/>
          <w:sz w:val="21"/>
          <w:szCs w:val="21"/>
        </w:rPr>
        <w:t>向公</w:t>
      </w:r>
      <w:r>
        <w:rPr>
          <w:rFonts w:ascii="宋体" w:hAnsi="宋体" w:cs="宋体" w:eastAsia="宋体" w:hint="default"/>
          <w:w w:val="100"/>
          <w:sz w:val="21"/>
          <w:szCs w:val="21"/>
        </w:rPr>
        <w:t>司的</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派</w:t>
      </w:r>
      <w:r>
        <w:rPr>
          <w:rFonts w:ascii="宋体" w:hAnsi="宋体" w:cs="宋体" w:eastAsia="宋体" w:hint="default"/>
          <w:w w:val="100"/>
          <w:sz w:val="21"/>
          <w:szCs w:val="21"/>
        </w:rPr>
        <w:t>送</w:t>
      </w:r>
      <w:r>
        <w:rPr>
          <w:rFonts w:ascii="宋体" w:hAnsi="宋体" w:cs="宋体" w:eastAsia="宋体" w:hint="default"/>
          <w:spacing w:val="-3"/>
          <w:w w:val="100"/>
          <w:sz w:val="21"/>
          <w:szCs w:val="21"/>
        </w:rPr>
        <w:t>红</w:t>
      </w:r>
      <w:r>
        <w:rPr>
          <w:rFonts w:ascii="宋体" w:hAnsi="宋体" w:cs="宋体" w:eastAsia="宋体" w:hint="default"/>
          <w:w w:val="100"/>
          <w:sz w:val="21"/>
          <w:szCs w:val="21"/>
        </w:rPr>
        <w:t>股</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增加</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72"/>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8</w:t>
      </w:r>
      <w:r>
        <w:rPr>
          <w:rFonts w:ascii="宋体" w:hAnsi="宋体" w:cs="宋体" w:eastAsia="宋体" w:hint="default"/>
          <w:w w:val="100"/>
          <w:sz w:val="21"/>
          <w:szCs w:val="21"/>
        </w:rPr>
        <w:t>7.6</w:t>
      </w:r>
      <w:r>
        <w:rPr>
          <w:rFonts w:ascii="宋体" w:hAnsi="宋体" w:cs="宋体" w:eastAsia="宋体" w:hint="default"/>
          <w:spacing w:val="-3"/>
          <w:w w:val="100"/>
          <w:sz w:val="21"/>
          <w:szCs w:val="21"/>
        </w:rPr>
        <w:t>0</w:t>
      </w:r>
      <w:r>
        <w:rPr>
          <w:rFonts w:ascii="宋体" w:hAnsi="宋体" w:cs="宋体" w:eastAsia="宋体" w:hint="default"/>
          <w:w w:val="100"/>
          <w:sz w:val="21"/>
          <w:szCs w:val="21"/>
        </w:rPr>
        <w:t>62</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万元。该增资事项完成后，公司的股本增加为人民币</w:t>
      </w:r>
      <w:r>
        <w:rPr>
          <w:rFonts w:ascii="宋体" w:hAnsi="宋体" w:cs="宋体" w:eastAsia="宋体" w:hint="default"/>
          <w:spacing w:val="-54"/>
          <w:sz w:val="21"/>
          <w:szCs w:val="21"/>
        </w:rPr>
        <w:t> </w:t>
      </w:r>
      <w:r>
        <w:rPr>
          <w:rFonts w:ascii="宋体" w:hAnsi="宋体" w:cs="宋体" w:eastAsia="宋体" w:hint="default"/>
          <w:sz w:val="21"/>
          <w:szCs w:val="21"/>
        </w:rPr>
        <w:t>6,463.6687</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285" w:lineRule="auto" w:before="90"/>
        <w:ind w:left="144" w:right="1668" w:firstLine="419"/>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月，根据中国证券监督管理委员会于</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日下发的《关于核准北京东华</w:t>
      </w:r>
      <w:r>
        <w:rPr>
          <w:rFonts w:ascii="宋体" w:hAnsi="宋体" w:cs="宋体" w:eastAsia="宋体" w:hint="default"/>
          <w:w w:val="100"/>
          <w:sz w:val="21"/>
          <w:szCs w:val="21"/>
        </w:rPr>
        <w:t> </w:t>
      </w:r>
      <w:r>
        <w:rPr>
          <w:rFonts w:ascii="宋体" w:hAnsi="宋体" w:cs="宋体" w:eastAsia="宋体" w:hint="default"/>
          <w:sz w:val="21"/>
          <w:szCs w:val="21"/>
        </w:rPr>
        <w:t>合创数码科技股份有限公司首次公开发行股票的通知》（文号为“证监发行字</w:t>
      </w:r>
      <w:r>
        <w:rPr>
          <w:rFonts w:ascii="宋体" w:hAnsi="宋体" w:cs="宋体" w:eastAsia="宋体" w:hint="default"/>
          <w:sz w:val="21"/>
          <w:szCs w:val="21"/>
        </w:rPr>
        <w:t>[2006]55</w:t>
      </w:r>
      <w:r>
        <w:rPr>
          <w:rFonts w:ascii="宋体" w:hAnsi="宋体" w:cs="宋体" w:eastAsia="宋体" w:hint="default"/>
          <w:spacing w:val="-56"/>
          <w:sz w:val="21"/>
          <w:szCs w:val="21"/>
        </w:rPr>
        <w:t> </w:t>
      </w:r>
      <w:r>
        <w:rPr>
          <w:rFonts w:ascii="宋体" w:hAnsi="宋体" w:cs="宋体" w:eastAsia="宋体" w:hint="default"/>
          <w:sz w:val="21"/>
          <w:szCs w:val="21"/>
        </w:rPr>
        <w:t>号”）的</w:t>
      </w:r>
      <w:r>
        <w:rPr>
          <w:rFonts w:ascii="宋体" w:hAnsi="宋体" w:cs="宋体" w:eastAsia="宋体" w:hint="default"/>
          <w:w w:val="100"/>
          <w:sz w:val="21"/>
          <w:szCs w:val="21"/>
        </w:rPr>
        <w:t> </w:t>
      </w:r>
      <w:r>
        <w:rPr>
          <w:rFonts w:ascii="宋体" w:hAnsi="宋体" w:cs="宋体" w:eastAsia="宋体" w:hint="default"/>
          <w:sz w:val="21"/>
          <w:szCs w:val="21"/>
        </w:rPr>
        <w:t>规定，公司于</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日前完成了向境内投资者首次公开发行</w:t>
      </w:r>
      <w:r>
        <w:rPr>
          <w:rFonts w:ascii="宋体" w:hAnsi="宋体" w:cs="宋体" w:eastAsia="宋体" w:hint="default"/>
          <w:spacing w:val="-54"/>
          <w:sz w:val="21"/>
          <w:szCs w:val="21"/>
        </w:rPr>
        <w:t> </w:t>
      </w:r>
      <w:r>
        <w:rPr>
          <w:rFonts w:ascii="宋体" w:hAnsi="宋体" w:cs="宋体" w:eastAsia="宋体" w:hint="default"/>
          <w:sz w:val="21"/>
          <w:szCs w:val="21"/>
        </w:rPr>
        <w:t>21,600,000</w:t>
      </w:r>
      <w:r>
        <w:rPr>
          <w:rFonts w:ascii="宋体" w:hAnsi="宋体" w:cs="宋体" w:eastAsia="宋体" w:hint="default"/>
          <w:spacing w:val="-56"/>
          <w:sz w:val="21"/>
          <w:szCs w:val="21"/>
        </w:rPr>
        <w:t> </w:t>
      </w:r>
      <w:r>
        <w:rPr>
          <w:rFonts w:ascii="宋体" w:hAnsi="宋体" w:cs="宋体" w:eastAsia="宋体" w:hint="default"/>
          <w:sz w:val="21"/>
          <w:szCs w:val="21"/>
        </w:rPr>
        <w:t>人民币普通股</w:t>
      </w:r>
      <w:r>
        <w:rPr>
          <w:rFonts w:ascii="宋体" w:hAnsi="宋体" w:cs="宋体" w:eastAsia="宋体" w:hint="default"/>
          <w:sz w:val="21"/>
          <w:szCs w:val="21"/>
        </w:rPr>
        <w:t>[A</w:t>
      </w:r>
    </w:p>
    <w:p>
      <w:pPr>
        <w:spacing w:before="14"/>
        <w:ind w:left="144" w:right="1697" w:firstLine="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股票的工作（发行价格为</w:t>
      </w:r>
      <w:r>
        <w:rPr>
          <w:rFonts w:ascii="宋体" w:hAnsi="宋体" w:cs="宋体" w:eastAsia="宋体" w:hint="default"/>
          <w:spacing w:val="-58"/>
          <w:sz w:val="21"/>
          <w:szCs w:val="21"/>
        </w:rPr>
        <w:t> </w:t>
      </w:r>
      <w:r>
        <w:rPr>
          <w:rFonts w:ascii="宋体" w:hAnsi="宋体" w:cs="宋体" w:eastAsia="宋体" w:hint="default"/>
          <w:sz w:val="21"/>
          <w:szCs w:val="21"/>
        </w:rPr>
        <w:t>14.50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股）。经过上述股份变更事项后，公司股本为人民币</w:t>
      </w:r>
    </w:p>
    <w:p>
      <w:pPr>
        <w:spacing w:before="52"/>
        <w:ind w:left="144" w:right="1697" w:firstLine="0"/>
        <w:jc w:val="left"/>
        <w:rPr>
          <w:rFonts w:ascii="宋体" w:hAnsi="宋体" w:cs="宋体" w:eastAsia="宋体" w:hint="default"/>
          <w:sz w:val="21"/>
          <w:szCs w:val="21"/>
        </w:rPr>
      </w:pPr>
      <w:r>
        <w:rPr>
          <w:rFonts w:ascii="宋体" w:hAnsi="宋体" w:cs="宋体" w:eastAsia="宋体" w:hint="default"/>
          <w:sz w:val="21"/>
          <w:szCs w:val="21"/>
        </w:rPr>
        <w:t>8,623.6687</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696" w:firstLine="0"/>
        <w:jc w:val="left"/>
        <w:rPr>
          <w:rFonts w:ascii="宋体" w:hAnsi="宋体" w:cs="宋体" w:eastAsia="宋体" w:hint="default"/>
          <w:sz w:val="21"/>
          <w:szCs w:val="21"/>
        </w:rPr>
      </w:pPr>
      <w:r>
        <w:rPr>
          <w:rFonts w:ascii="宋体" w:hAnsi="宋体" w:cs="宋体" w:eastAsia="宋体" w:hint="default"/>
          <w:sz w:val="21"/>
          <w:szCs w:val="21"/>
        </w:rPr>
        <w:t>本总额</w:t>
      </w:r>
      <w:r>
        <w:rPr>
          <w:rFonts w:ascii="宋体" w:hAnsi="宋体" w:cs="宋体" w:eastAsia="宋体" w:hint="default"/>
          <w:spacing w:val="-54"/>
          <w:sz w:val="21"/>
          <w:szCs w:val="21"/>
        </w:rPr>
        <w:t> </w:t>
      </w:r>
      <w:r>
        <w:rPr>
          <w:rFonts w:ascii="宋体" w:hAnsi="宋体" w:cs="宋体" w:eastAsia="宋体" w:hint="default"/>
          <w:sz w:val="21"/>
          <w:szCs w:val="21"/>
        </w:rPr>
        <w:t>8,623.6687</w:t>
      </w:r>
      <w:r>
        <w:rPr>
          <w:rFonts w:ascii="宋体" w:hAnsi="宋体" w:cs="宋体" w:eastAsia="宋体" w:hint="default"/>
          <w:spacing w:val="-56"/>
          <w:sz w:val="21"/>
          <w:szCs w:val="21"/>
        </w:rPr>
        <w:t> </w:t>
      </w:r>
      <w:r>
        <w:rPr>
          <w:rFonts w:ascii="宋体" w:hAnsi="宋体" w:cs="宋体" w:eastAsia="宋体" w:hint="default"/>
          <w:sz w:val="21"/>
          <w:szCs w:val="21"/>
        </w:rPr>
        <w:t>万元为基数，按</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比</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的比例以资本公积转增股本，共增加股本</w:t>
      </w:r>
      <w:r>
        <w:rPr>
          <w:rFonts w:ascii="宋体" w:hAnsi="宋体" w:cs="宋体" w:eastAsia="宋体" w:hint="default"/>
          <w:spacing w:val="-53"/>
          <w:sz w:val="21"/>
          <w:szCs w:val="21"/>
        </w:rPr>
        <w:t> </w:t>
      </w:r>
      <w:r>
        <w:rPr>
          <w:rFonts w:ascii="宋体" w:hAnsi="宋体" w:cs="宋体" w:eastAsia="宋体" w:hint="default"/>
          <w:sz w:val="21"/>
          <w:szCs w:val="21"/>
        </w:rPr>
        <w:t>4,311.8343</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万元。该增资事项完成后，公司的股本增加为人民币</w:t>
      </w:r>
      <w:r>
        <w:rPr>
          <w:rFonts w:ascii="宋体" w:hAnsi="宋体" w:cs="宋体" w:eastAsia="宋体" w:hint="default"/>
          <w:spacing w:val="-54"/>
          <w:sz w:val="21"/>
          <w:szCs w:val="21"/>
        </w:rPr>
        <w:t> </w:t>
      </w:r>
      <w:r>
        <w:rPr>
          <w:rFonts w:ascii="宋体" w:hAnsi="宋体" w:cs="宋体" w:eastAsia="宋体" w:hint="default"/>
          <w:sz w:val="21"/>
          <w:szCs w:val="21"/>
        </w:rPr>
        <w:t>12,935.503</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6"/>
          <w:sz w:val="21"/>
          <w:szCs w:val="21"/>
        </w:rPr>
        <w:t>月，根据公司</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年第一次临时股东大会决议和修改后章程以及中国证券监督管理</w:t>
      </w:r>
    </w:p>
    <w:p>
      <w:pPr>
        <w:spacing w:line="285" w:lineRule="auto" w:before="54"/>
        <w:ind w:left="144" w:right="1528" w:firstLine="0"/>
        <w:jc w:val="left"/>
        <w:rPr>
          <w:rFonts w:ascii="宋体" w:hAnsi="宋体" w:cs="宋体" w:eastAsia="宋体" w:hint="default"/>
          <w:sz w:val="21"/>
          <w:szCs w:val="21"/>
        </w:rPr>
      </w:pPr>
      <w:r>
        <w:rPr>
          <w:rFonts w:ascii="宋体" w:hAnsi="宋体" w:cs="宋体" w:eastAsia="宋体" w:hint="default"/>
          <w:spacing w:val="-1"/>
          <w:w w:val="100"/>
          <w:sz w:val="21"/>
          <w:szCs w:val="21"/>
        </w:rPr>
        <w:t>委员会于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11</w:t>
      </w:r>
      <w:r>
        <w:rPr>
          <w:rFonts w:ascii="宋体" w:hAnsi="宋体" w:cs="宋体" w:eastAsia="宋体" w:hint="default"/>
          <w:spacing w:val="-55"/>
          <w:w w:val="100"/>
          <w:sz w:val="21"/>
          <w:szCs w:val="21"/>
        </w:rPr>
        <w:t> </w:t>
      </w:r>
      <w:r>
        <w:rPr>
          <w:rFonts w:ascii="宋体" w:hAnsi="宋体" w:cs="宋体" w:eastAsia="宋体" w:hint="default"/>
          <w:spacing w:val="-7"/>
          <w:w w:val="100"/>
          <w:sz w:val="21"/>
          <w:szCs w:val="21"/>
        </w:rPr>
        <w:t>日下发的《关于核准北京东华合创数码科技股份有限公司向秦劳、翟曙春、</w:t>
      </w:r>
      <w:r>
        <w:rPr>
          <w:rFonts w:ascii="宋体" w:hAnsi="宋体" w:cs="宋体" w:eastAsia="宋体" w:hint="default"/>
          <w:w w:val="100"/>
          <w:sz w:val="21"/>
          <w:szCs w:val="21"/>
        </w:rPr>
        <w:t> </w:t>
      </w:r>
      <w:r>
        <w:rPr>
          <w:rFonts w:ascii="宋体" w:hAnsi="宋体" w:cs="宋体" w:eastAsia="宋体" w:hint="default"/>
          <w:sz w:val="21"/>
          <w:szCs w:val="21"/>
        </w:rPr>
        <w:t>柏红、胡明炜、谢坤等</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人发行新股购买资产的批复》（文号为“证监许可</w:t>
      </w:r>
      <w:r>
        <w:rPr>
          <w:rFonts w:ascii="宋体" w:hAnsi="宋体" w:cs="宋体" w:eastAsia="宋体" w:hint="default"/>
          <w:sz w:val="21"/>
          <w:szCs w:val="21"/>
        </w:rPr>
        <w:t>[2008]78</w:t>
      </w:r>
      <w:r>
        <w:rPr>
          <w:rFonts w:ascii="宋体" w:hAnsi="宋体" w:cs="宋体" w:eastAsia="宋体" w:hint="default"/>
          <w:spacing w:val="-54"/>
          <w:sz w:val="21"/>
          <w:szCs w:val="21"/>
        </w:rPr>
        <w:t> </w:t>
      </w:r>
      <w:r>
        <w:rPr>
          <w:rFonts w:ascii="宋体" w:hAnsi="宋体" w:cs="宋体" w:eastAsia="宋体" w:hint="default"/>
          <w:sz w:val="21"/>
          <w:szCs w:val="21"/>
        </w:rPr>
        <w:t>号”）的规</w:t>
      </w:r>
      <w:r>
        <w:rPr>
          <w:rFonts w:ascii="宋体" w:hAnsi="宋体" w:cs="宋体" w:eastAsia="宋体" w:hint="default"/>
          <w:w w:val="100"/>
          <w:sz w:val="21"/>
          <w:szCs w:val="21"/>
        </w:rPr>
        <w:t> </w:t>
      </w:r>
      <w:r>
        <w:rPr>
          <w:rFonts w:ascii="宋体" w:hAnsi="宋体" w:cs="宋体" w:eastAsia="宋体" w:hint="default"/>
          <w:sz w:val="21"/>
          <w:szCs w:val="21"/>
        </w:rPr>
        <w:t>定，公司申请增加注册资本人民币</w:t>
      </w:r>
      <w:r>
        <w:rPr>
          <w:rFonts w:ascii="宋体" w:hAnsi="宋体" w:cs="宋体" w:eastAsia="宋体" w:hint="default"/>
          <w:spacing w:val="-2"/>
          <w:sz w:val="21"/>
          <w:szCs w:val="21"/>
        </w:rPr>
        <w:t> </w:t>
      </w:r>
      <w:r>
        <w:rPr>
          <w:rFonts w:ascii="宋体" w:hAnsi="宋体" w:cs="宋体" w:eastAsia="宋体" w:hint="default"/>
          <w:sz w:val="21"/>
          <w:szCs w:val="21"/>
        </w:rPr>
        <w:t>1,264</w:t>
      </w:r>
      <w:r>
        <w:rPr>
          <w:rFonts w:ascii="宋体" w:hAnsi="宋体" w:cs="宋体" w:eastAsia="宋体" w:hint="default"/>
          <w:spacing w:val="-54"/>
          <w:sz w:val="21"/>
          <w:szCs w:val="21"/>
        </w:rPr>
        <w:t> </w:t>
      </w:r>
      <w:r>
        <w:rPr>
          <w:rFonts w:ascii="宋体" w:hAnsi="宋体" w:cs="宋体" w:eastAsia="宋体" w:hint="default"/>
          <w:sz w:val="21"/>
          <w:szCs w:val="21"/>
        </w:rPr>
        <w:t>万元，划分为每股人民币</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元的普通股</w:t>
      </w:r>
      <w:r>
        <w:rPr>
          <w:rFonts w:ascii="宋体" w:hAnsi="宋体" w:cs="宋体" w:eastAsia="宋体" w:hint="default"/>
          <w:spacing w:val="-53"/>
          <w:sz w:val="21"/>
          <w:szCs w:val="21"/>
        </w:rPr>
        <w:t> </w:t>
      </w:r>
      <w:r>
        <w:rPr>
          <w:rFonts w:ascii="宋体" w:hAnsi="宋体" w:cs="宋体" w:eastAsia="宋体" w:hint="default"/>
          <w:sz w:val="21"/>
          <w:szCs w:val="21"/>
        </w:rPr>
        <w:t>1,264</w:t>
      </w:r>
      <w:r>
        <w:rPr>
          <w:rFonts w:ascii="宋体" w:hAnsi="宋体" w:cs="宋体" w:eastAsia="宋体" w:hint="default"/>
          <w:spacing w:val="-56"/>
          <w:sz w:val="21"/>
          <w:szCs w:val="21"/>
        </w:rPr>
        <w:t> </w:t>
      </w:r>
      <w:r>
        <w:rPr>
          <w:rFonts w:ascii="宋体" w:hAnsi="宋体" w:cs="宋体" w:eastAsia="宋体" w:hint="default"/>
          <w:sz w:val="21"/>
          <w:szCs w:val="21"/>
        </w:rPr>
        <w:t>万股，由</w:t>
      </w:r>
    </w:p>
    <w:p>
      <w:pPr>
        <w:spacing w:after="0" w:line="285" w:lineRule="auto"/>
        <w:jc w:val="left"/>
        <w:rPr>
          <w:rFonts w:ascii="宋体" w:hAnsi="宋体" w:cs="宋体" w:eastAsia="宋体" w:hint="default"/>
          <w:sz w:val="21"/>
          <w:szCs w:val="21"/>
        </w:rPr>
        <w:sectPr>
          <w:headerReference w:type="even" r:id="rId68"/>
          <w:headerReference w:type="default" r:id="rId69"/>
          <w:footerReference w:type="even" r:id="rId70"/>
          <w:footerReference w:type="default" r:id="rId71"/>
          <w:pgSz w:w="12240" w:h="15840"/>
          <w:pgMar w:header="850" w:footer="956" w:top="1360" w:bottom="1140" w:left="1500" w:right="0"/>
          <w:pgNumType w:start="94"/>
        </w:sectPr>
      </w:pPr>
    </w:p>
    <w:p>
      <w:pPr>
        <w:spacing w:line="285" w:lineRule="auto" w:before="17"/>
        <w:ind w:left="144" w:right="1557" w:firstLine="0"/>
        <w:jc w:val="left"/>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2912"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6"/>
          <w:sz w:val="21"/>
          <w:szCs w:val="21"/>
        </w:rPr>
        <w:t>自然人秦劳、翟曙春、柏红、胡明炜、谢坤等五人以所持有的北京联银通科技有限公司的股权认购，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变更后的注册资本为人民币</w:t>
      </w:r>
      <w:r>
        <w:rPr>
          <w:rFonts w:ascii="宋体" w:hAnsi="宋体" w:cs="宋体" w:eastAsia="宋体" w:hint="default"/>
          <w:spacing w:val="-55"/>
          <w:sz w:val="21"/>
          <w:szCs w:val="21"/>
        </w:rPr>
        <w:t> </w:t>
      </w:r>
      <w:r>
        <w:rPr>
          <w:rFonts w:ascii="宋体" w:hAnsi="宋体" w:cs="宋体" w:eastAsia="宋体" w:hint="default"/>
          <w:sz w:val="21"/>
          <w:szCs w:val="21"/>
        </w:rPr>
        <w:t>14,199.503</w:t>
      </w:r>
      <w:r>
        <w:rPr>
          <w:rFonts w:ascii="宋体" w:hAnsi="宋体" w:cs="宋体" w:eastAsia="宋体" w:hint="default"/>
          <w:spacing w:val="-57"/>
          <w:sz w:val="21"/>
          <w:szCs w:val="21"/>
        </w:rPr>
        <w:t> </w:t>
      </w:r>
      <w:r>
        <w:rPr>
          <w:rFonts w:ascii="宋体" w:hAnsi="宋体" w:cs="宋体" w:eastAsia="宋体" w:hint="default"/>
          <w:sz w:val="21"/>
          <w:szCs w:val="21"/>
        </w:rPr>
        <w:t>万元。经过上述股份变更事项后，公司股本为人民币</w:t>
      </w:r>
    </w:p>
    <w:p>
      <w:pPr>
        <w:spacing w:before="11"/>
        <w:ind w:left="144" w:right="1697" w:firstLine="0"/>
        <w:jc w:val="left"/>
        <w:rPr>
          <w:rFonts w:ascii="宋体" w:hAnsi="宋体" w:cs="宋体" w:eastAsia="宋体" w:hint="default"/>
          <w:sz w:val="21"/>
          <w:szCs w:val="21"/>
        </w:rPr>
      </w:pPr>
      <w:r>
        <w:rPr>
          <w:rFonts w:ascii="宋体" w:hAnsi="宋体" w:cs="宋体" w:eastAsia="宋体" w:hint="default"/>
          <w:sz w:val="21"/>
          <w:szCs w:val="21"/>
        </w:rPr>
        <w:t>14,199.503</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sz w:val="21"/>
          <w:szCs w:val="21"/>
        </w:rPr>
        <w:t>份总额</w:t>
      </w:r>
      <w:r>
        <w:rPr>
          <w:rFonts w:ascii="宋体" w:hAnsi="宋体" w:cs="宋体" w:eastAsia="宋体" w:hint="default"/>
          <w:spacing w:val="23"/>
          <w:sz w:val="21"/>
          <w:szCs w:val="21"/>
        </w:rPr>
        <w:t> </w:t>
      </w:r>
      <w:r>
        <w:rPr>
          <w:rFonts w:ascii="宋体" w:hAnsi="宋体" w:cs="宋体" w:eastAsia="宋体" w:hint="default"/>
          <w:sz w:val="21"/>
          <w:szCs w:val="21"/>
        </w:rPr>
        <w:t>12,935.503</w:t>
      </w:r>
      <w:r>
        <w:rPr>
          <w:rFonts w:ascii="宋体" w:hAnsi="宋体" w:cs="宋体" w:eastAsia="宋体" w:hint="default"/>
          <w:spacing w:val="-43"/>
          <w:sz w:val="21"/>
          <w:szCs w:val="21"/>
        </w:rPr>
        <w:t> </w:t>
      </w:r>
      <w:r>
        <w:rPr>
          <w:rFonts w:ascii="宋体" w:hAnsi="宋体" w:cs="宋体" w:eastAsia="宋体" w:hint="default"/>
          <w:spacing w:val="-3"/>
          <w:sz w:val="21"/>
          <w:szCs w:val="21"/>
        </w:rPr>
        <w:t>万股及向自然人秦劳、翟曙春、柏红、胡明炜、谢坤等五人定向增发</w:t>
      </w:r>
      <w:r>
        <w:rPr>
          <w:rFonts w:ascii="宋体" w:hAnsi="宋体" w:cs="宋体" w:eastAsia="宋体" w:hint="default"/>
          <w:spacing w:val="-40"/>
          <w:sz w:val="21"/>
          <w:szCs w:val="21"/>
        </w:rPr>
        <w:t> </w:t>
      </w:r>
      <w:r>
        <w:rPr>
          <w:rFonts w:ascii="宋体" w:hAnsi="宋体" w:cs="宋体" w:eastAsia="宋体" w:hint="default"/>
          <w:sz w:val="21"/>
          <w:szCs w:val="21"/>
        </w:rPr>
        <w:t>1,264</w:t>
      </w:r>
      <w:r>
        <w:rPr>
          <w:rFonts w:ascii="宋体" w:hAnsi="宋体" w:cs="宋体" w:eastAsia="宋体" w:hint="default"/>
          <w:spacing w:val="-43"/>
          <w:sz w:val="21"/>
          <w:szCs w:val="21"/>
        </w:rPr>
        <w:t> </w:t>
      </w:r>
      <w:r>
        <w:rPr>
          <w:rFonts w:ascii="宋体" w:hAnsi="宋体" w:cs="宋体" w:eastAsia="宋体" w:hint="default"/>
          <w:sz w:val="21"/>
          <w:szCs w:val="21"/>
        </w:rPr>
        <w:t>万</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股共计</w:t>
      </w:r>
      <w:r>
        <w:rPr>
          <w:rFonts w:ascii="宋体" w:hAnsi="宋体" w:cs="宋体" w:eastAsia="宋体" w:hint="default"/>
          <w:spacing w:val="-56"/>
          <w:sz w:val="21"/>
          <w:szCs w:val="21"/>
        </w:rPr>
        <w:t> </w:t>
      </w:r>
      <w:r>
        <w:rPr>
          <w:rFonts w:ascii="宋体" w:hAnsi="宋体" w:cs="宋体" w:eastAsia="宋体" w:hint="default"/>
          <w:sz w:val="21"/>
          <w:szCs w:val="21"/>
        </w:rPr>
        <w:t>14,199.503</w:t>
      </w:r>
      <w:r>
        <w:rPr>
          <w:rFonts w:ascii="宋体" w:hAnsi="宋体" w:cs="宋体" w:eastAsia="宋体" w:hint="default"/>
          <w:spacing w:val="-58"/>
          <w:sz w:val="21"/>
          <w:szCs w:val="21"/>
        </w:rPr>
        <w:t> </w:t>
      </w:r>
      <w:r>
        <w:rPr>
          <w:rFonts w:ascii="宋体" w:hAnsi="宋体" w:cs="宋体" w:eastAsia="宋体" w:hint="default"/>
          <w:sz w:val="21"/>
          <w:szCs w:val="21"/>
        </w:rPr>
        <w:t>万股为基数，以资本公积按</w:t>
      </w:r>
      <w:r>
        <w:rPr>
          <w:rFonts w:ascii="宋体" w:hAnsi="宋体" w:cs="宋体" w:eastAsia="宋体" w:hint="default"/>
          <w:spacing w:val="-56"/>
          <w:sz w:val="21"/>
          <w:szCs w:val="21"/>
        </w:rPr>
        <w:t> </w:t>
      </w:r>
      <w:r>
        <w:rPr>
          <w:rFonts w:ascii="宋体" w:hAnsi="宋体" w:cs="宋体" w:eastAsia="宋体" w:hint="default"/>
          <w:sz w:val="21"/>
          <w:szCs w:val="21"/>
        </w:rPr>
        <w:t>10:10</w:t>
      </w:r>
      <w:r>
        <w:rPr>
          <w:rFonts w:ascii="宋体" w:hAnsi="宋体" w:cs="宋体" w:eastAsia="宋体" w:hint="default"/>
          <w:spacing w:val="-56"/>
          <w:sz w:val="21"/>
          <w:szCs w:val="21"/>
        </w:rPr>
        <w:t> </w:t>
      </w:r>
      <w:r>
        <w:rPr>
          <w:rFonts w:ascii="宋体" w:hAnsi="宋体" w:cs="宋体" w:eastAsia="宋体" w:hint="default"/>
          <w:sz w:val="21"/>
          <w:szCs w:val="21"/>
        </w:rPr>
        <w:t>的比例向全体股东转增股本，共增加股本</w:t>
      </w:r>
    </w:p>
    <w:p>
      <w:pPr>
        <w:spacing w:before="54"/>
        <w:ind w:left="144" w:right="1697" w:firstLine="0"/>
        <w:jc w:val="left"/>
        <w:rPr>
          <w:rFonts w:ascii="宋体" w:hAnsi="宋体" w:cs="宋体" w:eastAsia="宋体" w:hint="default"/>
          <w:sz w:val="21"/>
          <w:szCs w:val="21"/>
        </w:rPr>
      </w:pPr>
      <w:r>
        <w:rPr>
          <w:rFonts w:ascii="宋体" w:hAnsi="宋体" w:cs="宋体" w:eastAsia="宋体" w:hint="default"/>
          <w:sz w:val="21"/>
          <w:szCs w:val="21"/>
        </w:rPr>
        <w:t>14,199.503</w:t>
      </w:r>
      <w:r>
        <w:rPr>
          <w:rFonts w:ascii="宋体" w:hAnsi="宋体" w:cs="宋体" w:eastAsia="宋体" w:hint="default"/>
          <w:spacing w:val="-55"/>
          <w:sz w:val="21"/>
          <w:szCs w:val="21"/>
        </w:rPr>
        <w:t> </w:t>
      </w:r>
      <w:r>
        <w:rPr>
          <w:rFonts w:ascii="宋体" w:hAnsi="宋体" w:cs="宋体" w:eastAsia="宋体" w:hint="default"/>
          <w:sz w:val="21"/>
          <w:szCs w:val="21"/>
        </w:rPr>
        <w:t>万元。该增资事项完成后，公司的股本增加为人民币</w:t>
      </w:r>
      <w:r>
        <w:rPr>
          <w:rFonts w:ascii="宋体" w:hAnsi="宋体" w:cs="宋体" w:eastAsia="宋体" w:hint="default"/>
          <w:spacing w:val="-4"/>
          <w:sz w:val="21"/>
          <w:szCs w:val="21"/>
        </w:rPr>
        <w:t> </w:t>
      </w:r>
      <w:r>
        <w:rPr>
          <w:rFonts w:ascii="宋体" w:hAnsi="宋体" w:cs="宋体" w:eastAsia="宋体" w:hint="default"/>
          <w:sz w:val="21"/>
          <w:szCs w:val="21"/>
        </w:rPr>
        <w:t>28,399.006</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年度股东大会表决通过，公司按照</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日的股</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sz w:val="21"/>
          <w:szCs w:val="21"/>
        </w:rPr>
        <w:t>本总额</w:t>
      </w:r>
      <w:r>
        <w:rPr>
          <w:rFonts w:ascii="宋体" w:hAnsi="宋体" w:cs="宋体" w:eastAsia="宋体" w:hint="default"/>
          <w:spacing w:val="-54"/>
          <w:sz w:val="21"/>
          <w:szCs w:val="21"/>
        </w:rPr>
        <w:t> </w:t>
      </w:r>
      <w:r>
        <w:rPr>
          <w:rFonts w:ascii="宋体" w:hAnsi="宋体" w:cs="宋体" w:eastAsia="宋体" w:hint="default"/>
          <w:sz w:val="21"/>
          <w:szCs w:val="21"/>
        </w:rPr>
        <w:t>28,399.006</w:t>
      </w:r>
      <w:r>
        <w:rPr>
          <w:rFonts w:ascii="宋体" w:hAnsi="宋体" w:cs="宋体" w:eastAsia="宋体" w:hint="default"/>
          <w:spacing w:val="-56"/>
          <w:sz w:val="21"/>
          <w:szCs w:val="21"/>
        </w:rPr>
        <w:t> </w:t>
      </w:r>
      <w:r>
        <w:rPr>
          <w:rFonts w:ascii="宋体" w:hAnsi="宋体" w:cs="宋体" w:eastAsia="宋体" w:hint="default"/>
          <w:sz w:val="21"/>
          <w:szCs w:val="21"/>
        </w:rPr>
        <w:t>万元为基数，按</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比</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的比例以资本公积转增股本，按</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比</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的比例向公司</w:t>
      </w:r>
    </w:p>
    <w:p>
      <w:pPr>
        <w:spacing w:before="51"/>
        <w:ind w:left="144" w:right="1557" w:firstLine="0"/>
        <w:jc w:val="left"/>
        <w:rPr>
          <w:rFonts w:ascii="宋体" w:hAnsi="宋体" w:cs="宋体" w:eastAsia="宋体" w:hint="default"/>
          <w:sz w:val="21"/>
          <w:szCs w:val="21"/>
        </w:rPr>
      </w:pPr>
      <w:r>
        <w:rPr>
          <w:rFonts w:ascii="宋体" w:hAnsi="宋体" w:cs="宋体" w:eastAsia="宋体" w:hint="default"/>
          <w:sz w:val="21"/>
          <w:szCs w:val="21"/>
        </w:rPr>
        <w:t>的全体股东派送红股，共增加股本</w:t>
      </w:r>
      <w:r>
        <w:rPr>
          <w:rFonts w:ascii="宋体" w:hAnsi="宋体" w:cs="宋体" w:eastAsia="宋体" w:hint="default"/>
          <w:spacing w:val="-57"/>
          <w:sz w:val="21"/>
          <w:szCs w:val="21"/>
        </w:rPr>
        <w:t> </w:t>
      </w:r>
      <w:r>
        <w:rPr>
          <w:rFonts w:ascii="宋体" w:hAnsi="宋体" w:cs="宋体" w:eastAsia="宋体" w:hint="default"/>
          <w:sz w:val="21"/>
          <w:szCs w:val="21"/>
        </w:rPr>
        <w:t>14,199.503</w:t>
      </w:r>
      <w:r>
        <w:rPr>
          <w:rFonts w:ascii="宋体" w:hAnsi="宋体" w:cs="宋体" w:eastAsia="宋体" w:hint="default"/>
          <w:spacing w:val="-57"/>
          <w:sz w:val="21"/>
          <w:szCs w:val="21"/>
        </w:rPr>
        <w:t> </w:t>
      </w:r>
      <w:r>
        <w:rPr>
          <w:rFonts w:ascii="宋体" w:hAnsi="宋体" w:cs="宋体" w:eastAsia="宋体" w:hint="default"/>
          <w:sz w:val="21"/>
          <w:szCs w:val="21"/>
        </w:rPr>
        <w:t>万元。该增资事项完成后，公司的股本增加为人民</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42,598.509</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288" w:lineRule="auto" w:before="90"/>
        <w:ind w:left="144" w:right="1557" w:firstLine="419"/>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pacing w:val="-3"/>
          <w:sz w:val="21"/>
          <w:szCs w:val="21"/>
        </w:rPr>
        <w:t>日，经北京市工商行政管理局核准变更登记，公司名称由“北京东华合创数码</w:t>
      </w:r>
      <w:r>
        <w:rPr>
          <w:rFonts w:ascii="宋体" w:hAnsi="宋体" w:cs="宋体" w:eastAsia="宋体" w:hint="default"/>
          <w:w w:val="100"/>
          <w:sz w:val="21"/>
          <w:szCs w:val="21"/>
        </w:rPr>
        <w:t> </w:t>
      </w:r>
      <w:r>
        <w:rPr>
          <w:rFonts w:ascii="宋体" w:hAnsi="宋体" w:cs="宋体" w:eastAsia="宋体" w:hint="default"/>
          <w:sz w:val="21"/>
          <w:szCs w:val="21"/>
        </w:rPr>
        <w:t>科技股份有限公司”变更为“东华软件股份公司”。</w:t>
      </w:r>
    </w:p>
    <w:p>
      <w:pPr>
        <w:spacing w:line="285" w:lineRule="auto" w:before="48"/>
        <w:ind w:left="144" w:right="1557" w:firstLine="419"/>
        <w:jc w:val="left"/>
        <w:rPr>
          <w:rFonts w:ascii="宋体" w:hAnsi="宋体" w:cs="宋体" w:eastAsia="宋体" w:hint="default"/>
          <w:sz w:val="21"/>
          <w:szCs w:val="21"/>
        </w:rPr>
      </w:pPr>
      <w:r>
        <w:rPr>
          <w:rFonts w:ascii="宋体" w:hAnsi="宋体" w:cs="宋体" w:eastAsia="宋体" w:hint="default"/>
          <w:sz w:val="21"/>
          <w:szCs w:val="21"/>
        </w:rPr>
        <w:t>根据中国证券监督管理委员会于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18</w:t>
      </w:r>
      <w:r>
        <w:rPr>
          <w:rFonts w:ascii="宋体" w:hAnsi="宋体" w:cs="宋体" w:eastAsia="宋体" w:hint="default"/>
          <w:spacing w:val="-47"/>
          <w:sz w:val="21"/>
          <w:szCs w:val="21"/>
        </w:rPr>
        <w:t> </w:t>
      </w:r>
      <w:r>
        <w:rPr>
          <w:rFonts w:ascii="宋体" w:hAnsi="宋体" w:cs="宋体" w:eastAsia="宋体" w:hint="default"/>
          <w:spacing w:val="-6"/>
          <w:sz w:val="21"/>
          <w:szCs w:val="21"/>
        </w:rPr>
        <w:t>日下发的《关于核准东华软件股份公司发行股</w:t>
      </w:r>
      <w:r>
        <w:rPr>
          <w:rFonts w:ascii="宋体" w:hAnsi="宋体" w:cs="宋体" w:eastAsia="宋体" w:hint="default"/>
          <w:w w:val="100"/>
          <w:sz w:val="21"/>
          <w:szCs w:val="21"/>
        </w:rPr>
        <w:t> </w:t>
      </w:r>
      <w:r>
        <w:rPr>
          <w:rFonts w:ascii="宋体" w:hAnsi="宋体" w:cs="宋体" w:eastAsia="宋体" w:hint="default"/>
          <w:sz w:val="21"/>
          <w:szCs w:val="21"/>
        </w:rPr>
        <w:t>份购买资产的批复》（文号：“证监许可</w:t>
      </w:r>
      <w:r>
        <w:rPr>
          <w:rFonts w:ascii="宋体" w:hAnsi="宋体" w:cs="宋体" w:eastAsia="宋体" w:hint="default"/>
          <w:sz w:val="21"/>
          <w:szCs w:val="21"/>
        </w:rPr>
        <w:t>[2011]96</w:t>
      </w:r>
      <w:r>
        <w:rPr>
          <w:rFonts w:ascii="宋体" w:hAnsi="宋体" w:cs="宋体" w:eastAsia="宋体" w:hint="default"/>
          <w:spacing w:val="-57"/>
          <w:sz w:val="21"/>
          <w:szCs w:val="21"/>
        </w:rPr>
        <w:t> </w:t>
      </w:r>
      <w:r>
        <w:rPr>
          <w:rFonts w:ascii="宋体" w:hAnsi="宋体" w:cs="宋体" w:eastAsia="宋体" w:hint="default"/>
          <w:sz w:val="21"/>
          <w:szCs w:val="21"/>
        </w:rPr>
        <w:t>号”）的规定，按照公司与北京神州新桥科技</w:t>
      </w:r>
      <w:r>
        <w:rPr>
          <w:rFonts w:ascii="宋体" w:hAnsi="宋体" w:cs="宋体" w:eastAsia="宋体" w:hint="default"/>
          <w:w w:val="100"/>
          <w:sz w:val="21"/>
          <w:szCs w:val="21"/>
        </w:rPr>
        <w:t> </w:t>
      </w:r>
      <w:r>
        <w:rPr>
          <w:rFonts w:ascii="宋体" w:hAnsi="宋体" w:cs="宋体" w:eastAsia="宋体" w:hint="default"/>
          <w:sz w:val="21"/>
          <w:szCs w:val="21"/>
        </w:rPr>
        <w:t>有限公司自然人股东张秀珍、张建华、江海标、王佺、吕兴海五人确定的交易价格</w:t>
      </w:r>
      <w:r>
        <w:rPr>
          <w:rFonts w:ascii="宋体" w:hAnsi="宋体" w:cs="宋体" w:eastAsia="宋体" w:hint="default"/>
          <w:spacing w:val="-54"/>
          <w:sz w:val="21"/>
          <w:szCs w:val="21"/>
        </w:rPr>
        <w:t> </w:t>
      </w:r>
      <w:r>
        <w:rPr>
          <w:rFonts w:ascii="宋体" w:hAnsi="宋体" w:cs="宋体" w:eastAsia="宋体" w:hint="default"/>
          <w:sz w:val="21"/>
          <w:szCs w:val="21"/>
        </w:rPr>
        <w:t>32,000</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line="285" w:lineRule="auto" w:before="11"/>
        <w:ind w:left="144" w:right="1557" w:firstLine="0"/>
        <w:jc w:val="left"/>
        <w:rPr>
          <w:rFonts w:ascii="宋体" w:hAnsi="宋体" w:cs="宋体" w:eastAsia="宋体" w:hint="default"/>
          <w:sz w:val="21"/>
          <w:szCs w:val="21"/>
        </w:rPr>
      </w:pPr>
      <w:r>
        <w:rPr>
          <w:rFonts w:ascii="宋体" w:hAnsi="宋体" w:cs="宋体" w:eastAsia="宋体" w:hint="default"/>
          <w:sz w:val="21"/>
          <w:szCs w:val="21"/>
        </w:rPr>
        <w:t>公司以</w:t>
      </w:r>
      <w:r>
        <w:rPr>
          <w:rFonts w:ascii="宋体" w:hAnsi="宋体" w:cs="宋体" w:eastAsia="宋体" w:hint="default"/>
          <w:spacing w:val="-38"/>
          <w:sz w:val="21"/>
          <w:szCs w:val="21"/>
        </w:rPr>
        <w:t> </w:t>
      </w:r>
      <w:r>
        <w:rPr>
          <w:rFonts w:ascii="宋体" w:hAnsi="宋体" w:cs="宋体" w:eastAsia="宋体" w:hint="default"/>
          <w:sz w:val="21"/>
          <w:szCs w:val="21"/>
        </w:rPr>
        <w:t>19.63</w:t>
      </w:r>
      <w:r>
        <w:rPr>
          <w:rFonts w:ascii="宋体" w:hAnsi="宋体" w:cs="宋体" w:eastAsia="宋体" w:hint="default"/>
          <w:spacing w:val="-38"/>
          <w:sz w:val="21"/>
          <w:szCs w:val="21"/>
        </w:rPr>
        <w:t> </w:t>
      </w:r>
      <w:r>
        <w:rPr>
          <w:rFonts w:ascii="宋体" w:hAnsi="宋体" w:cs="宋体" w:eastAsia="宋体" w:hint="default"/>
          <w:spacing w:val="-9"/>
          <w:sz w:val="21"/>
          <w:szCs w:val="21"/>
        </w:rPr>
        <w:t>元</w:t>
      </w:r>
      <w:r>
        <w:rPr>
          <w:rFonts w:ascii="宋体" w:hAnsi="宋体" w:cs="宋体" w:eastAsia="宋体" w:hint="default"/>
          <w:spacing w:val="-9"/>
          <w:sz w:val="21"/>
          <w:szCs w:val="21"/>
        </w:rPr>
        <w:t>/</w:t>
      </w:r>
      <w:r>
        <w:rPr>
          <w:rFonts w:ascii="宋体" w:hAnsi="宋体" w:cs="宋体" w:eastAsia="宋体" w:hint="default"/>
          <w:spacing w:val="-9"/>
          <w:sz w:val="21"/>
          <w:szCs w:val="21"/>
        </w:rPr>
        <w:t>股的价格向张秀珍、张建华、江海标、王佺、吕兴海五人合计发行股份</w:t>
      </w:r>
      <w:r>
        <w:rPr>
          <w:rFonts w:ascii="宋体" w:hAnsi="宋体" w:cs="宋体" w:eastAsia="宋体" w:hint="default"/>
          <w:spacing w:val="-37"/>
          <w:sz w:val="21"/>
          <w:szCs w:val="21"/>
        </w:rPr>
        <w:t> </w:t>
      </w:r>
      <w:r>
        <w:rPr>
          <w:rFonts w:ascii="宋体" w:hAnsi="宋体" w:cs="宋体" w:eastAsia="宋体" w:hint="default"/>
          <w:sz w:val="21"/>
          <w:szCs w:val="21"/>
        </w:rPr>
        <w:t>16,301,577</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股，作为公司收购北京神州新桥科技有限公司</w:t>
      </w:r>
      <w:r>
        <w:rPr>
          <w:rFonts w:ascii="宋体" w:hAnsi="宋体" w:cs="宋体" w:eastAsia="宋体" w:hint="default"/>
          <w:spacing w:val="28"/>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股权的支付对价。根据中登深圳分公司出具的</w:t>
      </w:r>
    </w:p>
    <w:p>
      <w:pPr>
        <w:spacing w:before="14"/>
        <w:ind w:left="144" w:right="1557" w:firstLine="0"/>
        <w:jc w:val="left"/>
        <w:rPr>
          <w:rFonts w:ascii="宋体" w:hAnsi="宋体" w:cs="宋体" w:eastAsia="宋体" w:hint="default"/>
          <w:sz w:val="21"/>
          <w:szCs w:val="21"/>
        </w:rPr>
      </w:pPr>
      <w:r>
        <w:rPr>
          <w:rFonts w:ascii="宋体" w:hAnsi="宋体" w:cs="宋体" w:eastAsia="宋体" w:hint="default"/>
          <w:spacing w:val="-6"/>
          <w:sz w:val="21"/>
          <w:szCs w:val="21"/>
        </w:rPr>
        <w:t>《证券登记确认书》，公司于</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17</w:t>
      </w:r>
      <w:r>
        <w:rPr>
          <w:rFonts w:ascii="宋体" w:hAnsi="宋体" w:cs="宋体" w:eastAsia="宋体" w:hint="default"/>
          <w:spacing w:val="-44"/>
          <w:sz w:val="21"/>
          <w:szCs w:val="21"/>
        </w:rPr>
        <w:t> </w:t>
      </w:r>
      <w:r>
        <w:rPr>
          <w:rFonts w:ascii="宋体" w:hAnsi="宋体" w:cs="宋体" w:eastAsia="宋体" w:hint="default"/>
          <w:spacing w:val="-3"/>
          <w:sz w:val="21"/>
          <w:szCs w:val="21"/>
        </w:rPr>
        <w:t>日办理完毕本次发行股份的证券登记。经过上述股份</w:t>
      </w:r>
    </w:p>
    <w:p>
      <w:pPr>
        <w:spacing w:before="51"/>
        <w:ind w:left="144" w:right="1697" w:firstLine="0"/>
        <w:jc w:val="left"/>
        <w:rPr>
          <w:rFonts w:ascii="宋体" w:hAnsi="宋体" w:cs="宋体" w:eastAsia="宋体" w:hint="default"/>
          <w:sz w:val="21"/>
          <w:szCs w:val="21"/>
        </w:rPr>
      </w:pPr>
      <w:r>
        <w:rPr>
          <w:rFonts w:ascii="宋体" w:hAnsi="宋体" w:cs="宋体" w:eastAsia="宋体" w:hint="default"/>
          <w:sz w:val="21"/>
          <w:szCs w:val="21"/>
        </w:rPr>
        <w:t>变更事项后，公司股本为人民币</w:t>
      </w:r>
      <w:r>
        <w:rPr>
          <w:rFonts w:ascii="宋体" w:hAnsi="宋体" w:cs="宋体" w:eastAsia="宋体" w:hint="default"/>
          <w:spacing w:val="-53"/>
          <w:sz w:val="21"/>
          <w:szCs w:val="21"/>
        </w:rPr>
        <w:t> </w:t>
      </w:r>
      <w:r>
        <w:rPr>
          <w:rFonts w:ascii="宋体" w:hAnsi="宋体" w:cs="宋体" w:eastAsia="宋体" w:hint="default"/>
          <w:sz w:val="21"/>
          <w:szCs w:val="21"/>
        </w:rPr>
        <w:t>44,228.6667</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90"/>
        <w:ind w:left="564" w:right="1697" w:firstLine="0"/>
        <w:jc w:val="left"/>
        <w:rPr>
          <w:rFonts w:ascii="宋体" w:hAnsi="宋体" w:cs="宋体" w:eastAsia="宋体" w:hint="default"/>
          <w:sz w:val="21"/>
          <w:szCs w:val="21"/>
        </w:rPr>
      </w:pPr>
      <w:r>
        <w:rPr>
          <w:rFonts w:ascii="宋体" w:hAnsi="宋体" w:cs="宋体" w:eastAsia="宋体" w:hint="default"/>
          <w:sz w:val="21"/>
          <w:szCs w:val="21"/>
        </w:rPr>
        <w:t>经公司于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日召开的公司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年度股东大会表决通过，以公司总股本</w:t>
      </w:r>
    </w:p>
    <w:p>
      <w:pPr>
        <w:spacing w:before="54"/>
        <w:ind w:left="144" w:right="1557" w:firstLine="0"/>
        <w:jc w:val="left"/>
        <w:rPr>
          <w:rFonts w:ascii="宋体" w:hAnsi="宋体" w:cs="宋体" w:eastAsia="宋体" w:hint="default"/>
          <w:sz w:val="21"/>
          <w:szCs w:val="21"/>
        </w:rPr>
      </w:pPr>
      <w:r>
        <w:rPr>
          <w:rFonts w:ascii="宋体" w:hAnsi="宋体" w:cs="宋体" w:eastAsia="宋体" w:hint="default"/>
          <w:sz w:val="21"/>
          <w:szCs w:val="21"/>
        </w:rPr>
        <w:t>442,286,667</w:t>
      </w:r>
      <w:r>
        <w:rPr>
          <w:rFonts w:ascii="宋体" w:hAnsi="宋体" w:cs="宋体" w:eastAsia="宋体" w:hint="default"/>
          <w:spacing w:val="-46"/>
          <w:sz w:val="21"/>
          <w:szCs w:val="21"/>
        </w:rPr>
        <w:t> </w:t>
      </w:r>
      <w:r>
        <w:rPr>
          <w:rFonts w:ascii="宋体" w:hAnsi="宋体" w:cs="宋体" w:eastAsia="宋体" w:hint="default"/>
          <w:spacing w:val="-3"/>
          <w:sz w:val="21"/>
          <w:szCs w:val="21"/>
        </w:rPr>
        <w:t>股为基数，向全体股东每</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股送</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股红股，共增加股本</w:t>
      </w:r>
      <w:r>
        <w:rPr>
          <w:rFonts w:ascii="宋体" w:hAnsi="宋体" w:cs="宋体" w:eastAsia="宋体" w:hint="default"/>
          <w:spacing w:val="-46"/>
          <w:sz w:val="21"/>
          <w:szCs w:val="21"/>
        </w:rPr>
        <w:t> </w:t>
      </w:r>
      <w:r>
        <w:rPr>
          <w:rFonts w:ascii="宋体" w:hAnsi="宋体" w:cs="宋体" w:eastAsia="宋体" w:hint="default"/>
          <w:sz w:val="21"/>
          <w:szCs w:val="21"/>
        </w:rPr>
        <w:t>8,845.7333</w:t>
      </w:r>
      <w:r>
        <w:rPr>
          <w:rFonts w:ascii="宋体" w:hAnsi="宋体" w:cs="宋体" w:eastAsia="宋体" w:hint="default"/>
          <w:spacing w:val="-49"/>
          <w:sz w:val="21"/>
          <w:szCs w:val="21"/>
        </w:rPr>
        <w:t> </w:t>
      </w:r>
      <w:r>
        <w:rPr>
          <w:rFonts w:ascii="宋体" w:hAnsi="宋体" w:cs="宋体" w:eastAsia="宋体" w:hint="default"/>
          <w:spacing w:val="-3"/>
          <w:sz w:val="21"/>
          <w:szCs w:val="21"/>
        </w:rPr>
        <w:t>万元，变更后公</w:t>
      </w:r>
    </w:p>
    <w:p>
      <w:pPr>
        <w:spacing w:line="338" w:lineRule="auto" w:before="51"/>
        <w:ind w:left="617" w:right="7534" w:hanging="473"/>
        <w:jc w:val="left"/>
        <w:rPr>
          <w:rFonts w:ascii="宋体" w:hAnsi="宋体" w:cs="宋体" w:eastAsia="宋体" w:hint="default"/>
          <w:sz w:val="21"/>
          <w:szCs w:val="21"/>
        </w:rPr>
      </w:pPr>
      <w:r>
        <w:rPr>
          <w:rFonts w:ascii="宋体" w:hAnsi="宋体" w:cs="宋体" w:eastAsia="宋体" w:hint="default"/>
          <w:sz w:val="21"/>
          <w:szCs w:val="21"/>
        </w:rPr>
        <w:t>司股本为人民币</w:t>
      </w:r>
      <w:r>
        <w:rPr>
          <w:rFonts w:ascii="宋体" w:hAnsi="宋体" w:cs="宋体" w:eastAsia="宋体" w:hint="default"/>
          <w:spacing w:val="-53"/>
          <w:sz w:val="21"/>
          <w:szCs w:val="21"/>
        </w:rPr>
        <w:t> </w:t>
      </w:r>
      <w:r>
        <w:rPr>
          <w:rFonts w:ascii="宋体" w:hAnsi="宋体" w:cs="宋体" w:eastAsia="宋体" w:hint="default"/>
          <w:sz w:val="21"/>
          <w:szCs w:val="21"/>
        </w:rPr>
        <w:t>53,074.4</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、行业性质</w:t>
      </w:r>
      <w:r>
        <w:rPr>
          <w:rFonts w:ascii="宋体" w:hAnsi="宋体" w:cs="宋体" w:eastAsia="宋体" w:hint="default"/>
          <w:sz w:val="21"/>
          <w:szCs w:val="21"/>
        </w:rPr>
      </w:r>
    </w:p>
    <w:p>
      <w:pPr>
        <w:spacing w:line="338" w:lineRule="auto" w:before="4"/>
        <w:ind w:left="617" w:right="5776" w:hanging="53"/>
        <w:jc w:val="left"/>
        <w:rPr>
          <w:rFonts w:ascii="宋体" w:hAnsi="宋体" w:cs="宋体" w:eastAsia="宋体" w:hint="default"/>
          <w:sz w:val="21"/>
          <w:szCs w:val="21"/>
        </w:rPr>
      </w:pPr>
      <w:r>
        <w:rPr>
          <w:rFonts w:ascii="宋体" w:hAnsi="宋体" w:cs="宋体" w:eastAsia="宋体" w:hint="default"/>
          <w:spacing w:val="-2"/>
          <w:sz w:val="21"/>
          <w:szCs w:val="21"/>
        </w:rPr>
        <w:t>公司所属的行业性质为计算机应用服务业。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、经营范围</w:t>
      </w:r>
      <w:r>
        <w:rPr>
          <w:rFonts w:ascii="宋体" w:hAnsi="宋体" w:cs="宋体" w:eastAsia="宋体" w:hint="default"/>
          <w:sz w:val="21"/>
          <w:szCs w:val="21"/>
        </w:rPr>
      </w:r>
    </w:p>
    <w:p>
      <w:pPr>
        <w:spacing w:line="285" w:lineRule="auto" w:before="4"/>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公司的经营范围包括：自营和代理各类商品及技术的进出口业务，但国家限定公司经营或禁止</w:t>
      </w:r>
      <w:r>
        <w:rPr>
          <w:rFonts w:ascii="宋体" w:hAnsi="宋体" w:cs="宋体" w:eastAsia="宋体" w:hint="default"/>
          <w:w w:val="100"/>
          <w:sz w:val="21"/>
          <w:szCs w:val="21"/>
        </w:rPr>
        <w:t> </w:t>
      </w:r>
      <w:r>
        <w:rPr>
          <w:rFonts w:ascii="宋体" w:hAnsi="宋体" w:cs="宋体" w:eastAsia="宋体" w:hint="default"/>
          <w:spacing w:val="-4"/>
          <w:sz w:val="21"/>
          <w:szCs w:val="21"/>
        </w:rPr>
        <w:t>进出口的商品及技术除外；法律、行政法规、国务院决定禁止的，不得经营；法律、行政法规、国</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务院决定规定应经许可的，经审批机关批准并经工商行政管理机关登记注册后方可经营；法律、行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政法规、国务院决定未规定许可的，自主选择经营项目开展经营活动。</w:t>
      </w:r>
    </w:p>
    <w:p>
      <w:pPr>
        <w:spacing w:line="319" w:lineRule="auto" w:before="74"/>
        <w:ind w:left="564" w:right="1697" w:firstLine="5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、主要产品或提供的劳务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公司的主要产品为行业应用软件开发、计算机信息系统集成及相关服务业务等。</w:t>
      </w:r>
    </w:p>
    <w:p>
      <w:pPr>
        <w:spacing w:line="360" w:lineRule="auto" w:before="164"/>
        <w:ind w:left="566" w:right="6809" w:hanging="423"/>
        <w:jc w:val="left"/>
        <w:rPr>
          <w:rFonts w:ascii="宋体" w:hAnsi="宋体" w:cs="宋体" w:eastAsia="宋体" w:hint="default"/>
          <w:sz w:val="21"/>
          <w:szCs w:val="21"/>
        </w:rPr>
      </w:pPr>
      <w:r>
        <w:rPr>
          <w:rFonts w:ascii="宋体" w:hAnsi="宋体" w:cs="宋体" w:eastAsia="宋体" w:hint="default"/>
          <w:b/>
          <w:bCs/>
          <w:spacing w:val="-1"/>
          <w:sz w:val="21"/>
          <w:szCs w:val="21"/>
        </w:rPr>
        <w:t>二、会计政策、会计估计和前期差错</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95" w:lineRule="auto" w:before="13"/>
        <w:ind w:left="144" w:right="1697" w:firstLine="403"/>
        <w:jc w:val="left"/>
        <w:rPr>
          <w:rFonts w:ascii="宋体" w:hAnsi="宋体" w:cs="宋体" w:eastAsia="宋体" w:hint="default"/>
          <w:sz w:val="21"/>
          <w:szCs w:val="21"/>
        </w:rPr>
      </w:pPr>
      <w:r>
        <w:rPr>
          <w:rFonts w:ascii="宋体" w:hAnsi="宋体" w:cs="宋体" w:eastAsia="宋体" w:hint="default"/>
          <w:spacing w:val="-2"/>
          <w:sz w:val="21"/>
          <w:szCs w:val="21"/>
        </w:rPr>
        <w:t>根据财政部《关于印发〈企业会计准则第</w:t>
      </w:r>
      <w:r>
        <w:rPr>
          <w:rFonts w:ascii="宋体" w:hAnsi="宋体" w:cs="宋体" w:eastAsia="宋体" w:hint="default"/>
          <w:spacing w:val="-2"/>
          <w:sz w:val="21"/>
          <w:szCs w:val="21"/>
        </w:rPr>
        <w:t>1</w:t>
      </w: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存货〉等</w:t>
      </w:r>
      <w:r>
        <w:rPr>
          <w:rFonts w:ascii="宋体" w:hAnsi="宋体" w:cs="宋体" w:eastAsia="宋体" w:hint="default"/>
          <w:spacing w:val="-2"/>
          <w:sz w:val="21"/>
          <w:szCs w:val="21"/>
        </w:rPr>
        <w:t>38</w:t>
      </w:r>
      <w:r>
        <w:rPr>
          <w:rFonts w:ascii="宋体" w:hAnsi="宋体" w:cs="宋体" w:eastAsia="宋体" w:hint="default"/>
          <w:spacing w:val="-2"/>
          <w:sz w:val="21"/>
          <w:szCs w:val="21"/>
        </w:rPr>
        <w:t>项具体准则的通知》（财会</w:t>
      </w:r>
      <w:r>
        <w:rPr>
          <w:rFonts w:ascii="宋体" w:hAnsi="宋体" w:cs="宋体" w:eastAsia="宋体" w:hint="default"/>
          <w:spacing w:val="-2"/>
          <w:sz w:val="21"/>
          <w:szCs w:val="21"/>
        </w:rPr>
        <w:t>[2006]3</w:t>
      </w:r>
      <w:r>
        <w:rPr>
          <w:rFonts w:ascii="宋体" w:hAnsi="宋体" w:cs="宋体" w:eastAsia="宋体" w:hint="default"/>
          <w:w w:val="100"/>
          <w:sz w:val="21"/>
          <w:szCs w:val="21"/>
        </w:rPr>
        <w:t> </w:t>
      </w:r>
      <w:r>
        <w:rPr>
          <w:rFonts w:ascii="宋体" w:hAnsi="宋体" w:cs="宋体" w:eastAsia="宋体" w:hint="default"/>
          <w:sz w:val="21"/>
          <w:szCs w:val="21"/>
        </w:rPr>
        <w:t>号）等规定，公司自</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日起执行财政部</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日颁布的《企业会计准则》。</w:t>
      </w:r>
    </w:p>
    <w:p>
      <w:pPr>
        <w:spacing w:after="0" w:line="295" w:lineRule="auto"/>
        <w:jc w:val="left"/>
        <w:rPr>
          <w:rFonts w:ascii="宋体" w:hAnsi="宋体" w:cs="宋体" w:eastAsia="宋体" w:hint="default"/>
          <w:sz w:val="21"/>
          <w:szCs w:val="21"/>
        </w:rPr>
        <w:sectPr>
          <w:pgSz w:w="12240" w:h="15840"/>
          <w:pgMar w:header="850" w:footer="956" w:top="1360" w:bottom="1140" w:left="1500" w:right="0"/>
        </w:sectPr>
      </w:pPr>
    </w:p>
    <w:p>
      <w:pPr>
        <w:spacing w:line="297" w:lineRule="auto" w:before="12"/>
        <w:ind w:left="144" w:right="1557" w:firstLine="403"/>
        <w:jc w:val="left"/>
        <w:rPr>
          <w:rFonts w:ascii="宋体" w:hAnsi="宋体" w:cs="宋体" w:eastAsia="宋体" w:hint="default"/>
          <w:sz w:val="21"/>
          <w:szCs w:val="21"/>
        </w:rPr>
      </w:pPr>
      <w:r>
        <w:rPr/>
        <w:pict>
          <v:group style="position:absolute;margin-left:80.783997pt;margin-top:1.703691pt;width:450.6pt;height:.1pt;mso-position-horizontal-relative:page;mso-position-vertical-relative:paragraph;z-index:-862888"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pacing w:val="-3"/>
          <w:sz w:val="21"/>
          <w:szCs w:val="21"/>
        </w:rPr>
        <w:t>公司以持续经营为基础，根据实际发生的交易和事项，按照企业会计准则的有关规定进行确认</w:t>
      </w:r>
      <w:r>
        <w:rPr>
          <w:rFonts w:ascii="宋体" w:hAnsi="宋体" w:cs="宋体" w:eastAsia="宋体" w:hint="default"/>
          <w:w w:val="100"/>
          <w:sz w:val="21"/>
          <w:szCs w:val="21"/>
        </w:rPr>
        <w:t> </w:t>
      </w:r>
      <w:r>
        <w:rPr>
          <w:rFonts w:ascii="宋体" w:hAnsi="宋体" w:cs="宋体" w:eastAsia="宋体" w:hint="default"/>
          <w:sz w:val="21"/>
          <w:szCs w:val="21"/>
        </w:rPr>
        <w:t>和计量，在此基础上编制公司的财务报表。</w:t>
      </w:r>
    </w:p>
    <w:p>
      <w:pPr>
        <w:spacing w:line="340" w:lineRule="auto" w:before="78"/>
        <w:ind w:left="547" w:right="1557" w:firstLine="1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本公司编制的财务报表符合企业会计准则的要求，真实、完整地反映了公司的财务状况、经营</w:t>
      </w:r>
    </w:p>
    <w:p>
      <w:pPr>
        <w:spacing w:line="253"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成果和现金流量等信息。</w:t>
      </w:r>
    </w:p>
    <w:p>
      <w:pPr>
        <w:spacing w:line="348" w:lineRule="auto" w:before="126"/>
        <w:ind w:left="547" w:right="5776" w:firstLine="19"/>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日为一个会计期间。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343" w:lineRule="auto" w:before="24"/>
        <w:ind w:left="547" w:right="1697" w:firstLine="0"/>
        <w:jc w:val="left"/>
        <w:rPr>
          <w:rFonts w:ascii="宋体" w:hAnsi="宋体" w:cs="宋体" w:eastAsia="宋体" w:hint="default"/>
          <w:sz w:val="21"/>
          <w:szCs w:val="21"/>
        </w:rPr>
      </w:pPr>
      <w:r>
        <w:rPr>
          <w:rFonts w:ascii="宋体" w:hAnsi="宋体" w:cs="宋体" w:eastAsia="宋体" w:hint="default"/>
          <w:sz w:val="21"/>
          <w:szCs w:val="21"/>
        </w:rPr>
        <w:t>公司记账本位币为人民币。</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、计量属性在本期发生变化的报表项目及其本期采用的计量属性</w:t>
      </w:r>
      <w:r>
        <w:rPr>
          <w:rFonts w:ascii="宋体" w:hAnsi="宋体" w:cs="宋体" w:eastAsia="宋体" w:hint="default"/>
          <w:b/>
          <w:bCs/>
          <w:w w:val="100"/>
          <w:sz w:val="21"/>
          <w:szCs w:val="21"/>
        </w:rPr>
        <w:t> </w:t>
      </w:r>
      <w:r>
        <w:rPr>
          <w:rFonts w:ascii="宋体" w:hAnsi="宋体" w:cs="宋体" w:eastAsia="宋体" w:hint="default"/>
          <w:spacing w:val="-2"/>
          <w:sz w:val="21"/>
          <w:szCs w:val="21"/>
        </w:rPr>
        <w:t>公司财务报表项目采用历史成本为计量属性，对于符合条件的项目，采用公允价值计量。</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公司采用公允价值计量的项目包括交易性金融工具和可供出售金融资产。</w:t>
      </w:r>
      <w:r>
        <w:rPr>
          <w:rFonts w:ascii="宋体" w:hAnsi="宋体" w:cs="宋体" w:eastAsia="宋体" w:hint="default"/>
          <w:w w:val="100"/>
          <w:sz w:val="21"/>
          <w:szCs w:val="21"/>
        </w:rPr>
        <w:t> </w:t>
      </w:r>
      <w:r>
        <w:rPr>
          <w:rFonts w:ascii="宋体" w:hAnsi="宋体" w:cs="宋体" w:eastAsia="宋体" w:hint="default"/>
          <w:sz w:val="21"/>
          <w:szCs w:val="21"/>
        </w:rPr>
        <w:t>公司本期报表项目的计量属性未发生变化。</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333" w:lineRule="auto" w:before="26"/>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）同一控制下企业合并</w:t>
      </w:r>
      <w:r>
        <w:rPr>
          <w:rFonts w:ascii="宋体" w:hAnsi="宋体" w:cs="宋体" w:eastAsia="宋体" w:hint="default"/>
          <w:w w:val="100"/>
          <w:sz w:val="21"/>
          <w:szCs w:val="21"/>
        </w:rPr>
        <w:t> </w:t>
      </w:r>
      <w:r>
        <w:rPr>
          <w:rFonts w:ascii="宋体" w:hAnsi="宋体" w:cs="宋体" w:eastAsia="宋体" w:hint="default"/>
          <w:spacing w:val="-3"/>
          <w:sz w:val="21"/>
          <w:szCs w:val="21"/>
        </w:rPr>
        <w:t>参与合并的企业在合并前后均受同一方或相同的多方最终控制且该控制并非暂时性的，为同一</w:t>
      </w:r>
    </w:p>
    <w:p>
      <w:pPr>
        <w:spacing w:line="257"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控制下的企业合并。合并方在企业合并中取得的资产和负债，应当按照合并日在被合并方的账面价</w:t>
      </w:r>
    </w:p>
    <w:p>
      <w:pPr>
        <w:spacing w:line="297" w:lineRule="auto" w:before="66"/>
        <w:ind w:left="144" w:right="1557" w:firstLine="0"/>
        <w:jc w:val="left"/>
        <w:rPr>
          <w:rFonts w:ascii="宋体" w:hAnsi="宋体" w:cs="宋体" w:eastAsia="宋体" w:hint="default"/>
          <w:sz w:val="21"/>
          <w:szCs w:val="21"/>
        </w:rPr>
      </w:pPr>
      <w:r>
        <w:rPr>
          <w:rFonts w:ascii="宋体" w:hAnsi="宋体" w:cs="宋体" w:eastAsia="宋体" w:hint="default"/>
          <w:spacing w:val="-6"/>
          <w:sz w:val="21"/>
          <w:szCs w:val="21"/>
        </w:rPr>
        <w:t>值计量。合并方取得的净资产账面价值与支付的合并对价账面价值（或发行股份面值总额）的差额，</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应当调整资本公积；资本公积不足冲减的，调整留存收益。</w:t>
      </w:r>
    </w:p>
    <w:p>
      <w:pPr>
        <w:spacing w:line="331" w:lineRule="auto" w:before="56"/>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）非同一控制下企业合并</w:t>
      </w:r>
      <w:r>
        <w:rPr>
          <w:rFonts w:ascii="宋体" w:hAnsi="宋体" w:cs="宋体" w:eastAsia="宋体" w:hint="default"/>
          <w:w w:val="100"/>
          <w:sz w:val="21"/>
          <w:szCs w:val="21"/>
        </w:rPr>
        <w:t> </w:t>
      </w:r>
      <w:r>
        <w:rPr>
          <w:rFonts w:ascii="宋体" w:hAnsi="宋体" w:cs="宋体" w:eastAsia="宋体" w:hint="default"/>
          <w:spacing w:val="-2"/>
          <w:sz w:val="21"/>
          <w:szCs w:val="21"/>
        </w:rPr>
        <w:t>参与合并的各方在合并前后不受同一方或相同的多方最终控制的，为非同一控制下的企业合</w:t>
      </w:r>
    </w:p>
    <w:p>
      <w:pPr>
        <w:spacing w:line="261"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并。购买方的合并成本为购买方在购买日为取得对被购买方的控制权而付出的资产、发生或承担的</w:t>
      </w:r>
    </w:p>
    <w:p>
      <w:pPr>
        <w:spacing w:line="333" w:lineRule="auto" w:before="63"/>
        <w:ind w:left="547" w:right="1697" w:hanging="404"/>
        <w:jc w:val="left"/>
        <w:rPr>
          <w:rFonts w:ascii="宋体" w:hAnsi="宋体" w:cs="宋体" w:eastAsia="宋体" w:hint="default"/>
          <w:sz w:val="21"/>
          <w:szCs w:val="21"/>
        </w:rPr>
      </w:pPr>
      <w:r>
        <w:rPr>
          <w:rFonts w:ascii="宋体" w:hAnsi="宋体" w:cs="宋体" w:eastAsia="宋体" w:hint="default"/>
          <w:sz w:val="21"/>
          <w:szCs w:val="21"/>
        </w:rPr>
        <w:t>负债以及发行的权益性证券的公允价值。</w:t>
      </w:r>
      <w:r>
        <w:rPr>
          <w:rFonts w:ascii="宋体" w:hAnsi="宋体" w:cs="宋体" w:eastAsia="宋体" w:hint="default"/>
          <w:w w:val="100"/>
          <w:sz w:val="21"/>
          <w:szCs w:val="21"/>
        </w:rPr>
        <w:t> </w:t>
      </w:r>
      <w:r>
        <w:rPr>
          <w:rFonts w:ascii="宋体" w:hAnsi="宋体" w:cs="宋体" w:eastAsia="宋体" w:hint="default"/>
          <w:spacing w:val="-2"/>
          <w:sz w:val="21"/>
          <w:szCs w:val="21"/>
        </w:rPr>
        <w:t>购买方对合并成本大于合并中取得的被购买方可辨认净资产公允价值份额的差额，确认为商</w:t>
      </w:r>
    </w:p>
    <w:p>
      <w:pPr>
        <w:spacing w:line="259"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誉。购买方对合并成本小于合并中取得的被购买方可辨认净资产公允价值份额的差额，计入当期损</w:t>
      </w:r>
    </w:p>
    <w:p>
      <w:pPr>
        <w:spacing w:before="66"/>
        <w:ind w:left="144" w:right="1697"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95" w:lineRule="auto" w:before="106"/>
        <w:ind w:left="144" w:right="1557" w:firstLine="403"/>
        <w:jc w:val="left"/>
        <w:rPr>
          <w:rFonts w:ascii="宋体" w:hAnsi="宋体" w:cs="宋体" w:eastAsia="宋体" w:hint="default"/>
          <w:sz w:val="21"/>
          <w:szCs w:val="21"/>
        </w:rPr>
      </w:pPr>
      <w:r>
        <w:rPr>
          <w:rFonts w:ascii="宋体" w:hAnsi="宋体" w:cs="宋体" w:eastAsia="宋体" w:hint="default"/>
          <w:spacing w:val="-2"/>
          <w:sz w:val="21"/>
          <w:szCs w:val="21"/>
        </w:rPr>
        <w:t>购买方在购买日对作为企业合并对价付出的资产、发生或承担的负债应当按照公允价值计量，</w:t>
      </w:r>
      <w:r>
        <w:rPr>
          <w:rFonts w:ascii="宋体" w:hAnsi="宋体" w:cs="宋体" w:eastAsia="宋体" w:hint="default"/>
          <w:w w:val="100"/>
          <w:sz w:val="21"/>
          <w:szCs w:val="21"/>
        </w:rPr>
        <w:t> </w:t>
      </w:r>
      <w:r>
        <w:rPr>
          <w:rFonts w:ascii="宋体" w:hAnsi="宋体" w:cs="宋体" w:eastAsia="宋体" w:hint="default"/>
          <w:sz w:val="21"/>
          <w:szCs w:val="21"/>
        </w:rPr>
        <w:t>公允价值与其账面价值的差额，计入当期损益。</w:t>
      </w:r>
    </w:p>
    <w:p>
      <w:pPr>
        <w:spacing w:before="80"/>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97" w:lineRule="auto" w:before="138"/>
        <w:ind w:left="144" w:right="1557" w:firstLine="419"/>
        <w:jc w:val="left"/>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3"/>
          <w:sz w:val="21"/>
          <w:szCs w:val="21"/>
        </w:rPr>
        <w:t> </w:t>
      </w:r>
      <w:r>
        <w:rPr>
          <w:rFonts w:ascii="宋体" w:hAnsi="宋体" w:cs="宋体" w:eastAsia="宋体" w:hint="default"/>
          <w:sz w:val="21"/>
          <w:szCs w:val="21"/>
        </w:rPr>
        <w:t>号—合并财务报表》执行。公司</w:t>
      </w:r>
      <w:r>
        <w:rPr>
          <w:rFonts w:ascii="宋体" w:hAnsi="宋体" w:cs="宋体" w:eastAsia="宋体" w:hint="default"/>
          <w:w w:val="100"/>
          <w:sz w:val="21"/>
          <w:szCs w:val="21"/>
        </w:rPr>
        <w:t> </w:t>
      </w:r>
      <w:r>
        <w:rPr>
          <w:rFonts w:ascii="宋体" w:hAnsi="宋体" w:cs="宋体" w:eastAsia="宋体" w:hint="default"/>
          <w:spacing w:val="-4"/>
          <w:sz w:val="21"/>
          <w:szCs w:val="21"/>
        </w:rPr>
        <w:t>所控制的全部子公司及特殊目的主体均纳入合并财务报表的合并范围。从取得子公司的实际控制权</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之日起，公司开始将其予以合并；从丧失实际控制权之日起停止合并。合并财务报表以母公司和纳</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入合并范围的子公司的个别财务报表为基础，根据其他有关资料为依据，按照权益法调整对子公司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的长期股权投资后，由母公司编制。</w:t>
      </w:r>
    </w:p>
    <w:p>
      <w:pPr>
        <w:spacing w:after="0" w:line="297" w:lineRule="auto"/>
        <w:jc w:val="left"/>
        <w:rPr>
          <w:rFonts w:ascii="宋体" w:hAnsi="宋体" w:cs="宋体" w:eastAsia="宋体" w:hint="default"/>
          <w:sz w:val="21"/>
          <w:szCs w:val="21"/>
        </w:rPr>
        <w:sectPr>
          <w:pgSz w:w="12240" w:h="15840"/>
          <w:pgMar w:header="850" w:footer="956" w:top="1360" w:bottom="1140" w:left="1500" w:right="0"/>
        </w:sectPr>
      </w:pPr>
    </w:p>
    <w:p>
      <w:pPr>
        <w:spacing w:line="297" w:lineRule="auto" w:before="17"/>
        <w:ind w:left="144" w:right="1558" w:firstLine="419"/>
        <w:jc w:val="both"/>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2864"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4"/>
          <w:sz w:val="21"/>
          <w:szCs w:val="21"/>
        </w:rPr>
        <w:t>集团内部所有重大往来余额、交易及未实现利润在合并财务报表编制时予以抵销。子公司的股</w:t>
      </w:r>
      <w:r>
        <w:rPr>
          <w:rFonts w:ascii="宋体" w:hAnsi="宋体" w:cs="宋体" w:eastAsia="宋体" w:hint="default"/>
          <w:w w:val="100"/>
          <w:sz w:val="21"/>
          <w:szCs w:val="21"/>
        </w:rPr>
        <w:t> </w:t>
      </w:r>
      <w:r>
        <w:rPr>
          <w:rFonts w:ascii="宋体" w:hAnsi="宋体" w:cs="宋体" w:eastAsia="宋体" w:hint="default"/>
          <w:spacing w:val="-2"/>
          <w:sz w:val="21"/>
          <w:szCs w:val="21"/>
        </w:rPr>
        <w:t>东权益中不属于母公司所拥有的部分作为少数股东权益在合并财务报表中股东权益项下单独列示。</w:t>
      </w:r>
    </w:p>
    <w:p>
      <w:pPr>
        <w:spacing w:line="295" w:lineRule="auto" w:before="75"/>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子公司与母公司采用的会计政策或会计期间不一致的，在编制合并财务报表时，按照母公司的</w:t>
      </w:r>
      <w:r>
        <w:rPr>
          <w:rFonts w:ascii="宋体" w:hAnsi="宋体" w:cs="宋体" w:eastAsia="宋体" w:hint="default"/>
          <w:w w:val="100"/>
          <w:sz w:val="21"/>
          <w:szCs w:val="21"/>
        </w:rPr>
        <w:t> </w:t>
      </w:r>
      <w:r>
        <w:rPr>
          <w:rFonts w:ascii="宋体" w:hAnsi="宋体" w:cs="宋体" w:eastAsia="宋体" w:hint="default"/>
          <w:sz w:val="21"/>
          <w:szCs w:val="21"/>
        </w:rPr>
        <w:t>会计政策或会计期间对子公司财务报表进行必要的调整。</w:t>
      </w:r>
    </w:p>
    <w:p>
      <w:pPr>
        <w:spacing w:line="297" w:lineRule="auto" w:before="77"/>
        <w:ind w:left="144" w:right="1634" w:firstLine="419"/>
        <w:jc w:val="both"/>
        <w:rPr>
          <w:rFonts w:ascii="宋体" w:hAnsi="宋体" w:cs="宋体" w:eastAsia="宋体" w:hint="default"/>
          <w:sz w:val="21"/>
          <w:szCs w:val="21"/>
        </w:rPr>
      </w:pPr>
      <w:r>
        <w:rPr>
          <w:rFonts w:ascii="宋体" w:hAnsi="宋体" w:cs="宋体" w:eastAsia="宋体" w:hint="default"/>
          <w:spacing w:val="-4"/>
          <w:sz w:val="21"/>
          <w:szCs w:val="21"/>
        </w:rPr>
        <w:t>对于因非同一控制下企业合并取得的子公司，在编制合并财务报表时，以购买日可辨认净资产</w:t>
      </w:r>
      <w:r>
        <w:rPr>
          <w:rFonts w:ascii="宋体" w:hAnsi="宋体" w:cs="宋体" w:eastAsia="宋体" w:hint="default"/>
          <w:w w:val="100"/>
          <w:sz w:val="21"/>
          <w:szCs w:val="21"/>
        </w:rPr>
        <w:t> </w:t>
      </w:r>
      <w:r>
        <w:rPr>
          <w:rFonts w:ascii="宋体" w:hAnsi="宋体" w:cs="宋体" w:eastAsia="宋体" w:hint="default"/>
          <w:spacing w:val="-4"/>
          <w:sz w:val="21"/>
          <w:szCs w:val="21"/>
        </w:rPr>
        <w:t>公允价值为基础对其个别财务报表进行调整；对于因同一控制下企业合并取得的子公司，在编制合</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并财务报表时，视同该企业合并于报告期最早期间的期初已经发生，从报告期最早期间的期初起将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其资产、负债、经营成果和现金流量纳入合并财务报表，且其合并日前实现的净利润在合并利润表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中单列项目反映。</w:t>
      </w:r>
    </w:p>
    <w:p>
      <w:pPr>
        <w:spacing w:line="362" w:lineRule="auto" w:before="73"/>
        <w:ind w:left="564" w:right="1557"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编制现金流量表时，现金是指库存现金及可随时用于支付的存款；现金等价物是指持有的期限</w:t>
      </w:r>
    </w:p>
    <w:p>
      <w:pPr>
        <w:spacing w:line="234"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短、流动性强、易于转换为已知金额现金及价值变动风险很小的投资。</w:t>
      </w:r>
    </w:p>
    <w:p>
      <w:pPr>
        <w:spacing w:before="126"/>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350" w:lineRule="auto" w:before="138"/>
        <w:ind w:left="564"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）外币交易折算</w:t>
      </w:r>
      <w:r>
        <w:rPr>
          <w:rFonts w:ascii="宋体" w:hAnsi="宋体" w:cs="宋体" w:eastAsia="宋体" w:hint="default"/>
          <w:w w:val="100"/>
          <w:sz w:val="21"/>
          <w:szCs w:val="21"/>
        </w:rPr>
        <w:t> </w:t>
      </w:r>
      <w:r>
        <w:rPr>
          <w:rFonts w:ascii="宋体" w:hAnsi="宋体" w:cs="宋体" w:eastAsia="宋体" w:hint="default"/>
          <w:sz w:val="21"/>
          <w:szCs w:val="21"/>
        </w:rPr>
        <w:t>公司外币交易按交易发生日的即期汇率（或近似汇率）将外币金额折算为人民币入账。</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资产负债表日，外币货币性项目采用资产负债表日的即期汇率折算为人民币；以公允价值计量</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的外币非货币性项目按公允价值确定日的即期汇率折算为人民币；以历史成本计量的外币非货币性</w:t>
      </w:r>
    </w:p>
    <w:p>
      <w:pPr>
        <w:spacing w:line="348" w:lineRule="auto" w:before="66"/>
        <w:ind w:left="564" w:right="1697" w:hanging="420"/>
        <w:jc w:val="left"/>
        <w:rPr>
          <w:rFonts w:ascii="宋体" w:hAnsi="宋体" w:cs="宋体" w:eastAsia="宋体" w:hint="default"/>
          <w:sz w:val="21"/>
          <w:szCs w:val="21"/>
        </w:rPr>
      </w:pPr>
      <w:r>
        <w:rPr>
          <w:rFonts w:ascii="宋体" w:hAnsi="宋体" w:cs="宋体" w:eastAsia="宋体" w:hint="default"/>
          <w:sz w:val="21"/>
          <w:szCs w:val="21"/>
        </w:rPr>
        <w:t>项目采用交易发生日的即期汇率折算为人民币。</w:t>
      </w:r>
      <w:r>
        <w:rPr>
          <w:rFonts w:ascii="宋体" w:hAnsi="宋体" w:cs="宋体" w:eastAsia="宋体" w:hint="default"/>
          <w:w w:val="100"/>
          <w:sz w:val="21"/>
          <w:szCs w:val="21"/>
        </w:rPr>
        <w:t> </w:t>
      </w:r>
      <w:r>
        <w:rPr>
          <w:rFonts w:ascii="宋体" w:hAnsi="宋体" w:cs="宋体" w:eastAsia="宋体" w:hint="default"/>
          <w:spacing w:val="-2"/>
          <w:sz w:val="21"/>
          <w:szCs w:val="21"/>
        </w:rPr>
        <w:t>除了为购建或生产符合资本化条件的资产而借入的外币专门借款本金及利息的汇兑差额按资</w:t>
      </w:r>
    </w:p>
    <w:p>
      <w:pPr>
        <w:spacing w:line="247"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本化的原则处理外，其余情况下所产生的外币折算差额直接计入当期损益。货币兑换形成的折算差</w:t>
      </w:r>
    </w:p>
    <w:p>
      <w:pPr>
        <w:spacing w:before="66"/>
        <w:ind w:left="144" w:right="1697" w:firstLine="0"/>
        <w:jc w:val="left"/>
        <w:rPr>
          <w:rFonts w:ascii="宋体" w:hAnsi="宋体" w:cs="宋体" w:eastAsia="宋体" w:hint="default"/>
          <w:sz w:val="21"/>
          <w:szCs w:val="21"/>
        </w:rPr>
      </w:pPr>
      <w:r>
        <w:rPr>
          <w:rFonts w:ascii="宋体" w:hAnsi="宋体" w:cs="宋体" w:eastAsia="宋体" w:hint="default"/>
          <w:sz w:val="21"/>
          <w:szCs w:val="21"/>
        </w:rPr>
        <w:t>额，计入财务费用。</w:t>
      </w:r>
    </w:p>
    <w:p>
      <w:pPr>
        <w:spacing w:line="350" w:lineRule="auto" w:before="126"/>
        <w:ind w:left="564"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）外币报表折算</w:t>
      </w:r>
      <w:r>
        <w:rPr>
          <w:rFonts w:ascii="宋体" w:hAnsi="宋体" w:cs="宋体" w:eastAsia="宋体" w:hint="default"/>
          <w:w w:val="100"/>
          <w:sz w:val="21"/>
          <w:szCs w:val="21"/>
        </w:rPr>
        <w:t> </w:t>
      </w:r>
      <w:r>
        <w:rPr>
          <w:rFonts w:ascii="宋体" w:hAnsi="宋体" w:cs="宋体" w:eastAsia="宋体" w:hint="default"/>
          <w:spacing w:val="-4"/>
          <w:sz w:val="21"/>
          <w:szCs w:val="21"/>
        </w:rPr>
        <w:t>资产负债表中的资产和负债项目，采用资产负债表日的即期汇率折算；所有者权益项目除“未</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分配利润”项目外，其他项目采用发生时的即期汇率折算。</w:t>
      </w:r>
    </w:p>
    <w:p>
      <w:pPr>
        <w:spacing w:line="350" w:lineRule="auto" w:before="123"/>
        <w:ind w:left="564" w:right="1697" w:firstLine="0"/>
        <w:jc w:val="left"/>
        <w:rPr>
          <w:rFonts w:ascii="宋体" w:hAnsi="宋体" w:cs="宋体" w:eastAsia="宋体" w:hint="default"/>
          <w:sz w:val="21"/>
          <w:szCs w:val="21"/>
        </w:rPr>
      </w:pPr>
      <w:r>
        <w:rPr>
          <w:rFonts w:ascii="宋体" w:hAnsi="宋体" w:cs="宋体" w:eastAsia="宋体" w:hint="default"/>
          <w:sz w:val="21"/>
          <w:szCs w:val="21"/>
        </w:rPr>
        <w:t>利润表中的收入和费用项目，采用交易发生日的即期汇率（或近似汇率）折算。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上述折算产生的外币财务报表折算差额，在资产负债表所有者权益项目下单独列示。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10</w:t>
      </w:r>
      <w:r>
        <w:rPr>
          <w:rFonts w:ascii="宋体" w:hAnsi="宋体" w:cs="宋体" w:eastAsia="宋体" w:hint="default"/>
          <w:b/>
          <w:bCs/>
          <w:sz w:val="21"/>
          <w:szCs w:val="21"/>
        </w:rPr>
        <w:t>、金融资产和金融负债</w:t>
      </w:r>
      <w:r>
        <w:rPr>
          <w:rFonts w:ascii="宋体" w:hAnsi="宋体" w:cs="宋体" w:eastAsia="宋体" w:hint="default"/>
          <w:sz w:val="21"/>
          <w:szCs w:val="21"/>
        </w:rPr>
      </w:r>
    </w:p>
    <w:p>
      <w:pPr>
        <w:spacing w:line="350" w:lineRule="auto" w:before="44"/>
        <w:ind w:left="564" w:right="57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）金融资产及金融负债的分类</w:t>
      </w:r>
      <w:r>
        <w:rPr>
          <w:rFonts w:ascii="宋体" w:hAnsi="宋体" w:cs="宋体" w:eastAsia="宋体" w:hint="default"/>
          <w:w w:val="100"/>
          <w:sz w:val="21"/>
          <w:szCs w:val="21"/>
        </w:rPr>
        <w:t> </w:t>
      </w:r>
      <w:r>
        <w:rPr>
          <w:rFonts w:ascii="宋体" w:hAnsi="宋体" w:cs="宋体" w:eastAsia="宋体" w:hint="default"/>
          <w:spacing w:val="-2"/>
          <w:sz w:val="21"/>
          <w:szCs w:val="21"/>
        </w:rPr>
        <w:t>公司金融资产在初始确认时划分为下列四类：</w:t>
      </w:r>
    </w:p>
    <w:p>
      <w:pPr>
        <w:spacing w:line="297" w:lineRule="auto" w:before="27"/>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①以公允价值计量且其变动计入当期损益的金融资产，包括交易性金融资产和指定为以公允价</w:t>
      </w:r>
      <w:r>
        <w:rPr>
          <w:rFonts w:ascii="宋体" w:hAnsi="宋体" w:cs="宋体" w:eastAsia="宋体" w:hint="default"/>
          <w:w w:val="100"/>
          <w:sz w:val="21"/>
          <w:szCs w:val="21"/>
        </w:rPr>
        <w:t> </w:t>
      </w:r>
      <w:r>
        <w:rPr>
          <w:rFonts w:ascii="宋体" w:hAnsi="宋体" w:cs="宋体" w:eastAsia="宋体" w:hint="default"/>
          <w:spacing w:val="-4"/>
          <w:sz w:val="21"/>
          <w:szCs w:val="21"/>
        </w:rPr>
        <w:t>值计量且其变动计入当期损益的金融资产；②持有至到期投资；③贷款和应收款项；④可供出售金</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融资产。</w:t>
      </w:r>
    </w:p>
    <w:p>
      <w:pPr>
        <w:spacing w:before="75"/>
        <w:ind w:left="564" w:right="1697" w:firstLine="0"/>
        <w:jc w:val="left"/>
        <w:rPr>
          <w:rFonts w:ascii="宋体" w:hAnsi="宋体" w:cs="宋体" w:eastAsia="宋体" w:hint="default"/>
          <w:sz w:val="21"/>
          <w:szCs w:val="21"/>
        </w:rPr>
      </w:pPr>
      <w:r>
        <w:rPr>
          <w:rFonts w:ascii="宋体" w:hAnsi="宋体" w:cs="宋体" w:eastAsia="宋体" w:hint="default"/>
          <w:sz w:val="21"/>
          <w:szCs w:val="21"/>
        </w:rPr>
        <w:t>公司金融负债在初始确认时划分为下列两类：</w:t>
      </w:r>
    </w:p>
    <w:p>
      <w:pPr>
        <w:spacing w:after="0"/>
        <w:jc w:val="left"/>
        <w:rPr>
          <w:rFonts w:ascii="宋体" w:hAnsi="宋体" w:cs="宋体" w:eastAsia="宋体" w:hint="default"/>
          <w:sz w:val="21"/>
          <w:szCs w:val="21"/>
        </w:rPr>
        <w:sectPr>
          <w:pgSz w:w="12240" w:h="15840"/>
          <w:pgMar w:header="850" w:footer="956" w:top="1360" w:bottom="1140" w:left="1500" w:right="0"/>
        </w:sectPr>
      </w:pPr>
    </w:p>
    <w:p>
      <w:pPr>
        <w:spacing w:line="297" w:lineRule="auto" w:before="15"/>
        <w:ind w:left="144" w:right="1557" w:firstLine="419"/>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840"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pacing w:val="-4"/>
          <w:sz w:val="21"/>
          <w:szCs w:val="21"/>
        </w:rPr>
        <w:t>①以公允价值计量且其变动计入当期损益的金融负债，包括交易性金融负债和指定为以公允价</w:t>
      </w:r>
      <w:r>
        <w:rPr>
          <w:rFonts w:ascii="宋体" w:hAnsi="宋体" w:cs="宋体" w:eastAsia="宋体" w:hint="default"/>
          <w:w w:val="100"/>
          <w:sz w:val="21"/>
          <w:szCs w:val="21"/>
        </w:rPr>
        <w:t> </w:t>
      </w:r>
      <w:r>
        <w:rPr>
          <w:rFonts w:ascii="宋体" w:hAnsi="宋体" w:cs="宋体" w:eastAsia="宋体" w:hint="default"/>
          <w:sz w:val="21"/>
          <w:szCs w:val="21"/>
        </w:rPr>
        <w:t>值计量且其变动计入当期损益的金融负债；②其他金融负债。</w:t>
      </w:r>
    </w:p>
    <w:p>
      <w:pPr>
        <w:spacing w:line="348" w:lineRule="auto" w:before="75"/>
        <w:ind w:left="564"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）金融工具的确认依据和计量方法</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公司成为金融工具合同的一方时，确认一项金融资产或金融负债。金融资产满足下列条件之一</w:t>
      </w:r>
    </w:p>
    <w:p>
      <w:pPr>
        <w:spacing w:line="246"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的，终止确认：①收取该金融资产现金流量的合同权利终止。②该金融资产已转移，且符合《企业</w:t>
      </w:r>
    </w:p>
    <w:p>
      <w:pPr>
        <w:spacing w:line="350" w:lineRule="auto" w:before="66"/>
        <w:ind w:left="564" w:right="1557" w:hanging="420"/>
        <w:jc w:val="left"/>
        <w:rPr>
          <w:rFonts w:ascii="宋体" w:hAnsi="宋体" w:cs="宋体" w:eastAsia="宋体" w:hint="default"/>
          <w:sz w:val="21"/>
          <w:szCs w:val="21"/>
        </w:rPr>
      </w:pPr>
      <w:r>
        <w:rPr>
          <w:rFonts w:ascii="宋体" w:hAnsi="宋体" w:cs="宋体" w:eastAsia="宋体" w:hint="default"/>
          <w:sz w:val="21"/>
          <w:szCs w:val="21"/>
        </w:rPr>
        <w:t>会计准则第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号—金融资产转移》规定的金融资产终止确认条件。</w:t>
      </w:r>
      <w:r>
        <w:rPr>
          <w:rFonts w:ascii="宋体" w:hAnsi="宋体" w:cs="宋体" w:eastAsia="宋体" w:hint="default"/>
          <w:w w:val="100"/>
          <w:sz w:val="21"/>
          <w:szCs w:val="21"/>
        </w:rPr>
        <w:t> </w:t>
      </w:r>
      <w:r>
        <w:rPr>
          <w:rFonts w:ascii="宋体" w:hAnsi="宋体" w:cs="宋体" w:eastAsia="宋体" w:hint="default"/>
          <w:sz w:val="21"/>
          <w:szCs w:val="21"/>
        </w:rPr>
        <w:t>金融负债的现时义务全部或部分已经解除的，终止确认该金融负债或其一部分。</w:t>
      </w:r>
      <w:r>
        <w:rPr>
          <w:rFonts w:ascii="宋体" w:hAnsi="宋体" w:cs="宋体" w:eastAsia="宋体" w:hint="default"/>
          <w:w w:val="100"/>
          <w:sz w:val="21"/>
          <w:szCs w:val="21"/>
        </w:rPr>
        <w:t> </w:t>
      </w:r>
      <w:r>
        <w:rPr>
          <w:rFonts w:ascii="宋体" w:hAnsi="宋体" w:cs="宋体" w:eastAsia="宋体" w:hint="default"/>
          <w:spacing w:val="-4"/>
          <w:sz w:val="21"/>
          <w:szCs w:val="21"/>
        </w:rPr>
        <w:t>公司初始确认金融资产或金融负债，按照公允价值计量。对于以公允价值计量且其变动计入当</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期损益的金融资产或金融负债，相关交易费用直接计入当期损益；对于其他类别的金融资产或金融</w:t>
      </w:r>
    </w:p>
    <w:p>
      <w:pPr>
        <w:spacing w:line="350" w:lineRule="auto" w:before="63"/>
        <w:ind w:left="564" w:right="1557" w:hanging="420"/>
        <w:jc w:val="left"/>
        <w:rPr>
          <w:rFonts w:ascii="宋体" w:hAnsi="宋体" w:cs="宋体" w:eastAsia="宋体" w:hint="default"/>
          <w:sz w:val="21"/>
          <w:szCs w:val="21"/>
        </w:rPr>
      </w:pPr>
      <w:r>
        <w:rPr>
          <w:rFonts w:ascii="宋体" w:hAnsi="宋体" w:cs="宋体" w:eastAsia="宋体" w:hint="default"/>
          <w:sz w:val="21"/>
          <w:szCs w:val="21"/>
        </w:rPr>
        <w:t>负债，相关交易费用计入初始确认金额。</w:t>
      </w:r>
      <w:r>
        <w:rPr>
          <w:rFonts w:ascii="宋体" w:hAnsi="宋体" w:cs="宋体" w:eastAsia="宋体" w:hint="default"/>
          <w:w w:val="100"/>
          <w:sz w:val="21"/>
          <w:szCs w:val="21"/>
        </w:rPr>
        <w:t> </w:t>
      </w:r>
      <w:r>
        <w:rPr>
          <w:rFonts w:ascii="宋体" w:hAnsi="宋体" w:cs="宋体" w:eastAsia="宋体" w:hint="default"/>
          <w:spacing w:val="-4"/>
          <w:sz w:val="21"/>
          <w:szCs w:val="21"/>
        </w:rPr>
        <w:t>交易费用包括支付给代理机构、咨询公司、券商等的手续费和佣金及其他必要支出，不包括债</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券溢价、折价、融资费用、内部管理成本及其他与交易不直接相关的费用。</w:t>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）金融资产和金融负债的公允价值确定方法</w:t>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①存在活跃市场的金融资产或金融负债，以活跃市场中的报价确定其公允价值。</w:t>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②金融工具不存在活跃市场的，公司采用估值技术确定其公允价值。</w:t>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）减值测试方法和减值准备计提方法</w:t>
      </w:r>
    </w:p>
    <w:p>
      <w:pPr>
        <w:spacing w:line="297" w:lineRule="auto" w:before="123"/>
        <w:ind w:left="144" w:right="1697" w:firstLine="419"/>
        <w:jc w:val="left"/>
        <w:rPr>
          <w:rFonts w:ascii="宋体" w:hAnsi="宋体" w:cs="宋体" w:eastAsia="宋体" w:hint="default"/>
          <w:sz w:val="21"/>
          <w:szCs w:val="21"/>
        </w:rPr>
      </w:pPr>
      <w:r>
        <w:rPr>
          <w:rFonts w:ascii="宋体" w:hAnsi="宋体" w:cs="宋体" w:eastAsia="宋体" w:hint="default"/>
          <w:spacing w:val="-2"/>
          <w:sz w:val="21"/>
          <w:szCs w:val="21"/>
        </w:rPr>
        <w:t>①公司在资产负债表日对以公允价值计量且其变动计入当期损益的金融资产以外的金融资产</w:t>
      </w:r>
      <w:r>
        <w:rPr>
          <w:rFonts w:ascii="宋体" w:hAnsi="宋体" w:cs="宋体" w:eastAsia="宋体" w:hint="default"/>
          <w:w w:val="100"/>
          <w:sz w:val="21"/>
          <w:szCs w:val="21"/>
        </w:rPr>
        <w:t> </w:t>
      </w:r>
      <w:r>
        <w:rPr>
          <w:rFonts w:ascii="宋体" w:hAnsi="宋体" w:cs="宋体" w:eastAsia="宋体" w:hint="default"/>
          <w:sz w:val="21"/>
          <w:szCs w:val="21"/>
        </w:rPr>
        <w:t>的账面价值进行检查，有客观证据表明该金融资产发生减值的，计提减值准备。</w:t>
      </w:r>
    </w:p>
    <w:p>
      <w:pPr>
        <w:spacing w:line="350" w:lineRule="auto" w:before="76"/>
        <w:ind w:left="564" w:right="1557" w:firstLine="0"/>
        <w:jc w:val="left"/>
        <w:rPr>
          <w:rFonts w:ascii="宋体" w:hAnsi="宋体" w:cs="宋体" w:eastAsia="宋体" w:hint="default"/>
          <w:sz w:val="21"/>
          <w:szCs w:val="21"/>
        </w:rPr>
      </w:pPr>
      <w:r>
        <w:rPr>
          <w:rFonts w:ascii="宋体" w:hAnsi="宋体" w:cs="宋体" w:eastAsia="宋体" w:hint="default"/>
          <w:sz w:val="21"/>
          <w:szCs w:val="21"/>
        </w:rPr>
        <w:t>②公司金融资产发生减值的客观证据，包括下列各项：</w:t>
      </w:r>
      <w:r>
        <w:rPr>
          <w:rFonts w:ascii="宋体" w:hAnsi="宋体" w:cs="宋体" w:eastAsia="宋体" w:hint="default"/>
          <w:w w:val="100"/>
          <w:sz w:val="21"/>
          <w:szCs w:val="21"/>
        </w:rPr>
        <w:t> </w:t>
      </w:r>
      <w:r>
        <w:rPr>
          <w:rFonts w:ascii="宋体" w:hAnsi="宋体" w:cs="宋体" w:eastAsia="宋体" w:hint="default"/>
          <w:spacing w:val="-4"/>
          <w:sz w:val="21"/>
          <w:szCs w:val="21"/>
        </w:rPr>
        <w:t>债务人发生严重财务困难；债务人违反了合同条款，如偿付利息或本金发生违约或逾期等；债</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权人出于经济或法律等方面因素的考虑，对发生财务困难的债务人作出让步；权益工具投资的公允</w:t>
      </w:r>
    </w:p>
    <w:p>
      <w:pPr>
        <w:spacing w:line="295" w:lineRule="auto" w:before="66"/>
        <w:ind w:left="144" w:right="1635" w:firstLine="0"/>
        <w:jc w:val="both"/>
        <w:rPr>
          <w:rFonts w:ascii="宋体" w:hAnsi="宋体" w:cs="宋体" w:eastAsia="宋体" w:hint="default"/>
          <w:sz w:val="21"/>
          <w:szCs w:val="21"/>
        </w:rPr>
      </w:pPr>
      <w:r>
        <w:rPr>
          <w:rFonts w:ascii="宋体" w:hAnsi="宋体" w:cs="宋体" w:eastAsia="宋体" w:hint="default"/>
          <w:spacing w:val="-4"/>
          <w:sz w:val="21"/>
          <w:szCs w:val="21"/>
        </w:rPr>
        <w:t>价值发生严重或非暂时性下跌；债务人经营所处的技术、市场、经济或法律环境等发生重大不利变</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化，使权益工具投资人可能无法收回投资成本；其他表明金融资产发生减值的客观证据。</w:t>
      </w:r>
    </w:p>
    <w:p>
      <w:pPr>
        <w:spacing w:line="297" w:lineRule="auto" w:before="77"/>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③公司对金融资产确认减值损失后，如有客观证据表明该金融资产价值已恢复，且客观上与确</w:t>
      </w:r>
      <w:r>
        <w:rPr>
          <w:rFonts w:ascii="宋体" w:hAnsi="宋体" w:cs="宋体" w:eastAsia="宋体" w:hint="default"/>
          <w:w w:val="100"/>
          <w:sz w:val="21"/>
          <w:szCs w:val="21"/>
        </w:rPr>
        <w:t> </w:t>
      </w:r>
      <w:r>
        <w:rPr>
          <w:rFonts w:ascii="宋体" w:hAnsi="宋体" w:cs="宋体" w:eastAsia="宋体" w:hint="default"/>
          <w:spacing w:val="-4"/>
          <w:sz w:val="21"/>
          <w:szCs w:val="21"/>
        </w:rPr>
        <w:t>认该损失后发生的事项有关（如债务人的信用评级已提高等），原确认的减值损失予以转回，对于</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可供出售债务工具，计入当期损益；对于可供出售的权益工具，不得通过损益转回，但活跃市场无</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报价且其公允价值不能可靠计量的权益工具投资，减值损失不得转回。但是，该转回后的账面价值</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不超过假定不计提减值准备情况下该金融资产在转回日的摊余成本。</w:t>
      </w:r>
    </w:p>
    <w:p>
      <w:pPr>
        <w:spacing w:before="7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）金融资产转移的确认依据和计量方法</w:t>
      </w:r>
    </w:p>
    <w:p>
      <w:pPr>
        <w:spacing w:line="350" w:lineRule="auto" w:before="123"/>
        <w:ind w:left="564" w:right="1557" w:firstLine="0"/>
        <w:jc w:val="left"/>
        <w:rPr>
          <w:rFonts w:ascii="宋体" w:hAnsi="宋体" w:cs="宋体" w:eastAsia="宋体" w:hint="default"/>
          <w:sz w:val="21"/>
          <w:szCs w:val="21"/>
        </w:rPr>
      </w:pPr>
      <w:r>
        <w:rPr>
          <w:rFonts w:ascii="宋体" w:hAnsi="宋体" w:cs="宋体" w:eastAsia="宋体" w:hint="default"/>
          <w:sz w:val="21"/>
          <w:szCs w:val="21"/>
        </w:rPr>
        <w:t>①公司金融资产转移的确认</w:t>
      </w:r>
      <w:r>
        <w:rPr>
          <w:rFonts w:ascii="宋体" w:hAnsi="宋体" w:cs="宋体" w:eastAsia="宋体" w:hint="default"/>
          <w:w w:val="100"/>
          <w:sz w:val="21"/>
          <w:szCs w:val="21"/>
        </w:rPr>
        <w:t> </w:t>
      </w:r>
      <w:r>
        <w:rPr>
          <w:rFonts w:ascii="宋体" w:hAnsi="宋体" w:cs="宋体" w:eastAsia="宋体" w:hint="default"/>
          <w:spacing w:val="-6"/>
          <w:sz w:val="21"/>
          <w:szCs w:val="21"/>
        </w:rPr>
        <w:t>公司金融资产转移，包括下列两种情形：</w:t>
      </w:r>
      <w:r>
        <w:rPr>
          <w:rFonts w:ascii="宋体" w:hAnsi="宋体" w:cs="宋体" w:eastAsia="宋体" w:hint="default"/>
          <w:spacing w:val="-6"/>
          <w:sz w:val="21"/>
          <w:szCs w:val="21"/>
        </w:rPr>
        <w:t>A</w:t>
      </w:r>
      <w:r>
        <w:rPr>
          <w:rFonts w:ascii="宋体" w:hAnsi="宋体" w:cs="宋体" w:eastAsia="宋体" w:hint="default"/>
          <w:spacing w:val="-6"/>
          <w:sz w:val="21"/>
          <w:szCs w:val="21"/>
        </w:rPr>
        <w:t>、将收取金融资产现金流量的权利转移给另一方；</w:t>
      </w:r>
      <w:r>
        <w:rPr>
          <w:rFonts w:ascii="宋体" w:hAnsi="宋体" w:cs="宋体" w:eastAsia="宋体" w:hint="default"/>
          <w:spacing w:val="-6"/>
          <w:sz w:val="21"/>
          <w:szCs w:val="21"/>
        </w:rPr>
        <w:t>B</w:t>
      </w:r>
      <w:r>
        <w:rPr>
          <w:rFonts w:ascii="宋体" w:hAnsi="宋体" w:cs="宋体" w:eastAsia="宋体" w:hint="default"/>
          <w:spacing w:val="-6"/>
          <w:sz w:val="21"/>
          <w:szCs w:val="21"/>
        </w:rPr>
        <w:t>、</w:t>
      </w:r>
    </w:p>
    <w:p>
      <w:pPr>
        <w:spacing w:line="244"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将金融资产转移给另一方，但保留收取金融资产现金流量的权利，并承担将收取的现金流量支付给</w:t>
      </w:r>
    </w:p>
    <w:p>
      <w:pPr>
        <w:spacing w:line="297" w:lineRule="auto" w:before="66"/>
        <w:ind w:left="144" w:right="1637" w:firstLine="0"/>
        <w:jc w:val="both"/>
        <w:rPr>
          <w:rFonts w:ascii="宋体" w:hAnsi="宋体" w:cs="宋体" w:eastAsia="宋体" w:hint="default"/>
          <w:sz w:val="21"/>
          <w:szCs w:val="21"/>
        </w:rPr>
      </w:pPr>
      <w:r>
        <w:rPr>
          <w:rFonts w:ascii="宋体" w:hAnsi="宋体" w:cs="宋体" w:eastAsia="宋体" w:hint="default"/>
          <w:spacing w:val="-4"/>
          <w:sz w:val="21"/>
          <w:szCs w:val="21"/>
        </w:rPr>
        <w:t>最终收款方的义务，同时满足下列条件：第一．从该金融资产收到对等的现金流量时，才有义务将</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其支付给最终收款方。第二．根据合同约定，不能出售该金融资产或作为担保物，但可以将其作为</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对最终收款方支付现金流量的保证。第三．有义务将收取的现金流量及时支付给最终收款方。</w:t>
      </w:r>
    </w:p>
    <w:p>
      <w:pPr>
        <w:spacing w:after="0" w:line="297" w:lineRule="auto"/>
        <w:jc w:val="both"/>
        <w:rPr>
          <w:rFonts w:ascii="宋体" w:hAnsi="宋体" w:cs="宋体" w:eastAsia="宋体" w:hint="default"/>
          <w:sz w:val="21"/>
          <w:szCs w:val="21"/>
        </w:rPr>
        <w:sectPr>
          <w:pgSz w:w="12240" w:h="15840"/>
          <w:pgMar w:header="850" w:footer="956" w:top="1360" w:bottom="1140" w:left="1500" w:right="0"/>
        </w:sectPr>
      </w:pPr>
    </w:p>
    <w:p>
      <w:pPr>
        <w:spacing w:line="297" w:lineRule="auto" w:before="17"/>
        <w:ind w:left="144" w:right="1557" w:firstLine="419"/>
        <w:jc w:val="left"/>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2816"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4"/>
          <w:sz w:val="21"/>
          <w:szCs w:val="21"/>
        </w:rPr>
        <w:t>公司已将金融资产所有权上几乎所有的风险和报酬转移给转入方的，终止确认该金融资产；保</w:t>
      </w:r>
      <w:r>
        <w:rPr>
          <w:rFonts w:ascii="宋体" w:hAnsi="宋体" w:cs="宋体" w:eastAsia="宋体" w:hint="default"/>
          <w:w w:val="100"/>
          <w:sz w:val="21"/>
          <w:szCs w:val="21"/>
        </w:rPr>
        <w:t> </w:t>
      </w:r>
      <w:r>
        <w:rPr>
          <w:rFonts w:ascii="宋体" w:hAnsi="宋体" w:cs="宋体" w:eastAsia="宋体" w:hint="default"/>
          <w:sz w:val="21"/>
          <w:szCs w:val="21"/>
        </w:rPr>
        <w:t>留了金融资产所有权上几乎所有的风险和报酬的，不终止确认该金融资产。</w:t>
      </w:r>
    </w:p>
    <w:p>
      <w:pPr>
        <w:spacing w:line="348" w:lineRule="auto" w:before="75"/>
        <w:ind w:left="564" w:right="1697" w:firstLine="0"/>
        <w:jc w:val="left"/>
        <w:rPr>
          <w:rFonts w:ascii="宋体" w:hAnsi="宋体" w:cs="宋体" w:eastAsia="宋体" w:hint="default"/>
          <w:sz w:val="21"/>
          <w:szCs w:val="21"/>
        </w:rPr>
      </w:pPr>
      <w:r>
        <w:rPr>
          <w:rFonts w:ascii="宋体" w:hAnsi="宋体" w:cs="宋体" w:eastAsia="宋体" w:hint="default"/>
          <w:sz w:val="21"/>
          <w:szCs w:val="21"/>
        </w:rPr>
        <w:t>②公司金融资产转移的计量</w:t>
      </w:r>
      <w:r>
        <w:rPr>
          <w:rFonts w:ascii="宋体" w:hAnsi="宋体" w:cs="宋体" w:eastAsia="宋体" w:hint="default"/>
          <w:w w:val="100"/>
          <w:sz w:val="21"/>
          <w:szCs w:val="21"/>
        </w:rPr>
        <w:t> </w:t>
      </w:r>
      <w:r>
        <w:rPr>
          <w:rFonts w:ascii="宋体" w:hAnsi="宋体" w:cs="宋体" w:eastAsia="宋体" w:hint="default"/>
          <w:spacing w:val="-2"/>
          <w:sz w:val="21"/>
          <w:szCs w:val="21"/>
        </w:rPr>
        <w:t>金融资产整体转移满足终止确认条件的，将下列两项金额的差额计入当期损益：</w:t>
      </w:r>
      <w:r>
        <w:rPr>
          <w:rFonts w:ascii="宋体" w:hAnsi="宋体" w:cs="宋体" w:eastAsia="宋体" w:hint="default"/>
          <w:spacing w:val="-2"/>
          <w:sz w:val="21"/>
          <w:szCs w:val="21"/>
        </w:rPr>
        <w:t>A</w:t>
      </w:r>
      <w:r>
        <w:rPr>
          <w:rFonts w:ascii="宋体" w:hAnsi="宋体" w:cs="宋体" w:eastAsia="宋体" w:hint="default"/>
          <w:spacing w:val="-2"/>
          <w:sz w:val="21"/>
          <w:szCs w:val="21"/>
        </w:rPr>
        <w:t>、所转移金</w:t>
      </w:r>
      <w:r>
        <w:rPr>
          <w:rFonts w:ascii="宋体" w:hAnsi="宋体" w:cs="宋体" w:eastAsia="宋体" w:hint="default"/>
          <w:sz w:val="21"/>
          <w:szCs w:val="21"/>
        </w:rPr>
      </w:r>
    </w:p>
    <w:p>
      <w:pPr>
        <w:spacing w:line="246" w:lineRule="exact" w:before="0"/>
        <w:ind w:left="144" w:right="0" w:firstLine="0"/>
        <w:jc w:val="both"/>
        <w:rPr>
          <w:rFonts w:ascii="宋体" w:hAnsi="宋体" w:cs="宋体" w:eastAsia="宋体" w:hint="default"/>
          <w:sz w:val="21"/>
          <w:szCs w:val="21"/>
        </w:rPr>
      </w:pPr>
      <w:r>
        <w:rPr>
          <w:rFonts w:ascii="宋体" w:hAnsi="宋体" w:cs="宋体" w:eastAsia="宋体" w:hint="default"/>
          <w:spacing w:val="-6"/>
          <w:sz w:val="21"/>
          <w:szCs w:val="21"/>
        </w:rPr>
        <w:t>融资产的账面价值；</w:t>
      </w:r>
      <w:r>
        <w:rPr>
          <w:rFonts w:ascii="宋体" w:hAnsi="宋体" w:cs="宋体" w:eastAsia="宋体" w:hint="default"/>
          <w:spacing w:val="-6"/>
          <w:sz w:val="21"/>
          <w:szCs w:val="21"/>
        </w:rPr>
        <w:t>B</w:t>
      </w:r>
      <w:r>
        <w:rPr>
          <w:rFonts w:ascii="宋体" w:hAnsi="宋体" w:cs="宋体" w:eastAsia="宋体" w:hint="default"/>
          <w:spacing w:val="-6"/>
          <w:sz w:val="21"/>
          <w:szCs w:val="21"/>
        </w:rPr>
        <w:t>、因转移而收到的对价，与原直接计入所有者权益的公允价值变动累计额（涉</w:t>
      </w:r>
    </w:p>
    <w:p>
      <w:pPr>
        <w:spacing w:line="328" w:lineRule="auto" w:before="66"/>
        <w:ind w:left="547" w:right="1557" w:hanging="404"/>
        <w:jc w:val="left"/>
        <w:rPr>
          <w:rFonts w:ascii="宋体" w:hAnsi="宋体" w:cs="宋体" w:eastAsia="宋体" w:hint="default"/>
          <w:sz w:val="21"/>
          <w:szCs w:val="21"/>
        </w:rPr>
      </w:pPr>
      <w:r>
        <w:rPr>
          <w:rFonts w:ascii="宋体" w:hAnsi="宋体" w:cs="宋体" w:eastAsia="宋体" w:hint="default"/>
          <w:sz w:val="21"/>
          <w:szCs w:val="21"/>
        </w:rPr>
        <w:t>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3"/>
          <w:sz w:val="21"/>
          <w:szCs w:val="21"/>
        </w:rPr>
        <w:t>金融资产部分转移满足终止确认条件的，将所转移金融资产整体的账面价值，在终止确认部分</w:t>
      </w:r>
    </w:p>
    <w:p>
      <w:pPr>
        <w:spacing w:line="251" w:lineRule="exact" w:before="0"/>
        <w:ind w:left="144" w:right="0" w:firstLine="0"/>
        <w:jc w:val="both"/>
        <w:rPr>
          <w:rFonts w:ascii="宋体" w:hAnsi="宋体" w:cs="宋体" w:eastAsia="宋体" w:hint="default"/>
          <w:sz w:val="21"/>
          <w:szCs w:val="21"/>
        </w:rPr>
      </w:pPr>
      <w:r>
        <w:rPr>
          <w:rFonts w:ascii="宋体" w:hAnsi="宋体" w:cs="宋体" w:eastAsia="宋体" w:hint="default"/>
          <w:spacing w:val="-4"/>
          <w:sz w:val="21"/>
          <w:szCs w:val="21"/>
        </w:rPr>
        <w:t>和未终止确认部分之间，按照各自的相对公允价值进行分摊，并将下列两项金额的差额计入当期损</w:t>
      </w:r>
    </w:p>
    <w:p>
      <w:pPr>
        <w:spacing w:line="285" w:lineRule="auto" w:before="51"/>
        <w:ind w:left="144" w:right="1558" w:firstLine="0"/>
        <w:jc w:val="both"/>
        <w:rPr>
          <w:rFonts w:ascii="宋体" w:hAnsi="宋体" w:cs="宋体" w:eastAsia="宋体" w:hint="default"/>
          <w:sz w:val="21"/>
          <w:szCs w:val="21"/>
        </w:rPr>
      </w:pPr>
      <w:r>
        <w:rPr>
          <w:rFonts w:ascii="宋体" w:hAnsi="宋体" w:cs="宋体" w:eastAsia="宋体" w:hint="default"/>
          <w:spacing w:val="-4"/>
          <w:sz w:val="21"/>
          <w:szCs w:val="21"/>
        </w:rPr>
        <w:t>益：</w:t>
      </w:r>
      <w:r>
        <w:rPr>
          <w:rFonts w:ascii="宋体" w:hAnsi="宋体" w:cs="宋体" w:eastAsia="宋体" w:hint="default"/>
          <w:spacing w:val="-4"/>
          <w:sz w:val="21"/>
          <w:szCs w:val="21"/>
        </w:rPr>
        <w:t>A</w:t>
      </w:r>
      <w:r>
        <w:rPr>
          <w:rFonts w:ascii="宋体" w:hAnsi="宋体" w:cs="宋体" w:eastAsia="宋体" w:hint="default"/>
          <w:spacing w:val="-4"/>
          <w:sz w:val="21"/>
          <w:szCs w:val="21"/>
        </w:rPr>
        <w:t>、终止确认部分的账面价值；</w:t>
      </w:r>
      <w:r>
        <w:rPr>
          <w:rFonts w:ascii="宋体" w:hAnsi="宋体" w:cs="宋体" w:eastAsia="宋体" w:hint="default"/>
          <w:spacing w:val="-4"/>
          <w:sz w:val="21"/>
          <w:szCs w:val="21"/>
        </w:rPr>
        <w:t>B</w:t>
      </w:r>
      <w:r>
        <w:rPr>
          <w:rFonts w:ascii="宋体" w:hAnsi="宋体" w:cs="宋体" w:eastAsia="宋体" w:hint="default"/>
          <w:spacing w:val="-4"/>
          <w:sz w:val="21"/>
          <w:szCs w:val="21"/>
        </w:rPr>
        <w:t>、终止确认部分的对价，与原直接计入所有者权益的公允价值</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变动累计额中对应终止确认部分的金额（涉及转移的金融资产为可供出售金融资产的情形）之和。</w:t>
      </w:r>
    </w:p>
    <w:p>
      <w:pPr>
        <w:spacing w:line="340" w:lineRule="auto" w:before="74"/>
        <w:ind w:left="547" w:right="1557" w:firstLine="19"/>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、应收款项坏账准备的确认标准、计提方法</w:t>
      </w:r>
      <w:r>
        <w:rPr>
          <w:rFonts w:ascii="宋体" w:hAnsi="宋体" w:cs="宋体" w:eastAsia="宋体" w:hint="default"/>
          <w:b/>
          <w:bCs/>
          <w:w w:val="100"/>
          <w:sz w:val="21"/>
          <w:szCs w:val="21"/>
        </w:rPr>
        <w:t> </w:t>
      </w:r>
      <w:r>
        <w:rPr>
          <w:rFonts w:ascii="宋体" w:hAnsi="宋体" w:cs="宋体" w:eastAsia="宋体" w:hint="default"/>
          <w:spacing w:val="-3"/>
          <w:sz w:val="21"/>
          <w:szCs w:val="21"/>
        </w:rPr>
        <w:t>期末如果有客观证据表明应收款项发生减值，则将其账面价值减记至可收回金额，减记的金额</w:t>
      </w:r>
    </w:p>
    <w:p>
      <w:pPr>
        <w:spacing w:line="241" w:lineRule="exact" w:before="0"/>
        <w:ind w:left="144" w:right="0" w:firstLine="0"/>
        <w:jc w:val="both"/>
        <w:rPr>
          <w:rFonts w:ascii="宋体" w:hAnsi="宋体" w:cs="宋体" w:eastAsia="宋体" w:hint="default"/>
          <w:sz w:val="21"/>
          <w:szCs w:val="21"/>
        </w:rPr>
      </w:pPr>
      <w:r>
        <w:rPr>
          <w:rFonts w:ascii="宋体" w:hAnsi="宋体" w:cs="宋体" w:eastAsia="宋体" w:hint="default"/>
          <w:spacing w:val="-4"/>
          <w:sz w:val="21"/>
          <w:szCs w:val="21"/>
        </w:rPr>
        <w:t>确认为资产减值损失，计入当期损益。可收回金额是通过对其未来现金流量（不包括尚未发生的信</w:t>
      </w:r>
    </w:p>
    <w:p>
      <w:pPr>
        <w:spacing w:line="285" w:lineRule="auto" w:before="51"/>
        <w:ind w:left="144" w:right="1635" w:firstLine="0"/>
        <w:jc w:val="both"/>
        <w:rPr>
          <w:rFonts w:ascii="宋体" w:hAnsi="宋体" w:cs="宋体" w:eastAsia="宋体" w:hint="default"/>
          <w:sz w:val="21"/>
          <w:szCs w:val="21"/>
        </w:rPr>
      </w:pPr>
      <w:r>
        <w:rPr>
          <w:rFonts w:ascii="宋体" w:hAnsi="宋体" w:cs="宋体" w:eastAsia="宋体" w:hint="default"/>
          <w:spacing w:val="-4"/>
          <w:sz w:val="21"/>
          <w:szCs w:val="21"/>
        </w:rPr>
        <w:t>用损失）按原实际利率折现确定，并考虑相关担保物的价值（扣除预计处置费用等）。原实际利率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是初始确认该应收款项时计算确定的实际利率。短期应收款项的预计未来现金流量与其现值相差很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小，在确定相关减值损失时，不对其预计未来现金流量进行折现。</w:t>
      </w:r>
    </w:p>
    <w:p>
      <w:pPr>
        <w:spacing w:before="74"/>
        <w:ind w:left="458"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8"/>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434"/>
        <w:gridCol w:w="4539"/>
      </w:tblGrid>
      <w:tr>
        <w:trPr>
          <w:trHeight w:val="2225" w:hRule="exact"/>
        </w:trPr>
        <w:tc>
          <w:tcPr>
            <w:tcW w:w="4434" w:type="dxa"/>
            <w:tcBorders>
              <w:top w:val="single" w:sz="12"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9" w:type="dxa"/>
            <w:tcBorders>
              <w:top w:val="single" w:sz="12"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期末</w:t>
            </w:r>
            <w:r>
              <w:rPr>
                <w:rFonts w:ascii="宋体" w:hAnsi="宋体" w:cs="宋体" w:eastAsia="宋体" w:hint="default"/>
                <w:spacing w:val="-3"/>
                <w:w w:val="100"/>
                <w:sz w:val="21"/>
                <w:szCs w:val="21"/>
              </w:rPr>
              <w:t>对</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单</w:t>
            </w:r>
            <w:r>
              <w:rPr>
                <w:rFonts w:ascii="宋体" w:hAnsi="宋体" w:cs="宋体" w:eastAsia="宋体" w:hint="default"/>
                <w:w w:val="100"/>
                <w:sz w:val="21"/>
                <w:szCs w:val="21"/>
              </w:rPr>
              <w:t>项</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的</w:t>
            </w:r>
            <w:r>
              <w:rPr>
                <w:rFonts w:ascii="宋体" w:hAnsi="宋体" w:cs="宋体" w:eastAsia="宋体" w:hint="default"/>
                <w:w w:val="100"/>
                <w:sz w:val="21"/>
                <w:szCs w:val="21"/>
              </w:rPr>
              <w:t>应收</w:t>
            </w:r>
            <w:r>
              <w:rPr>
                <w:rFonts w:ascii="宋体" w:hAnsi="宋体" w:cs="宋体" w:eastAsia="宋体" w:hint="default"/>
                <w:spacing w:val="-3"/>
                <w:w w:val="100"/>
                <w:sz w:val="21"/>
                <w:szCs w:val="21"/>
              </w:rPr>
              <w:t>款</w:t>
            </w:r>
            <w:r>
              <w:rPr>
                <w:rFonts w:ascii="宋体" w:hAnsi="宋体" w:cs="宋体" w:eastAsia="宋体" w:hint="default"/>
                <w:spacing w:val="-92"/>
                <w:w w:val="100"/>
                <w:sz w:val="21"/>
                <w:szCs w:val="21"/>
              </w:rPr>
              <w:t>项</w:t>
            </w:r>
            <w:r>
              <w:rPr>
                <w:rFonts w:ascii="宋体" w:hAnsi="宋体" w:cs="宋体" w:eastAsia="宋体" w:hint="default"/>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应</w:t>
            </w:r>
            <w:r>
              <w:rPr>
                <w:rFonts w:ascii="宋体" w:hAnsi="宋体" w:cs="宋体" w:eastAsia="宋体" w:hint="default"/>
                <w:w w:val="100"/>
                <w:sz w:val="21"/>
                <w:szCs w:val="21"/>
              </w:rPr>
              <w:t>收账</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6"/>
                <w:sz w:val="21"/>
                <w:szCs w:val="21"/>
              </w:rPr>
              <w:t>款、其他应收款）单独进行减值测试。如有客观</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w w:val="100"/>
                <w:sz w:val="21"/>
                <w:szCs w:val="21"/>
              </w:rPr>
              <w:t>证据表明其发生了减值的，根据其未来现金流量</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sz w:val="21"/>
                <w:szCs w:val="21"/>
              </w:rPr>
              <w:t>现值低于其账面价值的差额，确认减值损失，计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提坏账准备。</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pacing w:val="-5"/>
                <w:sz w:val="21"/>
                <w:szCs w:val="21"/>
              </w:rPr>
              <w:t>单项金额重大是指：应收账款 </w:t>
            </w:r>
            <w:r>
              <w:rPr>
                <w:rFonts w:ascii="宋体" w:hAnsi="宋体" w:cs="宋体" w:eastAsia="宋体" w:hint="default"/>
                <w:sz w:val="21"/>
                <w:szCs w:val="21"/>
              </w:rPr>
              <w:t>100</w:t>
            </w:r>
            <w:r>
              <w:rPr>
                <w:rFonts w:ascii="宋体" w:hAnsi="宋体" w:cs="宋体" w:eastAsia="宋体" w:hint="default"/>
                <w:spacing w:val="-73"/>
                <w:sz w:val="21"/>
                <w:szCs w:val="21"/>
              </w:rPr>
              <w:t> </w:t>
            </w:r>
            <w:r>
              <w:rPr>
                <w:rFonts w:ascii="宋体" w:hAnsi="宋体" w:cs="宋体" w:eastAsia="宋体" w:hint="default"/>
                <w:spacing w:val="-9"/>
                <w:sz w:val="21"/>
                <w:szCs w:val="21"/>
              </w:rPr>
              <w:t>万元以上（包</w:t>
            </w:r>
          </w:p>
          <w:p>
            <w:pPr>
              <w:pStyle w:val="TableParagraph"/>
              <w:spacing w:line="240" w:lineRule="auto" w:before="6"/>
              <w:ind w:left="100" w:right="0"/>
              <w:jc w:val="both"/>
              <w:rPr>
                <w:rFonts w:ascii="宋体" w:hAnsi="宋体" w:cs="宋体" w:eastAsia="宋体" w:hint="default"/>
                <w:sz w:val="21"/>
                <w:szCs w:val="21"/>
              </w:rPr>
            </w:pPr>
            <w:r>
              <w:rPr>
                <w:rFonts w:ascii="宋体" w:hAnsi="宋体" w:cs="宋体" w:eastAsia="宋体" w:hint="default"/>
                <w:sz w:val="21"/>
                <w:szCs w:val="21"/>
              </w:rPr>
              <w:t>括</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万元），其他应收款</w:t>
            </w:r>
            <w:r>
              <w:rPr>
                <w:rFonts w:ascii="宋体" w:hAnsi="宋体" w:cs="宋体" w:eastAsia="宋体" w:hint="default"/>
                <w:spacing w:val="-52"/>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万元以上（包括</w:t>
            </w:r>
          </w:p>
          <w:p>
            <w:pPr>
              <w:pStyle w:val="TableParagraph"/>
              <w:spacing w:line="240" w:lineRule="auto" w:before="3"/>
              <w:ind w:left="100" w:right="0"/>
              <w:jc w:val="both"/>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622" w:hRule="exact"/>
        </w:trPr>
        <w:tc>
          <w:tcPr>
            <w:tcW w:w="4434"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539" w:type="dxa"/>
            <w:tcBorders>
              <w:top w:val="single" w:sz="6" w:space="0" w:color="000000"/>
              <w:left w:val="single" w:sz="6" w:space="0" w:color="000000"/>
              <w:bottom w:val="single" w:sz="12" w:space="0" w:color="000000"/>
              <w:right w:val="single" w:sz="4" w:space="0" w:color="000000"/>
            </w:tcBorders>
          </w:tcPr>
          <w:p>
            <w:pPr>
              <w:pStyle w:val="TableParagraph"/>
              <w:spacing w:line="261" w:lineRule="auto"/>
              <w:ind w:left="100" w:right="218"/>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额，确认减值损失，计提坏账准备。</w:t>
            </w:r>
          </w:p>
        </w:tc>
      </w:tr>
    </w:tbl>
    <w:p>
      <w:pPr>
        <w:spacing w:line="350" w:lineRule="auto" w:before="28"/>
        <w:ind w:left="564"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r>
        <w:rPr>
          <w:rFonts w:ascii="宋体" w:hAnsi="宋体" w:cs="宋体" w:eastAsia="宋体" w:hint="default"/>
          <w:w w:val="100"/>
          <w:sz w:val="21"/>
          <w:szCs w:val="21"/>
        </w:rPr>
        <w:t> </w:t>
      </w:r>
      <w:r>
        <w:rPr>
          <w:rFonts w:ascii="宋体" w:hAnsi="宋体" w:cs="宋体" w:eastAsia="宋体" w:hint="default"/>
          <w:spacing w:val="-4"/>
          <w:sz w:val="21"/>
          <w:szCs w:val="21"/>
        </w:rPr>
        <w:t>对于单项金额非重大的应收款项，与经单独测试后未减值的应收款项一起按信用风险特征划分</w:t>
      </w:r>
    </w:p>
    <w:p>
      <w:pPr>
        <w:spacing w:line="242"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为若干组合，根据以前年度与之相同或相类似的、具有类似信用风险特征的应收账款组合的实际损</w:t>
      </w:r>
    </w:p>
    <w:p>
      <w:pPr>
        <w:spacing w:line="297" w:lineRule="auto" w:before="66"/>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失率为基础，结合现时情况确定本期各项组合计提坏账准备的比例，据此计算本期应计提的坏账准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备。</w:t>
      </w:r>
    </w:p>
    <w:p>
      <w:pPr>
        <w:spacing w:line="240" w:lineRule="auto" w:before="10"/>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853"/>
        <w:gridCol w:w="5209"/>
      </w:tblGrid>
      <w:tr>
        <w:trPr>
          <w:trHeight w:val="290" w:hRule="exact"/>
        </w:trPr>
        <w:tc>
          <w:tcPr>
            <w:tcW w:w="9062" w:type="dxa"/>
            <w:gridSpan w:val="2"/>
            <w:tcBorders>
              <w:top w:val="single" w:sz="12" w:space="0" w:color="000000"/>
              <w:left w:val="single" w:sz="2" w:space="0" w:color="000000"/>
              <w:bottom w:val="single" w:sz="2"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1" w:hRule="exact"/>
        </w:trPr>
        <w:tc>
          <w:tcPr>
            <w:tcW w:w="3853" w:type="dxa"/>
            <w:tcBorders>
              <w:top w:val="single" w:sz="2"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5209" w:type="dxa"/>
            <w:tcBorders>
              <w:top w:val="single" w:sz="2"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93" w:hRule="exact"/>
        </w:trPr>
        <w:tc>
          <w:tcPr>
            <w:tcW w:w="3853"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520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before="26"/>
        <w:ind w:left="564" w:right="1697"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8"/>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353"/>
        <w:gridCol w:w="3087"/>
        <w:gridCol w:w="2497"/>
      </w:tblGrid>
      <w:tr>
        <w:trPr>
          <w:trHeight w:val="324" w:hRule="exact"/>
        </w:trPr>
        <w:tc>
          <w:tcPr>
            <w:tcW w:w="3353" w:type="dxa"/>
            <w:tcBorders>
              <w:top w:val="single" w:sz="12" w:space="0" w:color="000000"/>
              <w:left w:val="single" w:sz="4" w:space="0" w:color="000000"/>
              <w:bottom w:val="single" w:sz="6" w:space="0" w:color="000000"/>
              <w:right w:val="single" w:sz="6" w:space="0" w:color="000000"/>
            </w:tcBorders>
          </w:tcPr>
          <w:p>
            <w:pPr>
              <w:pStyle w:val="TableParagraph"/>
              <w:tabs>
                <w:tab w:pos="422" w:val="left" w:leader="none"/>
              </w:tabs>
              <w:spacing w:line="272" w:lineRule="exact"/>
              <w:ind w:right="1349"/>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308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497" w:type="dxa"/>
            <w:tcBorders>
              <w:top w:val="single" w:sz="12"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07" w:hRule="exact"/>
        </w:trPr>
        <w:tc>
          <w:tcPr>
            <w:tcW w:w="3353" w:type="dxa"/>
            <w:tcBorders>
              <w:top w:val="single" w:sz="6" w:space="0" w:color="000000"/>
              <w:left w:val="single" w:sz="4" w:space="0" w:color="000000"/>
              <w:bottom w:val="nil" w:sz="6" w:space="0" w:color="auto"/>
              <w:right w:val="single" w:sz="6" w:space="0" w:color="000000"/>
            </w:tcBorders>
          </w:tcPr>
          <w:p>
            <w:pPr>
              <w:pStyle w:val="TableParagraph"/>
              <w:spacing w:line="270" w:lineRule="exact"/>
              <w:ind w:right="139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87"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w:t>
            </w:r>
          </w:p>
        </w:tc>
        <w:tc>
          <w:tcPr>
            <w:tcW w:w="2497" w:type="dxa"/>
            <w:tcBorders>
              <w:top w:val="single" w:sz="6" w:space="0" w:color="000000"/>
              <w:left w:val="single" w:sz="6" w:space="0" w:color="000000"/>
              <w:bottom w:val="nil" w:sz="6" w:space="0" w:color="auto"/>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1%</w:t>
            </w:r>
          </w:p>
        </w:tc>
      </w:tr>
    </w:tbl>
    <w:p>
      <w:pPr>
        <w:spacing w:after="0" w:line="270" w:lineRule="exact"/>
        <w:jc w:val="center"/>
        <w:rPr>
          <w:rFonts w:ascii="宋体" w:hAnsi="宋体" w:cs="宋体" w:eastAsia="宋体" w:hint="default"/>
          <w:sz w:val="21"/>
          <w:szCs w:val="21"/>
        </w:rPr>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53"/>
        <w:gridCol w:w="3087"/>
        <w:gridCol w:w="2497"/>
      </w:tblGrid>
      <w:tr>
        <w:trPr>
          <w:trHeight w:val="329" w:hRule="exact"/>
        </w:trPr>
        <w:tc>
          <w:tcPr>
            <w:tcW w:w="3353" w:type="dxa"/>
            <w:tcBorders>
              <w:top w:val="single" w:sz="6" w:space="0" w:color="000000"/>
              <w:left w:val="single" w:sz="4" w:space="0" w:color="000000"/>
              <w:bottom w:val="nil" w:sz="6" w:space="0" w:color="auto"/>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5%</w:t>
            </w:r>
          </w:p>
        </w:tc>
        <w:tc>
          <w:tcPr>
            <w:tcW w:w="2497" w:type="dxa"/>
            <w:tcBorders>
              <w:top w:val="single" w:sz="6" w:space="0" w:color="000000"/>
              <w:left w:val="single" w:sz="6" w:space="0" w:color="000000"/>
              <w:bottom w:val="nil" w:sz="6" w:space="0" w:color="auto"/>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5%</w:t>
            </w:r>
          </w:p>
        </w:tc>
      </w:tr>
      <w:tr>
        <w:trPr>
          <w:trHeight w:val="300" w:hRule="exact"/>
        </w:trPr>
        <w:tc>
          <w:tcPr>
            <w:tcW w:w="3353" w:type="dxa"/>
            <w:tcBorders>
              <w:top w:val="nil" w:sz="6" w:space="0" w:color="auto"/>
              <w:left w:val="single" w:sz="4" w:space="0" w:color="000000"/>
              <w:bottom w:val="nil" w:sz="6" w:space="0" w:color="auto"/>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8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5" w:right="0"/>
              <w:jc w:val="center"/>
              <w:rPr>
                <w:rFonts w:ascii="宋体" w:hAnsi="宋体" w:cs="宋体" w:eastAsia="宋体" w:hint="default"/>
                <w:sz w:val="21"/>
                <w:szCs w:val="21"/>
              </w:rPr>
            </w:pPr>
            <w:r>
              <w:rPr>
                <w:rFonts w:ascii="宋体"/>
                <w:sz w:val="21"/>
              </w:rPr>
              <w:t>10%</w:t>
            </w:r>
          </w:p>
        </w:tc>
        <w:tc>
          <w:tcPr>
            <w:tcW w:w="2497" w:type="dxa"/>
            <w:tcBorders>
              <w:top w:val="nil" w:sz="6" w:space="0" w:color="auto"/>
              <w:left w:val="single" w:sz="6"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10%</w:t>
            </w:r>
          </w:p>
        </w:tc>
      </w:tr>
      <w:tr>
        <w:trPr>
          <w:trHeight w:val="300" w:hRule="exact"/>
        </w:trPr>
        <w:tc>
          <w:tcPr>
            <w:tcW w:w="3353"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8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sz w:val="21"/>
              </w:rPr>
              <w:t>30%</w:t>
            </w:r>
          </w:p>
        </w:tc>
        <w:tc>
          <w:tcPr>
            <w:tcW w:w="2497"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30%</w:t>
            </w:r>
          </w:p>
        </w:tc>
      </w:tr>
      <w:tr>
        <w:trPr>
          <w:trHeight w:val="300" w:hRule="exact"/>
        </w:trPr>
        <w:tc>
          <w:tcPr>
            <w:tcW w:w="3353"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8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sz w:val="21"/>
              </w:rPr>
              <w:t>30%</w:t>
            </w:r>
          </w:p>
        </w:tc>
        <w:tc>
          <w:tcPr>
            <w:tcW w:w="2497"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30%</w:t>
            </w:r>
          </w:p>
        </w:tc>
      </w:tr>
      <w:tr>
        <w:trPr>
          <w:trHeight w:val="300" w:hRule="exact"/>
        </w:trPr>
        <w:tc>
          <w:tcPr>
            <w:tcW w:w="3353" w:type="dxa"/>
            <w:tcBorders>
              <w:top w:val="nil" w:sz="6" w:space="0" w:color="auto"/>
              <w:left w:val="single" w:sz="4" w:space="0" w:color="000000"/>
              <w:bottom w:val="single" w:sz="12" w:space="0" w:color="000000"/>
              <w:right w:val="single" w:sz="6"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87" w:type="dxa"/>
            <w:tcBorders>
              <w:top w:val="nil" w:sz="6" w:space="0" w:color="auto"/>
              <w:left w:val="single" w:sz="6" w:space="0" w:color="000000"/>
              <w:bottom w:val="single" w:sz="12" w:space="0" w:color="000000"/>
              <w:right w:val="single" w:sz="6"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sz w:val="21"/>
              </w:rPr>
              <w:t>100%</w:t>
            </w:r>
          </w:p>
        </w:tc>
        <w:tc>
          <w:tcPr>
            <w:tcW w:w="2497" w:type="dxa"/>
            <w:tcBorders>
              <w:top w:val="nil" w:sz="6" w:space="0" w:color="auto"/>
              <w:left w:val="single" w:sz="6" w:space="0" w:color="000000"/>
              <w:bottom w:val="single" w:sz="12"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100%</w:t>
            </w:r>
          </w:p>
        </w:tc>
      </w:tr>
    </w:tbl>
    <w:p>
      <w:pPr>
        <w:spacing w:before="26"/>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509"/>
        <w:gridCol w:w="6553"/>
      </w:tblGrid>
      <w:tr>
        <w:trPr>
          <w:trHeight w:val="842" w:hRule="exact"/>
        </w:trPr>
        <w:tc>
          <w:tcPr>
            <w:tcW w:w="2509"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2"/>
              <w:ind w:left="103" w:right="291"/>
              <w:jc w:val="left"/>
              <w:rPr>
                <w:rFonts w:ascii="宋体" w:hAnsi="宋体" w:cs="宋体" w:eastAsia="宋体" w:hint="default"/>
                <w:sz w:val="21"/>
                <w:szCs w:val="21"/>
              </w:rPr>
            </w:pPr>
            <w:r>
              <w:rPr>
                <w:rFonts w:ascii="宋体" w:hAnsi="宋体" w:cs="宋体" w:eastAsia="宋体" w:hint="default"/>
                <w:spacing w:val="-2"/>
                <w:sz w:val="21"/>
                <w:szCs w:val="21"/>
              </w:rPr>
              <w:t>单项计提坏账准备的理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由</w:t>
            </w:r>
          </w:p>
        </w:tc>
        <w:tc>
          <w:tcPr>
            <w:tcW w:w="6553" w:type="dxa"/>
            <w:tcBorders>
              <w:top w:val="single" w:sz="12" w:space="0" w:color="000000"/>
              <w:left w:val="single" w:sz="4" w:space="0" w:color="000000"/>
              <w:bottom w:val="single" w:sz="8"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对单项金额不重大但个别信用风险特征明显不同，已有客观证据表明</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pacing w:val="-2"/>
                <w:sz w:val="21"/>
                <w:szCs w:val="21"/>
              </w:rPr>
              <w:t>其发生了减值的应收款项，按账龄分析法计提的坏账准备不能反映实</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际情况，本公司单独进行减值测试。</w:t>
            </w:r>
          </w:p>
        </w:tc>
      </w:tr>
      <w:tr>
        <w:trPr>
          <w:trHeight w:val="571" w:hRule="exact"/>
        </w:trPr>
        <w:tc>
          <w:tcPr>
            <w:tcW w:w="25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553" w:type="dxa"/>
            <w:tcBorders>
              <w:top w:val="single" w:sz="8" w:space="0" w:color="000000"/>
              <w:left w:val="single" w:sz="8" w:space="0" w:color="000000"/>
              <w:bottom w:val="single" w:sz="12"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before="26"/>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304" w:lineRule="auto" w:before="114"/>
        <w:ind w:left="580" w:right="1265" w:hanging="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公司存货包括在生产经营过程中为销售或耗用而储备的原材料、库存商品、在产品及低值易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耗品等。</w:t>
      </w:r>
    </w:p>
    <w:p>
      <w:pPr>
        <w:spacing w:line="340" w:lineRule="auto" w:before="33"/>
        <w:ind w:left="544" w:right="1265" w:firstLine="3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）存货的计价方法</w:t>
      </w:r>
      <w:r>
        <w:rPr>
          <w:rFonts w:ascii="宋体" w:hAnsi="宋体" w:cs="宋体" w:eastAsia="宋体" w:hint="default"/>
          <w:w w:val="100"/>
          <w:sz w:val="21"/>
          <w:szCs w:val="21"/>
        </w:rPr>
        <w:t> </w:t>
      </w:r>
      <w:r>
        <w:rPr>
          <w:rFonts w:ascii="宋体" w:hAnsi="宋体" w:cs="宋体" w:eastAsia="宋体" w:hint="default"/>
          <w:spacing w:val="-4"/>
          <w:sz w:val="21"/>
          <w:szCs w:val="21"/>
        </w:rPr>
        <w:t>公司取得的各类存货均以实际成本计价并入库；发出时，原材料、库存商品采用个别计价法确</w:t>
      </w:r>
    </w:p>
    <w:p>
      <w:pPr>
        <w:spacing w:line="253" w:lineRule="exact" w:before="0"/>
        <w:ind w:left="124" w:right="4204" w:firstLine="0"/>
        <w:jc w:val="left"/>
        <w:rPr>
          <w:rFonts w:ascii="宋体" w:hAnsi="宋体" w:cs="宋体" w:eastAsia="宋体" w:hint="default"/>
          <w:sz w:val="21"/>
          <w:szCs w:val="21"/>
        </w:rPr>
      </w:pPr>
      <w:r>
        <w:rPr>
          <w:rFonts w:ascii="宋体" w:hAnsi="宋体" w:cs="宋体" w:eastAsia="宋体" w:hint="default"/>
          <w:sz w:val="21"/>
          <w:szCs w:val="21"/>
        </w:rPr>
        <w:t>定结转成本；低值易耗品采用一次摊销法摊销。</w:t>
      </w:r>
    </w:p>
    <w:p>
      <w:pPr>
        <w:spacing w:line="331" w:lineRule="auto" w:before="104"/>
        <w:ind w:left="527"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z w:val="21"/>
          <w:szCs w:val="21"/>
        </w:rPr>
        <w:t>期末对存货进行全面清查后，按存货的成本与可变现净值孰低提取或调整存货跌价准备。</w:t>
      </w:r>
      <w:r>
        <w:rPr>
          <w:rFonts w:ascii="宋体" w:hAnsi="宋体" w:cs="宋体" w:eastAsia="宋体" w:hint="default"/>
          <w:w w:val="100"/>
          <w:sz w:val="21"/>
          <w:szCs w:val="21"/>
        </w:rPr>
        <w:t> </w:t>
      </w:r>
      <w:r>
        <w:rPr>
          <w:rFonts w:ascii="宋体" w:hAnsi="宋体" w:cs="宋体" w:eastAsia="宋体" w:hint="default"/>
          <w:spacing w:val="-3"/>
          <w:sz w:val="21"/>
          <w:szCs w:val="21"/>
        </w:rPr>
        <w:t>产成品、商品和用于出售的材料等直接用于出售的商品存货，在正常生产经营过程中，以该存</w:t>
      </w:r>
    </w:p>
    <w:p>
      <w:pPr>
        <w:spacing w:line="259" w:lineRule="exact" w:before="0"/>
        <w:ind w:left="124" w:right="2664" w:firstLine="0"/>
        <w:jc w:val="left"/>
        <w:rPr>
          <w:rFonts w:ascii="宋体" w:hAnsi="宋体" w:cs="宋体" w:eastAsia="宋体" w:hint="default"/>
          <w:sz w:val="21"/>
          <w:szCs w:val="21"/>
        </w:rPr>
      </w:pPr>
      <w:r>
        <w:rPr>
          <w:rFonts w:ascii="宋体" w:hAnsi="宋体" w:cs="宋体" w:eastAsia="宋体" w:hint="default"/>
          <w:sz w:val="21"/>
          <w:szCs w:val="21"/>
        </w:rPr>
        <w:t>货的估计售价减去估计的销售费用和相关税费后的金额，确定其可变现净值；</w:t>
      </w:r>
    </w:p>
    <w:p>
      <w:pPr>
        <w:spacing w:line="297" w:lineRule="auto" w:before="106"/>
        <w:ind w:left="124" w:right="1265" w:firstLine="403"/>
        <w:jc w:val="left"/>
        <w:rPr>
          <w:rFonts w:ascii="宋体" w:hAnsi="宋体" w:cs="宋体" w:eastAsia="宋体" w:hint="default"/>
          <w:sz w:val="21"/>
          <w:szCs w:val="21"/>
        </w:rPr>
      </w:pPr>
      <w:r>
        <w:rPr>
          <w:rFonts w:ascii="宋体" w:hAnsi="宋体" w:cs="宋体" w:eastAsia="宋体" w:hint="default"/>
          <w:spacing w:val="-3"/>
          <w:sz w:val="21"/>
          <w:szCs w:val="21"/>
        </w:rPr>
        <w:t>需要经过加工的材料存货，在正常生产经营过程中，以所生产的产成品的估计售价减去至完工</w:t>
      </w:r>
      <w:r>
        <w:rPr>
          <w:rFonts w:ascii="宋体" w:hAnsi="宋体" w:cs="宋体" w:eastAsia="宋体" w:hint="default"/>
          <w:w w:val="100"/>
          <w:sz w:val="21"/>
          <w:szCs w:val="21"/>
        </w:rPr>
        <w:t> </w:t>
      </w:r>
      <w:r>
        <w:rPr>
          <w:rFonts w:ascii="宋体" w:hAnsi="宋体" w:cs="宋体" w:eastAsia="宋体" w:hint="default"/>
          <w:sz w:val="21"/>
          <w:szCs w:val="21"/>
        </w:rPr>
        <w:t>时估计将要发生的成本、估计的销售费用和相关税费后的金额，确定其可变现净值；</w:t>
      </w:r>
    </w:p>
    <w:p>
      <w:pPr>
        <w:spacing w:line="295" w:lineRule="auto" w:before="56"/>
        <w:ind w:left="124" w:right="1265" w:firstLine="403"/>
        <w:jc w:val="left"/>
        <w:rPr>
          <w:rFonts w:ascii="宋体" w:hAnsi="宋体" w:cs="宋体" w:eastAsia="宋体" w:hint="default"/>
          <w:sz w:val="21"/>
          <w:szCs w:val="21"/>
        </w:rPr>
      </w:pPr>
      <w:r>
        <w:rPr>
          <w:rFonts w:ascii="宋体" w:hAnsi="宋体" w:cs="宋体" w:eastAsia="宋体" w:hint="default"/>
          <w:spacing w:val="-3"/>
          <w:sz w:val="21"/>
          <w:szCs w:val="21"/>
        </w:rPr>
        <w:t>为执行销售合同或者劳务合同而持有的存货，其可变现净值以合同价格为基础计算，若持有存</w:t>
      </w:r>
      <w:r>
        <w:rPr>
          <w:rFonts w:ascii="宋体" w:hAnsi="宋体" w:cs="宋体" w:eastAsia="宋体" w:hint="default"/>
          <w:w w:val="100"/>
          <w:sz w:val="21"/>
          <w:szCs w:val="21"/>
        </w:rPr>
        <w:t> </w:t>
      </w:r>
      <w:r>
        <w:rPr>
          <w:rFonts w:ascii="宋体" w:hAnsi="宋体" w:cs="宋体" w:eastAsia="宋体" w:hint="default"/>
          <w:sz w:val="21"/>
          <w:szCs w:val="21"/>
        </w:rPr>
        <w:t>货的数量多于销售合同订购数量的，超出部分的存货的可变现净值以一般销售价格为基础计算。</w:t>
      </w:r>
    </w:p>
    <w:p>
      <w:pPr>
        <w:spacing w:line="297" w:lineRule="auto" w:before="58"/>
        <w:ind w:left="124" w:right="1265" w:firstLine="403"/>
        <w:jc w:val="left"/>
        <w:rPr>
          <w:rFonts w:ascii="宋体" w:hAnsi="宋体" w:cs="宋体" w:eastAsia="宋体" w:hint="default"/>
          <w:sz w:val="21"/>
          <w:szCs w:val="21"/>
        </w:rPr>
      </w:pPr>
      <w:r>
        <w:rPr>
          <w:rFonts w:ascii="宋体" w:hAnsi="宋体" w:cs="宋体" w:eastAsia="宋体" w:hint="default"/>
          <w:spacing w:val="-3"/>
          <w:sz w:val="21"/>
          <w:szCs w:val="21"/>
        </w:rPr>
        <w:t>期末按照单个存货项目计提存货跌价准备；但对于数量繁多、单价较低的存货，按照存货类别</w:t>
      </w:r>
      <w:r>
        <w:rPr>
          <w:rFonts w:ascii="宋体" w:hAnsi="宋体" w:cs="宋体" w:eastAsia="宋体" w:hint="default"/>
          <w:w w:val="100"/>
          <w:sz w:val="21"/>
          <w:szCs w:val="21"/>
        </w:rPr>
        <w:t> </w:t>
      </w:r>
      <w:r>
        <w:rPr>
          <w:rFonts w:ascii="宋体" w:hAnsi="宋体" w:cs="宋体" w:eastAsia="宋体" w:hint="default"/>
          <w:spacing w:val="-2"/>
          <w:sz w:val="21"/>
          <w:szCs w:val="21"/>
        </w:rPr>
        <w:t>计提存货跌价准备；与在同一地区生产和销售的产品系列相关、具有相同或类似最终用途或目的，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且难以与其他项目分开计量的存货，则合并计提存货跌价准备。</w:t>
      </w:r>
    </w:p>
    <w:p>
      <w:pPr>
        <w:spacing w:line="297" w:lineRule="auto" w:before="56"/>
        <w:ind w:left="124" w:right="1265" w:firstLine="403"/>
        <w:jc w:val="left"/>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以前减记存货价值的影响因素已经消失的，减记的金额予以恢复，并在原已计提的存货跌价准</w:t>
      </w:r>
      <w:r>
        <w:rPr>
          <w:rFonts w:ascii="宋体" w:hAnsi="宋体" w:cs="宋体" w:eastAsia="宋体" w:hint="default"/>
          <w:w w:val="100"/>
          <w:sz w:val="21"/>
          <w:szCs w:val="21"/>
        </w:rPr>
        <w:t> </w:t>
      </w:r>
      <w:r>
        <w:rPr>
          <w:rFonts w:ascii="宋体" w:hAnsi="宋体" w:cs="宋体" w:eastAsia="宋体" w:hint="default"/>
          <w:sz w:val="21"/>
          <w:szCs w:val="21"/>
        </w:rPr>
        <w:t>备金额内转回，转回的金额计入当期损益。</w:t>
      </w:r>
    </w:p>
    <w:p>
      <w:pPr>
        <w:spacing w:line="352" w:lineRule="auto" w:before="54"/>
        <w:ind w:left="546" w:right="6026" w:hanging="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）公司存货的盘存制度为永续盘存制。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37"/>
        <w:ind w:left="527"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）投资成本确定</w:t>
      </w:r>
    </w:p>
    <w:p>
      <w:pPr>
        <w:spacing w:before="140"/>
        <w:ind w:left="527" w:right="3856"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①企业合并形成的长期股权投资，按以下方法确定初始投资成本：</w:t>
      </w:r>
    </w:p>
    <w:p>
      <w:pPr>
        <w:spacing w:after="0"/>
        <w:jc w:val="left"/>
        <w:rPr>
          <w:rFonts w:ascii="宋体" w:hAnsi="宋体" w:cs="宋体" w:eastAsia="宋体" w:hint="default"/>
          <w:sz w:val="21"/>
          <w:szCs w:val="21"/>
        </w:rPr>
        <w:sectPr>
          <w:footerReference w:type="even" r:id="rId72"/>
          <w:footerReference w:type="default" r:id="rId73"/>
          <w:pgSz w:w="12240" w:h="15840"/>
          <w:pgMar w:footer="956" w:header="850" w:top="1360" w:bottom="1140" w:left="1520" w:right="0"/>
        </w:sectPr>
      </w:pPr>
    </w:p>
    <w:p>
      <w:pPr>
        <w:spacing w:line="309" w:lineRule="auto" w:before="15"/>
        <w:ind w:left="144" w:right="1635" w:firstLine="403"/>
        <w:jc w:val="both"/>
        <w:rPr>
          <w:rFonts w:ascii="宋体" w:hAnsi="宋体" w:cs="宋体" w:eastAsia="宋体" w:hint="default"/>
          <w:sz w:val="21"/>
          <w:szCs w:val="21"/>
        </w:rPr>
      </w:pPr>
      <w:r>
        <w:rPr/>
        <w:pict>
          <v:group style="position:absolute;margin-left:80.783997pt;margin-top:1.853692pt;width:450.6pt;height:.1pt;mso-position-horizontal-relative:page;mso-position-vertical-relative:paragraph;z-index:-862792"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2"/>
          <w:sz w:val="21"/>
          <w:szCs w:val="21"/>
        </w:rPr>
        <w:t>A</w:t>
      </w:r>
      <w:r>
        <w:rPr>
          <w:rFonts w:ascii="宋体" w:hAnsi="宋体" w:cs="宋体" w:eastAsia="宋体" w:hint="default"/>
          <w:spacing w:val="-2"/>
          <w:sz w:val="21"/>
          <w:szCs w:val="21"/>
        </w:rPr>
        <w:t>、对于同一控制下企业合并形成的对子公司投资，以在合并日取得被合并方所有者权益账面</w:t>
      </w:r>
      <w:r>
        <w:rPr>
          <w:rFonts w:ascii="宋体" w:hAnsi="宋体" w:cs="宋体" w:eastAsia="宋体" w:hint="default"/>
          <w:w w:val="100"/>
          <w:sz w:val="21"/>
          <w:szCs w:val="21"/>
        </w:rPr>
        <w:t> </w:t>
      </w:r>
      <w:r>
        <w:rPr>
          <w:rFonts w:ascii="宋体" w:hAnsi="宋体" w:cs="宋体" w:eastAsia="宋体" w:hint="default"/>
          <w:spacing w:val="-4"/>
          <w:sz w:val="21"/>
          <w:szCs w:val="21"/>
        </w:rPr>
        <w:t>价值的份额作为长期股权投资的初始投资成本，为进行企业合并发生的各项直接相关费用于发生时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计入当期损益。</w:t>
      </w:r>
    </w:p>
    <w:p>
      <w:pPr>
        <w:spacing w:line="309" w:lineRule="auto" w:before="77"/>
        <w:ind w:left="144" w:right="1635" w:firstLine="403"/>
        <w:jc w:val="both"/>
        <w:rPr>
          <w:rFonts w:ascii="宋体" w:hAnsi="宋体" w:cs="宋体" w:eastAsia="宋体" w:hint="default"/>
          <w:sz w:val="21"/>
          <w:szCs w:val="21"/>
        </w:rPr>
      </w:pPr>
      <w:r>
        <w:rPr>
          <w:rFonts w:ascii="宋体" w:hAnsi="宋体" w:cs="宋体" w:eastAsia="宋体" w:hint="default"/>
          <w:spacing w:val="-2"/>
          <w:sz w:val="21"/>
          <w:szCs w:val="21"/>
        </w:rPr>
        <w:t>B</w:t>
      </w:r>
      <w:r>
        <w:rPr>
          <w:rFonts w:ascii="宋体" w:hAnsi="宋体" w:cs="宋体" w:eastAsia="宋体" w:hint="default"/>
          <w:spacing w:val="-2"/>
          <w:sz w:val="21"/>
          <w:szCs w:val="21"/>
        </w:rPr>
        <w:t>、对于非同一控制下企业合并形成的对子公司投资，以企业合并成本作为初始投资成本。企</w:t>
      </w:r>
      <w:r>
        <w:rPr>
          <w:rFonts w:ascii="宋体" w:hAnsi="宋体" w:cs="宋体" w:eastAsia="宋体" w:hint="default"/>
          <w:w w:val="100"/>
          <w:sz w:val="21"/>
          <w:szCs w:val="21"/>
        </w:rPr>
        <w:t> </w:t>
      </w:r>
      <w:r>
        <w:rPr>
          <w:rFonts w:ascii="宋体" w:hAnsi="宋体" w:cs="宋体" w:eastAsia="宋体" w:hint="default"/>
          <w:spacing w:val="-4"/>
          <w:sz w:val="21"/>
          <w:szCs w:val="21"/>
        </w:rPr>
        <w:t>业合并成本包括付出的资产、发生或承担的负债、发行的权益性证券的公允价值。为企业合并发生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的审计、法律服务、评估咨询等中介费用以及其他相关管理费用，应于发生时计入当期损益。</w:t>
      </w:r>
    </w:p>
    <w:p>
      <w:pPr>
        <w:spacing w:line="307" w:lineRule="auto" w:before="79"/>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②除企业合并形成的长期股权投资以外，其他方式取得的长期股权投资，按以下方法确定初始</w:t>
      </w:r>
      <w:r>
        <w:rPr>
          <w:rFonts w:ascii="宋体" w:hAnsi="宋体" w:cs="宋体" w:eastAsia="宋体" w:hint="default"/>
          <w:w w:val="100"/>
          <w:sz w:val="21"/>
          <w:szCs w:val="21"/>
        </w:rPr>
        <w:t> </w:t>
      </w:r>
      <w:r>
        <w:rPr>
          <w:rFonts w:ascii="宋体" w:hAnsi="宋体" w:cs="宋体" w:eastAsia="宋体" w:hint="default"/>
          <w:sz w:val="21"/>
          <w:szCs w:val="21"/>
        </w:rPr>
        <w:t>投资成本：</w:t>
      </w:r>
    </w:p>
    <w:p>
      <w:pPr>
        <w:spacing w:line="362" w:lineRule="auto" w:before="81"/>
        <w:ind w:left="547" w:right="1557"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、以支付现金取得的长期股权投资，按实际支付的购买价款作为初始投资成本。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3"/>
          <w:sz w:val="21"/>
          <w:szCs w:val="21"/>
        </w:rPr>
        <w:t>B</w:t>
      </w:r>
      <w:r>
        <w:rPr>
          <w:rFonts w:ascii="宋体" w:hAnsi="宋体" w:cs="宋体" w:eastAsia="宋体" w:hint="default"/>
          <w:spacing w:val="-3"/>
          <w:sz w:val="21"/>
          <w:szCs w:val="21"/>
        </w:rPr>
        <w:t>、以发行权益性证券取得的长期股权投资，按发行权益性证券的公允价值作为初始投资成本。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C</w:t>
      </w:r>
      <w:r>
        <w:rPr>
          <w:rFonts w:ascii="宋体" w:hAnsi="宋体" w:cs="宋体" w:eastAsia="宋体" w:hint="default"/>
          <w:sz w:val="21"/>
          <w:szCs w:val="21"/>
        </w:rPr>
        <w:t>、投资者投入的长期股权投资，按投资合同或协议约定的价值作为初始投资成本。</w:t>
      </w:r>
    </w:p>
    <w:p>
      <w:pPr>
        <w:spacing w:before="33"/>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）后续计量及损益确认方法</w:t>
      </w:r>
    </w:p>
    <w:p>
      <w:pPr>
        <w:spacing w:before="138"/>
        <w:ind w:left="547" w:right="1697" w:firstLine="0"/>
        <w:jc w:val="left"/>
        <w:rPr>
          <w:rFonts w:ascii="宋体" w:hAnsi="宋体" w:cs="宋体" w:eastAsia="宋体" w:hint="default"/>
          <w:sz w:val="21"/>
          <w:szCs w:val="21"/>
        </w:rPr>
      </w:pPr>
      <w:r>
        <w:rPr>
          <w:rFonts w:ascii="宋体" w:hAnsi="宋体" w:cs="宋体" w:eastAsia="宋体" w:hint="default"/>
          <w:sz w:val="21"/>
          <w:szCs w:val="21"/>
        </w:rPr>
        <w:t>①对子公司投资</w:t>
      </w:r>
    </w:p>
    <w:p>
      <w:pPr>
        <w:spacing w:line="307" w:lineRule="auto" w:before="140"/>
        <w:ind w:left="144" w:right="1637" w:firstLine="403"/>
        <w:jc w:val="both"/>
        <w:rPr>
          <w:rFonts w:ascii="宋体" w:hAnsi="宋体" w:cs="宋体" w:eastAsia="宋体" w:hint="default"/>
          <w:sz w:val="21"/>
          <w:szCs w:val="21"/>
        </w:rPr>
      </w:pPr>
      <w:r>
        <w:rPr>
          <w:rFonts w:ascii="宋体" w:hAnsi="宋体" w:cs="宋体" w:eastAsia="宋体" w:hint="default"/>
          <w:spacing w:val="-3"/>
          <w:sz w:val="21"/>
          <w:szCs w:val="21"/>
        </w:rPr>
        <w:t>在合并财务报表中，对子公司投资按附注二、</w:t>
      </w:r>
      <w:r>
        <w:rPr>
          <w:rFonts w:ascii="宋体" w:hAnsi="宋体" w:cs="宋体" w:eastAsia="宋体" w:hint="default"/>
          <w:spacing w:val="-3"/>
          <w:sz w:val="21"/>
          <w:szCs w:val="21"/>
        </w:rPr>
        <w:t>6</w:t>
      </w:r>
      <w:r>
        <w:rPr>
          <w:rFonts w:ascii="宋体" w:hAnsi="宋体" w:cs="宋体" w:eastAsia="宋体" w:hint="default"/>
          <w:spacing w:val="42"/>
          <w:sz w:val="21"/>
          <w:szCs w:val="21"/>
        </w:rPr>
        <w:t> </w:t>
      </w:r>
      <w:r>
        <w:rPr>
          <w:rFonts w:ascii="宋体" w:hAnsi="宋体" w:cs="宋体" w:eastAsia="宋体" w:hint="default"/>
          <w:spacing w:val="-3"/>
          <w:sz w:val="21"/>
          <w:szCs w:val="21"/>
        </w:rPr>
        <w:t>进行处理。在母公司财务报表中，对子公司投</w:t>
      </w:r>
      <w:r>
        <w:rPr>
          <w:rFonts w:ascii="宋体" w:hAnsi="宋体" w:cs="宋体" w:eastAsia="宋体" w:hint="default"/>
          <w:w w:val="100"/>
          <w:sz w:val="21"/>
          <w:szCs w:val="21"/>
        </w:rPr>
        <w:t> </w:t>
      </w:r>
      <w:r>
        <w:rPr>
          <w:rFonts w:ascii="宋体" w:hAnsi="宋体" w:cs="宋体" w:eastAsia="宋体" w:hint="default"/>
          <w:sz w:val="21"/>
          <w:szCs w:val="21"/>
        </w:rPr>
        <w:t>资采用成本法核算，在被投资单位宣告分派的现金股利或利润时，确认投资收益。</w:t>
      </w:r>
    </w:p>
    <w:p>
      <w:pPr>
        <w:spacing w:line="360" w:lineRule="auto" w:before="81"/>
        <w:ind w:left="547" w:right="1557" w:firstLine="0"/>
        <w:jc w:val="left"/>
        <w:rPr>
          <w:rFonts w:ascii="宋体" w:hAnsi="宋体" w:cs="宋体" w:eastAsia="宋体" w:hint="default"/>
          <w:sz w:val="21"/>
          <w:szCs w:val="21"/>
        </w:rPr>
      </w:pPr>
      <w:r>
        <w:rPr>
          <w:rFonts w:ascii="宋体" w:hAnsi="宋体" w:cs="宋体" w:eastAsia="宋体" w:hint="default"/>
          <w:sz w:val="21"/>
          <w:szCs w:val="21"/>
        </w:rPr>
        <w:t>②对合营企业投资和对联营企业投资</w:t>
      </w:r>
      <w:r>
        <w:rPr>
          <w:rFonts w:ascii="宋体" w:hAnsi="宋体" w:cs="宋体" w:eastAsia="宋体" w:hint="default"/>
          <w:w w:val="100"/>
          <w:sz w:val="21"/>
          <w:szCs w:val="21"/>
        </w:rPr>
        <w:t> </w:t>
      </w:r>
      <w:r>
        <w:rPr>
          <w:rFonts w:ascii="宋体" w:hAnsi="宋体" w:cs="宋体" w:eastAsia="宋体" w:hint="default"/>
          <w:spacing w:val="-3"/>
          <w:sz w:val="21"/>
          <w:szCs w:val="21"/>
        </w:rPr>
        <w:t>对合营企业投资和对联营企业投资采用权益法核算，具体会计处理包括：对于初始投资成本大</w:t>
      </w:r>
    </w:p>
    <w:p>
      <w:pPr>
        <w:spacing w:line="250"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于投资时应享有被投资单位可辨认净资产公允价值份额的，其差额包含在长期股权投资成本中；对</w:t>
      </w:r>
    </w:p>
    <w:p>
      <w:pPr>
        <w:spacing w:line="309" w:lineRule="auto" w:before="78"/>
        <w:ind w:left="144" w:right="1697" w:firstLine="0"/>
        <w:jc w:val="left"/>
        <w:rPr>
          <w:rFonts w:ascii="宋体" w:hAnsi="宋体" w:cs="宋体" w:eastAsia="宋体" w:hint="default"/>
          <w:sz w:val="21"/>
          <w:szCs w:val="21"/>
        </w:rPr>
      </w:pPr>
      <w:r>
        <w:rPr>
          <w:rFonts w:ascii="宋体" w:hAnsi="宋体" w:cs="宋体" w:eastAsia="宋体" w:hint="default"/>
          <w:spacing w:val="-2"/>
          <w:sz w:val="21"/>
          <w:szCs w:val="21"/>
        </w:rPr>
        <w:t>于初始投资成本小于投资时应享有被投资单位可辨认净资产公允价值份额的，其差额计入当期损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益，同时调整长期股权投资成本。</w:t>
      </w:r>
    </w:p>
    <w:p>
      <w:pPr>
        <w:spacing w:line="309" w:lineRule="auto" w:before="77"/>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取得对合营企业投资和对联营企业投资后，按照应享有或应分担的被投资单位实现的净损益的</w:t>
      </w:r>
      <w:r>
        <w:rPr>
          <w:rFonts w:ascii="宋体" w:hAnsi="宋体" w:cs="宋体" w:eastAsia="宋体" w:hint="default"/>
          <w:w w:val="100"/>
          <w:sz w:val="21"/>
          <w:szCs w:val="21"/>
        </w:rPr>
        <w:t> </w:t>
      </w:r>
      <w:r>
        <w:rPr>
          <w:rFonts w:ascii="宋体" w:hAnsi="宋体" w:cs="宋体" w:eastAsia="宋体" w:hint="default"/>
          <w:spacing w:val="-4"/>
          <w:sz w:val="21"/>
          <w:szCs w:val="21"/>
        </w:rPr>
        <w:t>份额，扣除首次执行企业会计准则之前已经持有的对合营企业投资和对联营企业投资按原会计准则</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及制度确认的股权投资借方差额按原摊销期直线摊销的金额后，确认投资损益并调整长期股权投资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的账面价值；按照被投资单位宣告分派的现金股利或利润应分得的部分，相应减少长期股权投资的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账面价值。</w:t>
      </w:r>
    </w:p>
    <w:p>
      <w:pPr>
        <w:spacing w:line="309" w:lineRule="auto" w:before="79"/>
        <w:ind w:left="144" w:right="1531" w:firstLine="403"/>
        <w:jc w:val="both"/>
        <w:rPr>
          <w:rFonts w:ascii="宋体" w:hAnsi="宋体" w:cs="宋体" w:eastAsia="宋体" w:hint="default"/>
          <w:sz w:val="21"/>
          <w:szCs w:val="21"/>
        </w:rPr>
      </w:pPr>
      <w:r>
        <w:rPr>
          <w:rFonts w:ascii="宋体" w:hAnsi="宋体" w:cs="宋体" w:eastAsia="宋体" w:hint="default"/>
          <w:spacing w:val="-3"/>
          <w:sz w:val="21"/>
          <w:szCs w:val="21"/>
        </w:rPr>
        <w:t>在计算应享有或应分担的被投资单位实现的净损益的份额时，以取得投资时被投资单位可辨认</w:t>
      </w:r>
      <w:r>
        <w:rPr>
          <w:rFonts w:ascii="宋体" w:hAnsi="宋体" w:cs="宋体" w:eastAsia="宋体" w:hint="default"/>
          <w:w w:val="100"/>
          <w:sz w:val="21"/>
          <w:szCs w:val="21"/>
        </w:rPr>
        <w:t> </w:t>
      </w:r>
      <w:r>
        <w:rPr>
          <w:rFonts w:ascii="宋体" w:hAnsi="宋体" w:cs="宋体" w:eastAsia="宋体" w:hint="default"/>
          <w:spacing w:val="-4"/>
          <w:sz w:val="21"/>
          <w:szCs w:val="21"/>
        </w:rPr>
        <w:t>净资产的公允价值为基础确定，对于被投资单位的会计政策或会计期间与本公司不同的，权益法核</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算时按照本公司的会计政策或会计期间对被投资单位的财务报表进行必要调整。与合营企业和联营</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企业之间内部交易产生的未实现损益按照持股比例计算归属于本公司的部分，在权益法核算时予以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6"/>
          <w:sz w:val="21"/>
          <w:szCs w:val="21"/>
        </w:rPr>
        <w:t>抵消。内部交易产生的未实现损失，有证据表明该损失是相关资产减值损失的，则全额确认该损失。</w:t>
      </w:r>
    </w:p>
    <w:p>
      <w:pPr>
        <w:spacing w:line="309" w:lineRule="auto" w:before="77"/>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对合营企业或联营企业发生的净亏损，除本公司负有承担额外损失义务外，以长期股权投资的</w:t>
      </w:r>
      <w:r>
        <w:rPr>
          <w:rFonts w:ascii="宋体" w:hAnsi="宋体" w:cs="宋体" w:eastAsia="宋体" w:hint="default"/>
          <w:w w:val="100"/>
          <w:sz w:val="21"/>
          <w:szCs w:val="21"/>
        </w:rPr>
        <w:t> </w:t>
      </w:r>
      <w:r>
        <w:rPr>
          <w:rFonts w:ascii="宋体" w:hAnsi="宋体" w:cs="宋体" w:eastAsia="宋体" w:hint="default"/>
          <w:spacing w:val="-4"/>
          <w:sz w:val="21"/>
          <w:szCs w:val="21"/>
        </w:rPr>
        <w:t>账面价值以及其他实质上构成对被投资单位净投资的长期权益减记至零为限。被投资企业以后实现</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净利润的，在收益分享额弥补未确认的亏损分担额后，恢复确认收益分享额。</w:t>
      </w:r>
    </w:p>
    <w:p>
      <w:pPr>
        <w:spacing w:after="0" w:line="309" w:lineRule="auto"/>
        <w:jc w:val="both"/>
        <w:rPr>
          <w:rFonts w:ascii="宋体" w:hAnsi="宋体" w:cs="宋体" w:eastAsia="宋体" w:hint="default"/>
          <w:sz w:val="21"/>
          <w:szCs w:val="21"/>
        </w:rPr>
        <w:sectPr>
          <w:pgSz w:w="12240" w:h="15840"/>
          <w:pgMar w:header="850" w:footer="956" w:top="1360" w:bottom="1140" w:left="1500" w:right="0"/>
        </w:sectPr>
      </w:pPr>
    </w:p>
    <w:p>
      <w:pPr>
        <w:spacing w:line="309" w:lineRule="auto" w:before="12"/>
        <w:ind w:left="144" w:right="1634" w:firstLine="403"/>
        <w:jc w:val="both"/>
        <w:rPr>
          <w:rFonts w:ascii="宋体" w:hAnsi="宋体" w:cs="宋体" w:eastAsia="宋体" w:hint="default"/>
          <w:sz w:val="21"/>
          <w:szCs w:val="21"/>
        </w:rPr>
      </w:pPr>
      <w:r>
        <w:rPr/>
        <w:pict>
          <v:group style="position:absolute;margin-left:80.783997pt;margin-top:1.703691pt;width:450.6pt;height:.1pt;mso-position-horizontal-relative:page;mso-position-vertical-relative:paragraph;z-index:-862768"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pacing w:val="-3"/>
          <w:sz w:val="21"/>
          <w:szCs w:val="21"/>
        </w:rPr>
        <w:t>对于被投资单位除净损益以外所有者权益的其他变动，调整长期股权投资的账面价值并计入资</w:t>
      </w:r>
      <w:r>
        <w:rPr>
          <w:rFonts w:ascii="宋体" w:hAnsi="宋体" w:cs="宋体" w:eastAsia="宋体" w:hint="default"/>
          <w:w w:val="100"/>
          <w:sz w:val="21"/>
          <w:szCs w:val="21"/>
        </w:rPr>
        <w:t> </w:t>
      </w:r>
      <w:r>
        <w:rPr>
          <w:rFonts w:ascii="宋体" w:hAnsi="宋体" w:cs="宋体" w:eastAsia="宋体" w:hint="default"/>
          <w:sz w:val="21"/>
          <w:szCs w:val="21"/>
        </w:rPr>
        <w:t>本公积。处置该项投资时，将原计入资本公积的部分按相应比例转入当期损益。</w:t>
      </w:r>
    </w:p>
    <w:p>
      <w:pPr>
        <w:spacing w:line="360" w:lineRule="auto" w:before="79"/>
        <w:ind w:left="547" w:right="1557" w:firstLine="0"/>
        <w:jc w:val="left"/>
        <w:rPr>
          <w:rFonts w:ascii="宋体" w:hAnsi="宋体" w:cs="宋体" w:eastAsia="宋体" w:hint="default"/>
          <w:sz w:val="21"/>
          <w:szCs w:val="21"/>
        </w:rPr>
      </w:pPr>
      <w:r>
        <w:rPr>
          <w:rFonts w:ascii="宋体" w:hAnsi="宋体" w:cs="宋体" w:eastAsia="宋体" w:hint="default"/>
          <w:sz w:val="21"/>
          <w:szCs w:val="21"/>
        </w:rPr>
        <w:t>③其他股权投资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其他股权投资采用成本法核算，在被投资单位宣告分派的现金股利或利润时，确认投资收益。</w:t>
      </w:r>
    </w:p>
    <w:p>
      <w:pPr>
        <w:spacing w:line="360" w:lineRule="auto" w:before="35"/>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3"/>
          <w:sz w:val="21"/>
          <w:szCs w:val="21"/>
        </w:rPr>
        <w:t>共同控制指按照合同约定对某项经济活动所共有的控制，仅在与该项经济活动相关的重要财务</w:t>
      </w:r>
    </w:p>
    <w:p>
      <w:pPr>
        <w:spacing w:line="250"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和生产经营决策需要分享控制权的投资方一致同意时存在。</w:t>
      </w:r>
    </w:p>
    <w:p>
      <w:pPr>
        <w:spacing w:line="309" w:lineRule="auto" w:before="138"/>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重大影响指对被投资单位的财务和经营政策有参与决策的权力，但并不能够控制或者与其他方</w:t>
      </w:r>
      <w:r>
        <w:rPr>
          <w:rFonts w:ascii="宋体" w:hAnsi="宋体" w:cs="宋体" w:eastAsia="宋体" w:hint="default"/>
          <w:w w:val="100"/>
          <w:sz w:val="21"/>
          <w:szCs w:val="21"/>
        </w:rPr>
        <w:t> </w:t>
      </w:r>
      <w:r>
        <w:rPr>
          <w:rFonts w:ascii="宋体" w:hAnsi="宋体" w:cs="宋体" w:eastAsia="宋体" w:hint="default"/>
          <w:sz w:val="21"/>
          <w:szCs w:val="21"/>
        </w:rPr>
        <w:t>一起共同控制这些政策的制定。</w:t>
      </w:r>
    </w:p>
    <w:p>
      <w:pPr>
        <w:spacing w:before="80"/>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）长期股权投资减值测试方法及减值准备计提方法</w:t>
      </w:r>
    </w:p>
    <w:p>
      <w:pPr>
        <w:spacing w:line="309" w:lineRule="auto" w:before="138"/>
        <w:ind w:left="144" w:right="1558" w:firstLine="403"/>
        <w:jc w:val="both"/>
        <w:rPr>
          <w:rFonts w:ascii="宋体" w:hAnsi="宋体" w:cs="宋体" w:eastAsia="宋体" w:hint="default"/>
          <w:sz w:val="21"/>
          <w:szCs w:val="21"/>
        </w:rPr>
      </w:pPr>
      <w:r>
        <w:rPr>
          <w:rFonts w:ascii="宋体" w:hAnsi="宋体" w:cs="宋体" w:eastAsia="宋体" w:hint="default"/>
          <w:spacing w:val="-3"/>
          <w:sz w:val="21"/>
          <w:szCs w:val="21"/>
        </w:rPr>
        <w:t>①本公司在资产负债表日根据内部及外部信息以确定对子公司、合营公司或联营公司的长期股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权投资是否存在减值的迹象，对存在减值迹象的长期股权投资进行减值测试，估计其可收回金额。</w:t>
      </w:r>
    </w:p>
    <w:p>
      <w:pPr>
        <w:spacing w:line="309" w:lineRule="auto" w:before="77"/>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可收回金额的估计结果表明长期股权投资的可收回金额低于其账面价值的，长期股权投资的账</w:t>
      </w:r>
      <w:r>
        <w:rPr>
          <w:rFonts w:ascii="宋体" w:hAnsi="宋体" w:cs="宋体" w:eastAsia="宋体" w:hint="default"/>
          <w:w w:val="100"/>
          <w:sz w:val="21"/>
          <w:szCs w:val="21"/>
        </w:rPr>
        <w:t> </w:t>
      </w:r>
      <w:r>
        <w:rPr>
          <w:rFonts w:ascii="宋体" w:hAnsi="宋体" w:cs="宋体" w:eastAsia="宋体" w:hint="default"/>
          <w:spacing w:val="-4"/>
          <w:sz w:val="21"/>
          <w:szCs w:val="21"/>
        </w:rPr>
        <w:t>面价值会减记至可收回金额，减记的金额确认为资产减值损失，计入当期损益，同时计提相应的减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值准备。</w:t>
      </w:r>
    </w:p>
    <w:p>
      <w:pPr>
        <w:spacing w:line="307" w:lineRule="auto" w:before="79"/>
        <w:ind w:left="144" w:right="1638" w:firstLine="403"/>
        <w:jc w:val="both"/>
        <w:rPr>
          <w:rFonts w:ascii="宋体" w:hAnsi="宋体" w:cs="宋体" w:eastAsia="宋体" w:hint="default"/>
          <w:sz w:val="21"/>
          <w:szCs w:val="21"/>
        </w:rPr>
      </w:pPr>
      <w:r>
        <w:rPr>
          <w:rFonts w:ascii="宋体" w:hAnsi="宋体" w:cs="宋体" w:eastAsia="宋体" w:hint="default"/>
          <w:spacing w:val="-3"/>
          <w:sz w:val="21"/>
          <w:szCs w:val="21"/>
        </w:rPr>
        <w:t>可收回金额是指资产（或资产组、资产组组合，下同）的公允价值减去处置费用后的净额与资</w:t>
      </w:r>
      <w:r>
        <w:rPr>
          <w:rFonts w:ascii="宋体" w:hAnsi="宋体" w:cs="宋体" w:eastAsia="宋体" w:hint="default"/>
          <w:w w:val="100"/>
          <w:sz w:val="21"/>
          <w:szCs w:val="21"/>
        </w:rPr>
        <w:t> </w:t>
      </w:r>
      <w:r>
        <w:rPr>
          <w:rFonts w:ascii="宋体" w:hAnsi="宋体" w:cs="宋体" w:eastAsia="宋体" w:hint="default"/>
          <w:sz w:val="21"/>
          <w:szCs w:val="21"/>
        </w:rPr>
        <w:t>产预计未来现金流量的现值两者之间较高者。</w:t>
      </w:r>
    </w:p>
    <w:p>
      <w:pPr>
        <w:spacing w:line="309" w:lineRule="auto" w:before="81"/>
        <w:ind w:left="144" w:right="1506" w:firstLine="403"/>
        <w:jc w:val="left"/>
        <w:rPr>
          <w:rFonts w:ascii="宋体" w:hAnsi="宋体" w:cs="宋体" w:eastAsia="宋体" w:hint="default"/>
          <w:sz w:val="21"/>
          <w:szCs w:val="21"/>
        </w:rPr>
      </w:pPr>
      <w:r>
        <w:rPr>
          <w:rFonts w:ascii="宋体" w:hAnsi="宋体" w:cs="宋体" w:eastAsia="宋体" w:hint="default"/>
          <w:spacing w:val="-3"/>
          <w:sz w:val="21"/>
          <w:szCs w:val="21"/>
        </w:rPr>
        <w:t>资产组是可以认定的最小资产组合，其产生的现金流入基本上独立于其他资产或者资产组。资</w:t>
      </w:r>
      <w:r>
        <w:rPr>
          <w:rFonts w:ascii="宋体" w:hAnsi="宋体" w:cs="宋体" w:eastAsia="宋体" w:hint="default"/>
          <w:w w:val="100"/>
          <w:sz w:val="21"/>
          <w:szCs w:val="21"/>
        </w:rPr>
        <w:t> </w:t>
      </w:r>
      <w:r>
        <w:rPr>
          <w:rFonts w:ascii="宋体" w:hAnsi="宋体" w:cs="宋体" w:eastAsia="宋体" w:hint="default"/>
          <w:spacing w:val="-6"/>
          <w:w w:val="100"/>
          <w:sz w:val="21"/>
          <w:szCs w:val="21"/>
        </w:rPr>
        <w:t>产组由创造现金流入相关的资产组成。在认定资产组时，主要考虑该资产组能否独立产生现金流入，</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同时考虑管理层对生产经营活动的管理方式、以及对资产使用或者处置的决策方式等。</w:t>
      </w:r>
    </w:p>
    <w:p>
      <w:pPr>
        <w:spacing w:line="309" w:lineRule="auto" w:before="77"/>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资产的公允价值减去处置费用后的净额，是根据公平交易中销售协议价格减去可直接归属于该</w:t>
      </w:r>
      <w:r>
        <w:rPr>
          <w:rFonts w:ascii="宋体" w:hAnsi="宋体" w:cs="宋体" w:eastAsia="宋体" w:hint="default"/>
          <w:w w:val="100"/>
          <w:sz w:val="21"/>
          <w:szCs w:val="21"/>
        </w:rPr>
        <w:t> </w:t>
      </w:r>
      <w:r>
        <w:rPr>
          <w:rFonts w:ascii="宋体" w:hAnsi="宋体" w:cs="宋体" w:eastAsia="宋体" w:hint="default"/>
          <w:spacing w:val="-4"/>
          <w:sz w:val="21"/>
          <w:szCs w:val="21"/>
        </w:rPr>
        <w:t>资产处置费用的金额确定。资产预计未来现金流量的现值，按照资产在持续使用过程中和最终处置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时所产生的预计未来现金流量，选择恰当的税前折现率对其进行折现后的金额加以确定。</w:t>
      </w:r>
    </w:p>
    <w:p>
      <w:pPr>
        <w:spacing w:line="309" w:lineRule="auto" w:before="79"/>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与资产组或者资产组组合相关的减值损失，先抵减分摊至该资产组或者资产组组合中商誉的账</w:t>
      </w:r>
      <w:r>
        <w:rPr>
          <w:rFonts w:ascii="宋体" w:hAnsi="宋体" w:cs="宋体" w:eastAsia="宋体" w:hint="default"/>
          <w:w w:val="100"/>
          <w:sz w:val="21"/>
          <w:szCs w:val="21"/>
        </w:rPr>
        <w:t> </w:t>
      </w:r>
      <w:r>
        <w:rPr>
          <w:rFonts w:ascii="宋体" w:hAnsi="宋体" w:cs="宋体" w:eastAsia="宋体" w:hint="default"/>
          <w:spacing w:val="-4"/>
          <w:sz w:val="21"/>
          <w:szCs w:val="21"/>
        </w:rPr>
        <w:t>面价值，再根据资产组或者资产组组合中除商誉之外的其他各项资产的账面价值所占比重，按比例</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抵减其他各项资产的账面价值，但抵减后的各资产的账面价值不得低于该资产的公允价值减去处置</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费用后的净额（如可确定的）、该资产预计未来现金流量的现值（如可确定的）和零三者之中最高</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者。</w:t>
      </w:r>
    </w:p>
    <w:p>
      <w:pPr>
        <w:spacing w:line="309" w:lineRule="auto" w:before="77"/>
        <w:ind w:left="144" w:right="1634" w:firstLine="403"/>
        <w:jc w:val="both"/>
        <w:rPr>
          <w:rFonts w:ascii="宋体" w:hAnsi="宋体" w:cs="宋体" w:eastAsia="宋体" w:hint="default"/>
          <w:sz w:val="21"/>
          <w:szCs w:val="21"/>
        </w:rPr>
      </w:pPr>
      <w:r>
        <w:rPr>
          <w:rFonts w:ascii="宋体" w:hAnsi="宋体" w:cs="宋体" w:eastAsia="宋体" w:hint="default"/>
          <w:spacing w:val="-3"/>
          <w:sz w:val="21"/>
          <w:szCs w:val="21"/>
        </w:rPr>
        <w:t>②本公司采用个别认定方式评估其他长期股权投资是否发生减值，其他长期股权投资发生减值</w:t>
      </w:r>
      <w:r>
        <w:rPr>
          <w:rFonts w:ascii="宋体" w:hAnsi="宋体" w:cs="宋体" w:eastAsia="宋体" w:hint="default"/>
          <w:w w:val="100"/>
          <w:sz w:val="21"/>
          <w:szCs w:val="21"/>
        </w:rPr>
        <w:t> </w:t>
      </w:r>
      <w:r>
        <w:rPr>
          <w:rFonts w:ascii="宋体" w:hAnsi="宋体" w:cs="宋体" w:eastAsia="宋体" w:hint="default"/>
          <w:spacing w:val="-4"/>
          <w:sz w:val="21"/>
          <w:szCs w:val="21"/>
        </w:rPr>
        <w:t>时，将其他长期股权投资的账面价值与按照类似金融资产当时市场收益率对未来现金流量折现确定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的现值之间的差额，确认为减值损失，计入当期损益。</w:t>
      </w:r>
    </w:p>
    <w:p>
      <w:pPr>
        <w:spacing w:line="338" w:lineRule="auto" w:before="82"/>
        <w:ind w:left="547" w:right="1557" w:firstLine="19"/>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3"/>
          <w:sz w:val="21"/>
          <w:szCs w:val="21"/>
        </w:rPr>
        <w:t>公司的投资性房地产是指为赚取租金或资本增值，或二者兼有而持有的房地产，在同时满足下</w:t>
      </w:r>
    </w:p>
    <w:p>
      <w:pPr>
        <w:spacing w:line="243"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列条件时予以确认：</w:t>
      </w:r>
    </w:p>
    <w:p>
      <w:pPr>
        <w:spacing w:after="0" w:line="243" w:lineRule="exact"/>
        <w:jc w:val="left"/>
        <w:rPr>
          <w:rFonts w:ascii="宋体" w:hAnsi="宋体" w:cs="宋体" w:eastAsia="宋体" w:hint="default"/>
          <w:sz w:val="21"/>
          <w:szCs w:val="21"/>
        </w:rPr>
        <w:sectPr>
          <w:footerReference w:type="even" r:id="rId74"/>
          <w:footerReference w:type="default" r:id="rId75"/>
          <w:pgSz w:w="12240" w:h="15840"/>
          <w:pgMar w:footer="956" w:header="850" w:top="1360" w:bottom="1140" w:left="1500" w:right="0"/>
          <w:pgNumType w:start="102"/>
        </w:sectPr>
      </w:pPr>
    </w:p>
    <w:p>
      <w:pPr>
        <w:spacing w:before="12"/>
        <w:ind w:left="547" w:right="1697" w:firstLine="0"/>
        <w:jc w:val="left"/>
        <w:rPr>
          <w:rFonts w:ascii="宋体" w:hAnsi="宋体" w:cs="宋体" w:eastAsia="宋体" w:hint="default"/>
          <w:sz w:val="21"/>
          <w:szCs w:val="21"/>
        </w:rPr>
      </w:pPr>
      <w:r>
        <w:rPr/>
        <w:pict>
          <v:group style="position:absolute;margin-left:80.783997pt;margin-top:1.823687pt;width:450.6pt;height:.1pt;mso-position-horizontal-relative:page;mso-position-vertical-relative:paragraph;z-index:-862744" coordorigin="1616,36" coordsize="9012,2">
            <v:shape style="position:absolute;left:1616;top:36;width:9012;height:2" coordorigin="1616,36" coordsize="9012,0" path="m1616,36l10627,36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）与该投资性房地产有关的经济利益很可能流入企业。</w:t>
      </w:r>
    </w:p>
    <w:p>
      <w:pPr>
        <w:spacing w:line="321" w:lineRule="auto" w:before="92"/>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）该投资性房地产的成本能够可靠计量。</w:t>
      </w:r>
      <w:r>
        <w:rPr>
          <w:rFonts w:ascii="宋体" w:hAnsi="宋体" w:cs="宋体" w:eastAsia="宋体" w:hint="default"/>
          <w:w w:val="100"/>
          <w:sz w:val="21"/>
          <w:szCs w:val="21"/>
        </w:rPr>
        <w:t> </w:t>
      </w:r>
      <w:r>
        <w:rPr>
          <w:rFonts w:ascii="宋体" w:hAnsi="宋体" w:cs="宋体" w:eastAsia="宋体" w:hint="default"/>
          <w:spacing w:val="-3"/>
          <w:sz w:val="21"/>
          <w:szCs w:val="21"/>
        </w:rPr>
        <w:t>公司的投资性房地产包括：已出租的土地使用权、持有并准备增值后转让的土地使用权、已出</w:t>
      </w:r>
    </w:p>
    <w:p>
      <w:pPr>
        <w:spacing w:line="257"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租的建筑物。</w:t>
      </w:r>
    </w:p>
    <w:p>
      <w:pPr>
        <w:spacing w:line="321" w:lineRule="auto" w:before="90"/>
        <w:ind w:left="547" w:right="1557" w:firstLine="0"/>
        <w:jc w:val="left"/>
        <w:rPr>
          <w:rFonts w:ascii="宋体" w:hAnsi="宋体" w:cs="宋体" w:eastAsia="宋体" w:hint="default"/>
          <w:sz w:val="21"/>
          <w:szCs w:val="21"/>
        </w:rPr>
      </w:pPr>
      <w:r>
        <w:rPr>
          <w:rFonts w:ascii="宋体" w:hAnsi="宋体" w:cs="宋体" w:eastAsia="宋体" w:hint="default"/>
          <w:sz w:val="21"/>
          <w:szCs w:val="21"/>
        </w:rPr>
        <w:t>公司投资性房地产在取得时按照成本进行初始计量。</w:t>
      </w:r>
      <w:r>
        <w:rPr>
          <w:rFonts w:ascii="宋体" w:hAnsi="宋体" w:cs="宋体" w:eastAsia="宋体" w:hint="default"/>
          <w:w w:val="100"/>
          <w:sz w:val="21"/>
          <w:szCs w:val="21"/>
        </w:rPr>
        <w:t> </w:t>
      </w:r>
      <w:r>
        <w:rPr>
          <w:rFonts w:ascii="宋体" w:hAnsi="宋体" w:cs="宋体" w:eastAsia="宋体" w:hint="default"/>
          <w:spacing w:val="-3"/>
          <w:sz w:val="21"/>
          <w:szCs w:val="21"/>
        </w:rPr>
        <w:t>公司采用成本模式对投资性房地产进行后续计量。对房屋建筑物采用直线法计算折旧，并按各</w:t>
      </w:r>
      <w:r>
        <w:rPr>
          <w:rFonts w:ascii="宋体" w:hAnsi="宋体" w:cs="宋体" w:eastAsia="宋体" w:hint="default"/>
          <w:sz w:val="21"/>
          <w:szCs w:val="21"/>
        </w:rPr>
      </w:r>
    </w:p>
    <w:p>
      <w:pPr>
        <w:spacing w:line="257"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类房屋建筑物的原值和估计的使用年限扣除残值确定其折旧率，折旧年限参见固定资产中房屋建筑</w:t>
      </w:r>
    </w:p>
    <w:p>
      <w:pPr>
        <w:spacing w:line="285" w:lineRule="auto" w:before="51"/>
        <w:ind w:left="144" w:right="1557" w:firstLine="0"/>
        <w:jc w:val="left"/>
        <w:rPr>
          <w:rFonts w:ascii="宋体" w:hAnsi="宋体" w:cs="宋体" w:eastAsia="宋体" w:hint="default"/>
          <w:sz w:val="21"/>
          <w:szCs w:val="21"/>
        </w:rPr>
      </w:pPr>
      <w:r>
        <w:rPr>
          <w:rFonts w:ascii="宋体" w:hAnsi="宋体" w:cs="宋体" w:eastAsia="宋体" w:hint="default"/>
          <w:spacing w:val="-4"/>
          <w:sz w:val="21"/>
          <w:szCs w:val="21"/>
        </w:rPr>
        <w:t>物的折旧年限。土地使用权自取得当月起按预计使用年限、合同规定的受益年限和法律规定的有效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年限三者中最短者分期平均摊销，摊销金额为其成本扣除预计残值后的金额，已计提减值准备的，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还应扣除已计提的减值准备累计金额。合同、法律均未规定年限的，摊销年限不应超过</w:t>
      </w:r>
      <w:r>
        <w:rPr>
          <w:rFonts w:ascii="宋体" w:hAnsi="宋体" w:cs="宋体" w:eastAsia="宋体" w:hint="default"/>
          <w:sz w:val="21"/>
          <w:szCs w:val="21"/>
        </w:rPr>
        <w:t>10</w:t>
      </w:r>
      <w:r>
        <w:rPr>
          <w:rFonts w:ascii="宋体" w:hAnsi="宋体" w:cs="宋体" w:eastAsia="宋体" w:hint="default"/>
          <w:sz w:val="21"/>
          <w:szCs w:val="21"/>
        </w:rPr>
        <w:t>年。</w:t>
      </w:r>
    </w:p>
    <w:p>
      <w:pPr>
        <w:spacing w:line="285" w:lineRule="auto" w:before="50"/>
        <w:ind w:left="144" w:right="1557" w:firstLine="403"/>
        <w:jc w:val="left"/>
        <w:rPr>
          <w:rFonts w:ascii="宋体" w:hAnsi="宋体" w:cs="宋体" w:eastAsia="宋体" w:hint="default"/>
          <w:sz w:val="21"/>
          <w:szCs w:val="21"/>
        </w:rPr>
      </w:pPr>
      <w:r>
        <w:rPr>
          <w:rFonts w:ascii="宋体" w:hAnsi="宋体" w:cs="宋体" w:eastAsia="宋体" w:hint="default"/>
          <w:spacing w:val="-3"/>
          <w:sz w:val="21"/>
          <w:szCs w:val="21"/>
        </w:rPr>
        <w:t>期末，对因市值大幅度下跌，导致可收回金额低于账面价值的，按单项预计可收回金额与账面</w:t>
      </w:r>
      <w:r>
        <w:rPr>
          <w:rFonts w:ascii="宋体" w:hAnsi="宋体" w:cs="宋体" w:eastAsia="宋体" w:hint="default"/>
          <w:w w:val="100"/>
          <w:sz w:val="21"/>
          <w:szCs w:val="21"/>
        </w:rPr>
        <w:t> </w:t>
      </w:r>
      <w:r>
        <w:rPr>
          <w:rFonts w:ascii="宋体" w:hAnsi="宋体" w:cs="宋体" w:eastAsia="宋体" w:hint="default"/>
          <w:spacing w:val="-4"/>
          <w:sz w:val="21"/>
          <w:szCs w:val="21"/>
        </w:rPr>
        <w:t>价值的差额提取减值准备。可收回金额应当根据资产的公允价值减去处置费用后的净额与资产预计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未来现金流量的现值两者之间较高者确定。处置费用包括与资产处置有关的法律费用、相关税费、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搬运费以及为使资产达到可销售状态所发生的直接费用等。资产减值损失一经确认，在以后会计期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间不得转回。</w:t>
      </w:r>
    </w:p>
    <w:p>
      <w:pPr>
        <w:spacing w:before="74"/>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97" w:lineRule="auto" w:before="116"/>
        <w:ind w:left="144" w:right="1635" w:firstLine="40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）固定资产指为生产商品、提供劳务、出租或经营管理而持有，并且使用年限超过一年的</w:t>
      </w:r>
      <w:r>
        <w:rPr>
          <w:rFonts w:ascii="宋体" w:hAnsi="宋体" w:cs="宋体" w:eastAsia="宋体" w:hint="default"/>
          <w:w w:val="100"/>
          <w:sz w:val="21"/>
          <w:szCs w:val="21"/>
        </w:rPr>
        <w:t> </w:t>
      </w:r>
      <w:r>
        <w:rPr>
          <w:rFonts w:ascii="宋体" w:hAnsi="宋体" w:cs="宋体" w:eastAsia="宋体" w:hint="default"/>
          <w:spacing w:val="-4"/>
          <w:sz w:val="21"/>
          <w:szCs w:val="21"/>
        </w:rPr>
        <w:t>有形资产。固定资产分类为：房屋建筑物、机器设备、运输设备、电子及其他设备。固定资产在同</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时满足下列条件时予以确认：</w:t>
      </w:r>
    </w:p>
    <w:p>
      <w:pPr>
        <w:spacing w:before="54"/>
        <w:ind w:left="547" w:right="1697" w:firstLine="0"/>
        <w:jc w:val="left"/>
        <w:rPr>
          <w:rFonts w:ascii="宋体" w:hAnsi="宋体" w:cs="宋体" w:eastAsia="宋体" w:hint="default"/>
          <w:sz w:val="21"/>
          <w:szCs w:val="21"/>
        </w:rPr>
      </w:pPr>
      <w:r>
        <w:rPr>
          <w:rFonts w:ascii="宋体" w:hAnsi="宋体" w:cs="宋体" w:eastAsia="宋体" w:hint="default"/>
          <w:sz w:val="21"/>
          <w:szCs w:val="21"/>
        </w:rPr>
        <w:t>①与该固定资产有关的经济利益很可能流入企业；</w:t>
      </w:r>
    </w:p>
    <w:p>
      <w:pPr>
        <w:spacing w:before="107"/>
        <w:ind w:left="547" w:right="1697" w:firstLine="0"/>
        <w:jc w:val="left"/>
        <w:rPr>
          <w:rFonts w:ascii="宋体" w:hAnsi="宋体" w:cs="宋体" w:eastAsia="宋体" w:hint="default"/>
          <w:sz w:val="21"/>
          <w:szCs w:val="21"/>
        </w:rPr>
      </w:pPr>
      <w:r>
        <w:rPr>
          <w:rFonts w:ascii="宋体" w:hAnsi="宋体" w:cs="宋体" w:eastAsia="宋体" w:hint="default"/>
          <w:sz w:val="21"/>
          <w:szCs w:val="21"/>
        </w:rPr>
        <w:t>②该固定资产的成本能够可靠地计量。</w:t>
      </w:r>
    </w:p>
    <w:p>
      <w:pPr>
        <w:spacing w:line="333" w:lineRule="auto" w:before="104"/>
        <w:ind w:left="547" w:right="57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）固定资产的初始计量</w:t>
      </w:r>
      <w:r>
        <w:rPr>
          <w:rFonts w:ascii="宋体" w:hAnsi="宋体" w:cs="宋体" w:eastAsia="宋体" w:hint="default"/>
          <w:w w:val="100"/>
          <w:sz w:val="21"/>
          <w:szCs w:val="21"/>
        </w:rPr>
        <w:t> </w:t>
      </w:r>
      <w:r>
        <w:rPr>
          <w:rFonts w:ascii="宋体" w:hAnsi="宋体" w:cs="宋体" w:eastAsia="宋体" w:hint="default"/>
          <w:spacing w:val="-2"/>
          <w:sz w:val="21"/>
          <w:szCs w:val="21"/>
        </w:rPr>
        <w:t>固定资产取得时按照实际成本进行初始计量。</w:t>
      </w:r>
    </w:p>
    <w:p>
      <w:pPr>
        <w:spacing w:line="331" w:lineRule="auto" w:before="25"/>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）固定资产的后续支出</w:t>
      </w:r>
      <w:r>
        <w:rPr>
          <w:rFonts w:ascii="宋体" w:hAnsi="宋体" w:cs="宋体" w:eastAsia="宋体" w:hint="default"/>
          <w:w w:val="100"/>
          <w:sz w:val="21"/>
          <w:szCs w:val="21"/>
        </w:rPr>
        <w:t> </w:t>
      </w:r>
      <w:r>
        <w:rPr>
          <w:rFonts w:ascii="宋体" w:hAnsi="宋体" w:cs="宋体" w:eastAsia="宋体" w:hint="default"/>
          <w:spacing w:val="-3"/>
          <w:sz w:val="21"/>
          <w:szCs w:val="21"/>
        </w:rPr>
        <w:t>与固定资产有关的后续支出，在相关的经济利益很可能流入公司且其成本能够可靠计量时，计</w:t>
      </w:r>
    </w:p>
    <w:p>
      <w:pPr>
        <w:spacing w:line="261" w:lineRule="exact" w:before="0"/>
        <w:ind w:left="144" w:right="1557" w:firstLine="0"/>
        <w:jc w:val="left"/>
        <w:rPr>
          <w:rFonts w:ascii="宋体" w:hAnsi="宋体" w:cs="宋体" w:eastAsia="宋体" w:hint="default"/>
          <w:sz w:val="21"/>
          <w:szCs w:val="21"/>
        </w:rPr>
      </w:pPr>
      <w:r>
        <w:rPr>
          <w:rFonts w:ascii="宋体" w:hAnsi="宋体" w:cs="宋体" w:eastAsia="宋体" w:hint="default"/>
          <w:spacing w:val="-6"/>
          <w:sz w:val="21"/>
          <w:szCs w:val="21"/>
        </w:rPr>
        <w:t>入固定资产成本；对于被替换的部分，终止确认其账面价值；其他后续支出于发生时计入当期损益。</w:t>
      </w:r>
    </w:p>
    <w:p>
      <w:pPr>
        <w:spacing w:line="333" w:lineRule="auto" w:before="104"/>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）固定资产的折旧方法</w:t>
      </w:r>
      <w:r>
        <w:rPr>
          <w:rFonts w:ascii="宋体" w:hAnsi="宋体" w:cs="宋体" w:eastAsia="宋体" w:hint="default"/>
          <w:w w:val="100"/>
          <w:sz w:val="21"/>
          <w:szCs w:val="21"/>
        </w:rPr>
        <w:t> </w:t>
      </w:r>
      <w:r>
        <w:rPr>
          <w:rFonts w:ascii="宋体" w:hAnsi="宋体" w:cs="宋体" w:eastAsia="宋体" w:hint="default"/>
          <w:spacing w:val="-3"/>
          <w:sz w:val="21"/>
          <w:szCs w:val="21"/>
        </w:rPr>
        <w:t>固定资产折旧采用年限平均法分类计提，根据固定资产类别、预计使用寿命和预计净残值率确</w:t>
      </w:r>
    </w:p>
    <w:p>
      <w:pPr>
        <w:spacing w:line="256"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定折旧率。</w:t>
      </w:r>
    </w:p>
    <w:p>
      <w:pPr>
        <w:spacing w:before="107"/>
        <w:ind w:left="547" w:right="1697" w:firstLine="0"/>
        <w:jc w:val="left"/>
        <w:rPr>
          <w:rFonts w:ascii="宋体" w:hAnsi="宋体" w:cs="宋体" w:eastAsia="宋体" w:hint="default"/>
          <w:sz w:val="21"/>
          <w:szCs w:val="21"/>
        </w:rPr>
      </w:pPr>
      <w:r>
        <w:rPr>
          <w:rFonts w:ascii="宋体" w:hAnsi="宋体" w:cs="宋体" w:eastAsia="宋体" w:hint="default"/>
          <w:sz w:val="21"/>
          <w:szCs w:val="21"/>
        </w:rPr>
        <w:t>各类固定资产年折旧率如下：</w:t>
      </w:r>
    </w:p>
    <w:p>
      <w:pPr>
        <w:spacing w:line="240" w:lineRule="auto" w:before="11"/>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485"/>
        <w:gridCol w:w="2060"/>
        <w:gridCol w:w="2057"/>
        <w:gridCol w:w="2060"/>
      </w:tblGrid>
      <w:tr>
        <w:trPr>
          <w:trHeight w:val="319" w:hRule="exact"/>
        </w:trPr>
        <w:tc>
          <w:tcPr>
            <w:tcW w:w="348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526"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预计使用年限</w:t>
            </w:r>
          </w:p>
        </w:tc>
        <w:tc>
          <w:tcPr>
            <w:tcW w:w="205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93" w:right="0"/>
              <w:jc w:val="left"/>
              <w:rPr>
                <w:rFonts w:ascii="宋体" w:hAnsi="宋体" w:cs="宋体" w:eastAsia="宋体" w:hint="default"/>
                <w:sz w:val="21"/>
                <w:szCs w:val="21"/>
              </w:rPr>
            </w:pPr>
            <w:r>
              <w:rPr>
                <w:rFonts w:ascii="宋体" w:hAnsi="宋体" w:cs="宋体" w:eastAsia="宋体" w:hint="default"/>
                <w:sz w:val="21"/>
                <w:szCs w:val="21"/>
              </w:rPr>
              <w:t>预计净残值率</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391"/>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319" w:hRule="exact"/>
        </w:trPr>
        <w:tc>
          <w:tcPr>
            <w:tcW w:w="348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6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998"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5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971" w:right="0"/>
              <w:jc w:val="left"/>
              <w:rPr>
                <w:rFonts w:ascii="宋体" w:hAnsi="宋体" w:cs="宋体" w:eastAsia="宋体" w:hint="default"/>
                <w:sz w:val="21"/>
                <w:szCs w:val="21"/>
              </w:rPr>
            </w:pPr>
            <w:r>
              <w:rPr>
                <w:rFonts w:ascii="宋体"/>
                <w:sz w:val="21"/>
              </w:rPr>
              <w:t>5.00%</w:t>
            </w:r>
          </w:p>
        </w:tc>
        <w:tc>
          <w:tcPr>
            <w:tcW w:w="206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443"/>
              <w:jc w:val="right"/>
              <w:rPr>
                <w:rFonts w:ascii="宋体" w:hAnsi="宋体" w:cs="宋体" w:eastAsia="宋体" w:hint="default"/>
                <w:sz w:val="21"/>
                <w:szCs w:val="21"/>
              </w:rPr>
            </w:pPr>
            <w:r>
              <w:rPr>
                <w:rFonts w:ascii="宋体"/>
                <w:sz w:val="21"/>
              </w:rPr>
              <w:t>4.75%</w:t>
            </w:r>
          </w:p>
        </w:tc>
      </w:tr>
      <w:tr>
        <w:trPr>
          <w:trHeight w:val="300" w:hRule="exact"/>
        </w:trPr>
        <w:tc>
          <w:tcPr>
            <w:tcW w:w="348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06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71" w:right="0"/>
              <w:jc w:val="left"/>
              <w:rPr>
                <w:rFonts w:ascii="宋体" w:hAnsi="宋体" w:cs="宋体" w:eastAsia="宋体" w:hint="default"/>
                <w:sz w:val="21"/>
                <w:szCs w:val="21"/>
              </w:rPr>
            </w:pPr>
            <w:r>
              <w:rPr>
                <w:rFonts w:ascii="宋体"/>
                <w:sz w:val="21"/>
              </w:rPr>
              <w:t>5.00%</w:t>
            </w:r>
          </w:p>
        </w:tc>
        <w:tc>
          <w:tcPr>
            <w:tcW w:w="20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442"/>
              <w:jc w:val="right"/>
              <w:rPr>
                <w:rFonts w:ascii="宋体" w:hAnsi="宋体" w:cs="宋体" w:eastAsia="宋体" w:hint="default"/>
                <w:sz w:val="21"/>
                <w:szCs w:val="21"/>
              </w:rPr>
            </w:pPr>
            <w:r>
              <w:rPr>
                <w:rFonts w:ascii="宋体"/>
                <w:sz w:val="21"/>
              </w:rPr>
              <w:t>9.50%</w:t>
            </w:r>
          </w:p>
        </w:tc>
      </w:tr>
      <w:tr>
        <w:trPr>
          <w:trHeight w:val="300" w:hRule="exact"/>
        </w:trPr>
        <w:tc>
          <w:tcPr>
            <w:tcW w:w="348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06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71" w:right="0"/>
              <w:jc w:val="left"/>
              <w:rPr>
                <w:rFonts w:ascii="宋体" w:hAnsi="宋体" w:cs="宋体" w:eastAsia="宋体" w:hint="default"/>
                <w:sz w:val="21"/>
                <w:szCs w:val="21"/>
              </w:rPr>
            </w:pPr>
            <w:r>
              <w:rPr>
                <w:rFonts w:ascii="宋体"/>
                <w:sz w:val="21"/>
              </w:rPr>
              <w:t>5.00%</w:t>
            </w:r>
          </w:p>
        </w:tc>
        <w:tc>
          <w:tcPr>
            <w:tcW w:w="20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89"/>
              <w:jc w:val="right"/>
              <w:rPr>
                <w:rFonts w:ascii="宋体" w:hAnsi="宋体" w:cs="宋体" w:eastAsia="宋体" w:hint="default"/>
                <w:sz w:val="21"/>
                <w:szCs w:val="21"/>
              </w:rPr>
            </w:pPr>
            <w:r>
              <w:rPr>
                <w:rFonts w:ascii="宋体"/>
                <w:sz w:val="21"/>
              </w:rPr>
              <w:t>19.00%</w:t>
            </w:r>
          </w:p>
        </w:tc>
      </w:tr>
      <w:tr>
        <w:trPr>
          <w:trHeight w:val="303" w:hRule="exact"/>
        </w:trPr>
        <w:tc>
          <w:tcPr>
            <w:tcW w:w="3485"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06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5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7"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971" w:right="0"/>
              <w:jc w:val="left"/>
              <w:rPr>
                <w:rFonts w:ascii="宋体" w:hAnsi="宋体" w:cs="宋体" w:eastAsia="宋体" w:hint="default"/>
                <w:sz w:val="21"/>
                <w:szCs w:val="21"/>
              </w:rPr>
            </w:pPr>
            <w:r>
              <w:rPr>
                <w:rFonts w:ascii="宋体"/>
                <w:sz w:val="21"/>
              </w:rPr>
              <w:t>5.00%</w:t>
            </w:r>
          </w:p>
        </w:tc>
        <w:tc>
          <w:tcPr>
            <w:tcW w:w="206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89"/>
              <w:jc w:val="right"/>
              <w:rPr>
                <w:rFonts w:ascii="宋体" w:hAnsi="宋体" w:cs="宋体" w:eastAsia="宋体" w:hint="default"/>
                <w:sz w:val="21"/>
                <w:szCs w:val="21"/>
              </w:rPr>
            </w:pPr>
            <w:r>
              <w:rPr>
                <w:rFonts w:ascii="宋体"/>
                <w:sz w:val="21"/>
              </w:rPr>
              <w:t>19.00%</w:t>
            </w:r>
          </w:p>
        </w:tc>
      </w:tr>
    </w:tbl>
    <w:p>
      <w:pPr>
        <w:spacing w:line="307" w:lineRule="auto" w:before="23"/>
        <w:ind w:left="144" w:right="1557" w:firstLine="403"/>
        <w:jc w:val="left"/>
        <w:rPr>
          <w:rFonts w:ascii="宋体" w:hAnsi="宋体" w:cs="宋体" w:eastAsia="宋体" w:hint="default"/>
          <w:sz w:val="21"/>
          <w:szCs w:val="21"/>
        </w:rPr>
      </w:pPr>
      <w:r>
        <w:rPr>
          <w:rFonts w:ascii="宋体" w:hAnsi="宋体" w:cs="宋体" w:eastAsia="宋体" w:hint="default"/>
          <w:spacing w:val="-3"/>
          <w:sz w:val="21"/>
          <w:szCs w:val="21"/>
        </w:rPr>
        <w:t>每年年度终了，应对固定资产的预计使用寿命、预计净残值和折旧方法进行复核。必要时，作</w:t>
      </w:r>
      <w:r>
        <w:rPr>
          <w:rFonts w:ascii="宋体" w:hAnsi="宋体" w:cs="宋体" w:eastAsia="宋体" w:hint="default"/>
          <w:w w:val="100"/>
          <w:sz w:val="21"/>
          <w:szCs w:val="21"/>
        </w:rPr>
        <w:t> </w:t>
      </w:r>
      <w:r>
        <w:rPr>
          <w:rFonts w:ascii="宋体" w:hAnsi="宋体" w:cs="宋体" w:eastAsia="宋体" w:hint="default"/>
          <w:sz w:val="21"/>
          <w:szCs w:val="21"/>
        </w:rPr>
        <w:t>适当调整。</w:t>
      </w:r>
    </w:p>
    <w:p>
      <w:pPr>
        <w:spacing w:after="0" w:line="307" w:lineRule="auto"/>
        <w:jc w:val="left"/>
        <w:rPr>
          <w:rFonts w:ascii="宋体" w:hAnsi="宋体" w:cs="宋体" w:eastAsia="宋体" w:hint="default"/>
          <w:sz w:val="21"/>
          <w:szCs w:val="21"/>
        </w:rPr>
        <w:sectPr>
          <w:pgSz w:w="12240" w:h="15840"/>
          <w:pgMar w:header="850" w:footer="956" w:top="1360" w:bottom="1140" w:left="1500" w:right="0"/>
        </w:sectPr>
      </w:pPr>
    </w:p>
    <w:p>
      <w:pPr>
        <w:spacing w:line="360" w:lineRule="auto" w:before="12"/>
        <w:ind w:left="547" w:right="1557" w:firstLine="0"/>
        <w:jc w:val="left"/>
        <w:rPr>
          <w:rFonts w:ascii="宋体" w:hAnsi="宋体" w:cs="宋体" w:eastAsia="宋体" w:hint="default"/>
          <w:sz w:val="21"/>
          <w:szCs w:val="21"/>
        </w:rPr>
      </w:pPr>
      <w:r>
        <w:rPr/>
        <w:pict>
          <v:group style="position:absolute;margin-left:80.783997pt;margin-top:1.703691pt;width:450.6pt;height:.1pt;mso-position-horizontal-relative:page;mso-position-vertical-relative:paragraph;z-index:-862720"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）固定资产的减值</w:t>
      </w:r>
      <w:r>
        <w:rPr>
          <w:rFonts w:ascii="宋体" w:hAnsi="宋体" w:cs="宋体" w:eastAsia="宋体" w:hint="default"/>
          <w:w w:val="100"/>
          <w:sz w:val="21"/>
          <w:szCs w:val="21"/>
        </w:rPr>
        <w:t> </w:t>
      </w:r>
      <w:r>
        <w:rPr>
          <w:rFonts w:ascii="宋体" w:hAnsi="宋体" w:cs="宋体" w:eastAsia="宋体" w:hint="default"/>
          <w:spacing w:val="-3"/>
          <w:sz w:val="21"/>
          <w:szCs w:val="21"/>
        </w:rPr>
        <w:t>当固定资产的可收回金额低于其账面价值时，账面价值减记至可收回金额。对计提了减值准备</w:t>
      </w:r>
    </w:p>
    <w:p>
      <w:pPr>
        <w:spacing w:line="250"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的固定资产，则在未来期间按扣除减值准备后的账面价值及依据尚可使用年限确定折旧额。</w:t>
      </w:r>
    </w:p>
    <w:p>
      <w:pPr>
        <w:spacing w:line="309" w:lineRule="auto" w:before="138"/>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符合持有待售条件的固定资产，以账面价值与公允价值减去处置费用孰低的金额列示。公允价</w:t>
      </w:r>
      <w:r>
        <w:rPr>
          <w:rFonts w:ascii="宋体" w:hAnsi="宋体" w:cs="宋体" w:eastAsia="宋体" w:hint="default"/>
          <w:w w:val="100"/>
          <w:sz w:val="21"/>
          <w:szCs w:val="21"/>
        </w:rPr>
        <w:t> </w:t>
      </w:r>
      <w:r>
        <w:rPr>
          <w:rFonts w:ascii="宋体" w:hAnsi="宋体" w:cs="宋体" w:eastAsia="宋体" w:hint="default"/>
          <w:sz w:val="21"/>
          <w:szCs w:val="21"/>
        </w:rPr>
        <w:t>值减去处置费用低于原账面价值的金额，确认为资产减值损失。</w:t>
      </w:r>
    </w:p>
    <w:p>
      <w:pPr>
        <w:spacing w:line="362" w:lineRule="auto" w:before="77"/>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）固定资产的处置</w:t>
      </w:r>
      <w:r>
        <w:rPr>
          <w:rFonts w:ascii="宋体" w:hAnsi="宋体" w:cs="宋体" w:eastAsia="宋体" w:hint="default"/>
          <w:w w:val="100"/>
          <w:sz w:val="21"/>
          <w:szCs w:val="21"/>
        </w:rPr>
        <w:t> </w:t>
      </w:r>
      <w:r>
        <w:rPr>
          <w:rFonts w:ascii="宋体" w:hAnsi="宋体" w:cs="宋体" w:eastAsia="宋体" w:hint="default"/>
          <w:spacing w:val="-3"/>
          <w:sz w:val="21"/>
          <w:szCs w:val="21"/>
        </w:rPr>
        <w:t>固定资产出售、转让、报废或毁损的处置收入扣除其账面价值和相关税费后的金额计入当期损</w:t>
      </w:r>
    </w:p>
    <w:p>
      <w:pPr>
        <w:spacing w:line="246"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62" w:lineRule="auto" w:before="142"/>
        <w:ind w:left="564" w:right="1557" w:firstLine="2"/>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spacing w:val="-4"/>
          <w:sz w:val="21"/>
          <w:szCs w:val="21"/>
        </w:rPr>
        <w:t>在建工程以立项项目分类核算。在建工程项目按建造该项资产达到预定可使用状态前所发生的</w:t>
      </w:r>
    </w:p>
    <w:p>
      <w:pPr>
        <w:spacing w:line="231"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全部支出，作为固定资产的入账价值。</w:t>
      </w:r>
    </w:p>
    <w:p>
      <w:pPr>
        <w:spacing w:line="297" w:lineRule="auto" w:before="126"/>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所建造的固定资产已达到预定可使用状态，但尚未办理竣工决算的，自达到预定可使用状态之</w:t>
      </w:r>
      <w:r>
        <w:rPr>
          <w:rFonts w:ascii="宋体" w:hAnsi="宋体" w:cs="宋体" w:eastAsia="宋体" w:hint="default"/>
          <w:w w:val="100"/>
          <w:sz w:val="21"/>
          <w:szCs w:val="21"/>
        </w:rPr>
        <w:t> </w:t>
      </w:r>
      <w:r>
        <w:rPr>
          <w:rFonts w:ascii="宋体" w:hAnsi="宋体" w:cs="宋体" w:eastAsia="宋体" w:hint="default"/>
          <w:spacing w:val="-4"/>
          <w:sz w:val="21"/>
          <w:szCs w:val="21"/>
        </w:rPr>
        <w:t>日起，根据工程预算、造价或者工程实际成本等，按估计的价值转入固定资产，并按公司固定资产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折旧政策计提固定资产的折旧，待办理竣工决算后，再按实际成本调整原来的暂估价值，但不调整</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原已计提的折旧额。</w:t>
      </w:r>
    </w:p>
    <w:p>
      <w:pPr>
        <w:spacing w:line="348" w:lineRule="auto" w:before="75"/>
        <w:ind w:left="566" w:right="2711" w:hanging="3"/>
        <w:jc w:val="left"/>
        <w:rPr>
          <w:rFonts w:ascii="宋体" w:hAnsi="宋体" w:cs="宋体" w:eastAsia="宋体" w:hint="default"/>
          <w:sz w:val="21"/>
          <w:szCs w:val="21"/>
        </w:rPr>
      </w:pPr>
      <w:r>
        <w:rPr>
          <w:rFonts w:ascii="宋体" w:hAnsi="宋体" w:cs="宋体" w:eastAsia="宋体" w:hint="default"/>
          <w:spacing w:val="-2"/>
          <w:sz w:val="21"/>
          <w:szCs w:val="21"/>
        </w:rPr>
        <w:t>当在建工程的可收回金额低于其账面价值时，账面价值减记至可收回金额。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333" w:lineRule="auto" w:before="10"/>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w:t>
      </w:r>
    </w:p>
    <w:p>
      <w:pPr>
        <w:spacing w:line="257"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计入相关资产成本；其他借款费用，在发生时根据其发生额确认为费用，计入当期损益。</w:t>
      </w:r>
    </w:p>
    <w:p>
      <w:pPr>
        <w:spacing w:line="297" w:lineRule="auto" w:before="106"/>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符合资本化条件的资产，是指需要经过相当长时间的购建或者生产活动才能达到预定可使用或</w:t>
      </w:r>
      <w:r>
        <w:rPr>
          <w:rFonts w:ascii="宋体" w:hAnsi="宋体" w:cs="宋体" w:eastAsia="宋体" w:hint="default"/>
          <w:w w:val="100"/>
          <w:sz w:val="21"/>
          <w:szCs w:val="21"/>
        </w:rPr>
        <w:t> </w:t>
      </w:r>
      <w:r>
        <w:rPr>
          <w:rFonts w:ascii="宋体" w:hAnsi="宋体" w:cs="宋体" w:eastAsia="宋体" w:hint="default"/>
          <w:sz w:val="21"/>
          <w:szCs w:val="21"/>
        </w:rPr>
        <w:t>者可销售状态的固定资产、投资性房地产和存货等资产。</w:t>
      </w:r>
    </w:p>
    <w:p>
      <w:pPr>
        <w:spacing w:before="56"/>
        <w:ind w:left="547" w:right="1697"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97" w:lineRule="auto" w:before="104"/>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①资产支出已经发生，资产支出包括为购建或者生产符合资本化条件的资产而以支付现金、转</w:t>
      </w:r>
      <w:r>
        <w:rPr>
          <w:rFonts w:ascii="宋体" w:hAnsi="宋体" w:cs="宋体" w:eastAsia="宋体" w:hint="default"/>
          <w:w w:val="100"/>
          <w:sz w:val="21"/>
          <w:szCs w:val="21"/>
        </w:rPr>
        <w:t> </w:t>
      </w:r>
      <w:r>
        <w:rPr>
          <w:rFonts w:ascii="宋体" w:hAnsi="宋体" w:cs="宋体" w:eastAsia="宋体" w:hint="default"/>
          <w:sz w:val="21"/>
          <w:szCs w:val="21"/>
        </w:rPr>
        <w:t>移非现金资产或者承担带息债务形式发生的支出；</w:t>
      </w:r>
    </w:p>
    <w:p>
      <w:pPr>
        <w:spacing w:before="54"/>
        <w:ind w:left="547" w:right="1697" w:firstLine="0"/>
        <w:jc w:val="left"/>
        <w:rPr>
          <w:rFonts w:ascii="宋体" w:hAnsi="宋体" w:cs="宋体" w:eastAsia="宋体" w:hint="default"/>
          <w:sz w:val="21"/>
          <w:szCs w:val="21"/>
        </w:rPr>
      </w:pPr>
      <w:r>
        <w:rPr>
          <w:rFonts w:ascii="宋体" w:hAnsi="宋体" w:cs="宋体" w:eastAsia="宋体" w:hint="default"/>
          <w:sz w:val="21"/>
          <w:szCs w:val="21"/>
        </w:rPr>
        <w:t>②借款费用已经发生；</w:t>
      </w:r>
    </w:p>
    <w:p>
      <w:pPr>
        <w:spacing w:line="331" w:lineRule="auto" w:before="106"/>
        <w:ind w:left="547" w:right="1557" w:firstLine="0"/>
        <w:jc w:val="left"/>
        <w:rPr>
          <w:rFonts w:ascii="宋体" w:hAnsi="宋体" w:cs="宋体" w:eastAsia="宋体" w:hint="default"/>
          <w:sz w:val="21"/>
          <w:szCs w:val="21"/>
        </w:rPr>
      </w:pPr>
      <w:r>
        <w:rPr>
          <w:rFonts w:ascii="宋体" w:hAnsi="宋体" w:cs="宋体" w:eastAsia="宋体" w:hint="default"/>
          <w:sz w:val="21"/>
          <w:szCs w:val="21"/>
        </w:rPr>
        <w:t>③为使资产达到预定可使用或者可销售状态所必要的购建或者生产活动已经开始。</w:t>
      </w:r>
      <w:r>
        <w:rPr>
          <w:rFonts w:ascii="宋体" w:hAnsi="宋体" w:cs="宋体" w:eastAsia="宋体" w:hint="default"/>
          <w:w w:val="100"/>
          <w:sz w:val="21"/>
          <w:szCs w:val="21"/>
        </w:rPr>
        <w:t> </w:t>
      </w:r>
      <w:r>
        <w:rPr>
          <w:rFonts w:ascii="宋体" w:hAnsi="宋体" w:cs="宋体" w:eastAsia="宋体" w:hint="default"/>
          <w:spacing w:val="-3"/>
          <w:sz w:val="21"/>
          <w:szCs w:val="21"/>
        </w:rPr>
        <w:t>当购建或者生产符合资本化条件的资产达到预定可使用或者可销售状态时，借款费用停止资本</w:t>
      </w:r>
    </w:p>
    <w:p>
      <w:pPr>
        <w:spacing w:line="261"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化。当购建或者生产符合资本化条件的资产中部分项目分别完工且可单独使用时，该部分资产借款</w:t>
      </w:r>
    </w:p>
    <w:p>
      <w:pPr>
        <w:spacing w:before="66"/>
        <w:ind w:left="144" w:right="1697" w:firstLine="0"/>
        <w:jc w:val="left"/>
        <w:rPr>
          <w:rFonts w:ascii="宋体" w:hAnsi="宋体" w:cs="宋体" w:eastAsia="宋体" w:hint="default"/>
          <w:sz w:val="21"/>
          <w:szCs w:val="21"/>
        </w:rPr>
      </w:pPr>
      <w:r>
        <w:rPr>
          <w:rFonts w:ascii="宋体" w:hAnsi="宋体" w:cs="宋体" w:eastAsia="宋体" w:hint="default"/>
          <w:sz w:val="21"/>
          <w:szCs w:val="21"/>
        </w:rPr>
        <w:t>费用停止资本化。</w:t>
      </w:r>
    </w:p>
    <w:p>
      <w:pPr>
        <w:spacing w:line="331" w:lineRule="auto" w:before="106"/>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100"/>
          <w:sz w:val="21"/>
          <w:szCs w:val="21"/>
        </w:rPr>
        <w:t> </w:t>
      </w:r>
      <w:r>
        <w:rPr>
          <w:rFonts w:ascii="宋体" w:hAnsi="宋体" w:cs="宋体" w:eastAsia="宋体" w:hint="default"/>
          <w:spacing w:val="-3"/>
          <w:sz w:val="21"/>
          <w:szCs w:val="21"/>
        </w:rPr>
        <w:t>资本化期间，指从借款费用开始资本化时点到停止资本化时点的期间，借款费用暂停资本化的</w:t>
      </w:r>
    </w:p>
    <w:p>
      <w:pPr>
        <w:spacing w:line="261"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期间不包括在内。当符合资本化条件的资产在购建或者生产过程中发生非正常中断、且中断时间连</w:t>
      </w:r>
    </w:p>
    <w:p>
      <w:pPr>
        <w:spacing w:before="63"/>
        <w:ind w:left="144" w:right="1697" w:firstLine="0"/>
        <w:jc w:val="left"/>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z w:val="21"/>
          <w:szCs w:val="21"/>
        </w:rPr>
        <w:t>3</w:t>
      </w:r>
      <w:r>
        <w:rPr>
          <w:rFonts w:ascii="宋体" w:hAnsi="宋体" w:cs="宋体" w:eastAsia="宋体" w:hint="default"/>
          <w:sz w:val="21"/>
          <w:szCs w:val="21"/>
        </w:rPr>
        <w:t>个月的，借款费用暂停资本化，直至资产的购建活动重新开始。</w:t>
      </w:r>
    </w:p>
    <w:p>
      <w:pPr>
        <w:spacing w:before="106"/>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）借款费用资本化金额的计算方法</w:t>
      </w:r>
    </w:p>
    <w:p>
      <w:pPr>
        <w:spacing w:after="0"/>
        <w:jc w:val="left"/>
        <w:rPr>
          <w:rFonts w:ascii="宋体" w:hAnsi="宋体" w:cs="宋体" w:eastAsia="宋体" w:hint="default"/>
          <w:sz w:val="21"/>
          <w:szCs w:val="21"/>
        </w:rPr>
        <w:sectPr>
          <w:pgSz w:w="12240" w:h="15840"/>
          <w:pgMar w:header="850" w:footer="956" w:top="1360" w:bottom="1140" w:left="1500" w:right="0"/>
        </w:sectPr>
      </w:pPr>
    </w:p>
    <w:p>
      <w:pPr>
        <w:spacing w:line="297" w:lineRule="auto" w:before="15"/>
        <w:ind w:left="144" w:right="1635" w:firstLine="403"/>
        <w:jc w:val="both"/>
        <w:rPr>
          <w:rFonts w:ascii="宋体" w:hAnsi="宋体" w:cs="宋体" w:eastAsia="宋体" w:hint="default"/>
          <w:sz w:val="21"/>
          <w:szCs w:val="21"/>
        </w:rPr>
      </w:pPr>
      <w:r>
        <w:rPr/>
        <w:pict>
          <v:group style="position:absolute;margin-left:80.783997pt;margin-top:1.853692pt;width:450.6pt;height:.1pt;mso-position-horizontal-relative:page;mso-position-vertical-relative:paragraph;z-index:-862696"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3"/>
          <w:sz w:val="21"/>
          <w:szCs w:val="21"/>
        </w:rPr>
        <w:t>专门借款的利息费用（扣除尚未动用的借款资金存入银行取得的利息收入或者进行暂时性投资</w:t>
      </w:r>
      <w:r>
        <w:rPr>
          <w:rFonts w:ascii="宋体" w:hAnsi="宋体" w:cs="宋体" w:eastAsia="宋体" w:hint="default"/>
          <w:w w:val="100"/>
          <w:sz w:val="21"/>
          <w:szCs w:val="21"/>
        </w:rPr>
        <w:t> </w:t>
      </w:r>
      <w:r>
        <w:rPr>
          <w:rFonts w:ascii="宋体" w:hAnsi="宋体" w:cs="宋体" w:eastAsia="宋体" w:hint="default"/>
          <w:spacing w:val="-4"/>
          <w:sz w:val="21"/>
          <w:szCs w:val="21"/>
        </w:rPr>
        <w:t>取得的投资收益）及其辅助费用在所购建或者生产的符合资本化条件的资产达到预定可使用或者可</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销售状态前，予以资本化。</w:t>
      </w:r>
    </w:p>
    <w:p>
      <w:pPr>
        <w:spacing w:line="297" w:lineRule="auto" w:before="54"/>
        <w:ind w:left="144" w:right="1697" w:firstLine="403"/>
        <w:jc w:val="left"/>
        <w:rPr>
          <w:rFonts w:ascii="宋体" w:hAnsi="宋体" w:cs="宋体" w:eastAsia="宋体" w:hint="default"/>
          <w:sz w:val="21"/>
          <w:szCs w:val="21"/>
        </w:rPr>
      </w:pPr>
      <w:r>
        <w:rPr>
          <w:rFonts w:ascii="宋体" w:hAnsi="宋体" w:cs="宋体" w:eastAsia="宋体" w:hint="default"/>
          <w:spacing w:val="-2"/>
          <w:sz w:val="21"/>
          <w:szCs w:val="21"/>
        </w:rPr>
        <w:t>一般借款应予资本化的利息金额根据累计资产支出超过专门借款部分的资产支出按年加权平</w:t>
      </w:r>
      <w:r>
        <w:rPr>
          <w:rFonts w:ascii="宋体" w:hAnsi="宋体" w:cs="宋体" w:eastAsia="宋体" w:hint="default"/>
          <w:w w:val="100"/>
          <w:sz w:val="21"/>
          <w:szCs w:val="21"/>
        </w:rPr>
        <w:t> </w:t>
      </w:r>
      <w:r>
        <w:rPr>
          <w:rFonts w:ascii="宋体" w:hAnsi="宋体" w:cs="宋体" w:eastAsia="宋体" w:hint="default"/>
          <w:spacing w:val="-2"/>
          <w:sz w:val="21"/>
          <w:szCs w:val="21"/>
        </w:rPr>
        <w:t>均数乘以所占用一般借款的资本化率计算确定。资本化率根据一般借款加权平均利率计算确定。</w:t>
      </w:r>
    </w:p>
    <w:p>
      <w:pPr>
        <w:spacing w:line="295" w:lineRule="auto" w:before="56"/>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借款存在折价或者溢价的，按照实际利率法确定每一会计期间应摊销的折价或者溢价金额，调</w:t>
      </w:r>
      <w:r>
        <w:rPr>
          <w:rFonts w:ascii="宋体" w:hAnsi="宋体" w:cs="宋体" w:eastAsia="宋体" w:hint="default"/>
          <w:w w:val="100"/>
          <w:sz w:val="21"/>
          <w:szCs w:val="21"/>
        </w:rPr>
        <w:t> </w:t>
      </w:r>
      <w:r>
        <w:rPr>
          <w:rFonts w:ascii="宋体" w:hAnsi="宋体" w:cs="宋体" w:eastAsia="宋体" w:hint="default"/>
          <w:sz w:val="21"/>
          <w:szCs w:val="21"/>
        </w:rPr>
        <w:t>整每期利息金额。</w:t>
      </w:r>
    </w:p>
    <w:p>
      <w:pPr>
        <w:spacing w:before="80"/>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331" w:lineRule="auto" w:before="118"/>
        <w:ind w:left="547" w:right="68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）无形资产的计价方法</w:t>
      </w:r>
      <w:r>
        <w:rPr>
          <w:rFonts w:ascii="宋体" w:hAnsi="宋体" w:cs="宋体" w:eastAsia="宋体" w:hint="default"/>
          <w:w w:val="100"/>
          <w:sz w:val="21"/>
          <w:szCs w:val="21"/>
        </w:rPr>
        <w:t> </w:t>
      </w:r>
      <w:r>
        <w:rPr>
          <w:rFonts w:ascii="宋体" w:hAnsi="宋体" w:cs="宋体" w:eastAsia="宋体" w:hint="default"/>
          <w:spacing w:val="-2"/>
          <w:sz w:val="21"/>
          <w:szCs w:val="21"/>
        </w:rPr>
        <w:t>无形资产按取得时的实际成本入账。</w:t>
      </w:r>
    </w:p>
    <w:p>
      <w:pPr>
        <w:spacing w:line="297" w:lineRule="auto" w:before="27"/>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外购无形资产的成本，包括购买价款、相关税费以及直接归属于使该项资产达到预定用途所发</w:t>
      </w:r>
      <w:r>
        <w:rPr>
          <w:rFonts w:ascii="宋体" w:hAnsi="宋体" w:cs="宋体" w:eastAsia="宋体" w:hint="default"/>
          <w:w w:val="100"/>
          <w:sz w:val="21"/>
          <w:szCs w:val="21"/>
        </w:rPr>
        <w:t> </w:t>
      </w:r>
      <w:r>
        <w:rPr>
          <w:rFonts w:ascii="宋体" w:hAnsi="宋体" w:cs="宋体" w:eastAsia="宋体" w:hint="default"/>
          <w:spacing w:val="-4"/>
          <w:sz w:val="21"/>
          <w:szCs w:val="21"/>
        </w:rPr>
        <w:t>生的其他支出。购买无形资产的价款超过正常信用条件延期支付，实质上具有融资性质的，无形资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产的成本以购买价款的现值为基础确定。</w:t>
      </w:r>
    </w:p>
    <w:p>
      <w:pPr>
        <w:spacing w:line="295" w:lineRule="auto" w:before="56"/>
        <w:ind w:left="144" w:right="1697" w:firstLine="403"/>
        <w:jc w:val="left"/>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以同一控制下的企业吸收合并方式取得的无形资产按其在被合并方的账面价值确定其入账价</w:t>
      </w:r>
      <w:r>
        <w:rPr>
          <w:rFonts w:ascii="宋体" w:hAnsi="宋体" w:cs="宋体" w:eastAsia="宋体" w:hint="default"/>
          <w:w w:val="100"/>
          <w:sz w:val="21"/>
          <w:szCs w:val="21"/>
        </w:rPr>
        <w:t> </w:t>
      </w:r>
      <w:r>
        <w:rPr>
          <w:rFonts w:ascii="宋体" w:hAnsi="宋体" w:cs="宋体" w:eastAsia="宋体" w:hint="default"/>
          <w:sz w:val="21"/>
          <w:szCs w:val="21"/>
        </w:rPr>
        <w:t>值；以非同一控制下的企业吸收合并方式取得的无形资产按公允价值确定其入账价值。</w:t>
      </w:r>
    </w:p>
    <w:p>
      <w:pPr>
        <w:spacing w:before="58"/>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）无形资产使用寿命及摊销</w:t>
      </w:r>
    </w:p>
    <w:p>
      <w:pPr>
        <w:spacing w:line="331" w:lineRule="auto" w:before="106"/>
        <w:ind w:left="547" w:right="1557" w:firstLine="0"/>
        <w:jc w:val="left"/>
        <w:rPr>
          <w:rFonts w:ascii="宋体" w:hAnsi="宋体" w:cs="宋体" w:eastAsia="宋体" w:hint="default"/>
          <w:sz w:val="21"/>
          <w:szCs w:val="21"/>
        </w:rPr>
      </w:pPr>
      <w:r>
        <w:rPr>
          <w:rFonts w:ascii="宋体" w:hAnsi="宋体" w:cs="宋体" w:eastAsia="宋体" w:hint="default"/>
          <w:sz w:val="21"/>
          <w:szCs w:val="21"/>
        </w:rPr>
        <w:t>①使用寿命有限的无形资产</w:t>
      </w:r>
      <w:r>
        <w:rPr>
          <w:rFonts w:ascii="宋体" w:hAnsi="宋体" w:cs="宋体" w:eastAsia="宋体" w:hint="default"/>
          <w:w w:val="100"/>
          <w:sz w:val="21"/>
          <w:szCs w:val="21"/>
        </w:rPr>
        <w:t> </w:t>
      </w:r>
      <w:r>
        <w:rPr>
          <w:rFonts w:ascii="宋体" w:hAnsi="宋体" w:cs="宋体" w:eastAsia="宋体" w:hint="default"/>
          <w:spacing w:val="-3"/>
          <w:sz w:val="21"/>
          <w:szCs w:val="21"/>
        </w:rPr>
        <w:t>土地使用权按使用年限平均摊销。外购土地及建筑物的价款难以在土地使用权与建筑物之间合</w:t>
      </w:r>
    </w:p>
    <w:p>
      <w:pPr>
        <w:spacing w:line="261"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理分配的，全部作为固定资产。</w:t>
      </w:r>
    </w:p>
    <w:p>
      <w:pPr>
        <w:spacing w:line="331" w:lineRule="auto" w:before="107"/>
        <w:ind w:left="547" w:right="1557" w:firstLine="0"/>
        <w:jc w:val="left"/>
        <w:rPr>
          <w:rFonts w:ascii="宋体" w:hAnsi="宋体" w:cs="宋体" w:eastAsia="宋体" w:hint="default"/>
          <w:sz w:val="21"/>
          <w:szCs w:val="21"/>
        </w:rPr>
      </w:pPr>
      <w:r>
        <w:rPr>
          <w:rFonts w:ascii="宋体" w:hAnsi="宋体" w:cs="宋体" w:eastAsia="宋体" w:hint="default"/>
          <w:sz w:val="21"/>
          <w:szCs w:val="21"/>
        </w:rPr>
        <w:t>软件使用费按预计使用年限平均摊销。</w:t>
      </w:r>
      <w:r>
        <w:rPr>
          <w:rFonts w:ascii="宋体" w:hAnsi="宋体" w:cs="宋体" w:eastAsia="宋体" w:hint="default"/>
          <w:w w:val="100"/>
          <w:sz w:val="21"/>
          <w:szCs w:val="21"/>
        </w:rPr>
        <w:t> </w:t>
      </w:r>
      <w:r>
        <w:rPr>
          <w:rFonts w:ascii="宋体" w:hAnsi="宋体" w:cs="宋体" w:eastAsia="宋体" w:hint="default"/>
          <w:spacing w:val="-3"/>
          <w:sz w:val="21"/>
          <w:szCs w:val="21"/>
        </w:rPr>
        <w:t>每期末，对使用寿命有限的无形资产的使用寿命及摊销方法进行复核；如必要，对使用寿命进</w:t>
      </w:r>
    </w:p>
    <w:p>
      <w:pPr>
        <w:spacing w:line="261"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行调整。对于使用寿命有限的无形资产，在为企业带来经济利益的期限内按直线法摊销。</w:t>
      </w:r>
    </w:p>
    <w:p>
      <w:pPr>
        <w:spacing w:line="333" w:lineRule="auto" w:before="104"/>
        <w:ind w:left="547" w:right="1557" w:firstLine="0"/>
        <w:jc w:val="left"/>
        <w:rPr>
          <w:rFonts w:ascii="宋体" w:hAnsi="宋体" w:cs="宋体" w:eastAsia="宋体" w:hint="default"/>
          <w:sz w:val="21"/>
          <w:szCs w:val="21"/>
        </w:rPr>
      </w:pPr>
      <w:r>
        <w:rPr>
          <w:rFonts w:ascii="宋体" w:hAnsi="宋体" w:cs="宋体" w:eastAsia="宋体" w:hint="default"/>
          <w:sz w:val="21"/>
          <w:szCs w:val="21"/>
        </w:rPr>
        <w:t>②使用寿命不确定的无形资产</w:t>
      </w:r>
      <w:r>
        <w:rPr>
          <w:rFonts w:ascii="宋体" w:hAnsi="宋体" w:cs="宋体" w:eastAsia="宋体" w:hint="default"/>
          <w:w w:val="100"/>
          <w:sz w:val="21"/>
          <w:szCs w:val="21"/>
        </w:rPr>
        <w:t> </w:t>
      </w:r>
      <w:r>
        <w:rPr>
          <w:rFonts w:ascii="宋体" w:hAnsi="宋体" w:cs="宋体" w:eastAsia="宋体" w:hint="default"/>
          <w:spacing w:val="-3"/>
          <w:sz w:val="21"/>
          <w:szCs w:val="21"/>
        </w:rPr>
        <w:t>对使用寿命不确定的无形资产不予摊销；但需在每个会计期末对其使用寿命进行复核，如有证</w:t>
      </w:r>
    </w:p>
    <w:p>
      <w:pPr>
        <w:spacing w:line="256"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据表明其使用寿命是有限的，需估计其使用寿命，并在使用期限内用直线法摊销。</w:t>
      </w:r>
    </w:p>
    <w:p>
      <w:pPr>
        <w:spacing w:line="340" w:lineRule="auto" w:before="106"/>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）无形资产减值</w:t>
      </w:r>
      <w:r>
        <w:rPr>
          <w:rFonts w:ascii="宋体" w:hAnsi="宋体" w:cs="宋体" w:eastAsia="宋体" w:hint="default"/>
          <w:w w:val="100"/>
          <w:sz w:val="21"/>
          <w:szCs w:val="21"/>
        </w:rPr>
        <w:t> </w:t>
      </w:r>
      <w:r>
        <w:rPr>
          <w:rFonts w:ascii="宋体" w:hAnsi="宋体" w:cs="宋体" w:eastAsia="宋体" w:hint="default"/>
          <w:sz w:val="21"/>
          <w:szCs w:val="21"/>
        </w:rPr>
        <w:t>当无形资产的可收回金额低于其账面价值时，账面价值减记至可收回金额。</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z w:val="21"/>
          <w:szCs w:val="21"/>
        </w:rPr>
        <w:t>、长期待摊费用</w:t>
      </w:r>
      <w:r>
        <w:rPr>
          <w:rFonts w:ascii="宋体" w:hAnsi="宋体" w:cs="宋体" w:eastAsia="宋体" w:hint="default"/>
          <w:b/>
          <w:bCs/>
          <w:spacing w:val="-104"/>
          <w:sz w:val="21"/>
          <w:szCs w:val="21"/>
        </w:rPr>
        <w:t> </w:t>
      </w:r>
      <w:r>
        <w:rPr>
          <w:rFonts w:ascii="宋体" w:hAnsi="宋体" w:cs="宋体" w:eastAsia="宋体" w:hint="default"/>
          <w:spacing w:val="-2"/>
          <w:sz w:val="21"/>
          <w:szCs w:val="21"/>
        </w:rPr>
        <w:t>长期待摊费用核算已经发生，但应由当期及以后各期负担的分摊期限在一年以上</w:t>
      </w:r>
      <w:r>
        <w:rPr>
          <w:rFonts w:ascii="宋体" w:hAnsi="宋体" w:cs="宋体" w:eastAsia="宋体" w:hint="default"/>
          <w:spacing w:val="-2"/>
          <w:sz w:val="21"/>
          <w:szCs w:val="21"/>
        </w:rPr>
        <w:t>(</w:t>
      </w:r>
      <w:r>
        <w:rPr>
          <w:rFonts w:ascii="宋体" w:hAnsi="宋体" w:cs="宋体" w:eastAsia="宋体" w:hint="default"/>
          <w:spacing w:val="-2"/>
          <w:sz w:val="21"/>
          <w:szCs w:val="21"/>
        </w:rPr>
        <w:t>不含一年</w:t>
      </w:r>
      <w:r>
        <w:rPr>
          <w:rFonts w:ascii="宋体" w:hAnsi="宋体" w:cs="宋体" w:eastAsia="宋体" w:hint="default"/>
          <w:spacing w:val="-2"/>
          <w:sz w:val="21"/>
          <w:szCs w:val="21"/>
        </w:rPr>
        <w:t>)</w:t>
      </w:r>
    </w:p>
    <w:p>
      <w:pPr>
        <w:spacing w:line="241" w:lineRule="exact" w:before="0"/>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的各项费用，本公司对该等费用采用直线法在其受益期内平均摊销，如果长期待摊费用项目不能使</w:t>
      </w:r>
    </w:p>
    <w:p>
      <w:pPr>
        <w:spacing w:line="338" w:lineRule="auto" w:before="51"/>
        <w:ind w:left="566" w:right="2711" w:hanging="423"/>
        <w:jc w:val="left"/>
        <w:rPr>
          <w:rFonts w:ascii="宋体" w:hAnsi="宋体" w:cs="宋体" w:eastAsia="宋体" w:hint="default"/>
          <w:sz w:val="21"/>
          <w:szCs w:val="21"/>
        </w:rPr>
      </w:pPr>
      <w:r>
        <w:rPr>
          <w:rFonts w:ascii="宋体" w:hAnsi="宋体" w:cs="宋体" w:eastAsia="宋体" w:hint="default"/>
          <w:spacing w:val="-2"/>
          <w:sz w:val="21"/>
          <w:szCs w:val="21"/>
        </w:rPr>
        <w:t>以后会计期间受益，则将尚未摊销的该项目的摊余价值全部转入当期损益。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85" w:lineRule="auto" w:before="16"/>
        <w:ind w:left="144" w:right="1637" w:firstLine="403"/>
        <w:jc w:val="both"/>
        <w:rPr>
          <w:rFonts w:ascii="宋体" w:hAnsi="宋体" w:cs="宋体" w:eastAsia="宋体" w:hint="default"/>
          <w:sz w:val="21"/>
          <w:szCs w:val="21"/>
        </w:rPr>
      </w:pPr>
      <w:r>
        <w:rPr>
          <w:rFonts w:ascii="宋体" w:hAnsi="宋体" w:cs="宋体" w:eastAsia="宋体" w:hint="default"/>
          <w:spacing w:val="-3"/>
          <w:sz w:val="21"/>
          <w:szCs w:val="21"/>
        </w:rPr>
        <w:t>因产品质量保证、对外提供担保、未决诉讼等事项形成的现时义务，其履行很可能导致经济利</w:t>
      </w:r>
      <w:r>
        <w:rPr>
          <w:rFonts w:ascii="宋体" w:hAnsi="宋体" w:cs="宋体" w:eastAsia="宋体" w:hint="default"/>
          <w:w w:val="100"/>
          <w:sz w:val="21"/>
          <w:szCs w:val="21"/>
        </w:rPr>
        <w:t> </w:t>
      </w:r>
      <w:r>
        <w:rPr>
          <w:rFonts w:ascii="宋体" w:hAnsi="宋体" w:cs="宋体" w:eastAsia="宋体" w:hint="default"/>
          <w:spacing w:val="-4"/>
          <w:sz w:val="21"/>
          <w:szCs w:val="21"/>
        </w:rPr>
        <w:t>益的流出，在该义务的金额能够可靠计量时，确认为预计负债。对于未来经营亏损，不确认预计负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债。</w:t>
      </w:r>
    </w:p>
    <w:p>
      <w:pPr>
        <w:spacing w:after="0" w:line="285" w:lineRule="auto"/>
        <w:jc w:val="both"/>
        <w:rPr>
          <w:rFonts w:ascii="宋体" w:hAnsi="宋体" w:cs="宋体" w:eastAsia="宋体" w:hint="default"/>
          <w:sz w:val="21"/>
          <w:szCs w:val="21"/>
        </w:rPr>
        <w:sectPr>
          <w:pgSz w:w="12240" w:h="15840"/>
          <w:pgMar w:header="850" w:footer="956" w:top="1360" w:bottom="1140" w:left="1500" w:right="0"/>
        </w:sectPr>
      </w:pPr>
    </w:p>
    <w:p>
      <w:pPr>
        <w:spacing w:line="285" w:lineRule="auto" w:before="10"/>
        <w:ind w:left="144" w:right="1635" w:firstLine="403"/>
        <w:jc w:val="both"/>
        <w:rPr>
          <w:rFonts w:ascii="宋体" w:hAnsi="宋体" w:cs="宋体" w:eastAsia="宋体" w:hint="default"/>
          <w:sz w:val="21"/>
          <w:szCs w:val="21"/>
        </w:rPr>
      </w:pPr>
      <w:r>
        <w:rPr/>
        <w:pict>
          <v:group style="position:absolute;margin-left:80.783997pt;margin-top:1.723687pt;width:450.6pt;height:.1pt;mso-position-horizontal-relative:page;mso-position-vertical-relative:paragraph;z-index:-862672"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pacing w:val="-3"/>
          <w:sz w:val="21"/>
          <w:szCs w:val="21"/>
        </w:rPr>
        <w:t>预计负债按照履行相关现时义务所需支出的最佳估计数进行初始计量，并综合考虑与或有事项</w:t>
      </w:r>
      <w:r>
        <w:rPr>
          <w:rFonts w:ascii="宋体" w:hAnsi="宋体" w:cs="宋体" w:eastAsia="宋体" w:hint="default"/>
          <w:w w:val="100"/>
          <w:sz w:val="21"/>
          <w:szCs w:val="21"/>
        </w:rPr>
        <w:t> </w:t>
      </w:r>
      <w:r>
        <w:rPr>
          <w:rFonts w:ascii="宋体" w:hAnsi="宋体" w:cs="宋体" w:eastAsia="宋体" w:hint="default"/>
          <w:spacing w:val="-4"/>
          <w:sz w:val="21"/>
          <w:szCs w:val="21"/>
        </w:rPr>
        <w:t>有关的风险、不确定性和货币时间价值等因素。货币时间价值影响重大的，通过对相关未来现金流</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出进行折现后确定最佳估计数；因随着时间推移所进行的折现还原而导致的预计负债账面价值的增</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加金额，确认为利息费用。</w:t>
      </w:r>
    </w:p>
    <w:p>
      <w:pPr>
        <w:spacing w:line="338" w:lineRule="auto" w:before="52"/>
        <w:ind w:left="566" w:right="1557" w:hanging="20"/>
        <w:jc w:val="left"/>
        <w:rPr>
          <w:rFonts w:ascii="宋体" w:hAnsi="宋体" w:cs="宋体" w:eastAsia="宋体" w:hint="default"/>
          <w:sz w:val="21"/>
          <w:szCs w:val="21"/>
        </w:rPr>
      </w:pPr>
      <w:r>
        <w:rPr>
          <w:rFonts w:ascii="宋体" w:hAnsi="宋体" w:cs="宋体" w:eastAsia="宋体" w:hint="default"/>
          <w:spacing w:val="-2"/>
          <w:sz w:val="21"/>
          <w:szCs w:val="21"/>
        </w:rPr>
        <w:t>于资产负债表日，对预计负债的账面价值进行复核并作适当调整，以反映当前的最佳估计数。</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331" w:lineRule="auto" w:before="32"/>
        <w:ind w:left="547" w:right="1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股份支付的种类</w:t>
      </w:r>
      <w:r>
        <w:rPr>
          <w:rFonts w:ascii="宋体" w:hAnsi="宋体" w:cs="宋体" w:eastAsia="宋体" w:hint="default"/>
          <w:w w:val="100"/>
          <w:sz w:val="21"/>
          <w:szCs w:val="21"/>
        </w:rPr>
        <w:t> </w:t>
      </w:r>
      <w:r>
        <w:rPr>
          <w:rFonts w:ascii="宋体" w:hAnsi="宋体" w:cs="宋体" w:eastAsia="宋体" w:hint="default"/>
          <w:spacing w:val="-2"/>
          <w:sz w:val="21"/>
          <w:szCs w:val="21"/>
        </w:rPr>
        <w:t>股份支付是公司为了获取职工提供服务而授予权益工具或者承担以权益工具为基础确定的负</w:t>
      </w:r>
    </w:p>
    <w:p>
      <w:pPr>
        <w:spacing w:line="261"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债的交易。股份支付分为以权益结算的股份支付和以现金结算的股份支付。</w:t>
      </w:r>
    </w:p>
    <w:p>
      <w:pPr>
        <w:spacing w:line="331" w:lineRule="auto" w:before="106"/>
        <w:ind w:left="547" w:right="1557" w:firstLine="0"/>
        <w:jc w:val="left"/>
        <w:rPr>
          <w:rFonts w:ascii="宋体" w:hAnsi="宋体" w:cs="宋体" w:eastAsia="宋体" w:hint="default"/>
          <w:sz w:val="21"/>
          <w:szCs w:val="21"/>
        </w:rPr>
      </w:pPr>
      <w:r>
        <w:rPr>
          <w:rFonts w:ascii="宋体" w:hAnsi="宋体" w:cs="宋体" w:eastAsia="宋体" w:hint="default"/>
          <w:sz w:val="21"/>
          <w:szCs w:val="21"/>
        </w:rPr>
        <w:t>①以权益结算的股份支付</w:t>
      </w:r>
      <w:r>
        <w:rPr>
          <w:rFonts w:ascii="宋体" w:hAnsi="宋体" w:cs="宋体" w:eastAsia="宋体" w:hint="default"/>
          <w:w w:val="100"/>
          <w:sz w:val="21"/>
          <w:szCs w:val="21"/>
        </w:rPr>
        <w:t> </w:t>
      </w:r>
      <w:r>
        <w:rPr>
          <w:rFonts w:ascii="宋体" w:hAnsi="宋体" w:cs="宋体" w:eastAsia="宋体" w:hint="default"/>
          <w:spacing w:val="-3"/>
          <w:sz w:val="21"/>
          <w:szCs w:val="21"/>
        </w:rPr>
        <w:t>公司的股票期权计划为用以换取职工提供服务的权益结算的股份支付，以授予职工的权益工具</w:t>
      </w:r>
    </w:p>
    <w:p>
      <w:pPr>
        <w:spacing w:line="261" w:lineRule="exact" w:before="0"/>
        <w:ind w:left="144" w:right="0" w:firstLine="0"/>
        <w:jc w:val="both"/>
        <w:rPr>
          <w:rFonts w:ascii="宋体" w:hAnsi="宋体" w:cs="宋体" w:eastAsia="宋体" w:hint="default"/>
          <w:sz w:val="21"/>
          <w:szCs w:val="21"/>
        </w:rPr>
      </w:pPr>
      <w:r>
        <w:rPr>
          <w:rFonts w:ascii="宋体" w:hAnsi="宋体" w:cs="宋体" w:eastAsia="宋体" w:hint="default"/>
          <w:spacing w:val="-4"/>
          <w:sz w:val="21"/>
          <w:szCs w:val="21"/>
        </w:rPr>
        <w:t>在授予日的公允价值计量。在完成等待期内的服务或达到规定业绩条件才可行权，在等待期内以对</w:t>
      </w:r>
    </w:p>
    <w:p>
      <w:pPr>
        <w:spacing w:line="295" w:lineRule="auto" w:before="66"/>
        <w:ind w:left="144" w:right="1697" w:firstLine="0"/>
        <w:jc w:val="left"/>
        <w:rPr>
          <w:rFonts w:ascii="宋体" w:hAnsi="宋体" w:cs="宋体" w:eastAsia="宋体" w:hint="default"/>
          <w:sz w:val="21"/>
          <w:szCs w:val="21"/>
        </w:rPr>
      </w:pPr>
      <w:r>
        <w:rPr>
          <w:rFonts w:ascii="宋体" w:hAnsi="宋体" w:cs="宋体" w:eastAsia="宋体" w:hint="default"/>
          <w:spacing w:val="-4"/>
          <w:sz w:val="21"/>
          <w:szCs w:val="21"/>
        </w:rPr>
        <w:t>可行权权益工具数量的最佳估计为基础，按照权益工具授予日的公允价值，将当期取得的服务计入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相关成本或费用，相应增加资本公积。</w:t>
      </w:r>
    </w:p>
    <w:p>
      <w:pPr>
        <w:spacing w:line="333" w:lineRule="auto" w:before="58"/>
        <w:ind w:left="547" w:right="1557" w:firstLine="0"/>
        <w:jc w:val="left"/>
        <w:rPr>
          <w:rFonts w:ascii="宋体" w:hAnsi="宋体" w:cs="宋体" w:eastAsia="宋体" w:hint="default"/>
          <w:sz w:val="21"/>
          <w:szCs w:val="21"/>
        </w:rPr>
      </w:pPr>
      <w:r>
        <w:rPr>
          <w:rFonts w:ascii="宋体" w:hAnsi="宋体" w:cs="宋体" w:eastAsia="宋体" w:hint="default"/>
          <w:sz w:val="21"/>
          <w:szCs w:val="21"/>
        </w:rPr>
        <w:t>②以现金结算的股份支付</w:t>
      </w:r>
      <w:r>
        <w:rPr>
          <w:rFonts w:ascii="宋体" w:hAnsi="宋体" w:cs="宋体" w:eastAsia="宋体" w:hint="default"/>
          <w:w w:val="100"/>
          <w:sz w:val="21"/>
          <w:szCs w:val="21"/>
        </w:rPr>
        <w:t> </w:t>
      </w:r>
      <w:r>
        <w:rPr>
          <w:rFonts w:ascii="宋体" w:hAnsi="宋体" w:cs="宋体" w:eastAsia="宋体" w:hint="default"/>
          <w:spacing w:val="-3"/>
          <w:sz w:val="21"/>
          <w:szCs w:val="21"/>
        </w:rPr>
        <w:t>公司的股票增值权计划为以现金结算的股份支付，按照公司承担的以本公司股份数量为基础确</w:t>
      </w:r>
    </w:p>
    <w:p>
      <w:pPr>
        <w:spacing w:line="257" w:lineRule="exact" w:before="0"/>
        <w:ind w:left="144" w:right="0" w:firstLine="0"/>
        <w:jc w:val="both"/>
        <w:rPr>
          <w:rFonts w:ascii="宋体" w:hAnsi="宋体" w:cs="宋体" w:eastAsia="宋体" w:hint="default"/>
          <w:sz w:val="21"/>
          <w:szCs w:val="21"/>
        </w:rPr>
      </w:pPr>
      <w:r>
        <w:rPr>
          <w:rFonts w:ascii="宋体" w:hAnsi="宋体" w:cs="宋体" w:eastAsia="宋体" w:hint="default"/>
          <w:spacing w:val="-4"/>
          <w:sz w:val="21"/>
          <w:szCs w:val="21"/>
        </w:rPr>
        <w:t>定的负债的公允价值计量。该以现金结算的股份支付须完成等待期内的服务或达到规定业绩条件以</w:t>
      </w:r>
    </w:p>
    <w:p>
      <w:pPr>
        <w:spacing w:line="297" w:lineRule="auto" w:before="66"/>
        <w:ind w:left="144" w:right="1635" w:firstLine="0"/>
        <w:jc w:val="both"/>
        <w:rPr>
          <w:rFonts w:ascii="宋体" w:hAnsi="宋体" w:cs="宋体" w:eastAsia="宋体" w:hint="default"/>
          <w:sz w:val="21"/>
          <w:szCs w:val="21"/>
        </w:rPr>
      </w:pPr>
      <w:r>
        <w:rPr>
          <w:rFonts w:ascii="宋体" w:hAnsi="宋体" w:cs="宋体" w:eastAsia="宋体" w:hint="default"/>
          <w:spacing w:val="-4"/>
          <w:sz w:val="21"/>
          <w:szCs w:val="21"/>
        </w:rPr>
        <w:t>后才可行权，在等待期的每个资产负债表日以对可行权情况的最佳估计为基础，按照公司承担负债</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的公允价值金额，将当期取得的服务计入成本或费用，相应增加负债。在相关负债结算前的每个资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产负债表日以及结算日，对负债的公允价值重新计量，其变动计入当期损益。</w:t>
      </w:r>
    </w:p>
    <w:p>
      <w:pPr>
        <w:spacing w:line="331" w:lineRule="auto" w:before="56"/>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）权益工具公允价值的确定方法。</w:t>
      </w:r>
      <w:r>
        <w:rPr>
          <w:rFonts w:ascii="宋体" w:hAnsi="宋体" w:cs="宋体" w:eastAsia="宋体" w:hint="default"/>
          <w:w w:val="100"/>
          <w:sz w:val="21"/>
          <w:szCs w:val="21"/>
        </w:rPr>
        <w:t> </w:t>
      </w:r>
      <w:r>
        <w:rPr>
          <w:rFonts w:ascii="宋体" w:hAnsi="宋体" w:cs="宋体" w:eastAsia="宋体" w:hint="default"/>
          <w:spacing w:val="-3"/>
          <w:sz w:val="21"/>
          <w:szCs w:val="21"/>
        </w:rPr>
        <w:t>对于授予职工的股份，其公允价值按公司股份的市场价格计量，同时考虑授予股份所依据的条</w:t>
      </w:r>
    </w:p>
    <w:p>
      <w:pPr>
        <w:spacing w:line="261"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款和条件（不包括市场条件之外的可行权条件）进行调整。</w:t>
      </w:r>
    </w:p>
    <w:p>
      <w:pPr>
        <w:spacing w:before="106"/>
        <w:ind w:left="547" w:right="1697" w:firstLine="0"/>
        <w:jc w:val="left"/>
        <w:rPr>
          <w:rFonts w:ascii="宋体" w:hAnsi="宋体" w:cs="宋体" w:eastAsia="宋体" w:hint="default"/>
          <w:sz w:val="21"/>
          <w:szCs w:val="21"/>
        </w:rPr>
      </w:pPr>
      <w:r>
        <w:rPr>
          <w:rFonts w:ascii="宋体" w:hAnsi="宋体" w:cs="宋体" w:eastAsia="宋体" w:hint="default"/>
          <w:sz w:val="21"/>
          <w:szCs w:val="21"/>
        </w:rPr>
        <w:t>对于授予职工的股票期权，通过期权定价模型估计所授予的期权的公允价值。</w:t>
      </w:r>
    </w:p>
    <w:p>
      <w:pPr>
        <w:spacing w:line="333" w:lineRule="auto" w:before="104"/>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）确认可行权权益工具最佳估计的依据</w:t>
      </w:r>
      <w:r>
        <w:rPr>
          <w:rFonts w:ascii="宋体" w:hAnsi="宋体" w:cs="宋体" w:eastAsia="宋体" w:hint="default"/>
          <w:w w:val="100"/>
          <w:sz w:val="21"/>
          <w:szCs w:val="21"/>
        </w:rPr>
        <w:t> </w:t>
      </w:r>
      <w:r>
        <w:rPr>
          <w:rFonts w:ascii="宋体" w:hAnsi="宋体" w:cs="宋体" w:eastAsia="宋体" w:hint="default"/>
          <w:spacing w:val="-3"/>
          <w:sz w:val="21"/>
          <w:szCs w:val="21"/>
        </w:rPr>
        <w:t>在等待期内每个资产负债表日，公司根据最新取得的可行权职工人数变动等后续信息做出最佳</w:t>
      </w:r>
    </w:p>
    <w:p>
      <w:pPr>
        <w:spacing w:line="256"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估计，修正预计可行权的权益工具数量。</w:t>
      </w:r>
    </w:p>
    <w:p>
      <w:pPr>
        <w:spacing w:line="331" w:lineRule="auto" w:before="106"/>
        <w:ind w:left="547"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）修改和终止股份支付计划的处理</w:t>
      </w:r>
      <w:r>
        <w:rPr>
          <w:rFonts w:ascii="宋体" w:hAnsi="宋体" w:cs="宋体" w:eastAsia="宋体" w:hint="default"/>
          <w:w w:val="100"/>
          <w:sz w:val="21"/>
          <w:szCs w:val="21"/>
        </w:rPr>
        <w:t> </w:t>
      </w:r>
      <w:r>
        <w:rPr>
          <w:rFonts w:ascii="宋体" w:hAnsi="宋体" w:cs="宋体" w:eastAsia="宋体" w:hint="default"/>
          <w:spacing w:val="-3"/>
          <w:sz w:val="21"/>
          <w:szCs w:val="21"/>
        </w:rPr>
        <w:t>如果股份支付计划的修改增加了所授予的权益工具的公允价值，应按照权益工具公允价值的增</w:t>
      </w:r>
    </w:p>
    <w:p>
      <w:pPr>
        <w:spacing w:line="262"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加相应地确认取得服务的增加。</w:t>
      </w:r>
    </w:p>
    <w:p>
      <w:pPr>
        <w:spacing w:line="295" w:lineRule="auto" w:before="106"/>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如果股份支付计划的修改增加了所授予的权益工具的数量，应将增加的权益工具的公允价值相</w:t>
      </w:r>
      <w:r>
        <w:rPr>
          <w:rFonts w:ascii="宋体" w:hAnsi="宋体" w:cs="宋体" w:eastAsia="宋体" w:hint="default"/>
          <w:w w:val="100"/>
          <w:sz w:val="21"/>
          <w:szCs w:val="21"/>
        </w:rPr>
        <w:t> </w:t>
      </w:r>
      <w:r>
        <w:rPr>
          <w:rFonts w:ascii="宋体" w:hAnsi="宋体" w:cs="宋体" w:eastAsia="宋体" w:hint="default"/>
          <w:sz w:val="21"/>
          <w:szCs w:val="21"/>
        </w:rPr>
        <w:t>应地确认为取得服务的增加。</w:t>
      </w:r>
    </w:p>
    <w:p>
      <w:pPr>
        <w:spacing w:line="297" w:lineRule="auto" w:before="58"/>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如果公司按照有利于职工的方式修改可行权条件，如缩短等待期、变更或取消业绩条件（而非</w:t>
      </w:r>
      <w:r>
        <w:rPr>
          <w:rFonts w:ascii="宋体" w:hAnsi="宋体" w:cs="宋体" w:eastAsia="宋体" w:hint="default"/>
          <w:w w:val="100"/>
          <w:sz w:val="21"/>
          <w:szCs w:val="21"/>
        </w:rPr>
        <w:t> </w:t>
      </w:r>
      <w:r>
        <w:rPr>
          <w:rFonts w:ascii="宋体" w:hAnsi="宋体" w:cs="宋体" w:eastAsia="宋体" w:hint="default"/>
          <w:sz w:val="21"/>
          <w:szCs w:val="21"/>
        </w:rPr>
        <w:t>市场条件），公司在处理可行权条件时，应当考虑修改后的可行权条件。</w:t>
      </w:r>
    </w:p>
    <w:p>
      <w:pPr>
        <w:spacing w:after="0" w:line="297" w:lineRule="auto"/>
        <w:jc w:val="both"/>
        <w:rPr>
          <w:rFonts w:ascii="宋体" w:hAnsi="宋体" w:cs="宋体" w:eastAsia="宋体" w:hint="default"/>
          <w:sz w:val="21"/>
          <w:szCs w:val="21"/>
        </w:rPr>
        <w:sectPr>
          <w:pgSz w:w="12240" w:h="15840"/>
          <w:pgMar w:header="850" w:footer="956" w:top="1360" w:bottom="1140" w:left="1500" w:right="0"/>
        </w:sectPr>
      </w:pPr>
    </w:p>
    <w:p>
      <w:pPr>
        <w:spacing w:line="297" w:lineRule="auto" w:before="15"/>
        <w:ind w:left="144" w:right="1635" w:firstLine="403"/>
        <w:jc w:val="both"/>
        <w:rPr>
          <w:rFonts w:ascii="宋体" w:hAnsi="宋体" w:cs="宋体" w:eastAsia="宋体" w:hint="default"/>
          <w:sz w:val="21"/>
          <w:szCs w:val="21"/>
        </w:rPr>
      </w:pPr>
      <w:r>
        <w:rPr/>
        <w:pict>
          <v:group style="position:absolute;margin-left:80.783997pt;margin-top:1.853692pt;width:450.6pt;height:.1pt;mso-position-horizontal-relative:page;mso-position-vertical-relative:paragraph;z-index:-862648"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pacing w:val="-3"/>
          <w:sz w:val="21"/>
          <w:szCs w:val="21"/>
        </w:rPr>
        <w:t>如果公司以减少股份支付公允价值总额的方式或其他不利于职工的方式修改条款和条件，公司</w:t>
      </w:r>
      <w:r>
        <w:rPr>
          <w:rFonts w:ascii="宋体" w:hAnsi="宋体" w:cs="宋体" w:eastAsia="宋体" w:hint="default"/>
          <w:w w:val="100"/>
          <w:sz w:val="21"/>
          <w:szCs w:val="21"/>
        </w:rPr>
        <w:t> </w:t>
      </w:r>
      <w:r>
        <w:rPr>
          <w:rFonts w:ascii="宋体" w:hAnsi="宋体" w:cs="宋体" w:eastAsia="宋体" w:hint="default"/>
          <w:spacing w:val="-4"/>
          <w:sz w:val="21"/>
          <w:szCs w:val="21"/>
        </w:rPr>
        <w:t>仍应继续对取得的服务进行会计处理，如同该变更从未发生，除非公司取消了部分或全部已授予的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权益工具。</w:t>
      </w:r>
    </w:p>
    <w:p>
      <w:pPr>
        <w:spacing w:line="297" w:lineRule="auto" w:before="54"/>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在等待期内如果取消了授予的权益工具，对取消所授予的权益性工具作为加速行权处理，剩余</w:t>
      </w:r>
      <w:r>
        <w:rPr>
          <w:rFonts w:ascii="宋体" w:hAnsi="宋体" w:cs="宋体" w:eastAsia="宋体" w:hint="default"/>
          <w:w w:val="100"/>
          <w:sz w:val="21"/>
          <w:szCs w:val="21"/>
        </w:rPr>
        <w:t> </w:t>
      </w:r>
      <w:r>
        <w:rPr>
          <w:rFonts w:ascii="宋体" w:hAnsi="宋体" w:cs="宋体" w:eastAsia="宋体" w:hint="default"/>
          <w:spacing w:val="-4"/>
          <w:sz w:val="21"/>
          <w:szCs w:val="21"/>
        </w:rPr>
        <w:t>等待期内应确认的金额立即计入当期损益，同时确认资本公积。职工或其他方能够选择满足非可行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权条件但在等待期内未满足的，将其作为授予权益工具的取消处理。</w:t>
      </w:r>
    </w:p>
    <w:p>
      <w:pPr>
        <w:spacing w:before="7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、收入</w:t>
      </w:r>
      <w:r>
        <w:rPr>
          <w:rFonts w:ascii="宋体" w:hAnsi="宋体" w:cs="宋体" w:eastAsia="宋体" w:hint="default"/>
          <w:sz w:val="21"/>
          <w:szCs w:val="21"/>
        </w:rPr>
      </w:r>
    </w:p>
    <w:p>
      <w:pPr>
        <w:spacing w:line="297" w:lineRule="auto" w:before="116"/>
        <w:ind w:left="144" w:right="1557" w:firstLine="40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）销售商品：公司已将商品所有权上的主要风险和报酬转移给购买方；公司既没有保留与</w:t>
      </w:r>
      <w:r>
        <w:rPr>
          <w:rFonts w:ascii="宋体" w:hAnsi="宋体" w:cs="宋体" w:eastAsia="宋体" w:hint="default"/>
          <w:w w:val="100"/>
          <w:sz w:val="21"/>
          <w:szCs w:val="21"/>
        </w:rPr>
        <w:t> </w:t>
      </w:r>
      <w:r>
        <w:rPr>
          <w:rFonts w:ascii="宋体" w:hAnsi="宋体" w:cs="宋体" w:eastAsia="宋体" w:hint="default"/>
          <w:spacing w:val="-2"/>
          <w:sz w:val="21"/>
          <w:szCs w:val="21"/>
        </w:rPr>
        <w:t>所有权相联系的继续管理权，也没有对已售出的商品实施有效控制；收入的金额能够可靠地计量；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相关的经济利益很可能流入企业；相关的已发生或将发生的成本能够可靠地计量时，确认商品销售</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收入实现。</w:t>
      </w:r>
    </w:p>
    <w:p>
      <w:pPr>
        <w:spacing w:line="309" w:lineRule="auto" w:before="75"/>
        <w:ind w:left="144" w:right="1635" w:firstLine="40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）提供劳务：在同一会计年度内开始并完成的，在劳务已经提供，收到价款或取得收到价</w:t>
      </w:r>
      <w:r>
        <w:rPr>
          <w:rFonts w:ascii="宋体" w:hAnsi="宋体" w:cs="宋体" w:eastAsia="宋体" w:hint="default"/>
          <w:w w:val="100"/>
          <w:sz w:val="21"/>
          <w:szCs w:val="21"/>
        </w:rPr>
        <w:t> </w:t>
      </w:r>
      <w:r>
        <w:rPr>
          <w:rFonts w:ascii="宋体" w:hAnsi="宋体" w:cs="宋体" w:eastAsia="宋体" w:hint="default"/>
          <w:spacing w:val="-4"/>
          <w:sz w:val="21"/>
          <w:szCs w:val="21"/>
        </w:rPr>
        <w:t>款的有关凭证时，确认为劳务收入；劳务的开始和完成分属不同会计年度的，在提供劳务交易的结</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果能够可靠估计的情况下，在资产负债表日按完工百分比法确认相关的劳务收入。</w:t>
      </w:r>
    </w:p>
    <w:p>
      <w:pPr>
        <w:spacing w:line="309" w:lineRule="auto" w:before="79"/>
        <w:ind w:left="144" w:right="1635" w:firstLine="40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）让渡资产使用权而发生的收入：让渡资产使用权产生的收入，按使用现金的时间和适用</w:t>
      </w:r>
      <w:r>
        <w:rPr>
          <w:rFonts w:ascii="宋体" w:hAnsi="宋体" w:cs="宋体" w:eastAsia="宋体" w:hint="default"/>
          <w:w w:val="100"/>
          <w:sz w:val="21"/>
          <w:szCs w:val="21"/>
        </w:rPr>
        <w:t> </w:t>
      </w:r>
      <w:r>
        <w:rPr>
          <w:rFonts w:ascii="宋体" w:hAnsi="宋体" w:cs="宋体" w:eastAsia="宋体" w:hint="default"/>
          <w:spacing w:val="-4"/>
          <w:sz w:val="21"/>
          <w:szCs w:val="21"/>
        </w:rPr>
        <w:t>利率计算确定。发生的使用费收入按有关合同或协议规定的收费时间和方法计算确定。上述收入的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确定应同时满足：与交易相关的经济利益能够流入公司；收入的金额能够可靠地计量。</w:t>
      </w:r>
    </w:p>
    <w:p>
      <w:pPr>
        <w:spacing w:line="285" w:lineRule="auto" w:before="58"/>
        <w:ind w:left="144" w:right="1635"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）建造合同：当系统集成项目合约的最终结果能可靠地计量时，合约成本参照该项合约于</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资产负债表日的完工比例确认为费用。当合约总成本预期将超过合约总收入时预期将发生的损失确</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认为费用。当合约的成本最终无法可靠地计量时，合约成本于发生时确认为费用。</w:t>
      </w:r>
    </w:p>
    <w:p>
      <w:pPr>
        <w:spacing w:line="285" w:lineRule="auto" w:before="50"/>
        <w:ind w:left="144" w:right="1557" w:firstLine="419"/>
        <w:jc w:val="left"/>
        <w:rPr>
          <w:rFonts w:ascii="宋体" w:hAnsi="宋体" w:cs="宋体" w:eastAsia="宋体" w:hint="default"/>
          <w:sz w:val="21"/>
          <w:szCs w:val="21"/>
        </w:rPr>
      </w:pPr>
      <w:r>
        <w:rPr>
          <w:rFonts w:ascii="宋体" w:hAnsi="宋体" w:cs="宋体" w:eastAsia="宋体" w:hint="default"/>
          <w:spacing w:val="-4"/>
          <w:sz w:val="21"/>
          <w:szCs w:val="21"/>
        </w:rPr>
        <w:t>公司建造合同成本主要指在系统集成施工项目发生的硬件、软件成本等。公司在建合同成本于</w:t>
      </w:r>
      <w:r>
        <w:rPr>
          <w:rFonts w:ascii="宋体" w:hAnsi="宋体" w:cs="宋体" w:eastAsia="宋体" w:hint="default"/>
          <w:w w:val="100"/>
          <w:sz w:val="21"/>
          <w:szCs w:val="21"/>
        </w:rPr>
        <w:t> </w:t>
      </w:r>
      <w:r>
        <w:rPr>
          <w:rFonts w:ascii="宋体" w:hAnsi="宋体" w:cs="宋体" w:eastAsia="宋体" w:hint="default"/>
          <w:sz w:val="21"/>
          <w:szCs w:val="21"/>
        </w:rPr>
        <w:t>资产负债表日的金额包括已发生的合同成本及按照完工百分比法确认合同损益扣除项目结算款后</w:t>
      </w:r>
      <w:r>
        <w:rPr>
          <w:rFonts w:ascii="宋体" w:hAnsi="宋体" w:cs="宋体" w:eastAsia="宋体" w:hint="default"/>
          <w:w w:val="100"/>
          <w:sz w:val="21"/>
          <w:szCs w:val="21"/>
        </w:rPr>
        <w:t> </w:t>
      </w:r>
      <w:r>
        <w:rPr>
          <w:rFonts w:ascii="宋体" w:hAnsi="宋体" w:cs="宋体" w:eastAsia="宋体" w:hint="default"/>
          <w:sz w:val="21"/>
          <w:szCs w:val="21"/>
        </w:rPr>
        <w:t>的净额于资产或负债列示。</w:t>
      </w:r>
    </w:p>
    <w:p>
      <w:pPr>
        <w:spacing w:before="52"/>
        <w:ind w:left="564" w:right="1697" w:firstLine="0"/>
        <w:jc w:val="left"/>
        <w:rPr>
          <w:rFonts w:ascii="宋体" w:hAnsi="宋体" w:cs="宋体" w:eastAsia="宋体" w:hint="default"/>
          <w:sz w:val="21"/>
          <w:szCs w:val="21"/>
        </w:rPr>
      </w:pPr>
      <w:r>
        <w:rPr>
          <w:rFonts w:ascii="宋体" w:hAnsi="宋体" w:cs="宋体" w:eastAsia="宋体" w:hint="default"/>
          <w:sz w:val="21"/>
          <w:szCs w:val="21"/>
        </w:rPr>
        <w:t>收入确认的具体方法</w:t>
      </w:r>
    </w:p>
    <w:p>
      <w:pPr>
        <w:spacing w:before="90"/>
        <w:ind w:left="564" w:right="169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8"/>
          <w:sz w:val="21"/>
          <w:szCs w:val="21"/>
        </w:rPr>
        <w:t> </w:t>
      </w:r>
      <w:r>
        <w:rPr>
          <w:rFonts w:ascii="宋体" w:hAnsi="宋体" w:cs="宋体" w:eastAsia="宋体" w:hint="default"/>
          <w:sz w:val="21"/>
          <w:szCs w:val="21"/>
        </w:rPr>
        <w:t>系统集成：按照合同约定以产品交付购货方并经对方验收合格后确认收入；</w:t>
      </w:r>
    </w:p>
    <w:p>
      <w:pPr>
        <w:spacing w:before="92"/>
        <w:ind w:left="564" w:right="169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
          <w:sz w:val="21"/>
          <w:szCs w:val="21"/>
        </w:rPr>
        <w:t> </w:t>
      </w:r>
      <w:r>
        <w:rPr>
          <w:rFonts w:ascii="宋体" w:hAnsi="宋体" w:cs="宋体" w:eastAsia="宋体" w:hint="default"/>
          <w:sz w:val="21"/>
          <w:szCs w:val="21"/>
        </w:rPr>
        <w:t>外购商品：以商品交付购货方并经对方验收合格后确认收入；</w:t>
      </w:r>
    </w:p>
    <w:p>
      <w:pPr>
        <w:spacing w:line="288" w:lineRule="auto" w:before="92"/>
        <w:ind w:left="144" w:right="1661" w:firstLine="419"/>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
          <w:sz w:val="21"/>
          <w:szCs w:val="21"/>
        </w:rPr>
        <w:t> </w:t>
      </w:r>
      <w:r>
        <w:rPr>
          <w:rFonts w:ascii="宋体" w:hAnsi="宋体" w:cs="宋体" w:eastAsia="宋体" w:hint="default"/>
          <w:sz w:val="21"/>
          <w:szCs w:val="21"/>
        </w:rPr>
        <w:t>自行研制开发的软件成品：需安装调试的按合同约定在项目实施完成并经对方验收合格后</w:t>
      </w:r>
      <w:r>
        <w:rPr>
          <w:rFonts w:ascii="宋体" w:hAnsi="宋体" w:cs="宋体" w:eastAsia="宋体" w:hint="default"/>
          <w:w w:val="100"/>
          <w:sz w:val="21"/>
          <w:szCs w:val="21"/>
        </w:rPr>
        <w:t> </w:t>
      </w:r>
      <w:r>
        <w:rPr>
          <w:rFonts w:ascii="宋体" w:hAnsi="宋体" w:cs="宋体" w:eastAsia="宋体" w:hint="default"/>
          <w:sz w:val="21"/>
          <w:szCs w:val="21"/>
        </w:rPr>
        <w:t>确认收入，不需要安装的以产品交付并经购货方验收后确认收入；</w:t>
      </w:r>
    </w:p>
    <w:p>
      <w:pPr>
        <w:spacing w:line="340" w:lineRule="auto" w:before="48"/>
        <w:ind w:left="566" w:right="3338" w:hanging="3"/>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6"/>
          <w:sz w:val="21"/>
          <w:szCs w:val="21"/>
        </w:rPr>
        <w:t> </w:t>
      </w:r>
      <w:r>
        <w:rPr>
          <w:rFonts w:ascii="宋体" w:hAnsi="宋体" w:cs="宋体" w:eastAsia="宋体" w:hint="default"/>
          <w:sz w:val="21"/>
          <w:szCs w:val="21"/>
        </w:rPr>
        <w:t>定制软件产品：按合同约定在项目实施完成并经对方验收后确认收入。</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97" w:lineRule="auto" w:before="37"/>
        <w:ind w:left="144" w:right="1635" w:firstLine="419"/>
        <w:jc w:val="both"/>
        <w:rPr>
          <w:rFonts w:ascii="宋体" w:hAnsi="宋体" w:cs="宋体" w:eastAsia="宋体" w:hint="default"/>
          <w:sz w:val="21"/>
          <w:szCs w:val="21"/>
        </w:rPr>
      </w:pPr>
      <w:r>
        <w:rPr>
          <w:rFonts w:ascii="宋体" w:hAnsi="宋体" w:cs="宋体" w:eastAsia="宋体" w:hint="default"/>
          <w:spacing w:val="-4"/>
          <w:sz w:val="21"/>
          <w:szCs w:val="21"/>
        </w:rPr>
        <w:t>政府补助分为与资产相关的政府补助和与收益相关的政府补助。公司取得的、用于购建或以其</w:t>
      </w:r>
      <w:r>
        <w:rPr>
          <w:rFonts w:ascii="宋体" w:hAnsi="宋体" w:cs="宋体" w:eastAsia="宋体" w:hint="default"/>
          <w:w w:val="100"/>
          <w:sz w:val="21"/>
          <w:szCs w:val="21"/>
        </w:rPr>
        <w:t> </w:t>
      </w:r>
      <w:r>
        <w:rPr>
          <w:rFonts w:ascii="宋体" w:hAnsi="宋体" w:cs="宋体" w:eastAsia="宋体" w:hint="default"/>
          <w:spacing w:val="-4"/>
          <w:sz w:val="21"/>
          <w:szCs w:val="21"/>
        </w:rPr>
        <w:t>他方式形成长期资产的政府补助属于与资产相关的政府补助；除与资产相关的政府补助之外的政府</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补助为与收益相关的政府补助。</w:t>
      </w:r>
    </w:p>
    <w:p>
      <w:pPr>
        <w:spacing w:line="350" w:lineRule="auto" w:before="73"/>
        <w:ind w:left="564" w:right="1557" w:firstLine="0"/>
        <w:jc w:val="left"/>
        <w:rPr>
          <w:rFonts w:ascii="宋体" w:hAnsi="宋体" w:cs="宋体" w:eastAsia="宋体" w:hint="default"/>
          <w:sz w:val="21"/>
          <w:szCs w:val="21"/>
        </w:rPr>
      </w:pPr>
      <w:r>
        <w:rPr>
          <w:rFonts w:ascii="宋体" w:hAnsi="宋体" w:cs="宋体" w:eastAsia="宋体" w:hint="default"/>
          <w:spacing w:val="-6"/>
          <w:sz w:val="21"/>
          <w:szCs w:val="21"/>
        </w:rPr>
        <w:t>与资产相关的政府补助，确认为递延收益，并在相关资产使用寿命内平均分配，计入当期损益。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与收益相关的政府补助，分别下列情况处理：</w:t>
      </w:r>
    </w:p>
    <w:p>
      <w:pPr>
        <w:spacing w:after="0" w:line="350" w:lineRule="auto"/>
        <w:jc w:val="left"/>
        <w:rPr>
          <w:rFonts w:ascii="宋体" w:hAnsi="宋体" w:cs="宋体" w:eastAsia="宋体" w:hint="default"/>
          <w:sz w:val="21"/>
          <w:szCs w:val="21"/>
        </w:rPr>
        <w:sectPr>
          <w:pgSz w:w="12240" w:h="15840"/>
          <w:pgMar w:header="850" w:footer="956" w:top="1360" w:bottom="1140" w:left="1500" w:right="0"/>
        </w:sectPr>
      </w:pPr>
    </w:p>
    <w:p>
      <w:pPr>
        <w:spacing w:line="297" w:lineRule="auto" w:before="15"/>
        <w:ind w:left="144" w:right="1697" w:firstLine="419"/>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624"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）用于补偿公司以后期间的相关费用或损失的，确认为递延收益，并在确认相关费用的期</w:t>
      </w:r>
      <w:r>
        <w:rPr>
          <w:rFonts w:ascii="宋体" w:hAnsi="宋体" w:cs="宋体" w:eastAsia="宋体" w:hint="default"/>
          <w:w w:val="100"/>
          <w:sz w:val="21"/>
          <w:szCs w:val="21"/>
        </w:rPr>
        <w:t> </w:t>
      </w:r>
      <w:r>
        <w:rPr>
          <w:rFonts w:ascii="宋体" w:hAnsi="宋体" w:cs="宋体" w:eastAsia="宋体" w:hint="default"/>
          <w:sz w:val="21"/>
          <w:szCs w:val="21"/>
        </w:rPr>
        <w:t>间，计入当期损益。</w:t>
      </w:r>
    </w:p>
    <w:p>
      <w:pPr>
        <w:spacing w:line="338" w:lineRule="auto" w:before="75"/>
        <w:ind w:left="547" w:right="2711" w:firstLine="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）用于补偿公司已发生的相关费用或损失的，直接计入当期损益。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、递延所得税资产和递延所得税负债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公司所得税采用资产负债表债务法进行所得税核算。</w:t>
      </w:r>
    </w:p>
    <w:p>
      <w:pPr>
        <w:spacing w:line="297" w:lineRule="auto" w:before="20"/>
        <w:ind w:left="144" w:right="1661" w:firstLine="403"/>
        <w:jc w:val="both"/>
        <w:rPr>
          <w:rFonts w:ascii="宋体" w:hAnsi="宋体" w:cs="宋体" w:eastAsia="宋体" w:hint="default"/>
          <w:sz w:val="21"/>
          <w:szCs w:val="21"/>
        </w:rPr>
      </w:pP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w:t>
      </w:r>
      <w:r>
        <w:rPr>
          <w:rFonts w:ascii="宋体" w:hAnsi="宋体" w:cs="宋体" w:eastAsia="宋体" w:hint="default"/>
          <w:w w:val="100"/>
          <w:sz w:val="21"/>
          <w:szCs w:val="21"/>
        </w:rPr>
        <w:t> </w:t>
      </w:r>
      <w:r>
        <w:rPr>
          <w:rFonts w:ascii="宋体" w:hAnsi="宋体" w:cs="宋体" w:eastAsia="宋体" w:hint="default"/>
          <w:spacing w:val="-2"/>
          <w:sz w:val="21"/>
          <w:szCs w:val="21"/>
        </w:rPr>
        <w:t>异</w:t>
      </w:r>
      <w:r>
        <w:rPr>
          <w:rFonts w:ascii="宋体" w:hAnsi="宋体" w:cs="宋体" w:eastAsia="宋体" w:hint="default"/>
          <w:spacing w:val="-2"/>
          <w:sz w:val="21"/>
          <w:szCs w:val="21"/>
        </w:rPr>
        <w:t>)</w:t>
      </w:r>
      <w:r>
        <w:rPr>
          <w:rFonts w:ascii="宋体" w:hAnsi="宋体" w:cs="宋体" w:eastAsia="宋体" w:hint="default"/>
          <w:spacing w:val="-2"/>
          <w:sz w:val="21"/>
          <w:szCs w:val="21"/>
        </w:rPr>
        <w:t>计算确认。对于按照税法规定能够于以后年度抵减应纳税所得额的可抵扣亏损，视同暂时性差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异确认相应的递延所得税资产。</w:t>
      </w:r>
    </w:p>
    <w:p>
      <w:pPr>
        <w:spacing w:line="297" w:lineRule="auto" w:before="56"/>
        <w:ind w:left="144" w:right="1557" w:firstLine="403"/>
        <w:jc w:val="left"/>
        <w:rPr>
          <w:rFonts w:ascii="宋体" w:hAnsi="宋体" w:cs="宋体" w:eastAsia="宋体" w:hint="default"/>
          <w:sz w:val="21"/>
          <w:szCs w:val="21"/>
        </w:rPr>
      </w:pPr>
      <w:r>
        <w:rPr>
          <w:rFonts w:ascii="宋体" w:hAnsi="宋体" w:cs="宋体" w:eastAsia="宋体" w:hint="default"/>
          <w:spacing w:val="-3"/>
          <w:sz w:val="21"/>
          <w:szCs w:val="21"/>
        </w:rPr>
        <w:t>对于商誉的初始确认产生的暂时性差异，不确认相应的递延所得税负债。对于既不影响会计利</w:t>
      </w:r>
      <w:r>
        <w:rPr>
          <w:rFonts w:ascii="宋体" w:hAnsi="宋体" w:cs="宋体" w:eastAsia="宋体" w:hint="default"/>
          <w:w w:val="100"/>
          <w:sz w:val="21"/>
          <w:szCs w:val="21"/>
        </w:rPr>
        <w:t> </w:t>
      </w:r>
      <w:r>
        <w:rPr>
          <w:rFonts w:ascii="宋体" w:hAnsi="宋体" w:cs="宋体" w:eastAsia="宋体" w:hint="default"/>
          <w:sz w:val="21"/>
          <w:szCs w:val="21"/>
        </w:rPr>
        <w:t>润也不影响应纳税所得额</w:t>
      </w:r>
      <w:r>
        <w:rPr>
          <w:rFonts w:ascii="宋体" w:hAnsi="宋体" w:cs="宋体" w:eastAsia="宋体" w:hint="default"/>
          <w:sz w:val="21"/>
          <w:szCs w:val="21"/>
        </w:rPr>
        <w:t>(</w:t>
      </w:r>
      <w:r>
        <w:rPr>
          <w:rFonts w:ascii="宋体" w:hAnsi="宋体" w:cs="宋体" w:eastAsia="宋体" w:hint="default"/>
          <w:sz w:val="21"/>
          <w:szCs w:val="21"/>
        </w:rPr>
        <w:t>或可抵扣亏损</w:t>
      </w:r>
      <w:r>
        <w:rPr>
          <w:rFonts w:ascii="宋体" w:hAnsi="宋体" w:cs="宋体" w:eastAsia="宋体" w:hint="default"/>
          <w:sz w:val="21"/>
          <w:szCs w:val="21"/>
        </w:rPr>
        <w:t>)</w:t>
      </w:r>
      <w:r>
        <w:rPr>
          <w:rFonts w:ascii="宋体" w:hAnsi="宋体" w:cs="宋体" w:eastAsia="宋体" w:hint="default"/>
          <w:sz w:val="21"/>
          <w:szCs w:val="21"/>
        </w:rPr>
        <w:t>的非企业合并的交易中产生的资产或负债的初始确认形</w:t>
      </w:r>
      <w:r>
        <w:rPr>
          <w:rFonts w:ascii="宋体" w:hAnsi="宋体" w:cs="宋体" w:eastAsia="宋体" w:hint="default"/>
          <w:w w:val="100"/>
          <w:sz w:val="21"/>
          <w:szCs w:val="21"/>
        </w:rPr>
        <w:t> </w:t>
      </w:r>
      <w:r>
        <w:rPr>
          <w:rFonts w:ascii="宋体" w:hAnsi="宋体" w:cs="宋体" w:eastAsia="宋体" w:hint="default"/>
          <w:spacing w:val="-4"/>
          <w:sz w:val="21"/>
          <w:szCs w:val="21"/>
        </w:rPr>
        <w:t>成的暂时性差异，不确认相应的递延所得税资产和递延所得税负债。在资产负债表日，递延所得税</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资产和递延所得税负债按照预期收回该资产或清偿该负债期间的适用税率计量。</w:t>
      </w:r>
    </w:p>
    <w:p>
      <w:pPr>
        <w:spacing w:line="297" w:lineRule="auto" w:before="56"/>
        <w:ind w:left="144" w:right="1635" w:firstLine="403"/>
        <w:jc w:val="both"/>
        <w:rPr>
          <w:rFonts w:ascii="宋体" w:hAnsi="宋体" w:cs="宋体" w:eastAsia="宋体" w:hint="default"/>
          <w:sz w:val="21"/>
          <w:szCs w:val="21"/>
        </w:rPr>
      </w:pPr>
      <w:r>
        <w:rPr>
          <w:rFonts w:ascii="宋体" w:hAnsi="宋体" w:cs="宋体" w:eastAsia="宋体" w:hint="default"/>
          <w:spacing w:val="-3"/>
          <w:sz w:val="21"/>
          <w:szCs w:val="21"/>
        </w:rPr>
        <w:t>递延所得税资产的确认以公司很可能取得用来抵扣可抵扣暂时性差异、可抵扣亏损和税款抵减</w:t>
      </w:r>
      <w:r>
        <w:rPr>
          <w:rFonts w:ascii="宋体" w:hAnsi="宋体" w:cs="宋体" w:eastAsia="宋体" w:hint="default"/>
          <w:w w:val="100"/>
          <w:sz w:val="21"/>
          <w:szCs w:val="21"/>
        </w:rPr>
        <w:t> </w:t>
      </w:r>
      <w:r>
        <w:rPr>
          <w:rFonts w:ascii="宋体" w:hAnsi="宋体" w:cs="宋体" w:eastAsia="宋体" w:hint="default"/>
          <w:spacing w:val="-4"/>
          <w:sz w:val="21"/>
          <w:szCs w:val="21"/>
        </w:rPr>
        <w:t>的应纳税所得额为限。对子公司及联营企业投资相关的暂时性差异产生的递延所得税资产和递延所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得税负债，予以确认。但公司能够控制暂时性差异转回的时间且该暂时性差异在可预见的未来很可</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能不会转回的，不予确认。</w:t>
      </w:r>
    </w:p>
    <w:p>
      <w:pPr>
        <w:spacing w:line="331" w:lineRule="auto" w:before="78"/>
        <w:ind w:left="547" w:right="1557" w:firstLine="19"/>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、经营租赁、融资租赁</w:t>
      </w:r>
      <w:r>
        <w:rPr>
          <w:rFonts w:ascii="宋体" w:hAnsi="宋体" w:cs="宋体" w:eastAsia="宋体" w:hint="default"/>
          <w:b/>
          <w:bCs/>
          <w:w w:val="100"/>
          <w:sz w:val="21"/>
          <w:szCs w:val="21"/>
        </w:rPr>
        <w:t> </w:t>
      </w:r>
      <w:r>
        <w:rPr>
          <w:rFonts w:ascii="宋体" w:hAnsi="宋体" w:cs="宋体" w:eastAsia="宋体" w:hint="default"/>
          <w:spacing w:val="-3"/>
          <w:sz w:val="21"/>
          <w:szCs w:val="21"/>
        </w:rPr>
        <w:t>经营租赁：对于经营租赁的租金，在租赁期内各个期间按照直线法计入相关资产成本或当期收</w:t>
      </w:r>
    </w:p>
    <w:p>
      <w:pPr>
        <w:spacing w:line="259"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益；发生的初始直接费用，应当计入当期损益。</w:t>
      </w:r>
    </w:p>
    <w:p>
      <w:pPr>
        <w:spacing w:line="297" w:lineRule="auto" w:before="107"/>
        <w:ind w:left="144" w:right="1557" w:firstLine="403"/>
        <w:jc w:val="left"/>
        <w:rPr>
          <w:rFonts w:ascii="宋体" w:hAnsi="宋体" w:cs="宋体" w:eastAsia="宋体" w:hint="default"/>
          <w:sz w:val="21"/>
          <w:szCs w:val="21"/>
        </w:rPr>
      </w:pPr>
      <w:r>
        <w:rPr>
          <w:rFonts w:ascii="宋体" w:hAnsi="宋体" w:cs="宋体" w:eastAsia="宋体" w:hint="default"/>
          <w:spacing w:val="-3"/>
          <w:sz w:val="21"/>
          <w:szCs w:val="21"/>
        </w:rPr>
        <w:t>融资租赁：租赁期开始日，承租人应当将租赁开始日租赁资产公允价值与最低租赁付款额现值</w:t>
      </w:r>
      <w:r>
        <w:rPr>
          <w:rFonts w:ascii="宋体" w:hAnsi="宋体" w:cs="宋体" w:eastAsia="宋体" w:hint="default"/>
          <w:w w:val="100"/>
          <w:sz w:val="21"/>
          <w:szCs w:val="21"/>
        </w:rPr>
        <w:t> </w:t>
      </w:r>
      <w:r>
        <w:rPr>
          <w:rFonts w:ascii="宋体" w:hAnsi="宋体" w:cs="宋体" w:eastAsia="宋体" w:hint="default"/>
          <w:spacing w:val="-4"/>
          <w:sz w:val="21"/>
          <w:szCs w:val="21"/>
        </w:rPr>
        <w:t>两者中较低者作为租入资产的入账价值，将最低租赁付款额作为长期应付款的入账价值，其差额作</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为未确认融资费用。承租人在租赁谈判和签订租赁合同过程中发生的</w:t>
      </w:r>
      <w:r>
        <w:rPr>
          <w:rFonts w:ascii="宋体" w:hAnsi="宋体" w:cs="宋体" w:eastAsia="宋体" w:hint="default"/>
          <w:spacing w:val="-4"/>
          <w:sz w:val="21"/>
          <w:szCs w:val="21"/>
        </w:rPr>
        <w:t>,</w:t>
      </w:r>
      <w:r>
        <w:rPr>
          <w:rFonts w:ascii="宋体" w:hAnsi="宋体" w:cs="宋体" w:eastAsia="宋体" w:hint="default"/>
          <w:spacing w:val="-4"/>
          <w:sz w:val="21"/>
          <w:szCs w:val="21"/>
        </w:rPr>
        <w:t>可归属于租赁项目的手续费、</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律师费、差旅费、印花税等初始直接费用</w:t>
      </w:r>
      <w:r>
        <w:rPr>
          <w:rFonts w:ascii="宋体" w:hAnsi="宋体" w:cs="宋体" w:eastAsia="宋体" w:hint="default"/>
          <w:sz w:val="21"/>
          <w:szCs w:val="21"/>
        </w:rPr>
        <w:t>,</w:t>
      </w:r>
      <w:r>
        <w:rPr>
          <w:rFonts w:ascii="宋体" w:hAnsi="宋体" w:cs="宋体" w:eastAsia="宋体" w:hint="default"/>
          <w:sz w:val="21"/>
          <w:szCs w:val="21"/>
        </w:rPr>
        <w:t>应当计入租入资产价值。未确认融资费用采用实际利率</w:t>
      </w:r>
      <w:r>
        <w:rPr>
          <w:rFonts w:ascii="宋体" w:hAnsi="宋体" w:cs="宋体" w:eastAsia="宋体" w:hint="default"/>
          <w:w w:val="100"/>
          <w:sz w:val="21"/>
          <w:szCs w:val="21"/>
        </w:rPr>
        <w:t> </w:t>
      </w:r>
      <w:r>
        <w:rPr>
          <w:rFonts w:ascii="宋体" w:hAnsi="宋体" w:cs="宋体" w:eastAsia="宋体" w:hint="default"/>
          <w:sz w:val="21"/>
          <w:szCs w:val="21"/>
        </w:rPr>
        <w:t>法在租赁期内各个期间进行分摊。</w:t>
      </w:r>
    </w:p>
    <w:p>
      <w:pPr>
        <w:spacing w:line="331" w:lineRule="auto" w:before="78"/>
        <w:ind w:left="547" w:right="1697" w:firstLine="19"/>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4"/>
          <w:sz w:val="21"/>
          <w:szCs w:val="21"/>
        </w:rPr>
        <w:t>职工薪酬主要包括工资、奖金、津贴和补贴、职工福利费、社会保险费及住房公积金、工会经</w:t>
      </w:r>
    </w:p>
    <w:p>
      <w:pPr>
        <w:spacing w:line="259"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费和职工教育经费等其他与获得职工提供的服务相关的支出。</w:t>
      </w:r>
    </w:p>
    <w:p>
      <w:pPr>
        <w:spacing w:line="297" w:lineRule="auto" w:before="106"/>
        <w:ind w:left="144" w:right="1557" w:firstLine="403"/>
        <w:jc w:val="left"/>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w:t>
      </w:r>
      <w:r>
        <w:rPr>
          <w:rFonts w:ascii="宋体" w:hAnsi="宋体" w:cs="宋体" w:eastAsia="宋体" w:hint="default"/>
          <w:w w:val="100"/>
          <w:sz w:val="21"/>
          <w:szCs w:val="21"/>
        </w:rPr>
        <w:t> </w:t>
      </w:r>
      <w:r>
        <w:rPr>
          <w:rFonts w:ascii="宋体" w:hAnsi="宋体" w:cs="宋体" w:eastAsia="宋体" w:hint="default"/>
          <w:sz w:val="21"/>
          <w:szCs w:val="21"/>
        </w:rPr>
        <w:t>本和费用。</w:t>
      </w:r>
    </w:p>
    <w:p>
      <w:pPr>
        <w:spacing w:line="350" w:lineRule="auto" w:before="78"/>
        <w:ind w:left="564" w:right="6029" w:firstLine="2"/>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本年度公司无会计政策、会计估计变更。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 前期会计差错更正</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本年度公司无前期会计差错更正事项。</w:t>
      </w:r>
    </w:p>
    <w:p>
      <w:pPr>
        <w:spacing w:before="137"/>
        <w:ind w:left="144" w:right="1697"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before="111"/>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850" w:footer="956" w:top="1360" w:bottom="1140" w:left="1500" w:right="0"/>
        </w:sectPr>
      </w:pPr>
    </w:p>
    <w:p>
      <w:pPr>
        <w:spacing w:line="240" w:lineRule="auto" w:before="4"/>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846"/>
        <w:gridCol w:w="6767"/>
        <w:gridCol w:w="1260"/>
      </w:tblGrid>
      <w:tr>
        <w:trPr>
          <w:trHeight w:val="330" w:hRule="exact"/>
        </w:trPr>
        <w:tc>
          <w:tcPr>
            <w:tcW w:w="1846" w:type="dxa"/>
            <w:tcBorders>
              <w:top w:val="single" w:sz="20" w:space="0" w:color="000000"/>
              <w:left w:val="single" w:sz="4" w:space="0" w:color="000000"/>
              <w:bottom w:val="single" w:sz="4" w:space="0" w:color="000000"/>
              <w:right w:val="single" w:sz="4" w:space="0" w:color="000000"/>
            </w:tcBorders>
          </w:tcPr>
          <w:p>
            <w:pPr>
              <w:pStyle w:val="TableParagraph"/>
              <w:tabs>
                <w:tab w:pos="1075" w:val="left" w:leader="none"/>
              </w:tabs>
              <w:spacing w:line="270" w:lineRule="exact"/>
              <w:ind w:left="549"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6767"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260" w:type="dxa"/>
            <w:tcBorders>
              <w:top w:val="single" w:sz="20"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319" w:hRule="exact"/>
        </w:trPr>
        <w:tc>
          <w:tcPr>
            <w:tcW w:w="1846" w:type="dxa"/>
            <w:tcBorders>
              <w:top w:val="single" w:sz="4" w:space="0" w:color="000000"/>
              <w:left w:val="single" w:sz="4" w:space="0" w:color="000000"/>
              <w:bottom w:val="nil" w:sz="6" w:space="0" w:color="auto"/>
              <w:right w:val="single" w:sz="4" w:space="0" w:color="000000"/>
            </w:tcBorders>
          </w:tcPr>
          <w:p>
            <w:pPr>
              <w:pStyle w:val="TableParagraph"/>
              <w:tabs>
                <w:tab w:pos="1471" w:val="left" w:leader="none"/>
              </w:tabs>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676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系统集成收入、商品销售收入</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17%</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技术服务收入、租赁收入、其他收入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4"/>
              <w:jc w:val="center"/>
              <w:rPr>
                <w:rFonts w:ascii="宋体" w:hAnsi="宋体" w:cs="宋体" w:eastAsia="宋体" w:hint="default"/>
                <w:sz w:val="21"/>
                <w:szCs w:val="21"/>
              </w:rPr>
            </w:pPr>
            <w:r>
              <w:rPr>
                <w:rFonts w:ascii="宋体"/>
                <w:sz w:val="21"/>
              </w:rPr>
              <w:t>5%</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弱电工程收入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4"/>
              <w:jc w:val="center"/>
              <w:rPr>
                <w:rFonts w:ascii="宋体" w:hAnsi="宋体" w:cs="宋体" w:eastAsia="宋体" w:hint="default"/>
                <w:sz w:val="21"/>
                <w:szCs w:val="21"/>
              </w:rPr>
            </w:pPr>
            <w:r>
              <w:rPr>
                <w:rFonts w:ascii="宋体"/>
                <w:sz w:val="21"/>
              </w:rPr>
              <w:t>3%</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4"/>
              <w:jc w:val="center"/>
              <w:rPr>
                <w:rFonts w:ascii="宋体" w:hAnsi="宋体" w:cs="宋体" w:eastAsia="宋体" w:hint="default"/>
                <w:sz w:val="21"/>
                <w:szCs w:val="21"/>
              </w:rPr>
            </w:pPr>
            <w:r>
              <w:rPr>
                <w:rFonts w:ascii="宋体"/>
                <w:sz w:val="21"/>
              </w:rPr>
              <w:t>7%</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1%</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4"/>
              <w:jc w:val="center"/>
              <w:rPr>
                <w:rFonts w:ascii="宋体" w:hAnsi="宋体" w:cs="宋体" w:eastAsia="宋体" w:hint="default"/>
                <w:sz w:val="21"/>
                <w:szCs w:val="21"/>
              </w:rPr>
            </w:pPr>
            <w:r>
              <w:rPr>
                <w:rFonts w:ascii="宋体"/>
                <w:sz w:val="21"/>
              </w:rPr>
              <w:t>2%</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10%</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4</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东华软件工程有限公司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免征</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泰安东华合创软件有限公司的应纳税所得额</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12.5%</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6</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北京东华合创科技有限公司的应纳税所得额</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15%</w:t>
            </w:r>
          </w:p>
        </w:tc>
      </w:tr>
      <w:tr>
        <w:trPr>
          <w:trHeight w:val="601"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7</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公司的全资子公司</w:t>
            </w:r>
            <w:r>
              <w:rPr>
                <w:rFonts w:ascii="宋体" w:hAnsi="宋体" w:cs="宋体" w:eastAsia="宋体" w:hint="default"/>
                <w:spacing w:val="-4"/>
                <w:sz w:val="21"/>
                <w:szCs w:val="21"/>
              </w:rPr>
              <w:t>-</w:t>
            </w:r>
            <w:r>
              <w:rPr>
                <w:rFonts w:ascii="宋体" w:hAnsi="宋体" w:cs="宋体" w:eastAsia="宋体" w:hint="default"/>
                <w:spacing w:val="-4"/>
                <w:sz w:val="21"/>
                <w:szCs w:val="21"/>
              </w:rPr>
              <w:t>北京联银通科技有限公司、北京神州新桥科技有限公</w:t>
            </w:r>
          </w:p>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司的应纳税所得额</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15%</w:t>
            </w:r>
          </w:p>
        </w:tc>
      </w:tr>
      <w:tr>
        <w:trPr>
          <w:trHeight w:val="300" w:hRule="exact"/>
        </w:trPr>
        <w:tc>
          <w:tcPr>
            <w:tcW w:w="1846" w:type="dxa"/>
            <w:tcBorders>
              <w:top w:val="nil" w:sz="6" w:space="0" w:color="auto"/>
              <w:left w:val="single" w:sz="4" w:space="0" w:color="000000"/>
              <w:bottom w:val="nil" w:sz="6" w:space="0" w:color="auto"/>
              <w:right w:val="single" w:sz="4" w:space="0" w:color="000000"/>
            </w:tcBorders>
          </w:tcPr>
          <w:p>
            <w:pPr>
              <w:pStyle w:val="TableParagraph"/>
              <w:tabs>
                <w:tab w:pos="1471"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企业所得税</w:t>
              <w:tab/>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8</w:t>
            </w:r>
          </w:p>
        </w:tc>
        <w:tc>
          <w:tcPr>
            <w:tcW w:w="67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北京东华合创香港有限公司的应纳税所得额</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16.5%</w:t>
            </w:r>
          </w:p>
        </w:tc>
      </w:tr>
      <w:tr>
        <w:trPr>
          <w:trHeight w:val="2403" w:hRule="exact"/>
        </w:trPr>
        <w:tc>
          <w:tcPr>
            <w:tcW w:w="1846"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767"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公司的控股子公司</w:t>
            </w:r>
            <w:r>
              <w:rPr>
                <w:rFonts w:ascii="宋体" w:hAnsi="宋体" w:cs="宋体" w:eastAsia="宋体" w:hint="default"/>
                <w:spacing w:val="-4"/>
                <w:sz w:val="21"/>
                <w:szCs w:val="21"/>
              </w:rPr>
              <w:t>-</w:t>
            </w:r>
            <w:r>
              <w:rPr>
                <w:rFonts w:ascii="宋体" w:hAnsi="宋体" w:cs="宋体" w:eastAsia="宋体" w:hint="default"/>
                <w:spacing w:val="-4"/>
                <w:sz w:val="21"/>
                <w:szCs w:val="21"/>
              </w:rPr>
              <w:t>广州东华合创数码科技有限公司，公司的全资子公司</w:t>
            </w:r>
          </w:p>
          <w:p>
            <w:pPr>
              <w:pStyle w:val="TableParagraph"/>
              <w:spacing w:line="261" w:lineRule="auto" w:before="25"/>
              <w:ind w:left="103" w:right="-5"/>
              <w:jc w:val="left"/>
              <w:rPr>
                <w:rFonts w:ascii="宋体" w:hAnsi="宋体" w:cs="宋体" w:eastAsia="宋体" w:hint="default"/>
                <w:sz w:val="21"/>
                <w:szCs w:val="21"/>
              </w:rPr>
            </w:pPr>
            <w:r>
              <w:rPr>
                <w:rFonts w:ascii="宋体" w:hAnsi="宋体" w:cs="宋体" w:eastAsia="宋体" w:hint="default"/>
                <w:sz w:val="21"/>
                <w:szCs w:val="21"/>
              </w:rPr>
              <w:t>东华合创软件有限公司、哈尔滨东华软件有限公司、东华软件技术有限</w:t>
            </w:r>
            <w:r>
              <w:rPr>
                <w:rFonts w:ascii="宋体" w:hAnsi="宋体" w:cs="宋体" w:eastAsia="宋体" w:hint="default"/>
                <w:w w:val="100"/>
                <w:sz w:val="21"/>
                <w:szCs w:val="21"/>
              </w:rPr>
              <w:t> </w:t>
            </w:r>
            <w:r>
              <w:rPr>
                <w:rFonts w:ascii="宋体" w:hAnsi="宋体" w:cs="宋体" w:eastAsia="宋体" w:hint="default"/>
                <w:sz w:val="21"/>
                <w:szCs w:val="21"/>
              </w:rPr>
              <w:t>公司、北京东华厚盾软件有限公司、北京东华易时科技有限公司、北京</w:t>
            </w:r>
            <w:r>
              <w:rPr>
                <w:rFonts w:ascii="宋体" w:hAnsi="宋体" w:cs="宋体" w:eastAsia="宋体" w:hint="default"/>
                <w:w w:val="100"/>
                <w:sz w:val="21"/>
                <w:szCs w:val="21"/>
              </w:rPr>
              <w:t> </w:t>
            </w:r>
            <w:r>
              <w:rPr>
                <w:rFonts w:ascii="宋体" w:hAnsi="宋体" w:cs="宋体" w:eastAsia="宋体" w:hint="default"/>
                <w:sz w:val="21"/>
                <w:szCs w:val="21"/>
              </w:rPr>
              <w:t>东华软件开发有限公司、北京东方易维软件有限公司、北京卓讯科信技</w:t>
            </w:r>
            <w:r>
              <w:rPr>
                <w:rFonts w:ascii="宋体" w:hAnsi="宋体" w:cs="宋体" w:eastAsia="宋体" w:hint="default"/>
                <w:w w:val="100"/>
                <w:sz w:val="21"/>
                <w:szCs w:val="21"/>
              </w:rPr>
              <w:t> </w:t>
            </w:r>
            <w:r>
              <w:rPr>
                <w:rFonts w:ascii="宋体" w:hAnsi="宋体" w:cs="宋体" w:eastAsia="宋体" w:hint="default"/>
                <w:sz w:val="21"/>
                <w:szCs w:val="21"/>
              </w:rPr>
              <w:t>术有限公司，北京厚盾科技有限公司、沈阳东华合创科技有限公司、西</w:t>
            </w:r>
            <w:r>
              <w:rPr>
                <w:rFonts w:ascii="宋体" w:hAnsi="宋体" w:cs="宋体" w:eastAsia="宋体" w:hint="default"/>
                <w:w w:val="100"/>
                <w:sz w:val="21"/>
                <w:szCs w:val="21"/>
              </w:rPr>
              <w:t> </w:t>
            </w:r>
            <w:r>
              <w:rPr>
                <w:rFonts w:ascii="宋体" w:hAnsi="宋体" w:cs="宋体" w:eastAsia="宋体" w:hint="default"/>
                <w:spacing w:val="-4"/>
                <w:sz w:val="21"/>
                <w:szCs w:val="21"/>
              </w:rPr>
              <w:t>安东华软件有限公司、南昌东华软件有限公司、山西东华软件有限公司，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公司的孙子公司</w:t>
            </w:r>
            <w:r>
              <w:rPr>
                <w:rFonts w:ascii="宋体" w:hAnsi="宋体" w:cs="宋体" w:eastAsia="宋体" w:hint="default"/>
                <w:spacing w:val="-4"/>
                <w:sz w:val="21"/>
                <w:szCs w:val="21"/>
              </w:rPr>
              <w:t>-</w:t>
            </w:r>
            <w:r>
              <w:rPr>
                <w:rFonts w:ascii="宋体" w:hAnsi="宋体" w:cs="宋体" w:eastAsia="宋体" w:hint="default"/>
                <w:spacing w:val="-4"/>
                <w:sz w:val="21"/>
                <w:szCs w:val="21"/>
              </w:rPr>
              <w:t>北京厚盾鸿远科技有限公司、北京神州新桥软件技术有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限公司的应纳税所得额。</w:t>
            </w:r>
          </w:p>
        </w:tc>
        <w:tc>
          <w:tcPr>
            <w:tcW w:w="126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25%</w:t>
            </w:r>
          </w:p>
        </w:tc>
      </w:tr>
    </w:tbl>
    <w:p>
      <w:pPr>
        <w:spacing w:before="26"/>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、税率优惠政策及批文</w:t>
      </w:r>
      <w:r>
        <w:rPr>
          <w:rFonts w:ascii="宋体" w:hAnsi="宋体" w:cs="宋体" w:eastAsia="宋体" w:hint="default"/>
          <w:sz w:val="21"/>
          <w:szCs w:val="21"/>
        </w:rPr>
      </w:r>
    </w:p>
    <w:p>
      <w:pPr>
        <w:spacing w:line="285" w:lineRule="auto" w:before="90"/>
        <w:ind w:left="124" w:right="1634"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1</w:t>
      </w:r>
      <w:r>
        <w:rPr>
          <w:rFonts w:ascii="宋体" w:hAnsi="宋体" w:cs="宋体" w:eastAsia="宋体" w:hint="default"/>
          <w:sz w:val="21"/>
          <w:szCs w:val="21"/>
        </w:rPr>
        <w:t>、依据国务院下发的《国务院关于印发进一步鼓励软件产业和集成电路产业发展若干政策</w:t>
      </w:r>
      <w:r>
        <w:rPr>
          <w:rFonts w:ascii="宋体" w:hAnsi="宋体" w:cs="宋体" w:eastAsia="宋体" w:hint="default"/>
          <w:w w:val="100"/>
          <w:sz w:val="21"/>
          <w:szCs w:val="21"/>
        </w:rPr>
        <w:t> </w:t>
      </w:r>
      <w:r>
        <w:rPr>
          <w:rFonts w:ascii="宋体" w:hAnsi="宋体" w:cs="宋体" w:eastAsia="宋体" w:hint="default"/>
          <w:spacing w:val="-2"/>
          <w:sz w:val="21"/>
          <w:szCs w:val="21"/>
        </w:rPr>
        <w:t>的通知》（国发</w:t>
      </w:r>
      <w:r>
        <w:rPr>
          <w:rFonts w:ascii="宋体" w:hAnsi="宋体" w:cs="宋体" w:eastAsia="宋体" w:hint="default"/>
          <w:spacing w:val="-2"/>
          <w:sz w:val="21"/>
          <w:szCs w:val="21"/>
        </w:rPr>
        <w:t>[2011]4</w:t>
      </w:r>
      <w:r>
        <w:rPr>
          <w:rFonts w:ascii="宋体" w:hAnsi="宋体" w:cs="宋体" w:eastAsia="宋体" w:hint="default"/>
          <w:sz w:val="21"/>
          <w:szCs w:val="21"/>
        </w:rPr>
        <w:t> </w:t>
      </w:r>
      <w:r>
        <w:rPr>
          <w:rFonts w:ascii="宋体" w:hAnsi="宋体" w:cs="宋体" w:eastAsia="宋体" w:hint="default"/>
          <w:spacing w:val="-2"/>
          <w:sz w:val="21"/>
          <w:szCs w:val="21"/>
        </w:rPr>
        <w:t>号）的规定，以及财政部、国家税务总局联合下发的《财政部、国家税务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总局关于软件产品增值税政策的通知》（财税</w:t>
      </w:r>
      <w:r>
        <w:rPr>
          <w:rFonts w:ascii="宋体" w:hAnsi="宋体" w:cs="宋体" w:eastAsia="宋体" w:hint="default"/>
          <w:sz w:val="21"/>
          <w:szCs w:val="21"/>
        </w:rPr>
        <w:t>[2011]100</w:t>
      </w:r>
      <w:r>
        <w:rPr>
          <w:rFonts w:ascii="宋体" w:hAnsi="宋体" w:cs="宋体" w:eastAsia="宋体" w:hint="default"/>
          <w:spacing w:val="-55"/>
          <w:sz w:val="21"/>
          <w:szCs w:val="21"/>
        </w:rPr>
        <w:t> </w:t>
      </w:r>
      <w:r>
        <w:rPr>
          <w:rFonts w:ascii="宋体" w:hAnsi="宋体" w:cs="宋体" w:eastAsia="宋体" w:hint="default"/>
          <w:sz w:val="21"/>
          <w:szCs w:val="21"/>
        </w:rPr>
        <w:t>号）的规定，自</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日起，公</w:t>
      </w:r>
      <w:r>
        <w:rPr>
          <w:rFonts w:ascii="宋体" w:hAnsi="宋体" w:cs="宋体" w:eastAsia="宋体" w:hint="default"/>
          <w:w w:val="100"/>
          <w:sz w:val="21"/>
          <w:szCs w:val="21"/>
        </w:rPr>
        <w:t> </w:t>
      </w:r>
      <w:r>
        <w:rPr>
          <w:rFonts w:ascii="宋体" w:hAnsi="宋体" w:cs="宋体" w:eastAsia="宋体" w:hint="default"/>
          <w:spacing w:val="-2"/>
          <w:sz w:val="21"/>
          <w:szCs w:val="21"/>
        </w:rPr>
        <w:t>司及公司的全资子公司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北京东华合创科技有限公司、东华软件工程有限公司、泰安东华合创软件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有限公司、北京东方易维软件有限公司销售自行开发生产的软件产品，按 </w:t>
      </w:r>
      <w:r>
        <w:rPr>
          <w:rFonts w:ascii="宋体" w:hAnsi="宋体" w:cs="宋体" w:eastAsia="宋体" w:hint="default"/>
          <w:sz w:val="21"/>
          <w:szCs w:val="21"/>
        </w:rPr>
        <w:t>17%</w:t>
      </w:r>
      <w:r>
        <w:rPr>
          <w:rFonts w:ascii="宋体" w:hAnsi="宋体" w:cs="宋体" w:eastAsia="宋体" w:hint="default"/>
          <w:sz w:val="21"/>
          <w:szCs w:val="21"/>
        </w:rPr>
        <w:t>的法定税率征收增值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税后，享受增值税实际税负超过</w:t>
      </w:r>
      <w:r>
        <w:rPr>
          <w:rFonts w:ascii="宋体" w:hAnsi="宋体" w:cs="宋体" w:eastAsia="宋体" w:hint="default"/>
          <w:spacing w:val="3"/>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的部分实行即征即退的优惠政策。</w:t>
      </w:r>
    </w:p>
    <w:p>
      <w:pPr>
        <w:spacing w:line="285" w:lineRule="auto" w:before="50"/>
        <w:ind w:left="124" w:right="1265" w:firstLine="419"/>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z w:val="21"/>
          <w:szCs w:val="21"/>
        </w:rPr>
        <w:t>、根据财税字</w:t>
      </w:r>
      <w:r>
        <w:rPr>
          <w:rFonts w:ascii="宋体" w:hAnsi="宋体" w:cs="宋体" w:eastAsia="宋体" w:hint="default"/>
          <w:sz w:val="21"/>
          <w:szCs w:val="21"/>
        </w:rPr>
        <w:t>[1999]273</w:t>
      </w:r>
      <w:r>
        <w:rPr>
          <w:rFonts w:ascii="宋体" w:hAnsi="宋体" w:cs="宋体" w:eastAsia="宋体" w:hint="default"/>
          <w:spacing w:val="-57"/>
          <w:sz w:val="21"/>
          <w:szCs w:val="21"/>
        </w:rPr>
        <w:t> </w:t>
      </w:r>
      <w:r>
        <w:rPr>
          <w:rFonts w:ascii="宋体" w:hAnsi="宋体" w:cs="宋体" w:eastAsia="宋体" w:hint="default"/>
          <w:sz w:val="21"/>
          <w:szCs w:val="21"/>
        </w:rPr>
        <w:t>号文件《关于贯彻落实中共中央国务院关于加强技术创新，发展</w:t>
      </w:r>
      <w:r>
        <w:rPr>
          <w:rFonts w:ascii="宋体" w:hAnsi="宋体" w:cs="宋体" w:eastAsia="宋体" w:hint="default"/>
          <w:w w:val="100"/>
          <w:sz w:val="21"/>
          <w:szCs w:val="21"/>
        </w:rPr>
        <w:t> </w:t>
      </w:r>
      <w:r>
        <w:rPr>
          <w:rFonts w:ascii="宋体" w:hAnsi="宋体" w:cs="宋体" w:eastAsia="宋体" w:hint="default"/>
          <w:spacing w:val="-4"/>
          <w:sz w:val="21"/>
          <w:szCs w:val="21"/>
        </w:rPr>
        <w:t>高科技，实现产业化的决定有关税收问题的通知》中的规定，即“对单位和个人从事技术转让、技</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术开发业务和与之相关的技术咨询、技术服务业务取得的收入，免征营业税”，公司从事技术开发</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业务取得的收入免征营业税。</w:t>
      </w:r>
    </w:p>
    <w:p>
      <w:pPr>
        <w:spacing w:line="285" w:lineRule="auto" w:before="50"/>
        <w:ind w:left="124" w:right="152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3</w:t>
      </w:r>
      <w:r>
        <w:rPr>
          <w:rFonts w:ascii="宋体" w:hAnsi="宋体" w:cs="宋体" w:eastAsia="宋体" w:hint="default"/>
          <w:sz w:val="21"/>
          <w:szCs w:val="21"/>
        </w:rPr>
        <w:t>、公司通过了</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年高新技术企业复审，并收到北京市科学技术委员会、北京市财政局、</w:t>
      </w:r>
      <w:r>
        <w:rPr>
          <w:rFonts w:ascii="宋体" w:hAnsi="宋体" w:cs="宋体" w:eastAsia="宋体" w:hint="default"/>
          <w:w w:val="100"/>
          <w:sz w:val="21"/>
          <w:szCs w:val="21"/>
        </w:rPr>
        <w:t> </w:t>
      </w:r>
      <w:r>
        <w:rPr>
          <w:rFonts w:ascii="宋体" w:hAnsi="宋体" w:cs="宋体" w:eastAsia="宋体" w:hint="default"/>
          <w:spacing w:val="-7"/>
          <w:w w:val="100"/>
          <w:sz w:val="21"/>
          <w:szCs w:val="21"/>
        </w:rPr>
        <w:t>北京市国家税务局、北京市地方税务局联合下发的高新技术企业证书，证书编号：</w:t>
      </w:r>
      <w:r>
        <w:rPr>
          <w:rFonts w:ascii="宋体" w:hAnsi="宋体" w:cs="宋体" w:eastAsia="宋体" w:hint="default"/>
          <w:spacing w:val="-7"/>
          <w:w w:val="100"/>
          <w:sz w:val="21"/>
          <w:szCs w:val="21"/>
        </w:rPr>
        <w:t>GF201111001622</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有效期三年。根据相关规定，通过高新技术企业复审后，自</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年起，连续三年继续享受国家关</w:t>
      </w:r>
      <w:r>
        <w:rPr>
          <w:rFonts w:ascii="宋体" w:hAnsi="宋体" w:cs="宋体" w:eastAsia="宋体" w:hint="default"/>
          <w:w w:val="100"/>
          <w:sz w:val="21"/>
          <w:szCs w:val="21"/>
        </w:rPr>
        <w:t> </w:t>
      </w:r>
      <w:r>
        <w:rPr>
          <w:rFonts w:ascii="宋体" w:hAnsi="宋体" w:cs="宋体" w:eastAsia="宋体" w:hint="default"/>
          <w:spacing w:val="-4"/>
          <w:sz w:val="21"/>
          <w:szCs w:val="21"/>
        </w:rPr>
        <w:t>于高新技术企业的相关优惠政策。另外，根据中华人民共和国国家发展和改革委员会、工业和信息</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化部、商务部、国家税务总局联合下发的《关于公布</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12"/>
          <w:sz w:val="21"/>
          <w:szCs w:val="21"/>
        </w:rPr>
        <w:t> </w:t>
      </w:r>
      <w:r>
        <w:rPr>
          <w:rFonts w:ascii="宋体" w:hAnsi="宋体" w:cs="宋体" w:eastAsia="宋体" w:hint="default"/>
          <w:sz w:val="21"/>
          <w:szCs w:val="21"/>
        </w:rPr>
        <w:t>年度国家规划布局内重点软件企业名单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的通知》（发改高技</w:t>
      </w:r>
      <w:r>
        <w:rPr>
          <w:rFonts w:ascii="宋体" w:hAnsi="宋体" w:cs="宋体" w:eastAsia="宋体" w:hint="default"/>
          <w:spacing w:val="-4"/>
          <w:sz w:val="21"/>
          <w:szCs w:val="21"/>
        </w:rPr>
        <w:t>[2011]342</w:t>
      </w:r>
      <w:r>
        <w:rPr>
          <w:rFonts w:ascii="宋体" w:hAnsi="宋体" w:cs="宋体" w:eastAsia="宋体" w:hint="default"/>
          <w:spacing w:val="18"/>
          <w:sz w:val="21"/>
          <w:szCs w:val="21"/>
        </w:rPr>
        <w:t> </w:t>
      </w:r>
      <w:r>
        <w:rPr>
          <w:rFonts w:ascii="宋体" w:hAnsi="宋体" w:cs="宋体" w:eastAsia="宋体" w:hint="default"/>
          <w:spacing w:val="-4"/>
          <w:sz w:val="21"/>
          <w:szCs w:val="21"/>
        </w:rPr>
        <w:t>号），公司被认定为“2010</w:t>
      </w:r>
      <w:r>
        <w:rPr>
          <w:rFonts w:ascii="宋体" w:hAnsi="宋体" w:cs="宋体" w:eastAsia="宋体" w:hint="default"/>
          <w:spacing w:val="18"/>
          <w:sz w:val="21"/>
          <w:szCs w:val="21"/>
        </w:rPr>
        <w:t> </w:t>
      </w:r>
      <w:r>
        <w:rPr>
          <w:rFonts w:ascii="宋体" w:hAnsi="宋体" w:cs="宋体" w:eastAsia="宋体" w:hint="default"/>
          <w:sz w:val="21"/>
          <w:szCs w:val="21"/>
        </w:rPr>
        <w:t>年度国家规划布局内重点软件企业”，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根据《财政部、国家税务总局关于企业所得税若干优惠政策的通知》（财税</w:t>
      </w:r>
      <w:r>
        <w:rPr>
          <w:rFonts w:ascii="宋体" w:hAnsi="宋体" w:cs="宋体" w:eastAsia="宋体" w:hint="default"/>
          <w:spacing w:val="-2"/>
          <w:sz w:val="21"/>
          <w:szCs w:val="21"/>
        </w:rPr>
        <w:t>[2008]1</w:t>
      </w:r>
      <w:r>
        <w:rPr>
          <w:rFonts w:ascii="宋体" w:hAnsi="宋体" w:cs="宋体" w:eastAsia="宋体" w:hint="default"/>
          <w:spacing w:val="28"/>
          <w:sz w:val="21"/>
          <w:szCs w:val="21"/>
        </w:rPr>
        <w:t> </w:t>
      </w:r>
      <w:r>
        <w:rPr>
          <w:rFonts w:ascii="宋体" w:hAnsi="宋体" w:cs="宋体" w:eastAsia="宋体" w:hint="default"/>
          <w:spacing w:val="-1"/>
          <w:sz w:val="21"/>
          <w:szCs w:val="21"/>
        </w:rPr>
        <w:t>号）的规定，</w:t>
      </w:r>
    </w:p>
    <w:p>
      <w:pPr>
        <w:spacing w:after="0" w:line="285" w:lineRule="auto"/>
        <w:jc w:val="left"/>
        <w:rPr>
          <w:rFonts w:ascii="宋体" w:hAnsi="宋体" w:cs="宋体" w:eastAsia="宋体" w:hint="default"/>
          <w:sz w:val="21"/>
          <w:szCs w:val="21"/>
        </w:rPr>
        <w:sectPr>
          <w:pgSz w:w="12240" w:h="15840"/>
          <w:pgMar w:header="850" w:footer="956" w:top="1360" w:bottom="1140" w:left="1520" w:right="0"/>
        </w:sectPr>
      </w:pPr>
    </w:p>
    <w:p>
      <w:pPr>
        <w:spacing w:before="15"/>
        <w:ind w:left="144" w:right="0" w:firstLine="0"/>
        <w:jc w:val="both"/>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600"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公司</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年度减按</w:t>
      </w:r>
      <w:r>
        <w:rPr>
          <w:rFonts w:ascii="宋体" w:hAnsi="宋体" w:cs="宋体" w:eastAsia="宋体" w:hint="default"/>
          <w:spacing w:val="-44"/>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的税率缴纳企业所得税。至本财务报表报出日，公司尚未获得</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年度关</w:t>
      </w:r>
    </w:p>
    <w:p>
      <w:pPr>
        <w:spacing w:line="285" w:lineRule="auto" w:before="52"/>
        <w:ind w:left="144" w:right="1661" w:firstLine="0"/>
        <w:jc w:val="both"/>
        <w:rPr>
          <w:rFonts w:ascii="宋体" w:hAnsi="宋体" w:cs="宋体" w:eastAsia="宋体" w:hint="default"/>
          <w:sz w:val="21"/>
          <w:szCs w:val="21"/>
        </w:rPr>
      </w:pPr>
      <w:r>
        <w:rPr>
          <w:rFonts w:ascii="宋体" w:hAnsi="宋体" w:cs="宋体" w:eastAsia="宋体" w:hint="default"/>
          <w:sz w:val="21"/>
          <w:szCs w:val="21"/>
        </w:rPr>
        <w:t>于国家规划布局内重点软件企业的认定通知，但公司认为于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年度，公司能够满足认定管理办</w:t>
      </w:r>
      <w:r>
        <w:rPr>
          <w:rFonts w:ascii="宋体" w:hAnsi="宋体" w:cs="宋体" w:eastAsia="宋体" w:hint="default"/>
          <w:w w:val="100"/>
          <w:sz w:val="21"/>
          <w:szCs w:val="21"/>
        </w:rPr>
        <w:t> </w:t>
      </w:r>
      <w:r>
        <w:rPr>
          <w:rFonts w:ascii="宋体" w:hAnsi="宋体" w:cs="宋体" w:eastAsia="宋体" w:hint="default"/>
          <w:sz w:val="21"/>
          <w:szCs w:val="21"/>
        </w:rPr>
        <w:t>法中关于国家规划布局内重点软件企业的认定条件，因此</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年度仍按照</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的税率计缴企业所</w:t>
      </w:r>
      <w:r>
        <w:rPr>
          <w:rFonts w:ascii="宋体" w:hAnsi="宋体" w:cs="宋体" w:eastAsia="宋体" w:hint="default"/>
          <w:w w:val="100"/>
          <w:sz w:val="21"/>
          <w:szCs w:val="21"/>
        </w:rPr>
        <w:t> </w:t>
      </w:r>
      <w:r>
        <w:rPr>
          <w:rFonts w:ascii="宋体" w:hAnsi="宋体" w:cs="宋体" w:eastAsia="宋体" w:hint="default"/>
          <w:sz w:val="21"/>
          <w:szCs w:val="21"/>
        </w:rPr>
        <w:t>得税。</w:t>
      </w:r>
    </w:p>
    <w:p>
      <w:pPr>
        <w:spacing w:line="285" w:lineRule="auto" w:before="52"/>
        <w:ind w:left="144" w:right="1608"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4</w:t>
      </w: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东华软件工程有限公司于</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日被认定为软件企业，根</w:t>
      </w:r>
      <w:r>
        <w:rPr>
          <w:rFonts w:ascii="宋体" w:hAnsi="宋体" w:cs="宋体" w:eastAsia="宋体" w:hint="default"/>
          <w:w w:val="100"/>
          <w:sz w:val="21"/>
          <w:szCs w:val="21"/>
        </w:rPr>
        <w:t> </w:t>
      </w:r>
      <w:r>
        <w:rPr>
          <w:rFonts w:ascii="宋体" w:hAnsi="宋体" w:cs="宋体" w:eastAsia="宋体" w:hint="default"/>
          <w:spacing w:val="-2"/>
          <w:sz w:val="21"/>
          <w:szCs w:val="21"/>
        </w:rPr>
        <w:t>据《财政部、国家税务总局关于企业所得税若干优惠政策的通知》（财税〔</w:t>
      </w:r>
      <w:r>
        <w:rPr>
          <w:rFonts w:ascii="宋体" w:hAnsi="宋体" w:cs="宋体" w:eastAsia="宋体" w:hint="default"/>
          <w:spacing w:val="-2"/>
          <w:sz w:val="21"/>
          <w:szCs w:val="21"/>
        </w:rPr>
        <w:t>2008</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z w:val="21"/>
          <w:szCs w:val="21"/>
        </w:rPr>
        <w:t> </w:t>
      </w:r>
      <w:r>
        <w:rPr>
          <w:rFonts w:ascii="宋体" w:hAnsi="宋体" w:cs="宋体" w:eastAsia="宋体" w:hint="default"/>
          <w:spacing w:val="-1"/>
          <w:sz w:val="21"/>
          <w:szCs w:val="21"/>
        </w:rPr>
        <w:t>号）的规定，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我国境内新办软件生产企业经认定后，自获利年度起，第一年和第二年免征企业所得税，第三年至</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第五年减半征收企业所得税。东华软件工程有限公司</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年度免征企业所得税。</w:t>
      </w:r>
    </w:p>
    <w:p>
      <w:pPr>
        <w:spacing w:line="285" w:lineRule="auto" w:before="50"/>
        <w:ind w:left="144" w:right="155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泰安东华合创软件有限公司为软件生产企业，根据《财政部、国家税</w:t>
      </w:r>
      <w:r>
        <w:rPr>
          <w:rFonts w:ascii="宋体" w:hAnsi="宋体" w:cs="宋体" w:eastAsia="宋体" w:hint="default"/>
          <w:w w:val="100"/>
          <w:sz w:val="21"/>
          <w:szCs w:val="21"/>
        </w:rPr>
        <w:t> </w:t>
      </w:r>
      <w:r>
        <w:rPr>
          <w:rFonts w:ascii="宋体" w:hAnsi="宋体" w:cs="宋体" w:eastAsia="宋体" w:hint="default"/>
          <w:sz w:val="21"/>
          <w:szCs w:val="21"/>
        </w:rPr>
        <w:t>务总局关于执行企业所得税优惠政策若干问题的通知》（财税〔</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69</w:t>
      </w:r>
      <w:r>
        <w:rPr>
          <w:rFonts w:ascii="宋体" w:hAnsi="宋体" w:cs="宋体" w:eastAsia="宋体" w:hint="default"/>
          <w:spacing w:val="-56"/>
          <w:sz w:val="21"/>
          <w:szCs w:val="21"/>
        </w:rPr>
        <w:t> </w:t>
      </w:r>
      <w:r>
        <w:rPr>
          <w:rFonts w:ascii="宋体" w:hAnsi="宋体" w:cs="宋体" w:eastAsia="宋体" w:hint="default"/>
          <w:sz w:val="21"/>
          <w:szCs w:val="21"/>
        </w:rPr>
        <w:t>号）的规定，公司经认</w:t>
      </w:r>
      <w:r>
        <w:rPr>
          <w:rFonts w:ascii="宋体" w:hAnsi="宋体" w:cs="宋体" w:eastAsia="宋体" w:hint="default"/>
          <w:w w:val="100"/>
          <w:sz w:val="21"/>
          <w:szCs w:val="21"/>
        </w:rPr>
        <w:t> </w:t>
      </w:r>
      <w:r>
        <w:rPr>
          <w:rFonts w:ascii="宋体" w:hAnsi="宋体" w:cs="宋体" w:eastAsia="宋体" w:hint="default"/>
          <w:sz w:val="21"/>
          <w:szCs w:val="21"/>
        </w:rPr>
        <w:t>定为“</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年底前设立的软件生产企业和集成电路生产企业”，按《财政部、国家税务总局关于</w:t>
      </w:r>
      <w:r>
        <w:rPr>
          <w:rFonts w:ascii="宋体" w:hAnsi="宋体" w:cs="宋体" w:eastAsia="宋体" w:hint="default"/>
          <w:w w:val="100"/>
          <w:sz w:val="21"/>
          <w:szCs w:val="21"/>
        </w:rPr>
        <w:t> </w:t>
      </w:r>
      <w:r>
        <w:rPr>
          <w:rFonts w:ascii="宋体" w:hAnsi="宋体" w:cs="宋体" w:eastAsia="宋体" w:hint="default"/>
          <w:sz w:val="21"/>
          <w:szCs w:val="21"/>
        </w:rPr>
        <w:t>企业所得税若干优惠政策的通知》（财税</w:t>
      </w:r>
      <w:r>
        <w:rPr>
          <w:rFonts w:ascii="宋体" w:hAnsi="宋体" w:cs="宋体" w:eastAsia="宋体" w:hint="default"/>
          <w:sz w:val="21"/>
          <w:szCs w:val="21"/>
        </w:rPr>
        <w:t>[2008]1</w:t>
      </w:r>
      <w:r>
        <w:rPr>
          <w:rFonts w:ascii="宋体" w:hAnsi="宋体" w:cs="宋体" w:eastAsia="宋体" w:hint="default"/>
          <w:spacing w:val="-57"/>
          <w:sz w:val="21"/>
          <w:szCs w:val="21"/>
        </w:rPr>
        <w:t> </w:t>
      </w:r>
      <w:r>
        <w:rPr>
          <w:rFonts w:ascii="宋体" w:hAnsi="宋体" w:cs="宋体" w:eastAsia="宋体" w:hint="default"/>
          <w:sz w:val="21"/>
          <w:szCs w:val="21"/>
        </w:rPr>
        <w:t>号）的规定</w:t>
      </w:r>
      <w:r>
        <w:rPr>
          <w:rFonts w:ascii="宋体" w:hAnsi="宋体" w:cs="宋体" w:eastAsia="宋体" w:hint="default"/>
          <w:sz w:val="21"/>
          <w:szCs w:val="21"/>
        </w:rPr>
        <w:t>,</w:t>
      </w:r>
      <w:r>
        <w:rPr>
          <w:rFonts w:ascii="宋体" w:hAnsi="宋体" w:cs="宋体" w:eastAsia="宋体" w:hint="default"/>
          <w:sz w:val="21"/>
          <w:szCs w:val="21"/>
        </w:rPr>
        <w:t>享受企业所得税定期减免税优惠政</w:t>
      </w:r>
      <w:r>
        <w:rPr>
          <w:rFonts w:ascii="宋体" w:hAnsi="宋体" w:cs="宋体" w:eastAsia="宋体" w:hint="default"/>
          <w:w w:val="100"/>
          <w:sz w:val="21"/>
          <w:szCs w:val="21"/>
        </w:rPr>
        <w:t> </w:t>
      </w:r>
      <w:r>
        <w:rPr>
          <w:rFonts w:ascii="宋体" w:hAnsi="宋体" w:cs="宋体" w:eastAsia="宋体" w:hint="default"/>
          <w:sz w:val="21"/>
          <w:szCs w:val="21"/>
        </w:rPr>
        <w:t>策。经泰安市高新技术产业开发区国家税务局备案，泰安东华合创软件有限公司自</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p>
    <w:p>
      <w:pPr>
        <w:spacing w:line="288" w:lineRule="auto" w:before="11"/>
        <w:ind w:left="144" w:right="1663" w:firstLine="0"/>
        <w:jc w:val="both"/>
        <w:rPr>
          <w:rFonts w:ascii="宋体" w:hAnsi="宋体" w:cs="宋体" w:eastAsia="宋体" w:hint="default"/>
          <w:sz w:val="21"/>
          <w:szCs w:val="21"/>
        </w:rPr>
      </w:pP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日止免征企业所得税，自</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日止减半</w:t>
      </w:r>
      <w:r>
        <w:rPr>
          <w:rFonts w:ascii="宋体" w:hAnsi="宋体" w:cs="宋体" w:eastAsia="宋体" w:hint="default"/>
          <w:w w:val="100"/>
          <w:sz w:val="21"/>
          <w:szCs w:val="21"/>
        </w:rPr>
        <w:t> </w:t>
      </w:r>
      <w:r>
        <w:rPr>
          <w:rFonts w:ascii="宋体" w:hAnsi="宋体" w:cs="宋体" w:eastAsia="宋体" w:hint="default"/>
          <w:sz w:val="21"/>
          <w:szCs w:val="21"/>
        </w:rPr>
        <w:t>征收企业所得税。</w:t>
      </w:r>
    </w:p>
    <w:p>
      <w:pPr>
        <w:spacing w:line="285" w:lineRule="auto" w:before="48"/>
        <w:ind w:left="144" w:right="155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6</w:t>
      </w: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北京东华合创科技有限公司通过了</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年高新技术企业复审，并收</w:t>
      </w:r>
      <w:r>
        <w:rPr>
          <w:rFonts w:ascii="宋体" w:hAnsi="宋体" w:cs="宋体" w:eastAsia="宋体" w:hint="default"/>
          <w:w w:val="100"/>
          <w:sz w:val="21"/>
          <w:szCs w:val="21"/>
        </w:rPr>
        <w:t> </w:t>
      </w:r>
      <w:r>
        <w:rPr>
          <w:rFonts w:ascii="宋体" w:hAnsi="宋体" w:cs="宋体" w:eastAsia="宋体" w:hint="default"/>
          <w:spacing w:val="-4"/>
          <w:sz w:val="21"/>
          <w:szCs w:val="21"/>
        </w:rPr>
        <w:t>到北京市科学技术委员会、北京市财政局、北京市国家税务局、北京市地方税务局联合下发的高新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技术企业证书，证书编号：</w:t>
      </w:r>
      <w:r>
        <w:rPr>
          <w:rFonts w:ascii="宋体" w:hAnsi="宋体" w:cs="宋体" w:eastAsia="宋体" w:hint="default"/>
          <w:sz w:val="21"/>
          <w:szCs w:val="21"/>
        </w:rPr>
        <w:t>GF201111001691</w:t>
      </w:r>
      <w:r>
        <w:rPr>
          <w:rFonts w:ascii="宋体" w:hAnsi="宋体" w:cs="宋体" w:eastAsia="宋体" w:hint="default"/>
          <w:spacing w:val="-6"/>
          <w:sz w:val="21"/>
          <w:szCs w:val="21"/>
        </w:rPr>
        <w:t> </w:t>
      </w:r>
      <w:r>
        <w:rPr>
          <w:rFonts w:ascii="宋体" w:hAnsi="宋体" w:cs="宋体" w:eastAsia="宋体" w:hint="default"/>
          <w:sz w:val="21"/>
          <w:szCs w:val="21"/>
        </w:rPr>
        <w:t>，有效期三年。根据相关规定，通过高新技术企业复</w:t>
      </w:r>
      <w:r>
        <w:rPr>
          <w:rFonts w:ascii="宋体" w:hAnsi="宋体" w:cs="宋体" w:eastAsia="宋体" w:hint="default"/>
          <w:w w:val="100"/>
          <w:sz w:val="21"/>
          <w:szCs w:val="21"/>
        </w:rPr>
        <w:t> </w:t>
      </w:r>
      <w:r>
        <w:rPr>
          <w:rFonts w:ascii="宋体" w:hAnsi="宋体" w:cs="宋体" w:eastAsia="宋体" w:hint="default"/>
          <w:sz w:val="21"/>
          <w:szCs w:val="21"/>
        </w:rPr>
        <w:t>审后，自</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年起，连续三年继续享受国家关于高新技术企业的相关优惠政策，同时根据原依法</w:t>
      </w:r>
      <w:r>
        <w:rPr>
          <w:rFonts w:ascii="宋体" w:hAnsi="宋体" w:cs="宋体" w:eastAsia="宋体" w:hint="default"/>
          <w:w w:val="100"/>
          <w:sz w:val="21"/>
          <w:szCs w:val="21"/>
        </w:rPr>
        <w:t> </w:t>
      </w:r>
      <w:r>
        <w:rPr>
          <w:rFonts w:ascii="宋体" w:hAnsi="宋体" w:cs="宋体" w:eastAsia="宋体" w:hint="default"/>
          <w:spacing w:val="-4"/>
          <w:sz w:val="21"/>
          <w:szCs w:val="21"/>
        </w:rPr>
        <w:t>享受企业所得税定期减免税优惠尚未期满同时符合规定条件的高新技术企业，对尚未到期的定期减</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免税优惠执行到期满的过渡政策，自</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日减半征收，即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w w:val="100"/>
          <w:sz w:val="21"/>
          <w:szCs w:val="21"/>
        </w:rPr>
        <w:t> </w:t>
      </w:r>
      <w:r>
        <w:rPr>
          <w:rFonts w:ascii="宋体" w:hAnsi="宋体" w:cs="宋体" w:eastAsia="宋体" w:hint="default"/>
          <w:sz w:val="21"/>
          <w:szCs w:val="21"/>
        </w:rPr>
        <w:t>年度企业所得税按</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的税率减半征收。</w:t>
      </w:r>
    </w:p>
    <w:p>
      <w:pPr>
        <w:spacing w:line="285" w:lineRule="auto" w:before="52"/>
        <w:ind w:left="144" w:right="155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7</w:t>
      </w: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北京联银通科技有限公司通过了</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年高新技术企业复审，并收到</w:t>
      </w:r>
      <w:r>
        <w:rPr>
          <w:rFonts w:ascii="宋体" w:hAnsi="宋体" w:cs="宋体" w:eastAsia="宋体" w:hint="default"/>
          <w:w w:val="100"/>
          <w:sz w:val="21"/>
          <w:szCs w:val="21"/>
        </w:rPr>
        <w:t> </w:t>
      </w:r>
      <w:r>
        <w:rPr>
          <w:rFonts w:ascii="宋体" w:hAnsi="宋体" w:cs="宋体" w:eastAsia="宋体" w:hint="default"/>
          <w:spacing w:val="-4"/>
          <w:sz w:val="21"/>
          <w:szCs w:val="21"/>
        </w:rPr>
        <w:t>北京市科学技术委员会、北京市财政局、北京市国家税务局、北京市地方税务局联合下发的高新技</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术企业证书，证书编号：</w:t>
      </w:r>
      <w:r>
        <w:rPr>
          <w:rFonts w:ascii="宋体" w:hAnsi="宋体" w:cs="宋体" w:eastAsia="宋体" w:hint="default"/>
          <w:sz w:val="21"/>
          <w:szCs w:val="21"/>
        </w:rPr>
        <w:t>GF201111001839</w:t>
      </w:r>
      <w:r>
        <w:rPr>
          <w:rFonts w:ascii="宋体" w:hAnsi="宋体" w:cs="宋体" w:eastAsia="宋体" w:hint="default"/>
          <w:spacing w:val="-6"/>
          <w:sz w:val="21"/>
          <w:szCs w:val="21"/>
        </w:rPr>
        <w:t> </w:t>
      </w:r>
      <w:r>
        <w:rPr>
          <w:rFonts w:ascii="宋体" w:hAnsi="宋体" w:cs="宋体" w:eastAsia="宋体" w:hint="default"/>
          <w:sz w:val="21"/>
          <w:szCs w:val="21"/>
        </w:rPr>
        <w:t>，有效期三年。根据相关规定，通过高新技术企业复审</w:t>
      </w:r>
      <w:r>
        <w:rPr>
          <w:rFonts w:ascii="宋体" w:hAnsi="宋体" w:cs="宋体" w:eastAsia="宋体" w:hint="default"/>
          <w:w w:val="100"/>
          <w:sz w:val="21"/>
          <w:szCs w:val="21"/>
        </w:rPr>
        <w:t> </w:t>
      </w:r>
      <w:r>
        <w:rPr>
          <w:rFonts w:ascii="宋体" w:hAnsi="宋体" w:cs="宋体" w:eastAsia="宋体" w:hint="default"/>
          <w:sz w:val="21"/>
          <w:szCs w:val="21"/>
        </w:rPr>
        <w:t>后，自</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年起，连续三年继续享受国家关于高新技术企业的相关优惠政策，企业所得税按</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的税率征收。</w:t>
      </w:r>
    </w:p>
    <w:p>
      <w:pPr>
        <w:spacing w:line="297" w:lineRule="auto" w:before="71"/>
        <w:ind w:left="144" w:right="1635" w:firstLine="419"/>
        <w:jc w:val="both"/>
        <w:rPr>
          <w:rFonts w:ascii="宋体" w:hAnsi="宋体" w:cs="宋体" w:eastAsia="宋体" w:hint="default"/>
          <w:sz w:val="21"/>
          <w:szCs w:val="21"/>
        </w:rPr>
      </w:pP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北京神州新桥科技有限公司通过了</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pacing w:val="-7"/>
          <w:sz w:val="21"/>
          <w:szCs w:val="21"/>
        </w:rPr>
        <w:t>年高新技术企业复审，并收到北京</w:t>
      </w:r>
      <w:r>
        <w:rPr>
          <w:rFonts w:ascii="宋体" w:hAnsi="宋体" w:cs="宋体" w:eastAsia="宋体" w:hint="default"/>
          <w:w w:val="100"/>
          <w:sz w:val="21"/>
          <w:szCs w:val="21"/>
        </w:rPr>
        <w:t> </w:t>
      </w:r>
      <w:r>
        <w:rPr>
          <w:rFonts w:ascii="宋体" w:hAnsi="宋体" w:cs="宋体" w:eastAsia="宋体" w:hint="default"/>
          <w:spacing w:val="-4"/>
          <w:sz w:val="21"/>
          <w:szCs w:val="21"/>
        </w:rPr>
        <w:t>市科学技术委员会、北京市财政局、北京市国家税务局、北京市地方税务局联合下发的高新技术企</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业证书，证书编号：</w:t>
      </w:r>
      <w:r>
        <w:rPr>
          <w:rFonts w:ascii="宋体" w:hAnsi="宋体" w:cs="宋体" w:eastAsia="宋体" w:hint="default"/>
          <w:spacing w:val="-3"/>
          <w:sz w:val="21"/>
          <w:szCs w:val="21"/>
        </w:rPr>
        <w:t>GF201111001551</w:t>
      </w:r>
      <w:r>
        <w:rPr>
          <w:rFonts w:ascii="宋体" w:hAnsi="宋体" w:cs="宋体" w:eastAsia="宋体" w:hint="default"/>
          <w:spacing w:val="-3"/>
          <w:sz w:val="21"/>
          <w:szCs w:val="21"/>
        </w:rPr>
        <w:t>，有效期三年。根据相关规定，通过高新技术企业复审后，自</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pacing w:val="-4"/>
          <w:sz w:val="21"/>
          <w:szCs w:val="21"/>
        </w:rPr>
        <w:t>年起，连续三年继续享受国家关于高新技术企业的相关优惠政策，企业所得税按</w:t>
      </w:r>
      <w:r>
        <w:rPr>
          <w:rFonts w:ascii="宋体" w:hAnsi="宋体" w:cs="宋体" w:eastAsia="宋体" w:hint="default"/>
          <w:spacing w:val="-30"/>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收。</w:t>
      </w:r>
    </w:p>
    <w:p>
      <w:pPr>
        <w:spacing w:line="297" w:lineRule="auto" w:before="13"/>
        <w:ind w:left="144" w:right="1658" w:firstLine="3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8</w:t>
      </w:r>
      <w:r>
        <w:rPr>
          <w:rFonts w:ascii="宋体" w:hAnsi="宋体" w:cs="宋体" w:eastAsia="宋体" w:hint="default"/>
          <w:sz w:val="21"/>
          <w:szCs w:val="21"/>
        </w:rPr>
        <w:t>、公司的全资子公司</w:t>
      </w:r>
      <w:r>
        <w:rPr>
          <w:rFonts w:ascii="宋体" w:hAnsi="宋体" w:cs="宋体" w:eastAsia="宋体" w:hint="default"/>
          <w:sz w:val="21"/>
          <w:szCs w:val="21"/>
        </w:rPr>
        <w:t>-</w:t>
      </w:r>
      <w:r>
        <w:rPr>
          <w:rFonts w:ascii="宋体" w:hAnsi="宋体" w:cs="宋体" w:eastAsia="宋体" w:hint="default"/>
          <w:sz w:val="21"/>
          <w:szCs w:val="21"/>
        </w:rPr>
        <w:t>北京东华合创香港有限公司系在中国香港特别行政区注册的企业，按</w:t>
      </w:r>
      <w:r>
        <w:rPr>
          <w:rFonts w:ascii="宋体" w:hAnsi="宋体" w:cs="宋体" w:eastAsia="宋体" w:hint="default"/>
          <w:w w:val="100"/>
          <w:sz w:val="21"/>
          <w:szCs w:val="21"/>
        </w:rPr>
        <w:t> </w:t>
      </w:r>
      <w:r>
        <w:rPr>
          <w:rFonts w:ascii="宋体" w:hAnsi="宋体" w:cs="宋体" w:eastAsia="宋体" w:hint="default"/>
          <w:sz w:val="21"/>
          <w:szCs w:val="21"/>
        </w:rPr>
        <w:t>照属地原则按规定缴纳企业所得税，北京东华合创香港有限公司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年度所得税税率为</w:t>
      </w:r>
      <w:r>
        <w:rPr>
          <w:rFonts w:ascii="宋体" w:hAnsi="宋体" w:cs="宋体" w:eastAsia="宋体" w:hint="default"/>
          <w:spacing w:val="-54"/>
          <w:sz w:val="21"/>
          <w:szCs w:val="21"/>
        </w:rPr>
        <w:t> </w:t>
      </w:r>
      <w:r>
        <w:rPr>
          <w:rFonts w:ascii="宋体" w:hAnsi="宋体" w:cs="宋体" w:eastAsia="宋体" w:hint="default"/>
          <w:sz w:val="21"/>
          <w:szCs w:val="21"/>
        </w:rPr>
        <w:t>16.5%</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144" w:right="0" w:firstLine="0"/>
        <w:jc w:val="both"/>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350" w:lineRule="auto" w:before="111"/>
        <w:ind w:left="614" w:right="6809"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、通过设立方式取得的子公司</w:t>
      </w:r>
    </w:p>
    <w:p>
      <w:pPr>
        <w:spacing w:after="0" w:line="350" w:lineRule="auto"/>
        <w:jc w:val="left"/>
        <w:rPr>
          <w:rFonts w:ascii="宋体" w:hAnsi="宋体" w:cs="宋体" w:eastAsia="宋体" w:hint="default"/>
          <w:sz w:val="21"/>
          <w:szCs w:val="21"/>
        </w:rPr>
        <w:sectPr>
          <w:footerReference w:type="even" r:id="rId76"/>
          <w:footerReference w:type="default" r:id="rId77"/>
          <w:pgSz w:w="12240" w:h="15840"/>
          <w:pgMar w:footer="956" w:header="850" w:top="1360" w:bottom="1140" w:left="1500" w:right="0"/>
        </w:sectPr>
      </w:pPr>
    </w:p>
    <w:p>
      <w:pPr>
        <w:spacing w:line="240" w:lineRule="auto" w:before="0"/>
        <w:rPr>
          <w:rFonts w:ascii="宋体" w:hAnsi="宋体" w:cs="宋体" w:eastAsia="宋体" w:hint="default"/>
          <w:sz w:val="20"/>
          <w:szCs w:val="20"/>
        </w:rPr>
      </w:pPr>
      <w:r>
        <w:rPr/>
        <w:pict>
          <v:shape style="position:absolute;margin-left:76.584pt;margin-top:69.840012pt;width:510.25pt;height:649.8pt;mso-position-horizontal-relative:page;mso-position-vertical-relative:page;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9"/>
                    <w:gridCol w:w="1112"/>
                    <w:gridCol w:w="1109"/>
                    <w:gridCol w:w="1112"/>
                    <w:gridCol w:w="919"/>
                    <w:gridCol w:w="1301"/>
                    <w:gridCol w:w="1109"/>
                    <w:gridCol w:w="2420"/>
                  </w:tblGrid>
                  <w:tr>
                    <w:trPr>
                      <w:trHeight w:val="498" w:hRule="exact"/>
                    </w:trPr>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1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2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943"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广州东华</w:t>
                        </w:r>
                      </w:p>
                      <w:p>
                        <w:pPr>
                          <w:pStyle w:val="TableParagraph"/>
                          <w:spacing w:line="237" w:lineRule="auto"/>
                          <w:ind w:left="103" w:right="273"/>
                          <w:jc w:val="both"/>
                          <w:rPr>
                            <w:rFonts w:ascii="宋体" w:hAnsi="宋体" w:cs="宋体" w:eastAsia="宋体" w:hint="default"/>
                            <w:sz w:val="18"/>
                            <w:szCs w:val="18"/>
                          </w:rPr>
                        </w:pPr>
                        <w:r>
                          <w:rPr>
                            <w:rFonts w:ascii="宋体" w:hAnsi="宋体" w:cs="宋体" w:eastAsia="宋体" w:hint="default"/>
                            <w:sz w:val="18"/>
                            <w:szCs w:val="18"/>
                          </w:rPr>
                          <w:t>合创数码 科技有限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广州东华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广东省广</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1"/>
                          <w:jc w:val="right"/>
                          <w:rPr>
                            <w:rFonts w:ascii="宋体" w:hAnsi="宋体" w:cs="宋体" w:eastAsia="宋体" w:hint="default"/>
                            <w:sz w:val="18"/>
                            <w:szCs w:val="18"/>
                          </w:rPr>
                        </w:pPr>
                        <w:r>
                          <w:rPr>
                            <w:rFonts w:ascii="宋体"/>
                            <w:spacing w:val="-1"/>
                            <w:sz w:val="18"/>
                          </w:rPr>
                          <w:t>RMB100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left"/>
                          <w:rPr>
                            <w:rFonts w:ascii="宋体" w:hAnsi="宋体" w:cs="宋体" w:eastAsia="宋体" w:hint="default"/>
                            <w:sz w:val="18"/>
                            <w:szCs w:val="18"/>
                          </w:rPr>
                        </w:pPr>
                        <w:r>
                          <w:rPr>
                            <w:rFonts w:ascii="宋体" w:hAnsi="宋体" w:cs="宋体" w:eastAsia="宋体" w:hint="default"/>
                            <w:sz w:val="18"/>
                            <w:szCs w:val="18"/>
                          </w:rPr>
                          <w:t>计算机技术开发、转让、咨询</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销售计算机软硬件及外围设备</w:t>
                        </w:r>
                      </w:p>
                    </w:tc>
                  </w:tr>
                  <w:tr>
                    <w:trPr>
                      <w:trHeight w:val="257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泰安东华</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合创软件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泰安东华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RMB3,800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机电设备的设计、制造、销</w:t>
                        </w:r>
                      </w:p>
                      <w:p>
                        <w:pPr>
                          <w:pStyle w:val="TableParagraph"/>
                          <w:spacing w:line="237" w:lineRule="auto" w:before="2"/>
                          <w:ind w:left="103" w:right="144"/>
                          <w:jc w:val="both"/>
                          <w:rPr>
                            <w:rFonts w:ascii="宋体" w:hAnsi="宋体" w:cs="宋体" w:eastAsia="宋体" w:hint="default"/>
                            <w:sz w:val="18"/>
                            <w:szCs w:val="18"/>
                          </w:rPr>
                        </w:pPr>
                        <w:r>
                          <w:rPr>
                            <w:rFonts w:ascii="宋体" w:hAnsi="宋体" w:cs="宋体" w:eastAsia="宋体" w:hint="default"/>
                            <w:sz w:val="18"/>
                            <w:szCs w:val="18"/>
                          </w:rPr>
                          <w:t>售；计算机技术的开发、生 产、销售、转让、培训；软 件外包；开发、生产、销售 计算机软硬件及外围设备； 承接计算机网络工程、工业 自动化控制系统工程；开发 电子商务系统（涉及法律、 行政法规规定必须报经审批 的项目，应凭国家有关部门 的批准文件或证件经营）。</w:t>
                        </w:r>
                      </w:p>
                    </w:tc>
                  </w:tr>
                  <w:tr>
                    <w:trPr>
                      <w:trHeight w:val="269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合创科技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科技</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1"/>
                          <w:jc w:val="right"/>
                          <w:rPr>
                            <w:rFonts w:ascii="宋体" w:hAnsi="宋体" w:cs="宋体" w:eastAsia="宋体" w:hint="default"/>
                            <w:sz w:val="18"/>
                            <w:szCs w:val="18"/>
                          </w:rPr>
                        </w:pPr>
                        <w:r>
                          <w:rPr>
                            <w:rFonts w:ascii="宋体"/>
                            <w:spacing w:val="-1"/>
                            <w:sz w:val="18"/>
                          </w:rPr>
                          <w:t>RMB10,000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9"/>
                          <w:ind w:left="103" w:right="12"/>
                          <w:jc w:val="left"/>
                          <w:rPr>
                            <w:rFonts w:ascii="宋体" w:hAnsi="宋体" w:cs="宋体" w:eastAsia="宋体" w:hint="default"/>
                            <w:sz w:val="18"/>
                            <w:szCs w:val="18"/>
                          </w:rPr>
                        </w:pPr>
                        <w:r>
                          <w:rPr>
                            <w:rFonts w:ascii="宋体" w:hAnsi="宋体" w:cs="宋体" w:eastAsia="宋体" w:hint="default"/>
                            <w:sz w:val="18"/>
                            <w:szCs w:val="18"/>
                          </w:rPr>
                          <w:t>技术开发、技术推广、技术 </w:t>
                        </w:r>
                        <w:r>
                          <w:rPr>
                            <w:rFonts w:ascii="宋体" w:hAnsi="宋体" w:cs="宋体" w:eastAsia="宋体" w:hint="default"/>
                            <w:spacing w:val="-4"/>
                            <w:sz w:val="18"/>
                            <w:szCs w:val="18"/>
                          </w:rPr>
                          <w:t>转让、技术咨询、技术服务；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生产、加工计算机软硬件； </w:t>
                        </w:r>
                        <w:r>
                          <w:rPr>
                            <w:rFonts w:ascii="宋体" w:hAnsi="宋体" w:cs="宋体" w:eastAsia="宋体" w:hint="default"/>
                            <w:spacing w:val="-4"/>
                            <w:sz w:val="18"/>
                            <w:szCs w:val="18"/>
                          </w:rPr>
                          <w:t>计算机系统服务、数据处理、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计算机维修、计算机咨询； 软件服务；销售计算机软件 及辅助设备；计算机、通讯 设备租赁；货物进出口、技 术进出口、代理进出口。</w:t>
                        </w:r>
                      </w:p>
                    </w:tc>
                  </w:tr>
                  <w:tr>
                    <w:trPr>
                      <w:trHeight w:val="211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东华软件</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工程有限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软件工程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32" w:lineRule="exact" w:before="23"/>
                          <w:ind w:left="103" w:right="264"/>
                          <w:jc w:val="left"/>
                          <w:rPr>
                            <w:rFonts w:ascii="宋体" w:hAnsi="宋体" w:cs="宋体" w:eastAsia="宋体" w:hint="default"/>
                            <w:sz w:val="18"/>
                            <w:szCs w:val="18"/>
                          </w:rPr>
                        </w:pPr>
                        <w:r>
                          <w:rPr>
                            <w:rFonts w:ascii="宋体" w:hAnsi="宋体" w:cs="宋体" w:eastAsia="宋体" w:hint="default"/>
                            <w:sz w:val="18"/>
                            <w:szCs w:val="18"/>
                          </w:rPr>
                          <w:t>马鞍山 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RMB5,000</w:t>
                        </w:r>
                        <w:r>
                          <w:rPr>
                            <w:rFonts w:ascii="宋体"/>
                            <w:sz w:val="18"/>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计算机应用软件开发、服务</w:t>
                        </w:r>
                      </w:p>
                      <w:p>
                        <w:pPr>
                          <w:pStyle w:val="TableParagraph"/>
                          <w:spacing w:line="237" w:lineRule="auto" w:before="1"/>
                          <w:ind w:left="103" w:right="144"/>
                          <w:jc w:val="both"/>
                          <w:rPr>
                            <w:rFonts w:ascii="宋体" w:hAnsi="宋体" w:cs="宋体" w:eastAsia="宋体" w:hint="default"/>
                            <w:sz w:val="18"/>
                            <w:szCs w:val="18"/>
                          </w:rPr>
                        </w:pPr>
                        <w:r>
                          <w:rPr>
                            <w:rFonts w:ascii="宋体" w:hAnsi="宋体" w:cs="宋体" w:eastAsia="宋体" w:hint="default"/>
                            <w:sz w:val="18"/>
                            <w:szCs w:val="18"/>
                          </w:rPr>
                          <w:t>及销售，代理软件产品销售 及服务，信息系统集成和服 务，计算机和网络及信息系 统相关硬件产品的研制、开 发、销售及维护服务，自动 控制系统、监控系统、弱电 工程、容灾系统的研制、开 发、销售、施工及服务。</w:t>
                        </w:r>
                      </w:p>
                    </w:tc>
                  </w:tr>
                  <w:tr>
                    <w:trPr>
                      <w:trHeight w:val="152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哈尔滨东</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华软件有 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哈尔滨东</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w:t>
                        </w:r>
                      </w:p>
                      <w:p>
                        <w:pPr>
                          <w:pStyle w:val="TableParagraph"/>
                          <w:spacing w:line="232" w:lineRule="exact" w:before="24"/>
                          <w:ind w:left="103" w:right="264"/>
                          <w:jc w:val="left"/>
                          <w:rPr>
                            <w:rFonts w:ascii="宋体" w:hAnsi="宋体" w:cs="宋体" w:eastAsia="宋体" w:hint="default"/>
                            <w:sz w:val="18"/>
                            <w:szCs w:val="18"/>
                          </w:rPr>
                        </w:pPr>
                        <w:r>
                          <w:rPr>
                            <w:rFonts w:ascii="宋体" w:hAnsi="宋体" w:cs="宋体" w:eastAsia="宋体" w:hint="default"/>
                            <w:sz w:val="18"/>
                            <w:szCs w:val="18"/>
                          </w:rPr>
                          <w:t>省哈尔 滨市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RMB2,000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9"/>
                          <w:ind w:left="103" w:right="12"/>
                          <w:jc w:val="left"/>
                          <w:rPr>
                            <w:rFonts w:ascii="宋体" w:hAnsi="宋体" w:cs="宋体" w:eastAsia="宋体" w:hint="default"/>
                            <w:sz w:val="18"/>
                            <w:szCs w:val="18"/>
                          </w:rPr>
                        </w:pPr>
                        <w:r>
                          <w:rPr>
                            <w:rFonts w:ascii="宋体" w:hAnsi="宋体" w:cs="宋体" w:eastAsia="宋体" w:hint="default"/>
                            <w:sz w:val="18"/>
                            <w:szCs w:val="18"/>
                          </w:rPr>
                          <w:t>计算机软硬件技术开发、技 术服务及相关产品销售；计 算机系统集成及技术服务； </w:t>
                        </w:r>
                        <w:r>
                          <w:rPr>
                            <w:rFonts w:ascii="宋体" w:hAnsi="宋体" w:cs="宋体" w:eastAsia="宋体" w:hint="default"/>
                            <w:spacing w:val="-4"/>
                            <w:sz w:val="18"/>
                            <w:szCs w:val="18"/>
                          </w:rPr>
                          <w:t>网络工程、弱电工程的设计、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施工。</w:t>
                        </w:r>
                      </w:p>
                    </w:tc>
                  </w:tr>
                  <w:tr>
                    <w:trPr>
                      <w:trHeight w:val="211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东华合创</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软件有限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合创软件</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9"/>
                          <w:ind w:left="103" w:right="12"/>
                          <w:jc w:val="left"/>
                          <w:rPr>
                            <w:rFonts w:ascii="宋体" w:hAnsi="宋体" w:cs="宋体" w:eastAsia="宋体" w:hint="default"/>
                            <w:sz w:val="18"/>
                            <w:szCs w:val="18"/>
                          </w:rPr>
                        </w:pPr>
                        <w:r>
                          <w:rPr>
                            <w:rFonts w:ascii="宋体" w:hAnsi="宋体" w:cs="宋体" w:eastAsia="宋体" w:hint="default"/>
                            <w:sz w:val="18"/>
                            <w:szCs w:val="18"/>
                          </w:rPr>
                          <w:t>软件制作；机电一体化，软 件技术开发、咨询、服务、 转让；计算机系统集成；计 </w:t>
                        </w:r>
                        <w:r>
                          <w:rPr>
                            <w:rFonts w:ascii="宋体" w:hAnsi="宋体" w:cs="宋体" w:eastAsia="宋体" w:hint="default"/>
                            <w:spacing w:val="-4"/>
                            <w:sz w:val="18"/>
                            <w:szCs w:val="18"/>
                          </w:rPr>
                          <w:t>算机及外围设备、机械设备、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电器设备的批发兼零售；安 </w:t>
                        </w:r>
                        <w:r>
                          <w:rPr>
                            <w:rFonts w:ascii="宋体" w:hAnsi="宋体" w:cs="宋体" w:eastAsia="宋体" w:hint="default"/>
                            <w:spacing w:val="-4"/>
                            <w:sz w:val="18"/>
                            <w:szCs w:val="18"/>
                          </w:rPr>
                          <w:t>全技术防范工程设计、施工；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楼宇智能化工程设计、施工。</w:t>
                        </w:r>
                      </w:p>
                    </w:tc>
                  </w:tr>
                  <w:tr>
                    <w:trPr>
                      <w:trHeight w:val="487" w:hRule="exact"/>
                    </w:trPr>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软件技术</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计算机、自动化、网络通讯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系统及软硬件产品的研发、</w:t>
                        </w:r>
                      </w:p>
                    </w:tc>
                  </w:tr>
                </w:tbl>
                <w:p>
                  <w:pPr/>
                </w:p>
              </w:txbxContent>
            </v:textbox>
            <w10:wrap type="none"/>
          </v:shape>
        </w:pict>
      </w:r>
    </w:p>
    <w:p>
      <w:pPr>
        <w:spacing w:line="240" w:lineRule="auto" w:before="9"/>
        <w:rPr>
          <w:rFonts w:ascii="宋体" w:hAnsi="宋体" w:cs="宋体" w:eastAsia="宋体" w:hint="default"/>
          <w:sz w:val="14"/>
          <w:szCs w:val="14"/>
        </w:rPr>
      </w:pPr>
    </w:p>
    <w:p>
      <w:pPr>
        <w:spacing w:line="234" w:lineRule="exact" w:before="44"/>
        <w:ind w:left="0" w:right="43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34" w:lineRule="exact" w:before="0"/>
        <w:ind w:left="0" w:right="43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line="234" w:lineRule="exact"/>
        <w:jc w:val="right"/>
        <w:rPr>
          <w:rFonts w:ascii="宋体" w:hAnsi="宋体" w:cs="宋体" w:eastAsia="宋体" w:hint="default"/>
          <w:sz w:val="18"/>
          <w:szCs w:val="18"/>
        </w:rPr>
        <w:sectPr>
          <w:pgSz w:w="12240" w:h="15840"/>
          <w:pgMar w:header="850" w:footer="956" w:top="1380" w:bottom="1140" w:left="1420" w:right="0"/>
        </w:sectPr>
      </w:pPr>
    </w:p>
    <w:tbl>
      <w:tblPr>
        <w:tblW w:w="0" w:type="auto"/>
        <w:jc w:val="left"/>
        <w:tblInd w:w="111" w:type="dxa"/>
        <w:tblLayout w:type="fixed"/>
        <w:tblCellMar>
          <w:top w:w="0" w:type="dxa"/>
          <w:left w:w="0" w:type="dxa"/>
          <w:bottom w:w="0" w:type="dxa"/>
          <w:right w:w="0" w:type="dxa"/>
        </w:tblCellMar>
        <w:tblLook w:val="01E0"/>
      </w:tblPr>
      <w:tblGrid>
        <w:gridCol w:w="1109"/>
        <w:gridCol w:w="1112"/>
        <w:gridCol w:w="1109"/>
        <w:gridCol w:w="1112"/>
        <w:gridCol w:w="919"/>
        <w:gridCol w:w="1301"/>
        <w:gridCol w:w="1109"/>
        <w:gridCol w:w="2420"/>
      </w:tblGrid>
      <w:tr>
        <w:trPr>
          <w:trHeight w:val="498" w:hRule="exact"/>
        </w:trPr>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1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2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943"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销售、系统集成、维修、咨</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询服务；智能交通、智能建 筑、机电一体化系统及产品 的研发、销售、施工。</w:t>
            </w:r>
          </w:p>
        </w:tc>
      </w:tr>
      <w:tr>
        <w:trPr>
          <w:trHeight w:val="71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合创香港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香港东华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HKD1,000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r>
      <w:tr>
        <w:trPr>
          <w:trHeight w:val="2345"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东华合创</w:t>
            </w:r>
          </w:p>
          <w:p>
            <w:pPr>
              <w:pStyle w:val="TableParagraph"/>
              <w:spacing w:line="240" w:lineRule="auto"/>
              <w:ind w:left="103" w:right="273"/>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合肥东华</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科技</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计算机、自动化、网络通讯</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系统及软硬件产品研究、设 计、开发、外包、维修、咨 询服务、系统集成；智能交 通、智能建筑、机电一体化 系统及产品的研究、设计、 开发、销售、施工、服务， 公共安全防范工程、信息系 统安全工程的设计、施工、 服务。</w:t>
            </w:r>
          </w:p>
        </w:tc>
      </w:tr>
      <w:tr>
        <w:trPr>
          <w:trHeight w:val="227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40" w:lineRule="auto"/>
              <w:ind w:left="103" w:right="273"/>
              <w:jc w:val="left"/>
              <w:rPr>
                <w:rFonts w:ascii="宋体" w:hAnsi="宋体" w:cs="宋体" w:eastAsia="宋体" w:hint="default"/>
                <w:sz w:val="18"/>
                <w:szCs w:val="18"/>
              </w:rPr>
            </w:pPr>
            <w:r>
              <w:rPr>
                <w:rFonts w:ascii="宋体" w:hAnsi="宋体" w:cs="宋体" w:eastAsia="宋体" w:hint="default"/>
                <w:sz w:val="18"/>
                <w:szCs w:val="18"/>
              </w:rPr>
              <w:t>厚盾软件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厚盾软件</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RMB1,000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
              <w:jc w:val="left"/>
              <w:rPr>
                <w:rFonts w:ascii="宋体" w:hAnsi="宋体" w:cs="宋体" w:eastAsia="宋体" w:hint="default"/>
                <w:sz w:val="18"/>
                <w:szCs w:val="18"/>
              </w:rPr>
            </w:pPr>
            <w:r>
              <w:rPr>
                <w:rFonts w:ascii="宋体" w:hAnsi="宋体" w:cs="宋体" w:eastAsia="宋体" w:hint="default"/>
                <w:spacing w:val="-4"/>
                <w:sz w:val="18"/>
                <w:szCs w:val="18"/>
              </w:rPr>
              <w:t>应用软件服务；货物进出口；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技术进出口；代理进出口； 销售计算机软硬件及外围设 备（不含计算机信息系统安 全专用产品）；技术开发； 技术咨询；技术服务；技术 转让；计算机系统设计、集 成。</w:t>
            </w:r>
          </w:p>
        </w:tc>
      </w:tr>
      <w:tr>
        <w:trPr>
          <w:trHeight w:val="115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易时科技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东华易时</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RMB2,000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4"/>
              <w:jc w:val="both"/>
              <w:rPr>
                <w:rFonts w:ascii="宋体" w:hAnsi="宋体" w:cs="宋体" w:eastAsia="宋体" w:hint="default"/>
                <w:sz w:val="18"/>
                <w:szCs w:val="18"/>
              </w:rPr>
            </w:pPr>
            <w:r>
              <w:rPr>
                <w:rFonts w:ascii="宋体" w:hAnsi="宋体" w:cs="宋体" w:eastAsia="宋体" w:hint="default"/>
                <w:sz w:val="18"/>
                <w:szCs w:val="18"/>
              </w:rPr>
              <w:t>技术开发、技术咨询、技术 转让、技术服务；货物进出 口、技术进出口、代理进出 口。</w:t>
            </w:r>
          </w:p>
        </w:tc>
      </w:tr>
      <w:tr>
        <w:trPr>
          <w:trHeight w:val="115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软件开发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RMB2,000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4"/>
              <w:jc w:val="both"/>
              <w:rPr>
                <w:rFonts w:ascii="宋体" w:hAnsi="宋体" w:cs="宋体" w:eastAsia="宋体" w:hint="default"/>
                <w:sz w:val="18"/>
                <w:szCs w:val="18"/>
              </w:rPr>
            </w:pPr>
            <w:r>
              <w:rPr>
                <w:rFonts w:ascii="宋体" w:hAnsi="宋体" w:cs="宋体" w:eastAsia="宋体" w:hint="default"/>
                <w:sz w:val="18"/>
                <w:szCs w:val="18"/>
              </w:rPr>
              <w:t>软件开发；基础软件服务； 货物进出口；技术进出口； 代理进出口；计算机系统服 务；技术推广。</w:t>
            </w:r>
          </w:p>
        </w:tc>
      </w:tr>
      <w:tr>
        <w:trPr>
          <w:trHeight w:val="199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沈阳东华</w:t>
            </w:r>
          </w:p>
          <w:p>
            <w:pPr>
              <w:pStyle w:val="TableParagraph"/>
              <w:spacing w:line="240" w:lineRule="auto"/>
              <w:ind w:left="103" w:right="273"/>
              <w:jc w:val="left"/>
              <w:rPr>
                <w:rFonts w:ascii="宋体" w:hAnsi="宋体" w:cs="宋体" w:eastAsia="宋体" w:hint="default"/>
                <w:sz w:val="18"/>
                <w:szCs w:val="18"/>
              </w:rPr>
            </w:pPr>
            <w:r>
              <w:rPr>
                <w:rFonts w:ascii="宋体" w:hAnsi="宋体" w:cs="宋体" w:eastAsia="宋体" w:hint="default"/>
                <w:sz w:val="18"/>
                <w:szCs w:val="18"/>
              </w:rPr>
              <w:t>合创科技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沈阳东华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RMB2,000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
              <w:jc w:val="left"/>
              <w:rPr>
                <w:rFonts w:ascii="宋体" w:hAnsi="宋体" w:cs="宋体" w:eastAsia="宋体" w:hint="default"/>
                <w:sz w:val="18"/>
                <w:szCs w:val="18"/>
              </w:rPr>
            </w:pPr>
            <w:r>
              <w:rPr>
                <w:rFonts w:ascii="宋体" w:hAnsi="宋体" w:cs="宋体" w:eastAsia="宋体" w:hint="default"/>
                <w:sz w:val="18"/>
                <w:szCs w:val="18"/>
              </w:rPr>
              <w:t>软件技术开发；应用软件服 务；各类商品和技术的进出 口业务（国家法律法规限定 经营和禁止经营的除外）； 信息系统集成和服务；计算 </w:t>
            </w:r>
            <w:r>
              <w:rPr>
                <w:rFonts w:ascii="宋体" w:hAnsi="宋体" w:cs="宋体" w:eastAsia="宋体" w:hint="default"/>
                <w:spacing w:val="-4"/>
                <w:sz w:val="18"/>
                <w:szCs w:val="18"/>
              </w:rPr>
              <w:t>机、软件和计算机辅助设备、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通信设备及配件销售。</w:t>
            </w:r>
          </w:p>
        </w:tc>
      </w:tr>
      <w:tr>
        <w:trPr>
          <w:trHeight w:val="1721" w:hRule="exact"/>
        </w:trPr>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西安东华</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软件有限 公司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西安东华</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ind w:left="103" w:right="12"/>
              <w:jc w:val="left"/>
              <w:rPr>
                <w:rFonts w:ascii="宋体" w:hAnsi="宋体" w:cs="宋体" w:eastAsia="宋体" w:hint="default"/>
                <w:sz w:val="18"/>
                <w:szCs w:val="18"/>
              </w:rPr>
            </w:pPr>
            <w:r>
              <w:rPr>
                <w:rFonts w:ascii="宋体" w:hAnsi="宋体" w:cs="宋体" w:eastAsia="宋体" w:hint="default"/>
                <w:sz w:val="18"/>
                <w:szCs w:val="18"/>
              </w:rPr>
              <w:t>计算机、自动化、网络通讯 系统及软硬件产品的研发、 销售、系统集成、维修、咨 询服务；智能交通、智能建 筑、机电一体化系统及产品 </w:t>
            </w:r>
            <w:r>
              <w:rPr>
                <w:rFonts w:ascii="宋体" w:hAnsi="宋体" w:cs="宋体" w:eastAsia="宋体" w:hint="default"/>
                <w:spacing w:val="-4"/>
                <w:sz w:val="18"/>
                <w:szCs w:val="18"/>
              </w:rPr>
              <w:t>的研发、制造、销售、施工；</w:t>
            </w:r>
          </w:p>
        </w:tc>
      </w:tr>
    </w:tbl>
    <w:p>
      <w:pPr>
        <w:spacing w:after="0" w:line="285" w:lineRule="auto"/>
        <w:jc w:val="left"/>
        <w:rPr>
          <w:rFonts w:ascii="宋体" w:hAnsi="宋体" w:cs="宋体" w:eastAsia="宋体" w:hint="default"/>
          <w:sz w:val="18"/>
          <w:szCs w:val="18"/>
        </w:rPr>
        <w:sectPr>
          <w:footerReference w:type="even" r:id="rId78"/>
          <w:footerReference w:type="default" r:id="rId79"/>
          <w:pgSz w:w="12240" w:h="15840"/>
          <w:pgMar w:footer="956" w:header="850" w:top="1380" w:bottom="1140" w:left="1420" w:right="0"/>
          <w:pgNumType w:start="112"/>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09"/>
        <w:gridCol w:w="1112"/>
        <w:gridCol w:w="1109"/>
        <w:gridCol w:w="1112"/>
        <w:gridCol w:w="919"/>
        <w:gridCol w:w="1301"/>
        <w:gridCol w:w="1109"/>
        <w:gridCol w:w="2420"/>
      </w:tblGrid>
      <w:tr>
        <w:trPr>
          <w:trHeight w:val="498" w:hRule="exact"/>
        </w:trPr>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1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2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850" w:hRule="exact"/>
        </w:trPr>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公共安全防范工程及信息系</w:t>
            </w:r>
          </w:p>
          <w:p>
            <w:pPr>
              <w:pStyle w:val="TableParagraph"/>
              <w:spacing w:line="283" w:lineRule="auto" w:before="45"/>
              <w:ind w:left="103" w:right="144"/>
              <w:jc w:val="left"/>
              <w:rPr>
                <w:rFonts w:ascii="宋体" w:hAnsi="宋体" w:cs="宋体" w:eastAsia="宋体" w:hint="default"/>
                <w:sz w:val="18"/>
                <w:szCs w:val="18"/>
              </w:rPr>
            </w:pPr>
            <w:r>
              <w:rPr>
                <w:rFonts w:ascii="宋体" w:hAnsi="宋体" w:cs="宋体" w:eastAsia="宋体" w:hint="default"/>
                <w:sz w:val="18"/>
                <w:szCs w:val="18"/>
              </w:rPr>
              <w:t>统安全工程的设计、施工及 服务。</w:t>
            </w:r>
          </w:p>
        </w:tc>
      </w:tr>
      <w:tr>
        <w:trPr>
          <w:trHeight w:val="199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南昌东华</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软件有限 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南昌东华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4"/>
              <w:jc w:val="both"/>
              <w:rPr>
                <w:rFonts w:ascii="宋体" w:hAnsi="宋体" w:cs="宋体" w:eastAsia="宋体" w:hint="default"/>
                <w:sz w:val="18"/>
                <w:szCs w:val="18"/>
              </w:rPr>
            </w:pPr>
            <w:r>
              <w:rPr>
                <w:rFonts w:ascii="宋体" w:hAnsi="宋体" w:cs="宋体" w:eastAsia="宋体" w:hint="default"/>
                <w:sz w:val="18"/>
                <w:szCs w:val="18"/>
              </w:rPr>
              <w:t>计算机软硬件产品开发、生 产、销售；建筑智能化、机 电一体化、智能交通系统的 研发、销售；安防工程；信 息系统集成；网络通讯系统 的研发、设计、维修、咨询 服务。</w:t>
            </w:r>
          </w:p>
        </w:tc>
      </w:tr>
      <w:tr>
        <w:trPr>
          <w:trHeight w:val="1719" w:hRule="exact"/>
        </w:trPr>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山西东华</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软件有限 公司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山西东华</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RMB5,000</w:t>
            </w:r>
          </w:p>
        </w:tc>
        <w:tc>
          <w:tcPr>
            <w:tcW w:w="2420"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ind w:left="103" w:right="104"/>
              <w:jc w:val="both"/>
              <w:rPr>
                <w:rFonts w:ascii="宋体" w:hAnsi="宋体" w:cs="宋体" w:eastAsia="宋体" w:hint="default"/>
                <w:sz w:val="18"/>
                <w:szCs w:val="18"/>
              </w:rPr>
            </w:pPr>
            <w:r>
              <w:rPr>
                <w:rFonts w:ascii="宋体" w:hAnsi="宋体" w:cs="宋体" w:eastAsia="宋体" w:hint="default"/>
                <w:sz w:val="18"/>
                <w:szCs w:val="18"/>
              </w:rPr>
              <w:t>一般经营项目：计算机软件 </w:t>
            </w:r>
            <w:r>
              <w:rPr>
                <w:rFonts w:ascii="宋体" w:hAnsi="宋体" w:cs="宋体" w:eastAsia="宋体" w:hint="default"/>
                <w:spacing w:val="-11"/>
                <w:sz w:val="18"/>
                <w:szCs w:val="18"/>
              </w:rPr>
              <w:t>的开发；计算机系统集成（国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家法律、法规禁止经营的不 得经营，需经审批未获批准 前不得经营，许可经营项目 在许可有效期内经营）。</w:t>
            </w:r>
          </w:p>
        </w:tc>
      </w:tr>
    </w:tbl>
    <w:p>
      <w:pPr>
        <w:spacing w:line="240" w:lineRule="auto" w:before="4"/>
        <w:rPr>
          <w:rFonts w:ascii="宋体" w:hAnsi="宋体" w:cs="宋体" w:eastAsia="宋体" w:hint="default"/>
          <w:sz w:val="11"/>
          <w:szCs w:val="11"/>
        </w:rPr>
      </w:pPr>
    </w:p>
    <w:p>
      <w:pPr>
        <w:spacing w:before="36"/>
        <w:ind w:left="224" w:right="1575" w:firstLine="0"/>
        <w:jc w:val="left"/>
        <w:rPr>
          <w:rFonts w:ascii="宋体" w:hAnsi="宋体" w:cs="宋体" w:eastAsia="宋体" w:hint="default"/>
          <w:sz w:val="21"/>
          <w:szCs w:val="21"/>
        </w:rPr>
      </w:pPr>
      <w:r>
        <w:rPr>
          <w:rFonts w:ascii="宋体" w:hAnsi="宋体" w:cs="宋体" w:eastAsia="宋体" w:hint="default"/>
          <w:sz w:val="21"/>
          <w:szCs w:val="21"/>
        </w:rPr>
        <w:t>（续表一）</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76"/>
        <w:gridCol w:w="1777"/>
        <w:gridCol w:w="1944"/>
        <w:gridCol w:w="1693"/>
        <w:gridCol w:w="3000"/>
      </w:tblGrid>
      <w:tr>
        <w:trPr>
          <w:trHeight w:val="720" w:hRule="exact"/>
        </w:trPr>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1777"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2"/>
              <w:ind w:left="703" w:right="101" w:hanging="601"/>
              <w:jc w:val="left"/>
              <w:rPr>
                <w:rFonts w:ascii="宋体" w:hAnsi="宋体" w:cs="宋体" w:eastAsia="宋体" w:hint="default"/>
                <w:sz w:val="18"/>
                <w:szCs w:val="18"/>
              </w:rPr>
            </w:pPr>
            <w:r>
              <w:rPr>
                <w:rFonts w:ascii="宋体" w:hAnsi="宋体" w:cs="宋体" w:eastAsia="宋体" w:hint="default"/>
                <w:spacing w:val="-7"/>
                <w:sz w:val="18"/>
                <w:szCs w:val="18"/>
              </w:rPr>
              <w:t>期末实际出资额（万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944"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40" w:lineRule="auto"/>
              <w:ind w:left="516" w:right="156" w:hanging="360"/>
              <w:jc w:val="left"/>
              <w:rPr>
                <w:rFonts w:ascii="宋体" w:hAnsi="宋体" w:cs="宋体" w:eastAsia="宋体" w:hint="default"/>
                <w:sz w:val="18"/>
                <w:szCs w:val="18"/>
              </w:rPr>
            </w:pPr>
            <w:r>
              <w:rPr>
                <w:rFonts w:ascii="宋体" w:hAnsi="宋体" w:cs="宋体" w:eastAsia="宋体" w:hint="default"/>
                <w:sz w:val="18"/>
                <w:szCs w:val="18"/>
              </w:rPr>
              <w:t>净投资的其他项目余 额（万元）</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RMB90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90%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RMB2,800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北京东华科技</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RMB10,000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软件工程</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RMB5,000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RMB2,000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合创软件</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RMB5,000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RMB3,000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HKD10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合肥东华科技</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RMB1,000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RMB1,000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东华易时</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RMB1,000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RMB400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RMB400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4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RM1,500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r>
      <w:tr>
        <w:trPr>
          <w:trHeight w:val="2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RM1,000</w:t>
            </w:r>
          </w:p>
        </w:tc>
        <w:tc>
          <w:tcPr>
            <w:tcW w:w="19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r>
        <w:trPr>
          <w:trHeight w:val="252" w:hRule="exact"/>
        </w:trPr>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RM1,000</w:t>
            </w:r>
          </w:p>
        </w:tc>
        <w:tc>
          <w:tcPr>
            <w:tcW w:w="1944" w:type="dxa"/>
            <w:tcBorders>
              <w:top w:val="single" w:sz="4" w:space="0" w:color="000000"/>
              <w:left w:val="single" w:sz="4" w:space="0" w:color="000000"/>
              <w:bottom w:val="single" w:sz="12" w:space="0" w:color="000000"/>
              <w:right w:val="single" w:sz="4" w:space="0" w:color="000000"/>
            </w:tcBorders>
          </w:tcPr>
          <w:p>
            <w:pP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11"/>
          <w:szCs w:val="11"/>
        </w:rPr>
      </w:pPr>
    </w:p>
    <w:p>
      <w:pPr>
        <w:spacing w:before="44"/>
        <w:ind w:left="224" w:right="1575" w:firstLine="0"/>
        <w:jc w:val="left"/>
        <w:rPr>
          <w:rFonts w:ascii="宋体" w:hAnsi="宋体" w:cs="宋体" w:eastAsia="宋体" w:hint="default"/>
          <w:sz w:val="18"/>
          <w:szCs w:val="18"/>
        </w:rPr>
      </w:pPr>
      <w:r>
        <w:rPr>
          <w:rFonts w:ascii="宋体" w:hAnsi="宋体" w:cs="宋体" w:eastAsia="宋体" w:hint="default"/>
          <w:sz w:val="18"/>
          <w:szCs w:val="18"/>
        </w:rPr>
        <w:t>（续表二）</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62"/>
        <w:gridCol w:w="910"/>
        <w:gridCol w:w="1985"/>
        <w:gridCol w:w="3409"/>
        <w:gridCol w:w="2148"/>
      </w:tblGrid>
      <w:tr>
        <w:trPr>
          <w:trHeight w:val="794" w:hRule="exact"/>
        </w:trPr>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180" w:right="178"/>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1427" w:right="170" w:hanging="1260"/>
              <w:jc w:val="left"/>
              <w:rPr>
                <w:rFonts w:ascii="宋体" w:hAnsi="宋体" w:cs="宋体" w:eastAsia="宋体" w:hint="default"/>
                <w:sz w:val="18"/>
                <w:szCs w:val="18"/>
              </w:rPr>
            </w:pPr>
            <w:r>
              <w:rPr>
                <w:rFonts w:ascii="宋体" w:hAnsi="宋体" w:cs="宋体" w:eastAsia="宋体" w:hint="default"/>
                <w:sz w:val="18"/>
                <w:szCs w:val="18"/>
              </w:rPr>
              <w:t>少数股东权益中用于冲减少数股东损益 的金额</w:t>
            </w:r>
          </w:p>
        </w:tc>
        <w:tc>
          <w:tcPr>
            <w:tcW w:w="2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69"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60" w:right="0"/>
              <w:jc w:val="left"/>
              <w:rPr>
                <w:rFonts w:ascii="宋体" w:hAnsi="宋体" w:cs="宋体" w:eastAsia="宋体" w:hint="default"/>
                <w:sz w:val="18"/>
                <w:szCs w:val="18"/>
              </w:rPr>
            </w:pPr>
            <w:r>
              <w:rPr>
                <w:rFonts w:ascii="宋体"/>
                <w:sz w:val="18"/>
              </w:rPr>
              <w:t>96,310.81</w:t>
            </w: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73155656-3</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78927075-2</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东华科技</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79514524-5</w:t>
            </w:r>
          </w:p>
        </w:tc>
      </w:tr>
      <w:tr>
        <w:trPr>
          <w:trHeight w:val="329" w:hRule="exact"/>
        </w:trPr>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软件工程</w:t>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12" w:space="0" w:color="000000"/>
              <w:right w:val="single" w:sz="4" w:space="0" w:color="000000"/>
            </w:tcBorders>
          </w:tcPr>
          <w:p>
            <w:pPr/>
          </w:p>
        </w:tc>
        <w:tc>
          <w:tcPr>
            <w:tcW w:w="3409" w:type="dxa"/>
            <w:tcBorders>
              <w:top w:val="single" w:sz="4" w:space="0" w:color="000000"/>
              <w:left w:val="single" w:sz="4" w:space="0" w:color="000000"/>
              <w:bottom w:val="single" w:sz="12" w:space="0" w:color="000000"/>
              <w:right w:val="single" w:sz="4" w:space="0" w:color="000000"/>
            </w:tcBorders>
          </w:tcPr>
          <w:p>
            <w:pP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69896157-4</w:t>
            </w:r>
          </w:p>
        </w:tc>
      </w:tr>
    </w:tbl>
    <w:p>
      <w:pPr>
        <w:spacing w:after="0" w:line="240" w:lineRule="auto"/>
        <w:jc w:val="center"/>
        <w:rPr>
          <w:rFonts w:ascii="宋体" w:hAnsi="宋体" w:cs="宋体" w:eastAsia="宋体" w:hint="default"/>
          <w:sz w:val="18"/>
          <w:szCs w:val="18"/>
        </w:rPr>
        <w:sectPr>
          <w:pgSz w:w="12240" w:h="15840"/>
          <w:pgMar w:header="850" w:footer="956" w:top="1360" w:bottom="1140" w:left="1420" w:right="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62"/>
        <w:gridCol w:w="910"/>
        <w:gridCol w:w="1985"/>
        <w:gridCol w:w="3409"/>
        <w:gridCol w:w="2148"/>
      </w:tblGrid>
      <w:tr>
        <w:trPr>
          <w:trHeight w:val="808" w:hRule="exact"/>
        </w:trPr>
        <w:tc>
          <w:tcPr>
            <w:tcW w:w="176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910" w:type="dxa"/>
            <w:tcBorders>
              <w:top w:val="single" w:sz="20" w:space="0" w:color="000000"/>
              <w:left w:val="single" w:sz="4" w:space="0" w:color="000000"/>
              <w:bottom w:val="single" w:sz="4" w:space="0" w:color="000000"/>
              <w:right w:val="single" w:sz="4" w:space="0" w:color="000000"/>
            </w:tcBorders>
          </w:tcPr>
          <w:p>
            <w:pPr>
              <w:pStyle w:val="TableParagraph"/>
              <w:spacing w:line="232" w:lineRule="exact" w:before="150"/>
              <w:ind w:left="180" w:right="178"/>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985"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9" w:type="dxa"/>
            <w:tcBorders>
              <w:top w:val="single" w:sz="20" w:space="0" w:color="000000"/>
              <w:left w:val="single" w:sz="4" w:space="0" w:color="000000"/>
              <w:bottom w:val="single" w:sz="4" w:space="0" w:color="000000"/>
              <w:right w:val="single" w:sz="4" w:space="0" w:color="000000"/>
            </w:tcBorders>
          </w:tcPr>
          <w:p>
            <w:pPr>
              <w:pStyle w:val="TableParagraph"/>
              <w:spacing w:line="232" w:lineRule="exact" w:before="150"/>
              <w:ind w:left="1427" w:right="170" w:hanging="1260"/>
              <w:jc w:val="left"/>
              <w:rPr>
                <w:rFonts w:ascii="宋体" w:hAnsi="宋体" w:cs="宋体" w:eastAsia="宋体" w:hint="default"/>
                <w:sz w:val="18"/>
                <w:szCs w:val="18"/>
              </w:rPr>
            </w:pPr>
            <w:r>
              <w:rPr>
                <w:rFonts w:ascii="宋体" w:hAnsi="宋体" w:cs="宋体" w:eastAsia="宋体" w:hint="default"/>
                <w:sz w:val="18"/>
                <w:szCs w:val="18"/>
              </w:rPr>
              <w:t>少数股东权益中用于冲减少数股东损益 的金额</w:t>
            </w:r>
          </w:p>
        </w:tc>
        <w:tc>
          <w:tcPr>
            <w:tcW w:w="2148"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69682435-7</w:t>
            </w:r>
          </w:p>
        </w:tc>
      </w:tr>
      <w:tr>
        <w:trPr>
          <w:trHeight w:val="319"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合创软件</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55035041-9</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55554561-0</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1252172</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合肥东华科技</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55922261-6</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55851488-7</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东华易时</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56040653-5</w:t>
            </w:r>
          </w:p>
        </w:tc>
      </w:tr>
      <w:tr>
        <w:trPr>
          <w:trHeight w:val="319"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56575663-0</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沈阳东华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56942761-5</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57023075-6</w:t>
            </w:r>
          </w:p>
        </w:tc>
      </w:tr>
      <w:tr>
        <w:trPr>
          <w:trHeight w:val="32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58659746-4</w:t>
            </w:r>
          </w:p>
        </w:tc>
      </w:tr>
      <w:tr>
        <w:trPr>
          <w:trHeight w:val="329" w:hRule="exact"/>
        </w:trPr>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985" w:type="dxa"/>
            <w:tcBorders>
              <w:top w:val="single" w:sz="4" w:space="0" w:color="000000"/>
              <w:left w:val="single" w:sz="4" w:space="0" w:color="000000"/>
              <w:bottom w:val="single" w:sz="12" w:space="0" w:color="000000"/>
              <w:right w:val="single" w:sz="4" w:space="0" w:color="000000"/>
            </w:tcBorders>
          </w:tcPr>
          <w:p>
            <w:pPr/>
          </w:p>
        </w:tc>
        <w:tc>
          <w:tcPr>
            <w:tcW w:w="3409" w:type="dxa"/>
            <w:tcBorders>
              <w:top w:val="single" w:sz="4" w:space="0" w:color="000000"/>
              <w:left w:val="single" w:sz="4" w:space="0" w:color="000000"/>
              <w:bottom w:val="single" w:sz="12" w:space="0" w:color="000000"/>
              <w:right w:val="single" w:sz="4" w:space="0" w:color="000000"/>
            </w:tcBorders>
          </w:tcPr>
          <w:p>
            <w:pP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58852683-8</w:t>
            </w:r>
          </w:p>
        </w:tc>
      </w:tr>
    </w:tbl>
    <w:p>
      <w:pPr>
        <w:spacing w:line="243" w:lineRule="exact" w:before="0"/>
        <w:ind w:left="224" w:right="157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、同一控制下企业合并取得的子公司</w:t>
      </w:r>
    </w:p>
    <w:p>
      <w:pPr>
        <w:spacing w:line="240" w:lineRule="auto" w:before="5"/>
        <w:rPr>
          <w:rFonts w:ascii="宋体" w:hAnsi="宋体" w:cs="宋体" w:eastAsia="宋体" w:hint="default"/>
          <w:sz w:val="16"/>
          <w:szCs w:val="16"/>
        </w:rPr>
      </w:pPr>
    </w:p>
    <w:p>
      <w:pPr>
        <w:spacing w:line="424" w:lineRule="auto" w:before="0"/>
        <w:ind w:left="224" w:right="6245" w:firstLine="314"/>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、非同一控制下的企业合并取得的子公司</w:t>
      </w:r>
    </w:p>
    <w:p>
      <w:pPr>
        <w:spacing w:before="53"/>
        <w:ind w:left="224"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）子公司情况</w:t>
      </w:r>
    </w:p>
    <w:p>
      <w:pPr>
        <w:spacing w:line="240" w:lineRule="auto" w:before="11"/>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109"/>
        <w:gridCol w:w="1112"/>
        <w:gridCol w:w="1109"/>
        <w:gridCol w:w="1112"/>
        <w:gridCol w:w="1109"/>
        <w:gridCol w:w="1111"/>
        <w:gridCol w:w="1109"/>
        <w:gridCol w:w="2314"/>
      </w:tblGrid>
      <w:tr>
        <w:trPr>
          <w:trHeight w:val="488" w:hRule="exact"/>
        </w:trPr>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5581" w:hRule="exact"/>
        </w:trPr>
        <w:tc>
          <w:tcPr>
            <w:tcW w:w="1109" w:type="dxa"/>
            <w:tcBorders>
              <w:top w:val="single" w:sz="4" w:space="0" w:color="000000"/>
              <w:left w:val="single" w:sz="4" w:space="0" w:color="000000"/>
              <w:bottom w:val="single" w:sz="8"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北京联银</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通科技有 限公司</w:t>
            </w:r>
          </w:p>
        </w:tc>
        <w:tc>
          <w:tcPr>
            <w:tcW w:w="1112" w:type="dxa"/>
            <w:tcBorders>
              <w:top w:val="single" w:sz="4" w:space="0" w:color="000000"/>
              <w:left w:val="single" w:sz="4" w:space="0" w:color="000000"/>
              <w:bottom w:val="single" w:sz="8" w:space="0" w:color="000000"/>
              <w:right w:val="single" w:sz="4" w:space="0" w:color="000000"/>
            </w:tcBorders>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z w:val="18"/>
                <w:szCs w:val="18"/>
              </w:rPr>
              <w:t>联银通</w:t>
            </w:r>
          </w:p>
        </w:tc>
        <w:tc>
          <w:tcPr>
            <w:tcW w:w="1109" w:type="dxa"/>
            <w:tcBorders>
              <w:top w:val="single" w:sz="4" w:space="0" w:color="000000"/>
              <w:left w:val="single" w:sz="4" w:space="0" w:color="000000"/>
              <w:bottom w:val="single" w:sz="8"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4" w:space="0" w:color="000000"/>
              <w:left w:val="single" w:sz="4" w:space="0" w:color="000000"/>
              <w:bottom w:val="single" w:sz="8"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109" w:type="dxa"/>
            <w:tcBorders>
              <w:top w:val="single" w:sz="4" w:space="0" w:color="000000"/>
              <w:left w:val="single" w:sz="4" w:space="0" w:color="000000"/>
              <w:bottom w:val="single" w:sz="8"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北京海淀区</w:t>
            </w:r>
          </w:p>
        </w:tc>
        <w:tc>
          <w:tcPr>
            <w:tcW w:w="1111" w:type="dxa"/>
            <w:tcBorders>
              <w:top w:val="single" w:sz="4" w:space="0" w:color="000000"/>
              <w:left w:val="single" w:sz="4" w:space="0" w:color="000000"/>
              <w:bottom w:val="single" w:sz="8" w:space="0" w:color="000000"/>
              <w:right w:val="single" w:sz="4" w:space="0" w:color="000000"/>
            </w:tcBorders>
          </w:tcPr>
          <w:p>
            <w:pPr>
              <w:pStyle w:val="TableParagraph"/>
              <w:spacing w:line="206" w:lineRule="exact"/>
              <w:ind w:left="-39" w:right="59"/>
              <w:jc w:val="center"/>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right="94"/>
              <w:jc w:val="center"/>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4" w:space="0" w:color="000000"/>
              <w:left w:val="single" w:sz="4" w:space="0" w:color="000000"/>
              <w:bottom w:val="single" w:sz="8" w:space="0" w:color="000000"/>
              <w:right w:val="single" w:sz="4"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sz w:val="18"/>
              </w:rPr>
              <w:t>RMB8,000</w:t>
            </w:r>
          </w:p>
        </w:tc>
        <w:tc>
          <w:tcPr>
            <w:tcW w:w="2314" w:type="dxa"/>
            <w:tcBorders>
              <w:top w:val="single" w:sz="4" w:space="0" w:color="000000"/>
              <w:left w:val="single" w:sz="4" w:space="0" w:color="000000"/>
              <w:bottom w:val="single" w:sz="8" w:space="0" w:color="000000"/>
              <w:right w:val="single" w:sz="4" w:space="0" w:color="000000"/>
            </w:tcBorders>
          </w:tcPr>
          <w:p>
            <w:pPr>
              <w:pStyle w:val="TableParagraph"/>
              <w:spacing w:line="297" w:lineRule="auto"/>
              <w:ind w:left="103" w:right="39"/>
              <w:jc w:val="left"/>
              <w:rPr>
                <w:rFonts w:ascii="宋体" w:hAnsi="宋体" w:cs="宋体" w:eastAsia="宋体" w:hint="default"/>
                <w:sz w:val="18"/>
                <w:szCs w:val="18"/>
              </w:rPr>
            </w:pPr>
            <w:r>
              <w:rPr>
                <w:rFonts w:ascii="宋体" w:hAnsi="宋体" w:cs="宋体" w:eastAsia="宋体" w:hint="default"/>
                <w:spacing w:val="-6"/>
                <w:sz w:val="18"/>
                <w:szCs w:val="18"/>
              </w:rPr>
              <w:t>电子产品、环保产品的技术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开发、咨询、服务；信息咨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询（不含中介服务）；销售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计算机软硬件及外围设备、 机械电器设备、通讯设备、 文化办公用机械、建筑材 </w:t>
            </w:r>
            <w:r>
              <w:rPr>
                <w:rFonts w:ascii="宋体" w:hAnsi="宋体" w:cs="宋体" w:eastAsia="宋体" w:hint="default"/>
                <w:spacing w:val="-6"/>
                <w:sz w:val="18"/>
                <w:szCs w:val="18"/>
              </w:rPr>
              <w:t>料、化工产品（不含危险化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学品及一类易制毒化学 品）、纺织品、汽车配件、 </w:t>
            </w:r>
            <w:r>
              <w:rPr>
                <w:rFonts w:ascii="宋体" w:hAnsi="宋体" w:cs="宋体" w:eastAsia="宋体" w:hint="default"/>
                <w:spacing w:val="-6"/>
                <w:sz w:val="18"/>
                <w:szCs w:val="18"/>
              </w:rPr>
              <w:t>五金工具；承接计算机网络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工程；自营和代理各类商品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及技术的进出口，但国家限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定公司经营或禁止进出口 的商品和技术除外；法律、 </w:t>
            </w:r>
            <w:r>
              <w:rPr>
                <w:rFonts w:ascii="宋体" w:hAnsi="宋体" w:cs="宋体" w:eastAsia="宋体" w:hint="default"/>
                <w:spacing w:val="-6"/>
                <w:sz w:val="18"/>
                <w:szCs w:val="18"/>
              </w:rPr>
              <w:t>行政法规、国务院决定禁止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的，不得经营；法律、行政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法规、国务院决定规定应经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许可的，经审批机关批准并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经工商行政管理机关登记</w:t>
            </w:r>
          </w:p>
        </w:tc>
      </w:tr>
    </w:tbl>
    <w:p>
      <w:pPr>
        <w:spacing w:after="0" w:line="297" w:lineRule="auto"/>
        <w:jc w:val="left"/>
        <w:rPr>
          <w:rFonts w:ascii="宋体" w:hAnsi="宋体" w:cs="宋体" w:eastAsia="宋体" w:hint="default"/>
          <w:sz w:val="18"/>
          <w:szCs w:val="18"/>
        </w:rPr>
        <w:sectPr>
          <w:pgSz w:w="12240" w:h="15840"/>
          <w:pgMar w:header="850" w:footer="956" w:top="1360" w:bottom="1140" w:left="1420" w:right="0"/>
        </w:sectPr>
      </w:pPr>
    </w:p>
    <w:tbl>
      <w:tblPr>
        <w:tblW w:w="0" w:type="auto"/>
        <w:jc w:val="left"/>
        <w:tblInd w:w="111" w:type="dxa"/>
        <w:tblLayout w:type="fixed"/>
        <w:tblCellMar>
          <w:top w:w="0" w:type="dxa"/>
          <w:left w:w="0" w:type="dxa"/>
          <w:bottom w:w="0" w:type="dxa"/>
          <w:right w:w="0" w:type="dxa"/>
        </w:tblCellMar>
        <w:tblLook w:val="01E0"/>
      </w:tblPr>
      <w:tblGrid>
        <w:gridCol w:w="1109"/>
        <w:gridCol w:w="1112"/>
        <w:gridCol w:w="1109"/>
        <w:gridCol w:w="1112"/>
        <w:gridCol w:w="1109"/>
        <w:gridCol w:w="1111"/>
        <w:gridCol w:w="1109"/>
        <w:gridCol w:w="2314"/>
      </w:tblGrid>
      <w:tr>
        <w:trPr>
          <w:trHeight w:val="498" w:hRule="exact"/>
        </w:trPr>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11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1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09" w:type="dxa"/>
            <w:tcBorders>
              <w:top w:val="single" w:sz="20"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314"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1181" w:hRule="exact"/>
        </w:trPr>
        <w:tc>
          <w:tcPr>
            <w:tcW w:w="1109" w:type="dxa"/>
            <w:tcBorders>
              <w:top w:val="single" w:sz="4" w:space="0" w:color="000000"/>
              <w:left w:val="single" w:sz="4" w:space="0" w:color="000000"/>
              <w:bottom w:val="single" w:sz="8" w:space="0" w:color="000000"/>
              <w:right w:val="single" w:sz="4" w:space="0" w:color="000000"/>
            </w:tcBorders>
          </w:tcPr>
          <w:p>
            <w:pPr/>
          </w:p>
        </w:tc>
        <w:tc>
          <w:tcPr>
            <w:tcW w:w="1112" w:type="dxa"/>
            <w:tcBorders>
              <w:top w:val="single" w:sz="4" w:space="0" w:color="000000"/>
              <w:left w:val="single" w:sz="4" w:space="0" w:color="000000"/>
              <w:bottom w:val="single" w:sz="8" w:space="0" w:color="000000"/>
              <w:right w:val="single" w:sz="4" w:space="0" w:color="000000"/>
            </w:tcBorders>
          </w:tcPr>
          <w:p>
            <w:pPr/>
          </w:p>
        </w:tc>
        <w:tc>
          <w:tcPr>
            <w:tcW w:w="1109" w:type="dxa"/>
            <w:tcBorders>
              <w:top w:val="single" w:sz="4" w:space="0" w:color="000000"/>
              <w:left w:val="single" w:sz="4" w:space="0" w:color="000000"/>
              <w:bottom w:val="single" w:sz="8" w:space="0" w:color="000000"/>
              <w:right w:val="single" w:sz="4" w:space="0" w:color="000000"/>
            </w:tcBorders>
          </w:tcPr>
          <w:p>
            <w:pPr/>
          </w:p>
        </w:tc>
        <w:tc>
          <w:tcPr>
            <w:tcW w:w="1112" w:type="dxa"/>
            <w:tcBorders>
              <w:top w:val="single" w:sz="4" w:space="0" w:color="000000"/>
              <w:left w:val="single" w:sz="4" w:space="0" w:color="000000"/>
              <w:bottom w:val="single" w:sz="8" w:space="0" w:color="000000"/>
              <w:right w:val="single" w:sz="4" w:space="0" w:color="000000"/>
            </w:tcBorders>
          </w:tcPr>
          <w:p>
            <w:pPr/>
          </w:p>
        </w:tc>
        <w:tc>
          <w:tcPr>
            <w:tcW w:w="1109" w:type="dxa"/>
            <w:tcBorders>
              <w:top w:val="single" w:sz="4" w:space="0" w:color="000000"/>
              <w:left w:val="single" w:sz="4" w:space="0" w:color="000000"/>
              <w:bottom w:val="single" w:sz="8" w:space="0" w:color="000000"/>
              <w:right w:val="single" w:sz="4" w:space="0" w:color="000000"/>
            </w:tcBorders>
          </w:tcPr>
          <w:p>
            <w:pPr/>
          </w:p>
        </w:tc>
        <w:tc>
          <w:tcPr>
            <w:tcW w:w="1111" w:type="dxa"/>
            <w:tcBorders>
              <w:top w:val="single" w:sz="4" w:space="0" w:color="000000"/>
              <w:left w:val="single" w:sz="4" w:space="0" w:color="000000"/>
              <w:bottom w:val="single" w:sz="8" w:space="0" w:color="000000"/>
              <w:right w:val="single" w:sz="4" w:space="0" w:color="000000"/>
            </w:tcBorders>
          </w:tcPr>
          <w:p>
            <w:pPr/>
          </w:p>
        </w:tc>
        <w:tc>
          <w:tcPr>
            <w:tcW w:w="1109" w:type="dxa"/>
            <w:tcBorders>
              <w:top w:val="single" w:sz="4" w:space="0" w:color="000000"/>
              <w:left w:val="single" w:sz="4" w:space="0" w:color="000000"/>
              <w:bottom w:val="single" w:sz="8" w:space="0" w:color="000000"/>
              <w:right w:val="single" w:sz="4" w:space="0" w:color="000000"/>
            </w:tcBorders>
          </w:tcPr>
          <w:p>
            <w:pPr/>
          </w:p>
        </w:tc>
        <w:tc>
          <w:tcPr>
            <w:tcW w:w="2314" w:type="dxa"/>
            <w:tcBorders>
              <w:top w:val="single" w:sz="4" w:space="0" w:color="000000"/>
              <w:left w:val="single" w:sz="4" w:space="0" w:color="000000"/>
              <w:bottom w:val="single" w:sz="8"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注册后方可经营；法律、行</w:t>
            </w:r>
          </w:p>
          <w:p>
            <w:pPr>
              <w:pStyle w:val="TableParagraph"/>
              <w:spacing w:line="297" w:lineRule="auto" w:before="57"/>
              <w:ind w:left="103" w:right="101"/>
              <w:jc w:val="both"/>
              <w:rPr>
                <w:rFonts w:ascii="宋体" w:hAnsi="宋体" w:cs="宋体" w:eastAsia="宋体" w:hint="default"/>
                <w:sz w:val="18"/>
                <w:szCs w:val="18"/>
              </w:rPr>
            </w:pPr>
            <w:r>
              <w:rPr>
                <w:rFonts w:ascii="宋体" w:hAnsi="宋体" w:cs="宋体" w:eastAsia="宋体" w:hint="default"/>
                <w:spacing w:val="-6"/>
                <w:sz w:val="18"/>
                <w:szCs w:val="18"/>
              </w:rPr>
              <w:t>政法规、国务院决定未规定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许可的，自主选择经营项目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开展经营活动。</w:t>
            </w:r>
          </w:p>
        </w:tc>
      </w:tr>
      <w:tr>
        <w:trPr>
          <w:trHeight w:val="2667" w:hRule="exact"/>
        </w:trPr>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北京厚盾</w:t>
            </w:r>
          </w:p>
          <w:p>
            <w:pPr>
              <w:pStyle w:val="TableParagraph"/>
              <w:spacing w:line="232" w:lineRule="exact" w:before="23"/>
              <w:ind w:left="103" w:right="275"/>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hAnsi="宋体" w:cs="宋体" w:eastAsia="宋体" w:hint="default"/>
                <w:sz w:val="18"/>
                <w:szCs w:val="18"/>
              </w:rPr>
              <w:t>厚盾科技</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北京海淀区</w:t>
            </w:r>
          </w:p>
        </w:tc>
        <w:tc>
          <w:tcPr>
            <w:tcW w:w="1111" w:type="dxa"/>
            <w:tcBorders>
              <w:top w:val="single" w:sz="8" w:space="0" w:color="000000"/>
              <w:left w:val="single" w:sz="4" w:space="0" w:color="000000"/>
              <w:bottom w:val="single" w:sz="8" w:space="0" w:color="000000"/>
              <w:right w:val="single" w:sz="4" w:space="0" w:color="000000"/>
            </w:tcBorders>
          </w:tcPr>
          <w:p>
            <w:pPr>
              <w:pStyle w:val="TableParagraph"/>
              <w:spacing w:line="206" w:lineRule="exact"/>
              <w:ind w:left="-39" w:right="59"/>
              <w:jc w:val="center"/>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right="94"/>
              <w:jc w:val="center"/>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14" w:right="0"/>
              <w:jc w:val="center"/>
              <w:rPr>
                <w:rFonts w:ascii="宋体" w:hAnsi="宋体" w:cs="宋体" w:eastAsia="宋体" w:hint="default"/>
                <w:sz w:val="18"/>
                <w:szCs w:val="18"/>
              </w:rPr>
            </w:pPr>
            <w:r>
              <w:rPr>
                <w:rFonts w:ascii="宋体"/>
                <w:sz w:val="18"/>
              </w:rPr>
              <w:t>RMB500</w:t>
            </w:r>
          </w:p>
        </w:tc>
        <w:tc>
          <w:tcPr>
            <w:tcW w:w="2314" w:type="dxa"/>
            <w:tcBorders>
              <w:top w:val="single" w:sz="8" w:space="0" w:color="000000"/>
              <w:left w:val="single" w:sz="4" w:space="0" w:color="000000"/>
              <w:bottom w:val="single" w:sz="8" w:space="0" w:color="000000"/>
              <w:right w:val="single" w:sz="4" w:space="0" w:color="000000"/>
            </w:tcBorders>
          </w:tcPr>
          <w:p>
            <w:pPr>
              <w:pStyle w:val="TableParagraph"/>
              <w:spacing w:line="297"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法律、行政法规、国务院决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定禁止的，不得经营；法律、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行政法规、国务院决定规定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应经许可的，经审批机关批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准并经工商行政管理机关 登记注册后方可经营；法 </w:t>
            </w:r>
            <w:r>
              <w:rPr>
                <w:rFonts w:ascii="宋体" w:hAnsi="宋体" w:cs="宋体" w:eastAsia="宋体" w:hint="default"/>
                <w:spacing w:val="-6"/>
                <w:sz w:val="18"/>
                <w:szCs w:val="18"/>
              </w:rPr>
              <w:t>律、行政法规、国务院决定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未规定许可的，自主选择经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营项目开展经营活动。</w:t>
            </w:r>
          </w:p>
        </w:tc>
      </w:tr>
      <w:tr>
        <w:trPr>
          <w:trHeight w:val="1500" w:hRule="exact"/>
        </w:trPr>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北京神州</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新桥科技 有限公司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hAnsi="宋体" w:cs="宋体" w:eastAsia="宋体" w:hint="default"/>
                <w:sz w:val="18"/>
                <w:szCs w:val="18"/>
              </w:rPr>
              <w:t>神州新桥</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北京海淀区</w:t>
            </w:r>
          </w:p>
        </w:tc>
        <w:tc>
          <w:tcPr>
            <w:tcW w:w="1111" w:type="dxa"/>
            <w:tcBorders>
              <w:top w:val="single" w:sz="8" w:space="0" w:color="000000"/>
              <w:left w:val="single" w:sz="4" w:space="0" w:color="000000"/>
              <w:bottom w:val="single" w:sz="8" w:space="0" w:color="000000"/>
              <w:right w:val="single" w:sz="4" w:space="0" w:color="000000"/>
            </w:tcBorders>
          </w:tcPr>
          <w:p>
            <w:pPr>
              <w:pStyle w:val="TableParagraph"/>
              <w:spacing w:line="206" w:lineRule="exact"/>
              <w:ind w:left="-39" w:right="59"/>
              <w:jc w:val="center"/>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right="94"/>
              <w:jc w:val="center"/>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8" w:lineRule="exact"/>
              <w:ind w:left="116" w:right="0"/>
              <w:jc w:val="center"/>
              <w:rPr>
                <w:rFonts w:ascii="宋体" w:hAnsi="宋体" w:cs="宋体" w:eastAsia="宋体" w:hint="default"/>
                <w:sz w:val="18"/>
                <w:szCs w:val="18"/>
              </w:rPr>
            </w:pPr>
            <w:r>
              <w:rPr>
                <w:rFonts w:ascii="宋体"/>
                <w:sz w:val="18"/>
              </w:rPr>
              <w:t>RMB9,000</w:t>
            </w:r>
          </w:p>
        </w:tc>
        <w:tc>
          <w:tcPr>
            <w:tcW w:w="2314" w:type="dxa"/>
            <w:tcBorders>
              <w:top w:val="single" w:sz="8" w:space="0" w:color="000000"/>
              <w:left w:val="single" w:sz="4" w:space="0" w:color="000000"/>
              <w:bottom w:val="single" w:sz="8" w:space="0" w:color="000000"/>
              <w:right w:val="single" w:sz="4" w:space="0" w:color="000000"/>
            </w:tcBorders>
          </w:tcPr>
          <w:p>
            <w:pPr>
              <w:pStyle w:val="TableParagraph"/>
              <w:spacing w:line="297"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技术开发、技术转让、技术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咨询、技术服务；计算机系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统服务；销售电子产品、计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算机及辅助设备、机械设 备、通讯设备。</w:t>
            </w:r>
          </w:p>
        </w:tc>
      </w:tr>
      <w:tr>
        <w:trPr>
          <w:trHeight w:val="1791" w:hRule="exact"/>
        </w:trPr>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北京东方</w:t>
            </w:r>
          </w:p>
          <w:p>
            <w:pPr>
              <w:pStyle w:val="TableParagraph"/>
              <w:spacing w:line="240" w:lineRule="auto"/>
              <w:ind w:left="103" w:right="273"/>
              <w:jc w:val="left"/>
              <w:rPr>
                <w:rFonts w:ascii="宋体" w:hAnsi="宋体" w:cs="宋体" w:eastAsia="宋体" w:hint="default"/>
                <w:sz w:val="18"/>
                <w:szCs w:val="18"/>
              </w:rPr>
            </w:pPr>
            <w:r>
              <w:rPr>
                <w:rFonts w:ascii="宋体" w:hAnsi="宋体" w:cs="宋体" w:eastAsia="宋体" w:hint="default"/>
                <w:sz w:val="18"/>
                <w:szCs w:val="18"/>
              </w:rPr>
              <w:t>易维软件 有限公司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东方易维</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北京海淀区</w:t>
            </w:r>
          </w:p>
        </w:tc>
        <w:tc>
          <w:tcPr>
            <w:tcW w:w="1111" w:type="dxa"/>
            <w:tcBorders>
              <w:top w:val="single" w:sz="8" w:space="0" w:color="000000"/>
              <w:left w:val="single" w:sz="4" w:space="0" w:color="000000"/>
              <w:bottom w:val="single" w:sz="8" w:space="0" w:color="000000"/>
              <w:right w:val="single" w:sz="4" w:space="0" w:color="000000"/>
            </w:tcBorders>
          </w:tcPr>
          <w:p>
            <w:pPr>
              <w:pStyle w:val="TableParagraph"/>
              <w:spacing w:line="204" w:lineRule="exact"/>
              <w:ind w:left="-39" w:right="59"/>
              <w:jc w:val="center"/>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34" w:lineRule="exact"/>
              <w:ind w:right="94"/>
              <w:jc w:val="center"/>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RMB200</w:t>
            </w:r>
          </w:p>
        </w:tc>
        <w:tc>
          <w:tcPr>
            <w:tcW w:w="2314" w:type="dxa"/>
            <w:tcBorders>
              <w:top w:val="single" w:sz="8" w:space="0" w:color="000000"/>
              <w:left w:val="single" w:sz="4" w:space="0" w:color="000000"/>
              <w:bottom w:val="single" w:sz="8" w:space="0" w:color="000000"/>
              <w:right w:val="single" w:sz="4" w:space="0" w:color="000000"/>
            </w:tcBorders>
          </w:tcPr>
          <w:p>
            <w:pPr>
              <w:pStyle w:val="TableParagraph"/>
              <w:spacing w:line="297" w:lineRule="auto"/>
              <w:ind w:left="103" w:right="39"/>
              <w:jc w:val="left"/>
              <w:rPr>
                <w:rFonts w:ascii="宋体" w:hAnsi="宋体" w:cs="宋体" w:eastAsia="宋体" w:hint="default"/>
                <w:sz w:val="18"/>
                <w:szCs w:val="18"/>
              </w:rPr>
            </w:pPr>
            <w:r>
              <w:rPr>
                <w:rFonts w:ascii="宋体" w:hAnsi="宋体" w:cs="宋体" w:eastAsia="宋体" w:hint="default"/>
                <w:spacing w:val="-6"/>
                <w:sz w:val="18"/>
                <w:szCs w:val="18"/>
              </w:rPr>
              <w:t>应用软件服务；基础软件服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务；计算机系统服务；销售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计算机、软件及辅助设备、 </w:t>
            </w:r>
            <w:r>
              <w:rPr>
                <w:rFonts w:ascii="宋体" w:hAnsi="宋体" w:cs="宋体" w:eastAsia="宋体" w:hint="default"/>
                <w:spacing w:val="-6"/>
                <w:sz w:val="18"/>
                <w:szCs w:val="18"/>
              </w:rPr>
              <w:t>电子产品、机械设备；自然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科学研究与试验发展；教育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咨询。</w:t>
            </w:r>
          </w:p>
        </w:tc>
      </w:tr>
      <w:tr>
        <w:trPr>
          <w:trHeight w:val="2378" w:hRule="exact"/>
        </w:trPr>
        <w:tc>
          <w:tcPr>
            <w:tcW w:w="1109"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北京卓讯</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科信技术 有限公司</w:t>
            </w:r>
          </w:p>
        </w:tc>
        <w:tc>
          <w:tcPr>
            <w:tcW w:w="1112"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卓讯科信</w:t>
            </w:r>
          </w:p>
        </w:tc>
        <w:tc>
          <w:tcPr>
            <w:tcW w:w="1109"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12"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109"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北京海淀区</w:t>
            </w:r>
          </w:p>
        </w:tc>
        <w:tc>
          <w:tcPr>
            <w:tcW w:w="1111"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39" w:right="59"/>
              <w:jc w:val="center"/>
              <w:rPr>
                <w:rFonts w:ascii="宋体" w:hAnsi="宋体" w:cs="宋体" w:eastAsia="宋体" w:hint="default"/>
                <w:sz w:val="18"/>
                <w:szCs w:val="18"/>
              </w:rPr>
            </w:pPr>
            <w:r>
              <w:rPr>
                <w:rFonts w:ascii="宋体" w:hAnsi="宋体" w:cs="宋体" w:eastAsia="宋体" w:hint="default"/>
                <w:sz w:val="18"/>
                <w:szCs w:val="18"/>
              </w:rPr>
              <w:t>系统集成和软</w:t>
            </w: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件开发</w:t>
            </w:r>
          </w:p>
        </w:tc>
        <w:tc>
          <w:tcPr>
            <w:tcW w:w="1109" w:type="dxa"/>
            <w:tcBorders>
              <w:top w:val="single" w:sz="8" w:space="0" w:color="000000"/>
              <w:left w:val="single" w:sz="4" w:space="0" w:color="000000"/>
              <w:bottom w:val="single" w:sz="12"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RMB108</w:t>
            </w:r>
          </w:p>
        </w:tc>
        <w:tc>
          <w:tcPr>
            <w:tcW w:w="2314" w:type="dxa"/>
            <w:tcBorders>
              <w:top w:val="single" w:sz="8" w:space="0" w:color="000000"/>
              <w:left w:val="single" w:sz="4" w:space="0" w:color="000000"/>
              <w:bottom w:val="single" w:sz="12" w:space="0" w:color="000000"/>
              <w:right w:val="single" w:sz="4" w:space="0" w:color="000000"/>
            </w:tcBorders>
          </w:tcPr>
          <w:p>
            <w:pPr>
              <w:pStyle w:val="TableParagraph"/>
              <w:spacing w:line="297"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技术开发、技术推广、技术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转让、技术咨询、技术服务；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经济贸易咨询；市场调查； 投资咨询、企业管理咨询、 </w:t>
            </w:r>
            <w:r>
              <w:rPr>
                <w:rFonts w:ascii="宋体" w:hAnsi="宋体" w:cs="宋体" w:eastAsia="宋体" w:hint="default"/>
                <w:spacing w:val="-6"/>
                <w:sz w:val="18"/>
                <w:szCs w:val="18"/>
              </w:rPr>
              <w:t>企业策划、设计；销售电子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产品、器件和元件、计算机、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软件及辅助设备、通讯设 备、机械设备、五金交电。</w:t>
            </w:r>
          </w:p>
        </w:tc>
      </w:tr>
    </w:tbl>
    <w:p>
      <w:pPr>
        <w:spacing w:line="240" w:lineRule="auto" w:before="5"/>
        <w:rPr>
          <w:rFonts w:ascii="宋体" w:hAnsi="宋体" w:cs="宋体" w:eastAsia="宋体" w:hint="default"/>
          <w:sz w:val="11"/>
          <w:szCs w:val="11"/>
        </w:rPr>
      </w:pPr>
    </w:p>
    <w:p>
      <w:pPr>
        <w:spacing w:before="36"/>
        <w:ind w:left="224" w:right="1575" w:firstLine="0"/>
        <w:jc w:val="left"/>
        <w:rPr>
          <w:rFonts w:ascii="宋体" w:hAnsi="宋体" w:cs="宋体" w:eastAsia="宋体" w:hint="default"/>
          <w:sz w:val="21"/>
          <w:szCs w:val="21"/>
        </w:rPr>
      </w:pPr>
      <w:r>
        <w:rPr>
          <w:rFonts w:ascii="宋体" w:hAnsi="宋体" w:cs="宋体" w:eastAsia="宋体" w:hint="default"/>
          <w:sz w:val="21"/>
          <w:szCs w:val="21"/>
        </w:rPr>
        <w:t>（续表一）</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36"/>
        <w:gridCol w:w="1695"/>
        <w:gridCol w:w="1709"/>
        <w:gridCol w:w="1529"/>
        <w:gridCol w:w="2701"/>
      </w:tblGrid>
      <w:tr>
        <w:trPr>
          <w:trHeight w:val="722" w:hRule="exact"/>
        </w:trPr>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1695"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87"/>
              <w:ind w:right="2"/>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实质上构成对子公</w:t>
            </w:r>
          </w:p>
          <w:p>
            <w:pPr>
              <w:pStyle w:val="TableParagraph"/>
              <w:spacing w:line="232" w:lineRule="exact" w:before="23"/>
              <w:ind w:left="218" w:right="129" w:hanging="89"/>
              <w:jc w:val="left"/>
              <w:rPr>
                <w:rFonts w:ascii="宋体" w:hAnsi="宋体" w:cs="宋体" w:eastAsia="宋体" w:hint="default"/>
                <w:sz w:val="18"/>
                <w:szCs w:val="18"/>
              </w:rPr>
            </w:pPr>
            <w:r>
              <w:rPr>
                <w:rFonts w:ascii="宋体" w:hAnsi="宋体" w:cs="宋体" w:eastAsia="宋体" w:hint="default"/>
                <w:sz w:val="18"/>
                <w:szCs w:val="18"/>
              </w:rPr>
              <w:t>司净投资的其他项 目余额（万元）</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RMB29,267.54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RMB500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r>
      <w:tr>
        <w:trPr>
          <w:trHeight w:val="24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RMB32,000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100%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100%</w:t>
            </w: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东方易维</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RMB200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r>
      <w:tr>
        <w:trPr>
          <w:trHeight w:val="252" w:hRule="exact"/>
        </w:trPr>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卓讯科信</w:t>
            </w:r>
          </w:p>
        </w:tc>
        <w:tc>
          <w:tcPr>
            <w:tcW w:w="169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RMB25</w:t>
            </w:r>
          </w:p>
        </w:tc>
        <w:tc>
          <w:tcPr>
            <w:tcW w:w="1709"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c>
          <w:tcPr>
            <w:tcW w:w="2701"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sz w:val="10"/>
          <w:szCs w:val="10"/>
        </w:rPr>
      </w:pPr>
    </w:p>
    <w:p>
      <w:pPr>
        <w:spacing w:before="44"/>
        <w:ind w:left="224" w:right="1575" w:firstLine="0"/>
        <w:jc w:val="left"/>
        <w:rPr>
          <w:rFonts w:ascii="宋体" w:hAnsi="宋体" w:cs="宋体" w:eastAsia="宋体" w:hint="default"/>
          <w:sz w:val="18"/>
          <w:szCs w:val="18"/>
        </w:rPr>
      </w:pPr>
      <w:r>
        <w:rPr>
          <w:rFonts w:ascii="宋体" w:hAnsi="宋体" w:cs="宋体" w:eastAsia="宋体" w:hint="default"/>
          <w:sz w:val="18"/>
          <w:szCs w:val="18"/>
        </w:rPr>
        <w:t>（续表二）</w:t>
      </w:r>
    </w:p>
    <w:p>
      <w:pPr>
        <w:spacing w:after="0"/>
        <w:jc w:val="left"/>
        <w:rPr>
          <w:rFonts w:ascii="宋体" w:hAnsi="宋体" w:cs="宋体" w:eastAsia="宋体" w:hint="default"/>
          <w:sz w:val="18"/>
          <w:szCs w:val="18"/>
        </w:rPr>
        <w:sectPr>
          <w:pgSz w:w="12240" w:h="15840"/>
          <w:pgMar w:header="850" w:footer="956" w:top="1380" w:bottom="1140" w:left="1420" w:right="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21"/>
        <w:gridCol w:w="1190"/>
        <w:gridCol w:w="1901"/>
        <w:gridCol w:w="2362"/>
        <w:gridCol w:w="2309"/>
      </w:tblGrid>
      <w:tr>
        <w:trPr>
          <w:trHeight w:val="1190" w:hRule="exact"/>
        </w:trPr>
        <w:tc>
          <w:tcPr>
            <w:tcW w:w="232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119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99" w:right="139"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c>
          <w:tcPr>
            <w:tcW w:w="190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6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2309"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宋体" w:hAnsi="宋体" w:cs="宋体" w:eastAsia="宋体" w:hint="default"/>
                <w:sz w:val="18"/>
                <w:szCs w:val="18"/>
              </w:rPr>
            </w:pPr>
            <w:r>
              <w:rPr>
                <w:rFonts w:ascii="宋体" w:hAnsi="宋体" w:cs="宋体" w:eastAsia="宋体" w:hint="default"/>
                <w:sz w:val="18"/>
                <w:szCs w:val="18"/>
              </w:rPr>
              <w:t>是</w:t>
            </w:r>
          </w:p>
        </w:tc>
        <w:tc>
          <w:tcPr>
            <w:tcW w:w="190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71877946-3</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宋体" w:hAnsi="宋体" w:cs="宋体" w:eastAsia="宋体" w:hint="default"/>
                <w:sz w:val="18"/>
                <w:szCs w:val="18"/>
              </w:rPr>
            </w:pPr>
            <w:r>
              <w:rPr>
                <w:rFonts w:ascii="宋体" w:hAnsi="宋体" w:cs="宋体" w:eastAsia="宋体" w:hint="default"/>
                <w:sz w:val="18"/>
                <w:szCs w:val="18"/>
              </w:rPr>
              <w:t>是</w:t>
            </w:r>
          </w:p>
        </w:tc>
        <w:tc>
          <w:tcPr>
            <w:tcW w:w="190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75418571-8</w:t>
            </w:r>
          </w:p>
        </w:tc>
      </w:tr>
      <w:tr>
        <w:trPr>
          <w:trHeight w:val="319"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宋体" w:hAnsi="宋体" w:cs="宋体" w:eastAsia="宋体" w:hint="default"/>
                <w:sz w:val="18"/>
                <w:szCs w:val="18"/>
              </w:rPr>
            </w:pPr>
            <w:r>
              <w:rPr>
                <w:rFonts w:ascii="宋体" w:hAnsi="宋体" w:cs="宋体" w:eastAsia="宋体" w:hint="default"/>
                <w:sz w:val="18"/>
                <w:szCs w:val="18"/>
              </w:rPr>
              <w:t>是</w:t>
            </w:r>
          </w:p>
        </w:tc>
        <w:tc>
          <w:tcPr>
            <w:tcW w:w="190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80212393-4</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东方易维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9"/>
              <w:jc w:val="right"/>
              <w:rPr>
                <w:rFonts w:ascii="宋体" w:hAnsi="宋体" w:cs="宋体" w:eastAsia="宋体" w:hint="default"/>
                <w:sz w:val="18"/>
                <w:szCs w:val="18"/>
              </w:rPr>
            </w:pPr>
            <w:r>
              <w:rPr>
                <w:rFonts w:ascii="宋体" w:hAnsi="宋体" w:cs="宋体" w:eastAsia="宋体" w:hint="default"/>
                <w:sz w:val="18"/>
                <w:szCs w:val="18"/>
              </w:rPr>
              <w:t>是</w:t>
            </w:r>
          </w:p>
        </w:tc>
        <w:tc>
          <w:tcPr>
            <w:tcW w:w="190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78776052-0</w:t>
            </w:r>
          </w:p>
        </w:tc>
      </w:tr>
      <w:tr>
        <w:trPr>
          <w:trHeight w:val="331" w:hRule="exact"/>
        </w:trPr>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卓讯科信</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499"/>
              <w:jc w:val="right"/>
              <w:rPr>
                <w:rFonts w:ascii="宋体" w:hAnsi="宋体" w:cs="宋体" w:eastAsia="宋体" w:hint="default"/>
                <w:sz w:val="18"/>
                <w:szCs w:val="18"/>
              </w:rPr>
            </w:pPr>
            <w:r>
              <w:rPr>
                <w:rFonts w:ascii="宋体" w:hAnsi="宋体" w:cs="宋体" w:eastAsia="宋体" w:hint="default"/>
                <w:sz w:val="18"/>
                <w:szCs w:val="18"/>
              </w:rPr>
              <w:t>是</w:t>
            </w:r>
          </w:p>
        </w:tc>
        <w:tc>
          <w:tcPr>
            <w:tcW w:w="1901" w:type="dxa"/>
            <w:tcBorders>
              <w:top w:val="single" w:sz="4" w:space="0" w:color="000000"/>
              <w:left w:val="single" w:sz="4" w:space="0" w:color="000000"/>
              <w:bottom w:val="single" w:sz="12" w:space="0" w:color="000000"/>
              <w:right w:val="single" w:sz="4" w:space="0" w:color="000000"/>
            </w:tcBorders>
          </w:tcPr>
          <w:p>
            <w:pPr/>
          </w:p>
        </w:tc>
        <w:tc>
          <w:tcPr>
            <w:tcW w:w="2362" w:type="dxa"/>
            <w:tcBorders>
              <w:top w:val="single" w:sz="4" w:space="0" w:color="000000"/>
              <w:left w:val="single" w:sz="4" w:space="0" w:color="000000"/>
              <w:bottom w:val="single" w:sz="12" w:space="0" w:color="000000"/>
              <w:right w:val="single" w:sz="4" w:space="0" w:color="000000"/>
            </w:tcBorders>
          </w:tcPr>
          <w:p>
            <w:pPr/>
          </w:p>
        </w:tc>
        <w:tc>
          <w:tcPr>
            <w:tcW w:w="2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56948971-X</w:t>
            </w:r>
          </w:p>
        </w:tc>
      </w:tr>
    </w:tbl>
    <w:p>
      <w:pPr>
        <w:spacing w:line="319" w:lineRule="auto" w:before="6"/>
        <w:ind w:left="644"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）非同一控制下企业合并中商誉（负商誉）确定方法</w:t>
      </w:r>
      <w:r>
        <w:rPr>
          <w:rFonts w:ascii="宋体" w:hAnsi="宋体" w:cs="宋体" w:eastAsia="宋体" w:hint="default"/>
          <w:w w:val="100"/>
          <w:sz w:val="21"/>
          <w:szCs w:val="21"/>
        </w:rPr>
        <w:t> </w:t>
      </w:r>
      <w:r>
        <w:rPr>
          <w:rFonts w:ascii="宋体" w:hAnsi="宋体" w:cs="宋体" w:eastAsia="宋体" w:hint="default"/>
          <w:spacing w:val="-2"/>
          <w:sz w:val="21"/>
          <w:szCs w:val="21"/>
        </w:rPr>
        <w:t>购买方对合并成本大于合并中取得的被购买方可辨认净资产公允价值份额的差额，确认为商</w:t>
      </w:r>
    </w:p>
    <w:p>
      <w:pPr>
        <w:spacing w:line="260" w:lineRule="exact" w:before="0"/>
        <w:ind w:left="224" w:right="1575" w:firstLine="0"/>
        <w:jc w:val="left"/>
        <w:rPr>
          <w:rFonts w:ascii="宋体" w:hAnsi="宋体" w:cs="宋体" w:eastAsia="宋体" w:hint="default"/>
          <w:sz w:val="21"/>
          <w:szCs w:val="21"/>
        </w:rPr>
      </w:pPr>
      <w:r>
        <w:rPr>
          <w:rFonts w:ascii="宋体" w:hAnsi="宋体" w:cs="宋体" w:eastAsia="宋体" w:hint="default"/>
          <w:spacing w:val="-4"/>
          <w:sz w:val="21"/>
          <w:szCs w:val="21"/>
        </w:rPr>
        <w:t>誉。购买方对合并成本小于合并中取得的被购买方可辨认净资产公允价值份额的差额，计入当期损</w:t>
      </w:r>
    </w:p>
    <w:p>
      <w:pPr>
        <w:spacing w:before="51"/>
        <w:ind w:left="224" w:right="1575"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48" w:lineRule="auto" w:before="114"/>
        <w:ind w:left="694" w:right="7129" w:hanging="48"/>
        <w:jc w:val="left"/>
        <w:rPr>
          <w:rFonts w:ascii="宋体" w:hAnsi="宋体" w:cs="宋体" w:eastAsia="宋体" w:hint="default"/>
          <w:sz w:val="21"/>
          <w:szCs w:val="21"/>
        </w:rPr>
      </w:pPr>
      <w:r>
        <w:rPr>
          <w:rFonts w:ascii="宋体" w:hAnsi="宋体" w:cs="宋体" w:eastAsia="宋体" w:hint="default"/>
          <w:b/>
          <w:bCs/>
          <w:sz w:val="21"/>
          <w:szCs w:val="21"/>
        </w:rPr>
        <w:t>（二）纳入合并范围的孙公司</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、通过设立方式取得的孙公司</w:t>
      </w:r>
      <w:r>
        <w:rPr>
          <w:rFonts w:ascii="宋体" w:hAnsi="宋体" w:cs="宋体" w:eastAsia="宋体" w:hint="default"/>
          <w:w w:val="100"/>
          <w:sz w:val="21"/>
          <w:szCs w:val="21"/>
        </w:rPr>
        <w:t> </w:t>
      </w:r>
      <w:r>
        <w:rPr>
          <w:rFonts w:ascii="宋体" w:hAnsi="宋体" w:cs="宋体" w:eastAsia="宋体" w:hint="default"/>
          <w:sz w:val="21"/>
          <w:szCs w:val="21"/>
        </w:rPr>
        <w:t>无</w:t>
      </w:r>
    </w:p>
    <w:p>
      <w:pPr>
        <w:spacing w:line="350" w:lineRule="auto" w:before="31"/>
        <w:ind w:left="644" w:right="649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、同一控制下企业合并取得的孙公司</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、非同一控制下企业合并取得的孙公司</w:t>
      </w:r>
      <w:r>
        <w:rPr>
          <w:rFonts w:ascii="宋体" w:hAnsi="宋体" w:cs="宋体" w:eastAsia="宋体" w:hint="default"/>
          <w:sz w:val="21"/>
          <w:szCs w:val="21"/>
        </w:rPr>
      </w:r>
    </w:p>
    <w:p>
      <w:pPr>
        <w:spacing w:before="29"/>
        <w:ind w:left="538"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）孙公司情况</w:t>
      </w:r>
    </w:p>
    <w:p>
      <w:pPr>
        <w:spacing w:line="240" w:lineRule="auto" w:before="9"/>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57"/>
        <w:gridCol w:w="1069"/>
        <w:gridCol w:w="1068"/>
        <w:gridCol w:w="1068"/>
        <w:gridCol w:w="888"/>
        <w:gridCol w:w="1249"/>
        <w:gridCol w:w="1010"/>
        <w:gridCol w:w="2276"/>
      </w:tblGrid>
      <w:tr>
        <w:trPr>
          <w:trHeight w:val="487" w:hRule="exact"/>
        </w:trPr>
        <w:tc>
          <w:tcPr>
            <w:tcW w:w="1457" w:type="dxa"/>
            <w:tcBorders>
              <w:top w:val="single" w:sz="12" w:space="0" w:color="000000"/>
              <w:left w:val="single" w:sz="8" w:space="0" w:color="000000"/>
              <w:bottom w:val="single" w:sz="4" w:space="0" w:color="000000"/>
              <w:right w:val="single" w:sz="4" w:space="0" w:color="000000"/>
            </w:tcBorders>
          </w:tcPr>
          <w:p>
            <w:pPr>
              <w:pStyle w:val="TableParagraph"/>
              <w:spacing w:line="240" w:lineRule="auto" w:before="87"/>
              <w:ind w:left="242" w:right="0"/>
              <w:jc w:val="left"/>
              <w:rPr>
                <w:rFonts w:ascii="宋体" w:hAnsi="宋体" w:cs="宋体" w:eastAsia="宋体" w:hint="default"/>
                <w:sz w:val="18"/>
                <w:szCs w:val="18"/>
              </w:rPr>
            </w:pPr>
            <w:r>
              <w:rPr>
                <w:rFonts w:ascii="宋体" w:hAnsi="宋体" w:cs="宋体" w:eastAsia="宋体" w:hint="default"/>
                <w:sz w:val="18"/>
                <w:szCs w:val="18"/>
              </w:rPr>
              <w:t>孙公司全称</w:t>
            </w:r>
          </w:p>
        </w:tc>
        <w:tc>
          <w:tcPr>
            <w:tcW w:w="10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83" w:right="0"/>
              <w:jc w:val="left"/>
              <w:rPr>
                <w:rFonts w:ascii="宋体" w:hAnsi="宋体" w:cs="宋体" w:eastAsia="宋体" w:hint="default"/>
                <w:sz w:val="18"/>
                <w:szCs w:val="18"/>
              </w:rPr>
            </w:pPr>
            <w:r>
              <w:rPr>
                <w:rFonts w:ascii="宋体" w:hAnsi="宋体" w:cs="宋体" w:eastAsia="宋体" w:hint="default"/>
                <w:sz w:val="18"/>
                <w:szCs w:val="18"/>
              </w:rPr>
              <w:t>孙公司简称</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孙公司类型</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45"/>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196"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1877" w:hRule="exact"/>
        </w:trPr>
        <w:tc>
          <w:tcPr>
            <w:tcW w:w="1457" w:type="dxa"/>
            <w:tcBorders>
              <w:top w:val="single" w:sz="4" w:space="0" w:color="000000"/>
              <w:left w:val="single" w:sz="8" w:space="0" w:color="000000"/>
              <w:bottom w:val="single" w:sz="4" w:space="0" w:color="000000"/>
              <w:right w:val="single" w:sz="4" w:space="0" w:color="000000"/>
            </w:tcBorders>
          </w:tcPr>
          <w:p>
            <w:pPr>
              <w:pStyle w:val="TableParagraph"/>
              <w:spacing w:line="304" w:lineRule="auto" w:before="29"/>
              <w:ind w:left="74" w:right="105"/>
              <w:jc w:val="left"/>
              <w:rPr>
                <w:rFonts w:ascii="宋体" w:hAnsi="宋体" w:cs="宋体" w:eastAsia="宋体" w:hint="default"/>
                <w:sz w:val="18"/>
                <w:szCs w:val="18"/>
              </w:rPr>
            </w:pPr>
            <w:r>
              <w:rPr>
                <w:rFonts w:ascii="宋体" w:hAnsi="宋体" w:cs="宋体" w:eastAsia="宋体" w:hint="default"/>
                <w:sz w:val="18"/>
                <w:szCs w:val="18"/>
              </w:rPr>
              <w:t>北京厚盾鸿远科 技有限公司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5"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427" w:right="180" w:hanging="272"/>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RMB200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41"/>
              <w:jc w:val="left"/>
              <w:rPr>
                <w:rFonts w:ascii="宋体" w:hAnsi="宋体" w:cs="宋体" w:eastAsia="宋体" w:hint="default"/>
                <w:sz w:val="18"/>
                <w:szCs w:val="18"/>
              </w:rPr>
            </w:pPr>
            <w:r>
              <w:rPr>
                <w:rFonts w:ascii="宋体" w:hAnsi="宋体" w:cs="宋体" w:eastAsia="宋体" w:hint="default"/>
                <w:sz w:val="18"/>
                <w:szCs w:val="18"/>
              </w:rPr>
              <w:t>法律、行政法规、国务院决定</w:t>
            </w:r>
          </w:p>
          <w:p>
            <w:pPr>
              <w:pStyle w:val="TableParagraph"/>
              <w:spacing w:line="237" w:lineRule="auto"/>
              <w:ind w:left="-29" w:right="-46"/>
              <w:jc w:val="left"/>
              <w:rPr>
                <w:rFonts w:ascii="宋体" w:hAnsi="宋体" w:cs="宋体" w:eastAsia="宋体" w:hint="default"/>
                <w:sz w:val="18"/>
                <w:szCs w:val="18"/>
              </w:rPr>
            </w:pPr>
            <w:r>
              <w:rPr>
                <w:rFonts w:ascii="宋体" w:hAnsi="宋体" w:cs="宋体" w:eastAsia="宋体" w:hint="default"/>
                <w:sz w:val="18"/>
                <w:szCs w:val="18"/>
              </w:rPr>
              <w:t>禁止的，不得经营；法律、行 政法规、国务院决定应经许可 的，经审批机关批准并经工商 行政管理机关登记注册后方 可经营；法律、行政法规、国 务院决定未规定许可的，自主 选择经营项目开展经营活动。</w:t>
            </w:r>
          </w:p>
        </w:tc>
      </w:tr>
      <w:tr>
        <w:trPr>
          <w:trHeight w:val="2353" w:hRule="exact"/>
        </w:trPr>
        <w:tc>
          <w:tcPr>
            <w:tcW w:w="1457" w:type="dxa"/>
            <w:tcBorders>
              <w:top w:val="single" w:sz="4" w:space="0" w:color="000000"/>
              <w:left w:val="single" w:sz="8" w:space="0" w:color="000000"/>
              <w:bottom w:val="single" w:sz="12" w:space="0" w:color="000000"/>
              <w:right w:val="single" w:sz="4" w:space="0" w:color="000000"/>
            </w:tcBorders>
          </w:tcPr>
          <w:p>
            <w:pPr>
              <w:pStyle w:val="TableParagraph"/>
              <w:spacing w:line="304" w:lineRule="auto" w:before="29"/>
              <w:ind w:left="74" w:right="105"/>
              <w:jc w:val="left"/>
              <w:rPr>
                <w:rFonts w:ascii="宋体" w:hAnsi="宋体" w:cs="宋体" w:eastAsia="宋体" w:hint="default"/>
                <w:sz w:val="18"/>
                <w:szCs w:val="18"/>
              </w:rPr>
            </w:pPr>
            <w:r>
              <w:rPr>
                <w:rFonts w:ascii="宋体" w:hAnsi="宋体" w:cs="宋体" w:eastAsia="宋体" w:hint="default"/>
                <w:sz w:val="18"/>
                <w:szCs w:val="18"/>
              </w:rPr>
              <w:t>北京神州新桥软 件技术有限公司</w:t>
            </w:r>
          </w:p>
        </w:tc>
        <w:tc>
          <w:tcPr>
            <w:tcW w:w="10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55" w:right="0"/>
              <w:jc w:val="left"/>
              <w:rPr>
                <w:rFonts w:ascii="宋体" w:hAnsi="宋体" w:cs="宋体" w:eastAsia="宋体" w:hint="default"/>
                <w:sz w:val="18"/>
                <w:szCs w:val="18"/>
              </w:rPr>
            </w:pPr>
            <w:r>
              <w:rPr>
                <w:rFonts w:ascii="宋体" w:hAnsi="宋体" w:cs="宋体" w:eastAsia="宋体" w:hint="default"/>
                <w:sz w:val="18"/>
                <w:szCs w:val="18"/>
              </w:rPr>
              <w:t>新桥软件</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304" w:lineRule="auto" w:before="29"/>
              <w:ind w:left="427" w:right="180" w:hanging="272"/>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4"/>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5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RMB500</w:t>
            </w:r>
          </w:p>
        </w:tc>
        <w:tc>
          <w:tcPr>
            <w:tcW w:w="2276"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法律、行政法规、国务院</w:t>
            </w:r>
          </w:p>
          <w:p>
            <w:pPr>
              <w:pStyle w:val="TableParagraph"/>
              <w:spacing w:line="237" w:lineRule="auto"/>
              <w:ind w:left="100" w:right="183"/>
              <w:jc w:val="both"/>
              <w:rPr>
                <w:rFonts w:ascii="宋体" w:hAnsi="宋体" w:cs="宋体" w:eastAsia="宋体" w:hint="default"/>
                <w:sz w:val="18"/>
                <w:szCs w:val="18"/>
              </w:rPr>
            </w:pPr>
            <w:r>
              <w:rPr>
                <w:rFonts w:ascii="宋体" w:hAnsi="宋体" w:cs="宋体" w:eastAsia="宋体" w:hint="default"/>
                <w:sz w:val="18"/>
                <w:szCs w:val="18"/>
              </w:rPr>
              <w:t>决定禁止的，不得经营； 法律、行政法规、国务院 决定应经许可的，经审批 机关批准并经工商行政管 理机关登记注册后方可经 营；法律、行政法规、国 务院决定未规定许可的， 自主选择经营项目开展经 营活动。</w:t>
            </w:r>
          </w:p>
        </w:tc>
      </w:tr>
    </w:tbl>
    <w:p>
      <w:pPr>
        <w:spacing w:line="240" w:lineRule="auto" w:before="4"/>
        <w:rPr>
          <w:rFonts w:ascii="宋体" w:hAnsi="宋体" w:cs="宋体" w:eastAsia="宋体" w:hint="default"/>
          <w:sz w:val="11"/>
          <w:szCs w:val="11"/>
        </w:rPr>
      </w:pPr>
    </w:p>
    <w:p>
      <w:pPr>
        <w:spacing w:before="36"/>
        <w:ind w:left="224" w:right="1575" w:firstLine="0"/>
        <w:jc w:val="left"/>
        <w:rPr>
          <w:rFonts w:ascii="宋体" w:hAnsi="宋体" w:cs="宋体" w:eastAsia="宋体" w:hint="default"/>
          <w:sz w:val="21"/>
          <w:szCs w:val="21"/>
        </w:rPr>
      </w:pPr>
      <w:r>
        <w:rPr>
          <w:rFonts w:ascii="宋体" w:hAnsi="宋体" w:cs="宋体" w:eastAsia="宋体" w:hint="default"/>
          <w:sz w:val="21"/>
          <w:szCs w:val="21"/>
        </w:rPr>
        <w:t>（续表一）</w:t>
      </w:r>
    </w:p>
    <w:p>
      <w:pPr>
        <w:spacing w:after="0"/>
        <w:jc w:val="left"/>
        <w:rPr>
          <w:rFonts w:ascii="宋体" w:hAnsi="宋体" w:cs="宋体" w:eastAsia="宋体" w:hint="default"/>
          <w:sz w:val="21"/>
          <w:szCs w:val="21"/>
        </w:rPr>
        <w:sectPr>
          <w:pgSz w:w="12240" w:h="15840"/>
          <w:pgMar w:header="850" w:footer="956" w:top="1360" w:bottom="1140" w:left="1420" w:right="0"/>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01"/>
        <w:gridCol w:w="1604"/>
        <w:gridCol w:w="1752"/>
        <w:gridCol w:w="3053"/>
        <w:gridCol w:w="2074"/>
      </w:tblGrid>
      <w:tr>
        <w:trPr>
          <w:trHeight w:val="731" w:hRule="exact"/>
        </w:trPr>
        <w:tc>
          <w:tcPr>
            <w:tcW w:w="1601"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孙公司简称</w:t>
            </w:r>
          </w:p>
        </w:tc>
        <w:tc>
          <w:tcPr>
            <w:tcW w:w="1604" w:type="dxa"/>
            <w:tcBorders>
              <w:top w:val="single" w:sz="20" w:space="0" w:color="000000"/>
              <w:left w:val="single" w:sz="4" w:space="0" w:color="000000"/>
              <w:bottom w:val="single" w:sz="4" w:space="0" w:color="000000"/>
              <w:right w:val="single" w:sz="4" w:space="0" w:color="000000"/>
            </w:tcBorders>
          </w:tcPr>
          <w:p>
            <w:pPr>
              <w:pStyle w:val="TableParagraph"/>
              <w:spacing w:line="234" w:lineRule="exact" w:before="87"/>
              <w:ind w:right="2"/>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52" w:type="dxa"/>
            <w:tcBorders>
              <w:top w:val="single" w:sz="20"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实质上构成对子公</w:t>
            </w:r>
          </w:p>
          <w:p>
            <w:pPr>
              <w:pStyle w:val="TableParagraph"/>
              <w:spacing w:line="232" w:lineRule="exact" w:before="24"/>
              <w:ind w:left="239" w:right="149" w:hanging="89"/>
              <w:jc w:val="left"/>
              <w:rPr>
                <w:rFonts w:ascii="宋体" w:hAnsi="宋体" w:cs="宋体" w:eastAsia="宋体" w:hint="default"/>
                <w:sz w:val="18"/>
                <w:szCs w:val="18"/>
              </w:rPr>
            </w:pPr>
            <w:r>
              <w:rPr>
                <w:rFonts w:ascii="宋体" w:hAnsi="宋体" w:cs="宋体" w:eastAsia="宋体" w:hint="default"/>
                <w:sz w:val="18"/>
                <w:szCs w:val="18"/>
              </w:rPr>
              <w:t>司净投资的其他项 目余额（万元）</w:t>
            </w:r>
          </w:p>
        </w:tc>
        <w:tc>
          <w:tcPr>
            <w:tcW w:w="3053"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074"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3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25"/>
              <w:jc w:val="right"/>
              <w:rPr>
                <w:rFonts w:ascii="宋体" w:hAnsi="宋体" w:cs="宋体" w:eastAsia="宋体" w:hint="default"/>
                <w:sz w:val="18"/>
                <w:szCs w:val="18"/>
              </w:rPr>
            </w:pPr>
            <w:r>
              <w:rPr>
                <w:rFonts w:ascii="宋体"/>
                <w:spacing w:val="-1"/>
                <w:sz w:val="18"/>
              </w:rPr>
              <w:t>RMB200</w:t>
            </w:r>
          </w:p>
        </w:tc>
        <w:tc>
          <w:tcPr>
            <w:tcW w:w="175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100.00%</w:t>
            </w:r>
          </w:p>
        </w:tc>
      </w:tr>
      <w:tr>
        <w:trPr>
          <w:trHeight w:val="343" w:hRule="exact"/>
        </w:trPr>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18"/>
                <w:szCs w:val="18"/>
              </w:rPr>
            </w:pPr>
            <w:r>
              <w:rPr>
                <w:rFonts w:ascii="宋体" w:hAnsi="宋体" w:cs="宋体" w:eastAsia="宋体" w:hint="default"/>
                <w:sz w:val="18"/>
                <w:szCs w:val="18"/>
              </w:rPr>
              <w:t>新桥软件</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527"/>
              <w:jc w:val="right"/>
              <w:rPr>
                <w:rFonts w:ascii="宋体" w:hAnsi="宋体" w:cs="宋体" w:eastAsia="宋体" w:hint="default"/>
                <w:sz w:val="18"/>
                <w:szCs w:val="18"/>
              </w:rPr>
            </w:pPr>
            <w:r>
              <w:rPr>
                <w:rFonts w:ascii="宋体"/>
                <w:spacing w:val="-1"/>
                <w:sz w:val="18"/>
              </w:rPr>
              <w:t>RMB500</w:t>
            </w:r>
            <w:r>
              <w:rPr>
                <w:rFonts w:ascii="宋体"/>
                <w:sz w:val="18"/>
              </w:rPr>
            </w:r>
          </w:p>
        </w:tc>
        <w:tc>
          <w:tcPr>
            <w:tcW w:w="1752" w:type="dxa"/>
            <w:tcBorders>
              <w:top w:val="single" w:sz="4" w:space="0" w:color="000000"/>
              <w:left w:val="single" w:sz="4" w:space="0" w:color="000000"/>
              <w:bottom w:val="single" w:sz="12" w:space="0" w:color="000000"/>
              <w:right w:val="single" w:sz="4" w:space="0" w:color="000000"/>
            </w:tcBorders>
          </w:tcPr>
          <w:p>
            <w:pPr/>
          </w:p>
        </w:tc>
        <w:tc>
          <w:tcPr>
            <w:tcW w:w="30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100.00%</w:t>
            </w:r>
          </w:p>
        </w:tc>
        <w:tc>
          <w:tcPr>
            <w:tcW w:w="20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11"/>
          <w:szCs w:val="11"/>
        </w:rPr>
      </w:pPr>
    </w:p>
    <w:p>
      <w:pPr>
        <w:spacing w:before="36"/>
        <w:ind w:left="224" w:right="1575" w:firstLine="0"/>
        <w:jc w:val="left"/>
        <w:rPr>
          <w:rFonts w:ascii="宋体" w:hAnsi="宋体" w:cs="宋体" w:eastAsia="宋体" w:hint="default"/>
          <w:sz w:val="21"/>
          <w:szCs w:val="21"/>
        </w:rPr>
      </w:pPr>
      <w:r>
        <w:rPr>
          <w:rFonts w:ascii="宋体" w:hAnsi="宋体" w:cs="宋体" w:eastAsia="宋体" w:hint="default"/>
          <w:sz w:val="21"/>
          <w:szCs w:val="21"/>
        </w:rPr>
        <w:t>（续表二）</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99"/>
        <w:gridCol w:w="1130"/>
        <w:gridCol w:w="2096"/>
        <w:gridCol w:w="2062"/>
        <w:gridCol w:w="2597"/>
      </w:tblGrid>
      <w:tr>
        <w:trPr>
          <w:trHeight w:val="775" w:hRule="exact"/>
        </w:trPr>
        <w:tc>
          <w:tcPr>
            <w:tcW w:w="2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孙公司简称</w:t>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43"/>
              <w:jc w:val="center"/>
              <w:rPr>
                <w:rFonts w:ascii="宋体" w:hAnsi="宋体" w:cs="宋体" w:eastAsia="宋体" w:hint="default"/>
                <w:sz w:val="18"/>
                <w:szCs w:val="18"/>
              </w:rPr>
            </w:pPr>
            <w:r>
              <w:rPr>
                <w:rFonts w:ascii="宋体" w:hAnsi="宋体" w:cs="宋体" w:eastAsia="宋体" w:hint="default"/>
                <w:sz w:val="18"/>
                <w:szCs w:val="18"/>
              </w:rPr>
              <w:t>是否合并报表</w:t>
            </w:r>
          </w:p>
        </w:tc>
        <w:tc>
          <w:tcPr>
            <w:tcW w:w="20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20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189" w:right="62"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25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77"/>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4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center"/>
              <w:rPr>
                <w:rFonts w:ascii="宋体" w:hAnsi="宋体" w:cs="宋体" w:eastAsia="宋体" w:hint="default"/>
                <w:sz w:val="18"/>
                <w:szCs w:val="18"/>
              </w:rPr>
            </w:pPr>
            <w:r>
              <w:rPr>
                <w:rFonts w:ascii="宋体" w:hAnsi="宋体" w:cs="宋体" w:eastAsia="宋体" w:hint="default"/>
                <w:sz w:val="18"/>
                <w:szCs w:val="18"/>
              </w:rPr>
              <w:t>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sz w:val="18"/>
              </w:rPr>
              <w:t>--</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0" w:right="0"/>
              <w:jc w:val="left"/>
              <w:rPr>
                <w:rFonts w:ascii="宋体" w:hAnsi="宋体" w:cs="宋体" w:eastAsia="宋体" w:hint="default"/>
                <w:sz w:val="18"/>
                <w:szCs w:val="18"/>
              </w:rPr>
            </w:pPr>
            <w:r>
              <w:rPr>
                <w:rFonts w:ascii="宋体"/>
                <w:sz w:val="18"/>
              </w:rPr>
              <w:t>--</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51"/>
              <w:jc w:val="right"/>
              <w:rPr>
                <w:rFonts w:ascii="宋体" w:hAnsi="宋体" w:cs="宋体" w:eastAsia="宋体" w:hint="default"/>
                <w:sz w:val="18"/>
                <w:szCs w:val="18"/>
              </w:rPr>
            </w:pPr>
            <w:r>
              <w:rPr>
                <w:rFonts w:ascii="宋体"/>
                <w:spacing w:val="-1"/>
                <w:sz w:val="18"/>
              </w:rPr>
              <w:t>79597488-7</w:t>
            </w:r>
          </w:p>
        </w:tc>
      </w:tr>
      <w:tr>
        <w:trPr>
          <w:trHeight w:val="355" w:hRule="exact"/>
        </w:trPr>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18"/>
                <w:szCs w:val="18"/>
              </w:rPr>
            </w:pPr>
            <w:r>
              <w:rPr>
                <w:rFonts w:ascii="宋体" w:hAnsi="宋体" w:cs="宋体" w:eastAsia="宋体" w:hint="default"/>
                <w:sz w:val="18"/>
                <w:szCs w:val="18"/>
              </w:rPr>
              <w:t>新桥软件</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23"/>
              <w:jc w:val="center"/>
              <w:rPr>
                <w:rFonts w:ascii="宋体" w:hAnsi="宋体" w:cs="宋体" w:eastAsia="宋体" w:hint="default"/>
                <w:sz w:val="18"/>
                <w:szCs w:val="18"/>
              </w:rPr>
            </w:pPr>
            <w:r>
              <w:rPr>
                <w:rFonts w:ascii="宋体" w:hAnsi="宋体" w:cs="宋体" w:eastAsia="宋体" w:hint="default"/>
                <w:sz w:val="18"/>
                <w:szCs w:val="18"/>
              </w:rPr>
              <w:t>是</w:t>
            </w:r>
          </w:p>
        </w:tc>
        <w:tc>
          <w:tcPr>
            <w:tcW w:w="20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sz w:val="18"/>
              </w:rPr>
              <w:t>--</w:t>
            </w:r>
          </w:p>
        </w:tc>
        <w:tc>
          <w:tcPr>
            <w:tcW w:w="2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890" w:right="0"/>
              <w:jc w:val="left"/>
              <w:rPr>
                <w:rFonts w:ascii="宋体" w:hAnsi="宋体" w:cs="宋体" w:eastAsia="宋体" w:hint="default"/>
                <w:sz w:val="18"/>
                <w:szCs w:val="18"/>
              </w:rPr>
            </w:pPr>
            <w:r>
              <w:rPr>
                <w:rFonts w:ascii="宋体"/>
                <w:sz w:val="18"/>
              </w:rPr>
              <w:t>--</w:t>
            </w:r>
          </w:p>
        </w:tc>
        <w:tc>
          <w:tcPr>
            <w:tcW w:w="25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39"/>
              <w:jc w:val="right"/>
              <w:rPr>
                <w:rFonts w:ascii="宋体" w:hAnsi="宋体" w:cs="宋体" w:eastAsia="宋体" w:hint="default"/>
                <w:sz w:val="18"/>
                <w:szCs w:val="18"/>
              </w:rPr>
            </w:pPr>
            <w:r>
              <w:rPr>
                <w:rFonts w:ascii="宋体"/>
                <w:spacing w:val="-1"/>
                <w:sz w:val="18"/>
              </w:rPr>
              <w:t>68438099-8</w:t>
            </w:r>
          </w:p>
        </w:tc>
      </w:tr>
    </w:tbl>
    <w:p>
      <w:pPr>
        <w:spacing w:line="295" w:lineRule="auto" w:before="9"/>
        <w:ind w:left="224" w:right="1575" w:firstLine="419"/>
        <w:jc w:val="left"/>
        <w:rPr>
          <w:rFonts w:ascii="宋体" w:hAnsi="宋体" w:cs="宋体" w:eastAsia="宋体" w:hint="default"/>
          <w:sz w:val="21"/>
          <w:szCs w:val="21"/>
        </w:rPr>
      </w:pPr>
      <w:r>
        <w:rPr>
          <w:rFonts w:ascii="宋体" w:hAnsi="宋体" w:cs="宋体" w:eastAsia="宋体" w:hint="default"/>
          <w:spacing w:val="-4"/>
          <w:sz w:val="21"/>
          <w:szCs w:val="21"/>
        </w:rPr>
        <w:t>注：北京厚盾鸿远科技有限公司是北京厚盾科技有限公司的全资子公司；北京神州新桥软件技</w:t>
      </w:r>
      <w:r>
        <w:rPr>
          <w:rFonts w:ascii="宋体" w:hAnsi="宋体" w:cs="宋体" w:eastAsia="宋体" w:hint="default"/>
          <w:w w:val="100"/>
          <w:sz w:val="21"/>
          <w:szCs w:val="21"/>
        </w:rPr>
        <w:t> </w:t>
      </w:r>
      <w:r>
        <w:rPr>
          <w:rFonts w:ascii="宋体" w:hAnsi="宋体" w:cs="宋体" w:eastAsia="宋体" w:hint="default"/>
          <w:sz w:val="21"/>
          <w:szCs w:val="21"/>
        </w:rPr>
        <w:t>术有限公司是北京神州新桥科技有限公司的全资子公司。</w:t>
      </w:r>
    </w:p>
    <w:p>
      <w:pPr>
        <w:spacing w:line="362" w:lineRule="auto" w:before="137"/>
        <w:ind w:left="646" w:right="7006" w:firstLine="0"/>
        <w:jc w:val="left"/>
        <w:rPr>
          <w:rFonts w:ascii="宋体" w:hAnsi="宋体" w:cs="宋体" w:eastAsia="宋体" w:hint="default"/>
          <w:sz w:val="21"/>
          <w:szCs w:val="21"/>
        </w:rPr>
      </w:pPr>
      <w:r>
        <w:rPr>
          <w:rFonts w:ascii="宋体" w:hAnsi="宋体" w:cs="宋体" w:eastAsia="宋体" w:hint="default"/>
          <w:b/>
          <w:bCs/>
          <w:spacing w:val="-1"/>
          <w:sz w:val="21"/>
          <w:szCs w:val="21"/>
        </w:rPr>
        <w:t>（三）合并范围发生变更的说明：</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、本期新纳入合并范围的子公司</w:t>
      </w:r>
      <w:r>
        <w:rPr>
          <w:rFonts w:ascii="宋体" w:hAnsi="宋体" w:cs="宋体" w:eastAsia="宋体"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2840"/>
        <w:gridCol w:w="1469"/>
        <w:gridCol w:w="1052"/>
        <w:gridCol w:w="1681"/>
        <w:gridCol w:w="1783"/>
        <w:gridCol w:w="1157"/>
      </w:tblGrid>
      <w:tr>
        <w:trPr>
          <w:trHeight w:val="322" w:hRule="exact"/>
        </w:trPr>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合并期间</w:t>
            </w:r>
          </w:p>
        </w:tc>
        <w:tc>
          <w:tcPr>
            <w:tcW w:w="1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7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0" w:hRule="exact"/>
        </w:trPr>
        <w:tc>
          <w:tcPr>
            <w:tcW w:w="2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3,297,020.29</w:t>
            </w:r>
          </w:p>
        </w:tc>
        <w:tc>
          <w:tcPr>
            <w:tcW w:w="1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-702,979.71</w:t>
            </w:r>
          </w:p>
        </w:tc>
        <w:tc>
          <w:tcPr>
            <w:tcW w:w="11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1"/>
                <w:sz w:val="18"/>
              </w:rPr>
              <w:t>12,922,043.61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1"/>
                <w:sz w:val="18"/>
              </w:rPr>
              <w:t>-2,077,956.39</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1"/>
                <w:sz w:val="18"/>
              </w:rPr>
              <w:t>10,000,000.00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98"/>
              <w:jc w:val="right"/>
              <w:rPr>
                <w:rFonts w:ascii="宋体" w:hAnsi="宋体" w:cs="宋体" w:eastAsia="宋体" w:hint="default"/>
                <w:sz w:val="18"/>
                <w:szCs w:val="18"/>
              </w:rPr>
            </w:pPr>
            <w:r>
              <w:rPr>
                <w:rFonts w:ascii="宋体"/>
                <w:sz w:val="18"/>
              </w:rPr>
              <w:t>--</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1"/>
                <w:sz w:val="18"/>
              </w:rPr>
              <w:t>10,000,000.00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98"/>
              <w:jc w:val="right"/>
              <w:rPr>
                <w:rFonts w:ascii="宋体" w:hAnsi="宋体" w:cs="宋体" w:eastAsia="宋体" w:hint="default"/>
                <w:sz w:val="18"/>
                <w:szCs w:val="18"/>
              </w:rPr>
            </w:pPr>
            <w:r>
              <w:rPr>
                <w:rFonts w:ascii="宋体"/>
                <w:sz w:val="18"/>
              </w:rPr>
              <w:t>--</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*4</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收购</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6"/>
              <w:jc w:val="right"/>
              <w:rPr>
                <w:rFonts w:ascii="宋体" w:hAnsi="宋体" w:cs="宋体" w:eastAsia="宋体" w:hint="default"/>
                <w:sz w:val="18"/>
                <w:szCs w:val="18"/>
              </w:rPr>
            </w:pPr>
            <w:r>
              <w:rPr>
                <w:rFonts w:ascii="宋体"/>
                <w:spacing w:val="-1"/>
                <w:sz w:val="18"/>
              </w:rPr>
              <w:t>152,836,352.14</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1"/>
                <w:sz w:val="18"/>
              </w:rPr>
              <w:t>49,301,182.48</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*5</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11-12</w:t>
            </w:r>
            <w:r>
              <w:rPr>
                <w:rFonts w:ascii="宋体" w:hAnsi="宋体" w:cs="宋体" w:eastAsia="宋体" w:hint="default"/>
                <w:spacing w:val="-64"/>
                <w:sz w:val="18"/>
                <w:szCs w:val="18"/>
              </w:rPr>
              <w:t> </w:t>
            </w:r>
            <w:r>
              <w:rPr>
                <w:rFonts w:ascii="宋体" w:hAnsi="宋体" w:cs="宋体" w:eastAsia="宋体" w:hint="default"/>
                <w:sz w:val="18"/>
                <w:szCs w:val="18"/>
              </w:rPr>
              <w:t>月</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收购</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1"/>
                <w:sz w:val="18"/>
              </w:rPr>
              <w:t>-704,480.97</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1"/>
                <w:sz w:val="18"/>
              </w:rPr>
              <w:t>-3,185,064.33</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*6</w:t>
            </w:r>
          </w:p>
        </w:tc>
      </w:tr>
      <w:tr>
        <w:trPr>
          <w:trHeight w:val="291" w:hRule="exact"/>
        </w:trPr>
        <w:tc>
          <w:tcPr>
            <w:tcW w:w="2840"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469"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052"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收购</w:t>
            </w:r>
          </w:p>
        </w:tc>
        <w:tc>
          <w:tcPr>
            <w:tcW w:w="1681"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1"/>
                <w:sz w:val="18"/>
              </w:rPr>
              <w:t>-957,109.97</w:t>
            </w:r>
          </w:p>
        </w:tc>
        <w:tc>
          <w:tcPr>
            <w:tcW w:w="1783"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1"/>
                <w:sz w:val="18"/>
              </w:rPr>
              <w:t>-1,207,109.97</w:t>
            </w:r>
          </w:p>
        </w:tc>
        <w:tc>
          <w:tcPr>
            <w:tcW w:w="1157" w:type="dxa"/>
            <w:tcBorders>
              <w:top w:val="nil" w:sz="6" w:space="0" w:color="auto"/>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*7</w:t>
            </w:r>
          </w:p>
        </w:tc>
      </w:tr>
    </w:tbl>
    <w:p>
      <w:pPr>
        <w:spacing w:line="297" w:lineRule="auto" w:before="16"/>
        <w:ind w:left="224" w:right="1635"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、为了开拓区域市场及加强本地服务，由公司及公司的全资子公司</w:t>
      </w:r>
      <w:r>
        <w:rPr>
          <w:rFonts w:ascii="宋体" w:hAnsi="宋体" w:cs="宋体" w:eastAsia="宋体" w:hint="default"/>
          <w:spacing w:val="-3"/>
          <w:sz w:val="21"/>
          <w:szCs w:val="21"/>
        </w:rPr>
        <w:t>-</w:t>
      </w:r>
      <w:r>
        <w:rPr>
          <w:rFonts w:ascii="宋体" w:hAnsi="宋体" w:cs="宋体" w:eastAsia="宋体" w:hint="default"/>
          <w:spacing w:val="-3"/>
          <w:sz w:val="21"/>
          <w:szCs w:val="21"/>
        </w:rPr>
        <w:t>北京东华合创科技有限</w:t>
      </w:r>
      <w:r>
        <w:rPr>
          <w:rFonts w:ascii="宋体" w:hAnsi="宋体" w:cs="宋体" w:eastAsia="宋体" w:hint="default"/>
          <w:w w:val="100"/>
          <w:sz w:val="21"/>
          <w:szCs w:val="21"/>
        </w:rPr>
        <w:t> </w:t>
      </w:r>
      <w:r>
        <w:rPr>
          <w:rFonts w:ascii="宋体" w:hAnsi="宋体" w:cs="宋体" w:eastAsia="宋体" w:hint="default"/>
          <w:sz w:val="21"/>
          <w:szCs w:val="21"/>
        </w:rPr>
        <w:t>公司分别出资</w:t>
      </w:r>
      <w:r>
        <w:rPr>
          <w:rFonts w:ascii="宋体" w:hAnsi="宋体" w:cs="宋体" w:eastAsia="宋体" w:hint="default"/>
          <w:spacing w:val="-54"/>
          <w:sz w:val="21"/>
          <w:szCs w:val="21"/>
        </w:rPr>
        <w:t> </w:t>
      </w:r>
      <w:r>
        <w:rPr>
          <w:rFonts w:ascii="宋体" w:hAnsi="宋体" w:cs="宋体" w:eastAsia="宋体" w:hint="default"/>
          <w:sz w:val="21"/>
          <w:szCs w:val="21"/>
        </w:rPr>
        <w:t>396</w:t>
      </w:r>
      <w:r>
        <w:rPr>
          <w:rFonts w:ascii="宋体" w:hAnsi="宋体" w:cs="宋体" w:eastAsia="宋体" w:hint="default"/>
          <w:spacing w:val="-54"/>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万元在沈阳设立沈阳东华合创科技有限公司，于</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日完成</w:t>
      </w:r>
      <w:r>
        <w:rPr>
          <w:rFonts w:ascii="宋体" w:hAnsi="宋体" w:cs="宋体" w:eastAsia="宋体" w:hint="default"/>
          <w:w w:val="100"/>
          <w:sz w:val="21"/>
          <w:szCs w:val="21"/>
        </w:rPr>
        <w:t> </w:t>
      </w:r>
      <w:r>
        <w:rPr>
          <w:rFonts w:ascii="宋体" w:hAnsi="宋体" w:cs="宋体" w:eastAsia="宋体" w:hint="default"/>
          <w:sz w:val="21"/>
          <w:szCs w:val="21"/>
        </w:rPr>
        <w:t>工商注册登记。</w:t>
      </w:r>
    </w:p>
    <w:p>
      <w:pPr>
        <w:spacing w:line="297" w:lineRule="auto" w:before="75"/>
        <w:ind w:left="224" w:right="1635"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、为了开拓区域市场及加强本地服务，由公司及公司的全资子公司</w:t>
      </w:r>
      <w:r>
        <w:rPr>
          <w:rFonts w:ascii="宋体" w:hAnsi="宋体" w:cs="宋体" w:eastAsia="宋体" w:hint="default"/>
          <w:spacing w:val="-3"/>
          <w:sz w:val="21"/>
          <w:szCs w:val="21"/>
        </w:rPr>
        <w:t>-</w:t>
      </w:r>
      <w:r>
        <w:rPr>
          <w:rFonts w:ascii="宋体" w:hAnsi="宋体" w:cs="宋体" w:eastAsia="宋体" w:hint="default"/>
          <w:spacing w:val="-3"/>
          <w:sz w:val="21"/>
          <w:szCs w:val="21"/>
        </w:rPr>
        <w:t>北京东华合创科技有限</w:t>
      </w:r>
      <w:r>
        <w:rPr>
          <w:rFonts w:ascii="宋体" w:hAnsi="宋体" w:cs="宋体" w:eastAsia="宋体" w:hint="default"/>
          <w:w w:val="100"/>
          <w:sz w:val="21"/>
          <w:szCs w:val="21"/>
        </w:rPr>
        <w:t> </w:t>
      </w:r>
      <w:r>
        <w:rPr>
          <w:rFonts w:ascii="宋体" w:hAnsi="宋体" w:cs="宋体" w:eastAsia="宋体" w:hint="default"/>
          <w:sz w:val="21"/>
          <w:szCs w:val="21"/>
        </w:rPr>
        <w:t>公司分别出资</w:t>
      </w:r>
      <w:r>
        <w:rPr>
          <w:rFonts w:ascii="宋体" w:hAnsi="宋体" w:cs="宋体" w:eastAsia="宋体" w:hint="default"/>
          <w:spacing w:val="-48"/>
          <w:sz w:val="21"/>
          <w:szCs w:val="21"/>
        </w:rPr>
        <w:t> </w:t>
      </w:r>
      <w:r>
        <w:rPr>
          <w:rFonts w:ascii="宋体" w:hAnsi="宋体" w:cs="宋体" w:eastAsia="宋体" w:hint="default"/>
          <w:sz w:val="21"/>
          <w:szCs w:val="21"/>
        </w:rPr>
        <w:t>1,485</w:t>
      </w:r>
      <w:r>
        <w:rPr>
          <w:rFonts w:ascii="宋体" w:hAnsi="宋体" w:cs="宋体" w:eastAsia="宋体" w:hint="default"/>
          <w:spacing w:val="-51"/>
          <w:sz w:val="21"/>
          <w:szCs w:val="21"/>
        </w:rPr>
        <w:t> </w:t>
      </w:r>
      <w:r>
        <w:rPr>
          <w:rFonts w:ascii="宋体" w:hAnsi="宋体" w:cs="宋体" w:eastAsia="宋体" w:hint="default"/>
          <w:spacing w:val="-3"/>
          <w:sz w:val="21"/>
          <w:szCs w:val="21"/>
        </w:rPr>
        <w:t>万元、</w:t>
      </w:r>
      <w:r>
        <w:rPr>
          <w:rFonts w:ascii="宋体" w:hAnsi="宋体" w:cs="宋体" w:eastAsia="宋体" w:hint="default"/>
          <w:spacing w:val="-3"/>
          <w:sz w:val="21"/>
          <w:szCs w:val="21"/>
        </w:rPr>
        <w:t>150</w:t>
      </w:r>
      <w:r>
        <w:rPr>
          <w:rFonts w:ascii="宋体" w:hAnsi="宋体" w:cs="宋体" w:eastAsia="宋体" w:hint="default"/>
          <w:spacing w:val="-48"/>
          <w:sz w:val="21"/>
          <w:szCs w:val="21"/>
        </w:rPr>
        <w:t> </w:t>
      </w:r>
      <w:r>
        <w:rPr>
          <w:rFonts w:ascii="宋体" w:hAnsi="宋体" w:cs="宋体" w:eastAsia="宋体" w:hint="default"/>
          <w:spacing w:val="-3"/>
          <w:sz w:val="21"/>
          <w:szCs w:val="21"/>
        </w:rPr>
        <w:t>万元在西安设立西安东华软件有限公司，于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18</w:t>
      </w:r>
      <w:r>
        <w:rPr>
          <w:rFonts w:ascii="宋体" w:hAnsi="宋体" w:cs="宋体" w:eastAsia="宋体" w:hint="default"/>
          <w:spacing w:val="-48"/>
          <w:sz w:val="21"/>
          <w:szCs w:val="21"/>
        </w:rPr>
        <w:t> </w:t>
      </w:r>
      <w:r>
        <w:rPr>
          <w:rFonts w:ascii="宋体" w:hAnsi="宋体" w:cs="宋体" w:eastAsia="宋体" w:hint="default"/>
          <w:sz w:val="21"/>
          <w:szCs w:val="21"/>
        </w:rPr>
        <w:t>日完成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工商注册登记。</w:t>
      </w:r>
    </w:p>
    <w:p>
      <w:pPr>
        <w:spacing w:line="297" w:lineRule="auto" w:before="75"/>
        <w:ind w:left="224" w:right="1635"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、为了开拓区域市场及加强本地服务，由公司及公司的全资子公司</w:t>
      </w:r>
      <w:r>
        <w:rPr>
          <w:rFonts w:ascii="宋体" w:hAnsi="宋体" w:cs="宋体" w:eastAsia="宋体" w:hint="default"/>
          <w:spacing w:val="-3"/>
          <w:sz w:val="21"/>
          <w:szCs w:val="21"/>
        </w:rPr>
        <w:t>-</w:t>
      </w:r>
      <w:r>
        <w:rPr>
          <w:rFonts w:ascii="宋体" w:hAnsi="宋体" w:cs="宋体" w:eastAsia="宋体" w:hint="default"/>
          <w:spacing w:val="-3"/>
          <w:sz w:val="21"/>
          <w:szCs w:val="21"/>
        </w:rPr>
        <w:t>北京东华合创科技有限</w:t>
      </w:r>
      <w:r>
        <w:rPr>
          <w:rFonts w:ascii="宋体" w:hAnsi="宋体" w:cs="宋体" w:eastAsia="宋体" w:hint="default"/>
          <w:w w:val="100"/>
          <w:sz w:val="21"/>
          <w:szCs w:val="21"/>
        </w:rPr>
        <w:t> </w:t>
      </w:r>
      <w:r>
        <w:rPr>
          <w:rFonts w:ascii="宋体" w:hAnsi="宋体" w:cs="宋体" w:eastAsia="宋体" w:hint="default"/>
          <w:sz w:val="21"/>
          <w:szCs w:val="21"/>
        </w:rPr>
        <w:t>公司分别出资</w:t>
      </w:r>
      <w:r>
        <w:rPr>
          <w:rFonts w:ascii="宋体" w:hAnsi="宋体" w:cs="宋体" w:eastAsia="宋体" w:hint="default"/>
          <w:spacing w:val="-47"/>
          <w:sz w:val="21"/>
          <w:szCs w:val="21"/>
        </w:rPr>
        <w:t> </w:t>
      </w:r>
      <w:r>
        <w:rPr>
          <w:rFonts w:ascii="宋体" w:hAnsi="宋体" w:cs="宋体" w:eastAsia="宋体" w:hint="default"/>
          <w:sz w:val="21"/>
          <w:szCs w:val="21"/>
        </w:rPr>
        <w:t>990</w:t>
      </w:r>
      <w:r>
        <w:rPr>
          <w:rFonts w:ascii="宋体" w:hAnsi="宋体" w:cs="宋体" w:eastAsia="宋体" w:hint="default"/>
          <w:spacing w:val="-47"/>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10</w:t>
      </w:r>
      <w:r>
        <w:rPr>
          <w:rFonts w:ascii="宋体" w:hAnsi="宋体" w:cs="宋体" w:eastAsia="宋体" w:hint="default"/>
          <w:spacing w:val="-47"/>
          <w:sz w:val="21"/>
          <w:szCs w:val="21"/>
        </w:rPr>
        <w:t> </w:t>
      </w:r>
      <w:r>
        <w:rPr>
          <w:rFonts w:ascii="宋体" w:hAnsi="宋体" w:cs="宋体" w:eastAsia="宋体" w:hint="default"/>
          <w:spacing w:val="-3"/>
          <w:sz w:val="21"/>
          <w:szCs w:val="21"/>
        </w:rPr>
        <w:t>万元在南昌设立南昌东华软件有限公司，于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z w:val="21"/>
          <w:szCs w:val="21"/>
        </w:rPr>
        <w:t>日完成工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商注册登记。</w:t>
      </w:r>
    </w:p>
    <w:p>
      <w:pPr>
        <w:spacing w:line="297" w:lineRule="auto" w:before="75"/>
        <w:ind w:left="224" w:right="1635"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pacing w:val="-4"/>
          <w:sz w:val="21"/>
          <w:szCs w:val="21"/>
        </w:rPr>
        <w:t>、为了开拓区域市场及加强本地服务，由公司及公司的全资子公司</w:t>
      </w:r>
      <w:r>
        <w:rPr>
          <w:rFonts w:ascii="宋体" w:hAnsi="宋体" w:cs="宋体" w:eastAsia="宋体" w:hint="default"/>
          <w:spacing w:val="-4"/>
          <w:sz w:val="21"/>
          <w:szCs w:val="21"/>
        </w:rPr>
        <w:t>-</w:t>
      </w:r>
      <w:r>
        <w:rPr>
          <w:rFonts w:ascii="宋体" w:hAnsi="宋体" w:cs="宋体" w:eastAsia="宋体" w:hint="default"/>
          <w:spacing w:val="-4"/>
          <w:sz w:val="21"/>
          <w:szCs w:val="21"/>
        </w:rPr>
        <w:t>北京东华合创科技有限</w:t>
      </w:r>
      <w:r>
        <w:rPr>
          <w:rFonts w:ascii="宋体" w:hAnsi="宋体" w:cs="宋体" w:eastAsia="宋体" w:hint="default"/>
          <w:w w:val="100"/>
          <w:sz w:val="21"/>
          <w:szCs w:val="21"/>
        </w:rPr>
        <w:t> </w:t>
      </w:r>
      <w:r>
        <w:rPr>
          <w:rFonts w:ascii="宋体" w:hAnsi="宋体" w:cs="宋体" w:eastAsia="宋体" w:hint="default"/>
          <w:sz w:val="21"/>
          <w:szCs w:val="21"/>
        </w:rPr>
        <w:t>公司分别出资</w:t>
      </w:r>
      <w:r>
        <w:rPr>
          <w:rFonts w:ascii="宋体" w:hAnsi="宋体" w:cs="宋体" w:eastAsia="宋体" w:hint="default"/>
          <w:spacing w:val="-48"/>
          <w:sz w:val="21"/>
          <w:szCs w:val="21"/>
        </w:rPr>
        <w:t> </w:t>
      </w:r>
      <w:r>
        <w:rPr>
          <w:rFonts w:ascii="宋体" w:hAnsi="宋体" w:cs="宋体" w:eastAsia="宋体" w:hint="default"/>
          <w:sz w:val="21"/>
          <w:szCs w:val="21"/>
        </w:rPr>
        <w:t>990</w:t>
      </w:r>
      <w:r>
        <w:rPr>
          <w:rFonts w:ascii="宋体" w:hAnsi="宋体" w:cs="宋体" w:eastAsia="宋体" w:hint="default"/>
          <w:spacing w:val="-48"/>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10</w:t>
      </w:r>
      <w:r>
        <w:rPr>
          <w:rFonts w:ascii="宋体" w:hAnsi="宋体" w:cs="宋体" w:eastAsia="宋体" w:hint="default"/>
          <w:spacing w:val="-48"/>
          <w:sz w:val="21"/>
          <w:szCs w:val="21"/>
        </w:rPr>
        <w:t> </w:t>
      </w:r>
      <w:r>
        <w:rPr>
          <w:rFonts w:ascii="宋体" w:hAnsi="宋体" w:cs="宋体" w:eastAsia="宋体" w:hint="default"/>
          <w:spacing w:val="-3"/>
          <w:sz w:val="21"/>
          <w:szCs w:val="21"/>
        </w:rPr>
        <w:t>万元在山西设立山西东华软件有限公司，于</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日完成工商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注册登记。</w:t>
      </w:r>
    </w:p>
    <w:p>
      <w:pPr>
        <w:spacing w:line="297" w:lineRule="auto" w:before="75"/>
        <w:ind w:left="224" w:right="1635"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、北京神州新桥科技有限公司系本公司</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月以发行股份购买的非同一控制下的子公</w:t>
      </w:r>
      <w:r>
        <w:rPr>
          <w:rFonts w:ascii="宋体" w:hAnsi="宋体" w:cs="宋体" w:eastAsia="宋体" w:hint="default"/>
          <w:w w:val="100"/>
          <w:sz w:val="21"/>
          <w:szCs w:val="21"/>
        </w:rPr>
        <w:t> </w:t>
      </w:r>
      <w:r>
        <w:rPr>
          <w:rFonts w:ascii="宋体" w:hAnsi="宋体" w:cs="宋体" w:eastAsia="宋体" w:hint="default"/>
          <w:sz w:val="21"/>
          <w:szCs w:val="21"/>
        </w:rPr>
        <w:t>司，持股比例</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p>
      <w:pPr>
        <w:spacing w:after="0" w:line="297" w:lineRule="auto"/>
        <w:jc w:val="both"/>
        <w:rPr>
          <w:rFonts w:ascii="宋体" w:hAnsi="宋体" w:cs="宋体" w:eastAsia="宋体" w:hint="default"/>
          <w:sz w:val="21"/>
          <w:szCs w:val="21"/>
        </w:rPr>
        <w:sectPr>
          <w:pgSz w:w="12240" w:h="15840"/>
          <w:pgMar w:header="850" w:footer="956" w:top="1360" w:bottom="1140" w:left="1420" w:right="0"/>
        </w:sectPr>
      </w:pPr>
    </w:p>
    <w:p>
      <w:pPr>
        <w:spacing w:line="297" w:lineRule="auto" w:before="15"/>
        <w:ind w:left="144" w:right="1663" w:firstLine="419"/>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552"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6</w:t>
      </w:r>
      <w:r>
        <w:rPr>
          <w:rFonts w:ascii="宋体" w:hAnsi="宋体" w:cs="宋体" w:eastAsia="宋体" w:hint="default"/>
          <w:sz w:val="21"/>
          <w:szCs w:val="21"/>
        </w:rPr>
        <w:t>、北京东方易维软件有限公司系本公司于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月以货币资金出资购买的非同一控制</w:t>
      </w:r>
      <w:r>
        <w:rPr>
          <w:rFonts w:ascii="宋体" w:hAnsi="宋体" w:cs="宋体" w:eastAsia="宋体" w:hint="default"/>
          <w:w w:val="100"/>
          <w:sz w:val="21"/>
          <w:szCs w:val="21"/>
        </w:rPr>
        <w:t> </w:t>
      </w:r>
      <w:r>
        <w:rPr>
          <w:rFonts w:ascii="宋体" w:hAnsi="宋体" w:cs="宋体" w:eastAsia="宋体" w:hint="default"/>
          <w:sz w:val="21"/>
          <w:szCs w:val="21"/>
        </w:rPr>
        <w:t>下的子公司，出资金额</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万元，持股比例</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p>
      <w:pPr>
        <w:spacing w:line="295" w:lineRule="auto" w:before="75"/>
        <w:ind w:left="144" w:right="155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pacing w:val="-3"/>
          <w:sz w:val="21"/>
          <w:szCs w:val="21"/>
        </w:rPr>
        <w:t>7</w:t>
      </w:r>
      <w:r>
        <w:rPr>
          <w:rFonts w:ascii="宋体" w:hAnsi="宋体" w:cs="宋体" w:eastAsia="宋体" w:hint="default"/>
          <w:spacing w:val="-3"/>
          <w:sz w:val="21"/>
          <w:szCs w:val="21"/>
        </w:rPr>
        <w:t>、北京卓讯科信技术有限公司系本公司于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月以货币资金出资购买的非同一控制下</w:t>
      </w:r>
      <w:r>
        <w:rPr>
          <w:rFonts w:ascii="宋体" w:hAnsi="宋体" w:cs="宋体" w:eastAsia="宋体" w:hint="default"/>
          <w:w w:val="100"/>
          <w:sz w:val="21"/>
          <w:szCs w:val="21"/>
        </w:rPr>
        <w:t> </w:t>
      </w:r>
      <w:r>
        <w:rPr>
          <w:rFonts w:ascii="宋体" w:hAnsi="宋体" w:cs="宋体" w:eastAsia="宋体" w:hint="default"/>
          <w:sz w:val="21"/>
          <w:szCs w:val="21"/>
        </w:rPr>
        <w:t>的子公司，出资金额</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万元，持股比例</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p>
      <w:pPr>
        <w:spacing w:before="137"/>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、本期不再纳入合并范围的子公司</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34" w:type="dxa"/>
        <w:tblLayout w:type="fixed"/>
        <w:tblCellMar>
          <w:top w:w="0" w:type="dxa"/>
          <w:left w:w="0" w:type="dxa"/>
          <w:bottom w:w="0" w:type="dxa"/>
          <w:right w:w="0" w:type="dxa"/>
        </w:tblCellMar>
        <w:tblLook w:val="01E0"/>
      </w:tblPr>
      <w:tblGrid>
        <w:gridCol w:w="3101"/>
        <w:gridCol w:w="2763"/>
        <w:gridCol w:w="3198"/>
      </w:tblGrid>
      <w:tr>
        <w:trPr>
          <w:trHeight w:val="425" w:hRule="exact"/>
        </w:trPr>
        <w:tc>
          <w:tcPr>
            <w:tcW w:w="3101" w:type="dxa"/>
            <w:tcBorders>
              <w:top w:val="single" w:sz="12" w:space="0" w:color="000000"/>
              <w:left w:val="single" w:sz="8" w:space="0" w:color="000000"/>
              <w:bottom w:val="single" w:sz="8" w:space="0" w:color="000000"/>
              <w:right w:val="single" w:sz="8" w:space="0" w:color="000000"/>
            </w:tcBorders>
          </w:tcPr>
          <w:p>
            <w:pPr>
              <w:pStyle w:val="TableParagraph"/>
              <w:tabs>
                <w:tab w:pos="527" w:val="left" w:leader="none"/>
              </w:tabs>
              <w:spacing w:line="219" w:lineRule="exact"/>
              <w:ind w:left="1"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763" w:type="dxa"/>
            <w:tcBorders>
              <w:top w:val="single" w:sz="12" w:space="0" w:color="000000"/>
              <w:left w:val="single" w:sz="8" w:space="0" w:color="000000"/>
              <w:bottom w:val="single" w:sz="8" w:space="0" w:color="000000"/>
              <w:right w:val="single" w:sz="8" w:space="0" w:color="000000"/>
            </w:tcBorders>
          </w:tcPr>
          <w:p>
            <w:pPr>
              <w:pStyle w:val="TableParagraph"/>
              <w:spacing w:line="219" w:lineRule="exact"/>
              <w:ind w:left="741"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198" w:type="dxa"/>
            <w:tcBorders>
              <w:top w:val="single" w:sz="12" w:space="0" w:color="000000"/>
              <w:left w:val="single" w:sz="8" w:space="0" w:color="000000"/>
              <w:bottom w:val="single" w:sz="8" w:space="0" w:color="000000"/>
              <w:right w:val="single" w:sz="8" w:space="0" w:color="000000"/>
            </w:tcBorders>
          </w:tcPr>
          <w:p>
            <w:pPr>
              <w:pStyle w:val="TableParagraph"/>
              <w:spacing w:line="219" w:lineRule="exact"/>
              <w:ind w:left="64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82" w:hRule="exact"/>
        </w:trPr>
        <w:tc>
          <w:tcPr>
            <w:tcW w:w="3101" w:type="dxa"/>
            <w:tcBorders>
              <w:top w:val="single" w:sz="8" w:space="0" w:color="000000"/>
              <w:left w:val="single" w:sz="8" w:space="0" w:color="000000"/>
              <w:bottom w:val="single" w:sz="12" w:space="0" w:color="000000"/>
              <w:right w:val="single" w:sz="8" w:space="0" w:color="000000"/>
            </w:tcBorders>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内蒙古合创信息技术有限公司</w:t>
            </w:r>
          </w:p>
        </w:tc>
        <w:tc>
          <w:tcPr>
            <w:tcW w:w="2763" w:type="dxa"/>
            <w:tcBorders>
              <w:top w:val="single" w:sz="8" w:space="0" w:color="000000"/>
              <w:left w:val="single" w:sz="8" w:space="0" w:color="000000"/>
              <w:bottom w:val="single" w:sz="12" w:space="0" w:color="000000"/>
              <w:right w:val="single" w:sz="8" w:space="0" w:color="000000"/>
            </w:tcBorders>
          </w:tcPr>
          <w:p>
            <w:pPr>
              <w:pStyle w:val="TableParagraph"/>
              <w:spacing w:line="267" w:lineRule="exact"/>
              <w:ind w:left="1382" w:right="0"/>
              <w:jc w:val="left"/>
              <w:rPr>
                <w:rFonts w:ascii="宋体" w:hAnsi="宋体" w:cs="宋体" w:eastAsia="宋体" w:hint="default"/>
                <w:sz w:val="21"/>
                <w:szCs w:val="21"/>
              </w:rPr>
            </w:pPr>
            <w:r>
              <w:rPr>
                <w:rFonts w:ascii="宋体"/>
                <w:sz w:val="21"/>
              </w:rPr>
              <w:t>4,902,872.26</w:t>
            </w:r>
          </w:p>
        </w:tc>
        <w:tc>
          <w:tcPr>
            <w:tcW w:w="3198" w:type="dxa"/>
            <w:tcBorders>
              <w:top w:val="single" w:sz="8" w:space="0" w:color="000000"/>
              <w:left w:val="single" w:sz="8" w:space="0" w:color="000000"/>
              <w:bottom w:val="single" w:sz="12" w:space="0" w:color="000000"/>
              <w:right w:val="single" w:sz="8" w:space="0" w:color="000000"/>
            </w:tcBorders>
          </w:tcPr>
          <w:p>
            <w:pPr>
              <w:pStyle w:val="TableParagraph"/>
              <w:spacing w:line="267" w:lineRule="exact"/>
              <w:ind w:left="2028" w:right="0"/>
              <w:jc w:val="left"/>
              <w:rPr>
                <w:rFonts w:ascii="宋体" w:hAnsi="宋体" w:cs="宋体" w:eastAsia="宋体" w:hint="default"/>
                <w:sz w:val="21"/>
                <w:szCs w:val="21"/>
              </w:rPr>
            </w:pPr>
            <w:r>
              <w:rPr>
                <w:rFonts w:ascii="宋体"/>
                <w:sz w:val="21"/>
              </w:rPr>
              <w:t>-97,127.74</w:t>
            </w:r>
          </w:p>
        </w:tc>
      </w:tr>
    </w:tbl>
    <w:p>
      <w:pPr>
        <w:spacing w:before="28"/>
        <w:ind w:left="617" w:right="1697" w:firstLine="0"/>
        <w:jc w:val="left"/>
        <w:rPr>
          <w:rFonts w:ascii="宋体" w:hAnsi="宋体" w:cs="宋体" w:eastAsia="宋体" w:hint="default"/>
          <w:sz w:val="21"/>
          <w:szCs w:val="21"/>
        </w:rPr>
      </w:pPr>
      <w:r>
        <w:rPr>
          <w:rFonts w:ascii="宋体" w:hAnsi="宋体" w:cs="宋体" w:eastAsia="宋体" w:hint="default"/>
          <w:b/>
          <w:bCs/>
          <w:sz w:val="21"/>
          <w:szCs w:val="21"/>
        </w:rPr>
        <w:t>（四）本期发生的非同一控制下企业合并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39" w:type="dxa"/>
        <w:tblLayout w:type="fixed"/>
        <w:tblCellMar>
          <w:top w:w="0" w:type="dxa"/>
          <w:left w:w="0" w:type="dxa"/>
          <w:bottom w:w="0" w:type="dxa"/>
          <w:right w:w="0" w:type="dxa"/>
        </w:tblCellMar>
        <w:tblLook w:val="01E0"/>
      </w:tblPr>
      <w:tblGrid>
        <w:gridCol w:w="3404"/>
        <w:gridCol w:w="3003"/>
        <w:gridCol w:w="3467"/>
      </w:tblGrid>
      <w:tr>
        <w:trPr>
          <w:trHeight w:val="293" w:hRule="exact"/>
        </w:trPr>
        <w:tc>
          <w:tcPr>
            <w:tcW w:w="340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0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467"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319" w:hRule="exact"/>
        </w:trPr>
        <w:tc>
          <w:tcPr>
            <w:tcW w:w="340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北京神州新桥科技有限公司</w:t>
            </w:r>
          </w:p>
        </w:tc>
        <w:tc>
          <w:tcPr>
            <w:tcW w:w="300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225,266,979.44</w:t>
            </w:r>
          </w:p>
        </w:tc>
        <w:tc>
          <w:tcPr>
            <w:tcW w:w="3467" w:type="dxa"/>
            <w:vMerge w:val="restart"/>
            <w:tcBorders>
              <w:top w:val="single" w:sz="4" w:space="0" w:color="000000"/>
              <w:left w:val="single" w:sz="4" w:space="0" w:color="000000"/>
              <w:right w:val="single" w:sz="4" w:space="0" w:color="000000"/>
            </w:tcBorders>
          </w:tcPr>
          <w:p>
            <w:pPr>
              <w:pStyle w:val="TableParagraph"/>
              <w:spacing w:line="307" w:lineRule="auto" w:before="93"/>
              <w:ind w:left="153" w:right="-5"/>
              <w:jc w:val="left"/>
              <w:rPr>
                <w:rFonts w:ascii="宋体" w:hAnsi="宋体" w:cs="宋体" w:eastAsia="宋体" w:hint="default"/>
                <w:sz w:val="21"/>
                <w:szCs w:val="21"/>
              </w:rPr>
            </w:pPr>
            <w:r>
              <w:rPr>
                <w:rFonts w:ascii="宋体" w:hAnsi="宋体" w:cs="宋体" w:eastAsia="宋体" w:hint="default"/>
                <w:sz w:val="21"/>
                <w:szCs w:val="21"/>
              </w:rPr>
              <w:t>购买价格高于购买日被合并方可辨</w:t>
            </w:r>
            <w:r>
              <w:rPr>
                <w:rFonts w:ascii="宋体" w:hAnsi="宋体" w:cs="宋体" w:eastAsia="宋体" w:hint="default"/>
                <w:w w:val="100"/>
                <w:sz w:val="21"/>
                <w:szCs w:val="21"/>
              </w:rPr>
              <w:t> </w:t>
            </w:r>
            <w:r>
              <w:rPr>
                <w:rFonts w:ascii="宋体" w:hAnsi="宋体" w:cs="宋体" w:eastAsia="宋体" w:hint="default"/>
                <w:spacing w:val="-5"/>
                <w:sz w:val="21"/>
                <w:szCs w:val="21"/>
              </w:rPr>
              <w:t>认净资产份额的差额，确认为商誉。</w:t>
            </w:r>
          </w:p>
        </w:tc>
      </w:tr>
      <w:tr>
        <w:trPr>
          <w:trHeight w:val="300" w:hRule="exact"/>
        </w:trPr>
        <w:tc>
          <w:tcPr>
            <w:tcW w:w="340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北京东方易维软件有限公司</w:t>
            </w:r>
          </w:p>
        </w:tc>
        <w:tc>
          <w:tcPr>
            <w:tcW w:w="300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1,942,851.06</w:t>
            </w:r>
          </w:p>
        </w:tc>
        <w:tc>
          <w:tcPr>
            <w:tcW w:w="3467" w:type="dxa"/>
            <w:vMerge/>
            <w:tcBorders>
              <w:left w:val="single" w:sz="4" w:space="0" w:color="000000"/>
              <w:right w:val="single" w:sz="4" w:space="0" w:color="000000"/>
            </w:tcBorders>
          </w:tcPr>
          <w:p>
            <w:pPr/>
          </w:p>
        </w:tc>
      </w:tr>
      <w:tr>
        <w:trPr>
          <w:trHeight w:val="303" w:hRule="exact"/>
        </w:trPr>
        <w:tc>
          <w:tcPr>
            <w:tcW w:w="3404"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北京卓讯科信技术有限公司</w:t>
            </w:r>
          </w:p>
        </w:tc>
        <w:tc>
          <w:tcPr>
            <w:tcW w:w="3003"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0.00</w:t>
            </w:r>
          </w:p>
        </w:tc>
        <w:tc>
          <w:tcPr>
            <w:tcW w:w="3467" w:type="dxa"/>
            <w:vMerge/>
            <w:tcBorders>
              <w:left w:val="single" w:sz="4" w:space="0" w:color="000000"/>
              <w:bottom w:val="single" w:sz="12" w:space="0" w:color="000000"/>
              <w:right w:val="single" w:sz="4" w:space="0" w:color="000000"/>
            </w:tcBorders>
          </w:tcPr>
          <w:p>
            <w:pPr/>
          </w:p>
        </w:tc>
      </w:tr>
    </w:tbl>
    <w:p>
      <w:pPr>
        <w:spacing w:before="26"/>
        <w:ind w:left="617" w:right="1697" w:firstLine="0"/>
        <w:jc w:val="left"/>
        <w:rPr>
          <w:rFonts w:ascii="宋体" w:hAnsi="宋体" w:cs="宋体" w:eastAsia="宋体" w:hint="default"/>
          <w:sz w:val="21"/>
          <w:szCs w:val="21"/>
        </w:rPr>
      </w:pPr>
      <w:r>
        <w:rPr>
          <w:rFonts w:ascii="宋体" w:hAnsi="宋体" w:cs="宋体" w:eastAsia="宋体" w:hint="default"/>
          <w:b/>
          <w:bCs/>
          <w:sz w:val="21"/>
          <w:szCs w:val="21"/>
        </w:rPr>
        <w:t>（五）少数股东权益</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tbl>
      <w:tblPr>
        <w:tblW w:w="0" w:type="auto"/>
        <w:jc w:val="left"/>
        <w:tblInd w:w="139" w:type="dxa"/>
        <w:tblLayout w:type="fixed"/>
        <w:tblCellMar>
          <w:top w:w="0" w:type="dxa"/>
          <w:left w:w="0" w:type="dxa"/>
          <w:bottom w:w="0" w:type="dxa"/>
          <w:right w:w="0" w:type="dxa"/>
        </w:tblCellMar>
        <w:tblLook w:val="01E0"/>
      </w:tblPr>
      <w:tblGrid>
        <w:gridCol w:w="2626"/>
        <w:gridCol w:w="1286"/>
        <w:gridCol w:w="1284"/>
        <w:gridCol w:w="1286"/>
        <w:gridCol w:w="1289"/>
        <w:gridCol w:w="2100"/>
      </w:tblGrid>
      <w:tr>
        <w:trPr>
          <w:trHeight w:val="622" w:hRule="exact"/>
        </w:trPr>
        <w:tc>
          <w:tcPr>
            <w:tcW w:w="2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86"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32"/>
              <w:ind w:left="275" w:right="98" w:hanging="180"/>
              <w:jc w:val="left"/>
              <w:rPr>
                <w:rFonts w:ascii="宋体" w:hAnsi="宋体" w:cs="宋体" w:eastAsia="宋体" w:hint="default"/>
                <w:sz w:val="18"/>
                <w:szCs w:val="18"/>
              </w:rPr>
            </w:pPr>
            <w:r>
              <w:rPr>
                <w:rFonts w:ascii="宋体" w:hAnsi="宋体" w:cs="宋体" w:eastAsia="宋体" w:hint="default"/>
                <w:sz w:val="18"/>
                <w:szCs w:val="18"/>
              </w:rPr>
              <w:t>少数股东权益 期初金额</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32"/>
              <w:ind w:left="456" w:right="96" w:hanging="361"/>
              <w:jc w:val="left"/>
              <w:rPr>
                <w:rFonts w:ascii="宋体" w:hAnsi="宋体" w:cs="宋体" w:eastAsia="宋体" w:hint="default"/>
                <w:sz w:val="18"/>
                <w:szCs w:val="18"/>
              </w:rPr>
            </w:pPr>
            <w:r>
              <w:rPr>
                <w:rFonts w:ascii="宋体" w:hAnsi="宋体" w:cs="宋体" w:eastAsia="宋体" w:hint="default"/>
                <w:sz w:val="18"/>
                <w:szCs w:val="18"/>
              </w:rPr>
              <w:t>本期少数股东 损益</w:t>
            </w:r>
          </w:p>
        </w:tc>
        <w:tc>
          <w:tcPr>
            <w:tcW w:w="1286"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32"/>
              <w:ind w:left="278" w:right="96" w:hanging="180"/>
              <w:jc w:val="left"/>
              <w:rPr>
                <w:rFonts w:ascii="宋体" w:hAnsi="宋体" w:cs="宋体" w:eastAsia="宋体" w:hint="default"/>
                <w:sz w:val="18"/>
                <w:szCs w:val="18"/>
              </w:rPr>
            </w:pPr>
            <w:r>
              <w:rPr>
                <w:rFonts w:ascii="宋体" w:hAnsi="宋体" w:cs="宋体" w:eastAsia="宋体" w:hint="default"/>
                <w:sz w:val="18"/>
                <w:szCs w:val="18"/>
              </w:rPr>
              <w:t>本期少数股东 其他增减</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304" w:lineRule="auto" w:before="32"/>
              <w:ind w:left="279" w:right="99" w:hanging="181"/>
              <w:jc w:val="left"/>
              <w:rPr>
                <w:rFonts w:ascii="宋体" w:hAnsi="宋体" w:cs="宋体" w:eastAsia="宋体" w:hint="default"/>
                <w:sz w:val="18"/>
                <w:szCs w:val="18"/>
              </w:rPr>
            </w:pPr>
            <w:r>
              <w:rPr>
                <w:rFonts w:ascii="宋体" w:hAnsi="宋体" w:cs="宋体" w:eastAsia="宋体" w:hint="default"/>
                <w:sz w:val="18"/>
                <w:szCs w:val="18"/>
              </w:rPr>
              <w:t>少数股东权益 期末金额</w:t>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其他增减的说明</w:t>
            </w:r>
          </w:p>
        </w:tc>
      </w:tr>
      <w:tr>
        <w:trPr>
          <w:trHeight w:val="330" w:hRule="exact"/>
        </w:trPr>
        <w:tc>
          <w:tcPr>
            <w:tcW w:w="26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宋体"/>
                <w:sz w:val="18"/>
              </w:rPr>
              <w:t>98,592.70</w:t>
            </w:r>
          </w:p>
        </w:tc>
        <w:tc>
          <w:tcPr>
            <w:tcW w:w="12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9"/>
              <w:jc w:val="right"/>
              <w:rPr>
                <w:rFonts w:ascii="宋体" w:hAnsi="宋体" w:cs="宋体" w:eastAsia="宋体" w:hint="default"/>
                <w:sz w:val="18"/>
                <w:szCs w:val="18"/>
              </w:rPr>
            </w:pPr>
            <w:r>
              <w:rPr>
                <w:rFonts w:ascii="宋体"/>
                <w:spacing w:val="-1"/>
                <w:sz w:val="18"/>
              </w:rPr>
              <w:t>-2,281.89</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83" w:right="0"/>
              <w:jc w:val="left"/>
              <w:rPr>
                <w:rFonts w:ascii="宋体" w:hAnsi="宋体" w:cs="宋体" w:eastAsia="宋体" w:hint="default"/>
                <w:sz w:val="18"/>
                <w:szCs w:val="18"/>
              </w:rPr>
            </w:pPr>
            <w:r>
              <w:rPr>
                <w:rFonts w:ascii="宋体"/>
                <w:sz w:val="18"/>
              </w:rPr>
              <w:t>-2,402,407.41</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29"/>
              <w:ind w:left="444" w:right="0"/>
              <w:jc w:val="left"/>
              <w:rPr>
                <w:rFonts w:ascii="宋体" w:hAnsi="宋体" w:cs="宋体" w:eastAsia="宋体" w:hint="default"/>
                <w:sz w:val="18"/>
                <w:szCs w:val="18"/>
              </w:rPr>
            </w:pPr>
            <w:r>
              <w:rPr>
                <w:rFonts w:ascii="宋体"/>
                <w:sz w:val="18"/>
              </w:rPr>
              <w:t>96,310.81</w:t>
            </w:r>
          </w:p>
        </w:tc>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本期转让</w:t>
            </w:r>
          </w:p>
        </w:tc>
      </w:tr>
      <w:tr>
        <w:trPr>
          <w:trHeight w:val="279" w:hRule="exact"/>
        </w:trPr>
        <w:tc>
          <w:tcPr>
            <w:tcW w:w="26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内蒙古合创信息技术有限公司</w:t>
            </w:r>
          </w:p>
        </w:tc>
        <w:tc>
          <w:tcPr>
            <w:tcW w:w="12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18"/>
                <w:szCs w:val="18"/>
              </w:rPr>
            </w:pPr>
            <w:r>
              <w:rPr>
                <w:rFonts w:ascii="宋体"/>
                <w:spacing w:val="-1"/>
                <w:sz w:val="18"/>
              </w:rPr>
              <w:t>2,450,000.00</w:t>
            </w:r>
          </w:p>
        </w:tc>
        <w:tc>
          <w:tcPr>
            <w:tcW w:w="12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18"/>
                <w:szCs w:val="18"/>
              </w:rPr>
            </w:pPr>
            <w:r>
              <w:rPr>
                <w:rFonts w:ascii="宋体"/>
                <w:spacing w:val="-1"/>
                <w:sz w:val="18"/>
              </w:rPr>
              <w:t>-47,592.59</w:t>
            </w:r>
          </w:p>
        </w:tc>
        <w:tc>
          <w:tcPr>
            <w:tcW w:w="1286"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2100" w:type="dxa"/>
            <w:vMerge/>
            <w:tcBorders>
              <w:left w:val="single" w:sz="4" w:space="0" w:color="000000"/>
              <w:bottom w:val="single" w:sz="4" w:space="0" w:color="000000"/>
              <w:right w:val="single" w:sz="4" w:space="0" w:color="000000"/>
            </w:tcBorders>
          </w:tcPr>
          <w:p>
            <w:pPr/>
          </w:p>
        </w:tc>
      </w:tr>
      <w:tr>
        <w:trPr>
          <w:trHeight w:val="317" w:hRule="exact"/>
        </w:trPr>
        <w:tc>
          <w:tcPr>
            <w:tcW w:w="2626" w:type="dxa"/>
            <w:tcBorders>
              <w:top w:val="single" w:sz="4" w:space="0" w:color="000000"/>
              <w:left w:val="single" w:sz="4" w:space="0" w:color="000000"/>
              <w:bottom w:val="single" w:sz="12" w:space="0" w:color="000000"/>
              <w:right w:val="single" w:sz="4" w:space="0" w:color="000000"/>
            </w:tcBorders>
          </w:tcPr>
          <w:p>
            <w:pPr>
              <w:pStyle w:val="TableParagraph"/>
              <w:tabs>
                <w:tab w:pos="479"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宋体"/>
                <w:spacing w:val="-1"/>
                <w:sz w:val="18"/>
              </w:rPr>
              <w:t>2,548,592.70</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9"/>
              <w:jc w:val="right"/>
              <w:rPr>
                <w:rFonts w:ascii="宋体" w:hAnsi="宋体" w:cs="宋体" w:eastAsia="宋体" w:hint="default"/>
                <w:sz w:val="18"/>
                <w:szCs w:val="18"/>
              </w:rPr>
            </w:pPr>
            <w:r>
              <w:rPr>
                <w:rFonts w:ascii="宋体"/>
                <w:spacing w:val="-1"/>
                <w:sz w:val="18"/>
              </w:rPr>
              <w:t>-49,874.48</w:t>
            </w:r>
          </w:p>
        </w:tc>
        <w:tc>
          <w:tcPr>
            <w:tcW w:w="1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83" w:right="0"/>
              <w:jc w:val="left"/>
              <w:rPr>
                <w:rFonts w:ascii="宋体" w:hAnsi="宋体" w:cs="宋体" w:eastAsia="宋体" w:hint="default"/>
                <w:sz w:val="18"/>
                <w:szCs w:val="18"/>
              </w:rPr>
            </w:pPr>
            <w:r>
              <w:rPr>
                <w:rFonts w:ascii="宋体"/>
                <w:sz w:val="18"/>
              </w:rPr>
              <w:t>-2,402,407.41</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444" w:right="0"/>
              <w:jc w:val="left"/>
              <w:rPr>
                <w:rFonts w:ascii="宋体" w:hAnsi="宋体" w:cs="宋体" w:eastAsia="宋体" w:hint="default"/>
                <w:sz w:val="18"/>
                <w:szCs w:val="18"/>
              </w:rPr>
            </w:pPr>
            <w:r>
              <w:rPr>
                <w:rFonts w:ascii="宋体"/>
                <w:sz w:val="18"/>
              </w:rPr>
              <w:t>96,310.81</w:t>
            </w:r>
          </w:p>
        </w:tc>
        <w:tc>
          <w:tcPr>
            <w:tcW w:w="2100" w:type="dxa"/>
            <w:tcBorders>
              <w:top w:val="single" w:sz="4" w:space="0" w:color="000000"/>
              <w:left w:val="single" w:sz="4" w:space="0" w:color="000000"/>
              <w:bottom w:val="single" w:sz="12" w:space="0" w:color="000000"/>
              <w:right w:val="single" w:sz="4" w:space="0" w:color="000000"/>
            </w:tcBorders>
          </w:tcPr>
          <w:p>
            <w:pPr/>
          </w:p>
        </w:tc>
      </w:tr>
    </w:tbl>
    <w:p>
      <w:pPr>
        <w:spacing w:line="345" w:lineRule="auto" w:before="28"/>
        <w:ind w:left="564" w:right="1697" w:firstLine="52"/>
        <w:jc w:val="left"/>
        <w:rPr>
          <w:rFonts w:ascii="宋体" w:hAnsi="宋体" w:cs="宋体" w:eastAsia="宋体" w:hint="default"/>
          <w:sz w:val="21"/>
          <w:szCs w:val="21"/>
        </w:rPr>
      </w:pPr>
      <w:r>
        <w:rPr>
          <w:rFonts w:ascii="宋体" w:hAnsi="宋体" w:cs="宋体" w:eastAsia="宋体" w:hint="default"/>
          <w:b/>
          <w:bCs/>
          <w:sz w:val="21"/>
          <w:szCs w:val="21"/>
        </w:rPr>
        <w:t>（六）外币报表主要报表项目的折算汇率</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、资产负债表中的资产和负债项目，采用资产负债表日的即期汇率折算，所有者权益项目除</w:t>
      </w:r>
    </w:p>
    <w:p>
      <w:pPr>
        <w:spacing w:line="246"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“未分配利润”项目外，其他项目采用发生时的即期汇率折算；</w:t>
      </w:r>
    </w:p>
    <w:p>
      <w:pPr>
        <w:spacing w:line="297" w:lineRule="auto" w:before="106"/>
        <w:ind w:left="144" w:right="1697"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、利润表中的收入和费用项目，采用按照系统合理的方法确定的、与交易发生日即期汇率近</w:t>
      </w:r>
      <w:r>
        <w:rPr>
          <w:rFonts w:ascii="宋体" w:hAnsi="宋体" w:cs="宋体" w:eastAsia="宋体" w:hint="default"/>
          <w:w w:val="100"/>
          <w:sz w:val="21"/>
          <w:szCs w:val="21"/>
        </w:rPr>
        <w:t> </w:t>
      </w:r>
      <w:r>
        <w:rPr>
          <w:rFonts w:ascii="宋体" w:hAnsi="宋体" w:cs="宋体" w:eastAsia="宋体" w:hint="default"/>
          <w:sz w:val="21"/>
          <w:szCs w:val="21"/>
        </w:rPr>
        <w:t>似的汇率折算；</w:t>
      </w:r>
    </w:p>
    <w:p>
      <w:pPr>
        <w:spacing w:line="295" w:lineRule="auto" w:before="56"/>
        <w:ind w:left="144" w:right="1697"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、按照上述</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折算产生的外币财务报表折算差额，在资产负债表中所有者权益项目下</w:t>
      </w:r>
      <w:r>
        <w:rPr>
          <w:rFonts w:ascii="宋体" w:hAnsi="宋体" w:cs="宋体" w:eastAsia="宋体" w:hint="default"/>
          <w:w w:val="100"/>
          <w:sz w:val="21"/>
          <w:szCs w:val="21"/>
        </w:rPr>
        <w:t> </w:t>
      </w:r>
      <w:r>
        <w:rPr>
          <w:rFonts w:ascii="宋体" w:hAnsi="宋体" w:cs="宋体" w:eastAsia="宋体" w:hint="default"/>
          <w:sz w:val="21"/>
          <w:szCs w:val="21"/>
        </w:rPr>
        <w:t>单独列示。</w:t>
      </w:r>
    </w:p>
    <w:p>
      <w:pPr>
        <w:spacing w:line="240" w:lineRule="auto" w:before="9"/>
        <w:rPr>
          <w:rFonts w:ascii="宋体" w:hAnsi="宋体" w:cs="宋体" w:eastAsia="宋体" w:hint="default"/>
          <w:sz w:val="19"/>
          <w:szCs w:val="19"/>
        </w:rPr>
      </w:pPr>
    </w:p>
    <w:p>
      <w:pPr>
        <w:spacing w:before="0"/>
        <w:ind w:left="384" w:right="1697" w:firstLine="0"/>
        <w:jc w:val="left"/>
        <w:rPr>
          <w:rFonts w:ascii="宋体" w:hAnsi="宋体" w:cs="宋体" w:eastAsia="宋体" w:hint="default"/>
          <w:sz w:val="21"/>
          <w:szCs w:val="21"/>
        </w:rPr>
      </w:pP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以下注释项目除特别说明外，金额单位为人民币元；“期初”指</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日，“期末”</w:t>
      </w:r>
    </w:p>
    <w:p>
      <w:pPr>
        <w:spacing w:line="391" w:lineRule="auto" w:before="54"/>
        <w:ind w:left="566" w:right="3974" w:hanging="423"/>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日，“上期”指</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年度，“本期”指</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69" w:lineRule="exact" w:before="0"/>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）货币资金组成情况如下：</w:t>
      </w:r>
    </w:p>
    <w:p>
      <w:pPr>
        <w:spacing w:line="240" w:lineRule="auto" w:before="7"/>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1445"/>
        <w:gridCol w:w="1316"/>
        <w:gridCol w:w="914"/>
        <w:gridCol w:w="1575"/>
        <w:gridCol w:w="1279"/>
        <w:gridCol w:w="951"/>
        <w:gridCol w:w="1474"/>
      </w:tblGrid>
      <w:tr>
        <w:trPr>
          <w:trHeight w:val="324" w:hRule="exact"/>
        </w:trPr>
        <w:tc>
          <w:tcPr>
            <w:tcW w:w="1445" w:type="dxa"/>
            <w:vMerge w:val="restart"/>
            <w:tcBorders>
              <w:top w:val="single" w:sz="12" w:space="0" w:color="000000"/>
              <w:left w:val="single" w:sz="4" w:space="0" w:color="000000"/>
              <w:right w:val="single" w:sz="6" w:space="0" w:color="000000"/>
            </w:tcBorders>
          </w:tcPr>
          <w:p>
            <w:pPr>
              <w:pStyle w:val="TableParagraph"/>
              <w:tabs>
                <w:tab w:pos="823" w:val="left" w:leader="none"/>
              </w:tabs>
              <w:spacing w:line="240" w:lineRule="auto" w:before="153"/>
              <w:ind w:left="4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0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4" w:type="dxa"/>
            <w:gridSpan w:val="3"/>
            <w:tcBorders>
              <w:top w:val="single" w:sz="12" w:space="0" w:color="000000"/>
              <w:left w:val="single" w:sz="6" w:space="0" w:color="000000"/>
              <w:bottom w:val="single" w:sz="6"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1445" w:type="dxa"/>
            <w:vMerge/>
            <w:tcBorders>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3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74"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14" w:hRule="exact"/>
        </w:trPr>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16"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1,286,446.47</w:t>
            </w:r>
          </w:p>
        </w:tc>
        <w:tc>
          <w:tcPr>
            <w:tcW w:w="1279"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469,014.38</w:t>
            </w:r>
          </w:p>
        </w:tc>
      </w:tr>
      <w:tr>
        <w:trPr>
          <w:trHeight w:val="321" w:hRule="exact"/>
        </w:trPr>
        <w:tc>
          <w:tcPr>
            <w:tcW w:w="1445" w:type="dxa"/>
            <w:tcBorders>
              <w:top w:val="single" w:sz="6" w:space="0" w:color="000000"/>
              <w:left w:val="single" w:sz="4" w:space="0" w:color="000000"/>
              <w:bottom w:val="nil" w:sz="6" w:space="0" w:color="auto"/>
              <w:right w:val="single" w:sz="6"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13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4.00</w:t>
            </w:r>
          </w:p>
        </w:tc>
        <w:tc>
          <w:tcPr>
            <w:tcW w:w="91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21"/>
                <w:szCs w:val="21"/>
              </w:rPr>
            </w:pPr>
            <w:r>
              <w:rPr>
                <w:rFonts w:ascii="宋体"/>
                <w:sz w:val="21"/>
              </w:rPr>
              <w:t>6.3000</w:t>
            </w:r>
          </w:p>
        </w:tc>
        <w:tc>
          <w:tcPr>
            <w:tcW w:w="1575"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1,273,206.36</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39" w:right="0"/>
              <w:jc w:val="left"/>
              <w:rPr>
                <w:rFonts w:ascii="宋体" w:hAnsi="宋体" w:cs="宋体" w:eastAsia="宋体" w:hint="default"/>
                <w:sz w:val="21"/>
                <w:szCs w:val="21"/>
              </w:rPr>
            </w:pPr>
            <w:r>
              <w:rPr>
                <w:rFonts w:ascii="宋体"/>
                <w:sz w:val="21"/>
              </w:rPr>
              <w:t>4.00</w:t>
            </w:r>
          </w:p>
        </w:tc>
        <w:tc>
          <w:tcPr>
            <w:tcW w:w="95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21"/>
                <w:szCs w:val="21"/>
              </w:rPr>
            </w:pPr>
            <w:r>
              <w:rPr>
                <w:rFonts w:ascii="宋体"/>
                <w:sz w:val="21"/>
              </w:rPr>
              <w:t>6.6227</w:t>
            </w:r>
          </w:p>
        </w:tc>
        <w:tc>
          <w:tcPr>
            <w:tcW w:w="1474" w:type="dxa"/>
            <w:tcBorders>
              <w:top w:val="single" w:sz="6" w:space="0" w:color="000000"/>
              <w:left w:val="single" w:sz="6"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454,840.82</w:t>
            </w:r>
          </w:p>
        </w:tc>
      </w:tr>
      <w:tr>
        <w:trPr>
          <w:trHeight w:val="286" w:hRule="exact"/>
        </w:trPr>
        <w:tc>
          <w:tcPr>
            <w:tcW w:w="1445"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55"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316" w:type="dxa"/>
            <w:vMerge/>
            <w:tcBorders>
              <w:left w:val="single" w:sz="6" w:space="0" w:color="000000"/>
              <w:bottom w:val="nil" w:sz="6" w:space="0" w:color="auto"/>
              <w:right w:val="single" w:sz="6" w:space="0" w:color="000000"/>
            </w:tcBorders>
          </w:tcPr>
          <w:p>
            <w:pPr/>
          </w:p>
        </w:tc>
        <w:tc>
          <w:tcPr>
            <w:tcW w:w="914" w:type="dxa"/>
            <w:vMerge/>
            <w:tcBorders>
              <w:left w:val="single" w:sz="6" w:space="0" w:color="000000"/>
              <w:bottom w:val="nil" w:sz="6" w:space="0" w:color="auto"/>
              <w:right w:val="single" w:sz="6" w:space="0" w:color="000000"/>
            </w:tcBorders>
          </w:tcPr>
          <w:p>
            <w:pPr/>
          </w:p>
        </w:tc>
        <w:tc>
          <w:tcPr>
            <w:tcW w:w="1575"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25.20</w:t>
            </w:r>
          </w:p>
        </w:tc>
        <w:tc>
          <w:tcPr>
            <w:tcW w:w="1279" w:type="dxa"/>
            <w:vMerge/>
            <w:tcBorders>
              <w:left w:val="single" w:sz="6" w:space="0" w:color="000000"/>
              <w:bottom w:val="nil" w:sz="6" w:space="0" w:color="auto"/>
              <w:right w:val="single" w:sz="6" w:space="0" w:color="000000"/>
            </w:tcBorders>
          </w:tcPr>
          <w:p>
            <w:pPr/>
          </w:p>
        </w:tc>
        <w:tc>
          <w:tcPr>
            <w:tcW w:w="951" w:type="dxa"/>
            <w:vMerge/>
            <w:tcBorders>
              <w:left w:val="single" w:sz="6" w:space="0" w:color="000000"/>
              <w:bottom w:val="nil" w:sz="6" w:space="0" w:color="auto"/>
              <w:right w:val="single" w:sz="6" w:space="0" w:color="000000"/>
            </w:tcBorders>
          </w:tcPr>
          <w:p>
            <w:pPr/>
          </w:p>
        </w:tc>
        <w:tc>
          <w:tcPr>
            <w:tcW w:w="1474"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26.49</w:t>
            </w:r>
          </w:p>
        </w:tc>
      </w:tr>
    </w:tbl>
    <w:p>
      <w:pPr>
        <w:spacing w:after="0" w:line="255" w:lineRule="exact"/>
        <w:jc w:val="right"/>
        <w:rPr>
          <w:rFonts w:ascii="宋体" w:hAnsi="宋体" w:cs="宋体" w:eastAsia="宋体" w:hint="default"/>
          <w:sz w:val="21"/>
          <w:szCs w:val="21"/>
        </w:rPr>
        <w:sectPr>
          <w:pgSz w:w="12240" w:h="15840"/>
          <w:pgMar w:header="850" w:footer="956" w:top="1360" w:bottom="1140" w:left="1500" w:right="0"/>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45"/>
        <w:gridCol w:w="1316"/>
        <w:gridCol w:w="914"/>
        <w:gridCol w:w="1575"/>
        <w:gridCol w:w="1279"/>
        <w:gridCol w:w="951"/>
        <w:gridCol w:w="1474"/>
      </w:tblGrid>
      <w:tr>
        <w:trPr>
          <w:trHeight w:val="329" w:hRule="exact"/>
        </w:trPr>
        <w:tc>
          <w:tcPr>
            <w:tcW w:w="1445" w:type="dxa"/>
            <w:tcBorders>
              <w:top w:val="single" w:sz="6" w:space="0" w:color="000000"/>
              <w:left w:val="single" w:sz="4" w:space="0" w:color="000000"/>
              <w:bottom w:val="nil" w:sz="6" w:space="0" w:color="auto"/>
              <w:right w:val="single" w:sz="6" w:space="0" w:color="000000"/>
            </w:tcBorders>
          </w:tcPr>
          <w:p>
            <w:pPr>
              <w:pStyle w:val="TableParagraph"/>
              <w:spacing w:line="240" w:lineRule="auto" w:before="2"/>
              <w:ind w:left="55"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3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z w:val="21"/>
              </w:rPr>
              <w:t>20.00</w:t>
            </w:r>
          </w:p>
        </w:tc>
        <w:tc>
          <w:tcPr>
            <w:tcW w:w="9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left="134" w:right="0"/>
              <w:jc w:val="left"/>
              <w:rPr>
                <w:rFonts w:ascii="宋体" w:hAnsi="宋体" w:cs="宋体" w:eastAsia="宋体" w:hint="default"/>
                <w:sz w:val="21"/>
                <w:szCs w:val="21"/>
              </w:rPr>
            </w:pPr>
            <w:r>
              <w:rPr>
                <w:rFonts w:ascii="宋体"/>
                <w:sz w:val="21"/>
              </w:rPr>
              <w:t>0.8105</w:t>
            </w:r>
          </w:p>
        </w:tc>
        <w:tc>
          <w:tcPr>
            <w:tcW w:w="15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z w:val="21"/>
              </w:rPr>
              <w:t>16.21</w:t>
            </w:r>
          </w:p>
        </w:tc>
        <w:tc>
          <w:tcPr>
            <w:tcW w:w="12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z w:val="21"/>
              </w:rPr>
              <w:t>20.00</w:t>
            </w:r>
          </w:p>
        </w:tc>
        <w:tc>
          <w:tcPr>
            <w:tcW w:w="9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left="151" w:right="0"/>
              <w:jc w:val="left"/>
              <w:rPr>
                <w:rFonts w:ascii="宋体" w:hAnsi="宋体" w:cs="宋体" w:eastAsia="宋体" w:hint="default"/>
                <w:sz w:val="21"/>
                <w:szCs w:val="21"/>
              </w:rPr>
            </w:pPr>
            <w:r>
              <w:rPr>
                <w:rFonts w:ascii="宋体"/>
                <w:sz w:val="21"/>
              </w:rPr>
              <w:t>0.8509</w:t>
            </w:r>
          </w:p>
        </w:tc>
        <w:tc>
          <w:tcPr>
            <w:tcW w:w="1474" w:type="dxa"/>
            <w:tcBorders>
              <w:top w:val="single" w:sz="6" w:space="0" w:color="000000"/>
              <w:left w:val="single" w:sz="6" w:space="0" w:color="000000"/>
              <w:bottom w:val="nil" w:sz="6" w:space="0" w:color="auto"/>
              <w:right w:val="single" w:sz="4"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z w:val="21"/>
              </w:rPr>
              <w:t>17.02</w:t>
            </w:r>
          </w:p>
        </w:tc>
      </w:tr>
      <w:tr>
        <w:trPr>
          <w:trHeight w:val="600" w:hRule="exact"/>
        </w:trPr>
        <w:tc>
          <w:tcPr>
            <w:tcW w:w="1445" w:type="dxa"/>
            <w:tcBorders>
              <w:top w:val="nil" w:sz="6" w:space="0" w:color="auto"/>
              <w:left w:val="single" w:sz="4"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5" w:right="0"/>
              <w:jc w:val="center"/>
              <w:rPr>
                <w:rFonts w:ascii="宋体" w:hAnsi="宋体" w:cs="宋体" w:eastAsia="宋体" w:hint="default"/>
                <w:sz w:val="21"/>
                <w:szCs w:val="21"/>
              </w:rPr>
            </w:pPr>
            <w:r>
              <w:rPr>
                <w:rFonts w:ascii="宋体" w:hAnsi="宋体" w:cs="宋体" w:eastAsia="宋体" w:hint="default"/>
                <w:sz w:val="21"/>
                <w:szCs w:val="21"/>
              </w:rPr>
              <w:t>韩元</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1,308,000.00</w:t>
            </w:r>
          </w:p>
        </w:tc>
        <w:tc>
          <w:tcPr>
            <w:tcW w:w="914"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left="134" w:right="0"/>
              <w:jc w:val="left"/>
              <w:rPr>
                <w:rFonts w:ascii="宋体" w:hAnsi="宋体" w:cs="宋体" w:eastAsia="宋体" w:hint="default"/>
                <w:sz w:val="21"/>
                <w:szCs w:val="21"/>
              </w:rPr>
            </w:pPr>
            <w:r>
              <w:rPr>
                <w:rFonts w:ascii="宋体"/>
                <w:sz w:val="21"/>
              </w:rPr>
              <w:t>0.0055</w:t>
            </w:r>
          </w:p>
        </w:tc>
        <w:tc>
          <w:tcPr>
            <w:tcW w:w="1575"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2"/>
              <w:jc w:val="right"/>
              <w:rPr>
                <w:rFonts w:ascii="宋体" w:hAnsi="宋体" w:cs="宋体" w:eastAsia="宋体" w:hint="default"/>
                <w:sz w:val="21"/>
                <w:szCs w:val="21"/>
              </w:rPr>
            </w:pPr>
            <w:r>
              <w:rPr>
                <w:rFonts w:ascii="宋体"/>
                <w:spacing w:val="-1"/>
                <w:sz w:val="21"/>
              </w:rPr>
              <w:t>7,162.61</w:t>
            </w:r>
          </w:p>
        </w:tc>
        <w:tc>
          <w:tcPr>
            <w:tcW w:w="1279"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right"/>
              <w:rPr>
                <w:rFonts w:ascii="宋体" w:hAnsi="宋体" w:cs="宋体" w:eastAsia="宋体" w:hint="default"/>
                <w:sz w:val="21"/>
                <w:szCs w:val="21"/>
              </w:rPr>
            </w:pPr>
            <w:r>
              <w:rPr>
                <w:rFonts w:ascii="宋体"/>
                <w:spacing w:val="-1"/>
                <w:sz w:val="21"/>
              </w:rPr>
              <w:t>1,308,000.0</w:t>
            </w:r>
          </w:p>
          <w:p>
            <w:pPr>
              <w:pStyle w:val="TableParagraph"/>
              <w:spacing w:line="240" w:lineRule="auto" w:before="25"/>
              <w:ind w:right="2"/>
              <w:jc w:val="right"/>
              <w:rPr>
                <w:rFonts w:ascii="宋体" w:hAnsi="宋体" w:cs="宋体" w:eastAsia="宋体" w:hint="default"/>
                <w:sz w:val="21"/>
                <w:szCs w:val="21"/>
              </w:rPr>
            </w:pPr>
            <w:r>
              <w:rPr>
                <w:rFonts w:ascii="宋体"/>
                <w:w w:val="100"/>
                <w:sz w:val="21"/>
              </w:rPr>
              <w:t>0</w:t>
            </w: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44"/>
              <w:jc w:val="right"/>
              <w:rPr>
                <w:rFonts w:ascii="宋体" w:hAnsi="宋体" w:cs="宋体" w:eastAsia="宋体" w:hint="default"/>
                <w:sz w:val="21"/>
                <w:szCs w:val="21"/>
              </w:rPr>
            </w:pPr>
            <w:r>
              <w:rPr>
                <w:rFonts w:ascii="宋体"/>
                <w:spacing w:val="-1"/>
                <w:sz w:val="21"/>
              </w:rPr>
              <w:t>0.005882</w:t>
            </w:r>
          </w:p>
        </w:tc>
        <w:tc>
          <w:tcPr>
            <w:tcW w:w="1474" w:type="dxa"/>
            <w:tcBorders>
              <w:top w:val="nil" w:sz="6" w:space="0" w:color="auto"/>
              <w:left w:val="single" w:sz="6" w:space="0" w:color="000000"/>
              <w:bottom w:val="nil" w:sz="6" w:space="0" w:color="auto"/>
              <w:right w:val="single" w:sz="4" w:space="0" w:color="000000"/>
            </w:tcBorders>
          </w:tcPr>
          <w:p>
            <w:pPr>
              <w:pStyle w:val="TableParagraph"/>
              <w:spacing w:line="256" w:lineRule="exact"/>
              <w:ind w:right="0"/>
              <w:jc w:val="right"/>
              <w:rPr>
                <w:rFonts w:ascii="宋体" w:hAnsi="宋体" w:cs="宋体" w:eastAsia="宋体" w:hint="default"/>
                <w:sz w:val="21"/>
                <w:szCs w:val="21"/>
              </w:rPr>
            </w:pPr>
            <w:r>
              <w:rPr>
                <w:rFonts w:ascii="宋体"/>
                <w:spacing w:val="-1"/>
                <w:sz w:val="21"/>
              </w:rPr>
              <w:t>7,693.66</w:t>
            </w:r>
          </w:p>
        </w:tc>
      </w:tr>
      <w:tr>
        <w:trPr>
          <w:trHeight w:val="300" w:hRule="exact"/>
        </w:trPr>
        <w:tc>
          <w:tcPr>
            <w:tcW w:w="1445"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55" w:right="0"/>
              <w:jc w:val="center"/>
              <w:rPr>
                <w:rFonts w:ascii="宋体" w:hAnsi="宋体" w:cs="宋体" w:eastAsia="宋体" w:hint="default"/>
                <w:sz w:val="21"/>
                <w:szCs w:val="21"/>
              </w:rPr>
            </w:pPr>
            <w:r>
              <w:rPr>
                <w:rFonts w:ascii="宋体" w:hAnsi="宋体" w:cs="宋体" w:eastAsia="宋体" w:hint="default"/>
                <w:sz w:val="21"/>
                <w:szCs w:val="21"/>
              </w:rPr>
              <w:t>泰铢</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8,948.00</w:t>
            </w:r>
          </w:p>
        </w:tc>
        <w:tc>
          <w:tcPr>
            <w:tcW w:w="9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34" w:right="0"/>
              <w:jc w:val="left"/>
              <w:rPr>
                <w:rFonts w:ascii="宋体" w:hAnsi="宋体" w:cs="宋体" w:eastAsia="宋体" w:hint="default"/>
                <w:sz w:val="21"/>
                <w:szCs w:val="21"/>
              </w:rPr>
            </w:pPr>
            <w:r>
              <w:rPr>
                <w:rFonts w:ascii="宋体"/>
                <w:sz w:val="21"/>
              </w:rPr>
              <w:t>0.1991</w:t>
            </w:r>
          </w:p>
        </w:tc>
        <w:tc>
          <w:tcPr>
            <w:tcW w:w="1575"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1,781.55</w:t>
            </w:r>
          </w:p>
        </w:tc>
        <w:tc>
          <w:tcPr>
            <w:tcW w:w="1279"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8,948.00</w:t>
            </w: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51" w:right="0"/>
              <w:jc w:val="left"/>
              <w:rPr>
                <w:rFonts w:ascii="宋体" w:hAnsi="宋体" w:cs="宋体" w:eastAsia="宋体" w:hint="default"/>
                <w:sz w:val="21"/>
                <w:szCs w:val="21"/>
              </w:rPr>
            </w:pPr>
            <w:r>
              <w:rPr>
                <w:rFonts w:ascii="宋体"/>
                <w:sz w:val="21"/>
              </w:rPr>
              <w:t>0.2193</w:t>
            </w:r>
          </w:p>
        </w:tc>
        <w:tc>
          <w:tcPr>
            <w:tcW w:w="1474"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1,962.30</w:t>
            </w:r>
          </w:p>
        </w:tc>
      </w:tr>
      <w:tr>
        <w:trPr>
          <w:trHeight w:val="293" w:hRule="exact"/>
        </w:trPr>
        <w:tc>
          <w:tcPr>
            <w:tcW w:w="1445" w:type="dxa"/>
            <w:tcBorders>
              <w:top w:val="nil" w:sz="6" w:space="0" w:color="auto"/>
              <w:left w:val="single" w:sz="4" w:space="0" w:color="000000"/>
              <w:bottom w:val="single" w:sz="6" w:space="0" w:color="000000"/>
              <w:right w:val="single" w:sz="6" w:space="0" w:color="000000"/>
            </w:tcBorders>
          </w:tcPr>
          <w:p>
            <w:pPr>
              <w:pStyle w:val="TableParagraph"/>
              <w:spacing w:line="255" w:lineRule="exact"/>
              <w:ind w:left="532"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31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874.00</w:t>
            </w:r>
          </w:p>
        </w:tc>
        <w:tc>
          <w:tcPr>
            <w:tcW w:w="9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34" w:right="0"/>
              <w:jc w:val="left"/>
              <w:rPr>
                <w:rFonts w:ascii="宋体" w:hAnsi="宋体" w:cs="宋体" w:eastAsia="宋体" w:hint="default"/>
                <w:sz w:val="21"/>
                <w:szCs w:val="21"/>
              </w:rPr>
            </w:pPr>
            <w:r>
              <w:rPr>
                <w:rFonts w:ascii="宋体"/>
                <w:sz w:val="21"/>
              </w:rPr>
              <w:t>4.8679</w:t>
            </w:r>
          </w:p>
        </w:tc>
        <w:tc>
          <w:tcPr>
            <w:tcW w:w="157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4,254.54</w:t>
            </w:r>
          </w:p>
        </w:tc>
        <w:tc>
          <w:tcPr>
            <w:tcW w:w="127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874.00</w:t>
            </w:r>
          </w:p>
        </w:tc>
        <w:tc>
          <w:tcPr>
            <w:tcW w:w="951"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51" w:right="0"/>
              <w:jc w:val="left"/>
              <w:rPr>
                <w:rFonts w:ascii="宋体" w:hAnsi="宋体" w:cs="宋体" w:eastAsia="宋体" w:hint="default"/>
                <w:sz w:val="21"/>
                <w:szCs w:val="21"/>
              </w:rPr>
            </w:pPr>
            <w:r>
              <w:rPr>
                <w:rFonts w:ascii="宋体"/>
                <w:sz w:val="21"/>
              </w:rPr>
              <w:t>5.1191</w:t>
            </w:r>
          </w:p>
        </w:tc>
        <w:tc>
          <w:tcPr>
            <w:tcW w:w="1474" w:type="dxa"/>
            <w:tcBorders>
              <w:top w:val="nil" w:sz="6" w:space="0" w:color="auto"/>
              <w:left w:val="single" w:sz="6" w:space="0" w:color="000000"/>
              <w:bottom w:val="single" w:sz="6"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4,474.09</w:t>
            </w:r>
          </w:p>
        </w:tc>
      </w:tr>
      <w:tr>
        <w:trPr>
          <w:trHeight w:val="614" w:hRule="exact"/>
        </w:trPr>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left="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16"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444,268,792.70</w:t>
            </w:r>
          </w:p>
        </w:tc>
        <w:tc>
          <w:tcPr>
            <w:tcW w:w="1279"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430,020,867.5</w:t>
            </w:r>
          </w:p>
          <w:p>
            <w:pPr>
              <w:pStyle w:val="TableParagraph"/>
              <w:spacing w:line="240" w:lineRule="auto" w:before="25"/>
              <w:ind w:right="2"/>
              <w:jc w:val="right"/>
              <w:rPr>
                <w:rFonts w:ascii="宋体" w:hAnsi="宋体" w:cs="宋体" w:eastAsia="宋体" w:hint="default"/>
                <w:sz w:val="21"/>
                <w:szCs w:val="21"/>
              </w:rPr>
            </w:pPr>
            <w:r>
              <w:rPr>
                <w:rFonts w:ascii="宋体"/>
                <w:w w:val="100"/>
                <w:sz w:val="21"/>
              </w:rPr>
              <w:t>4</w:t>
            </w:r>
          </w:p>
        </w:tc>
      </w:tr>
      <w:tr>
        <w:trPr>
          <w:trHeight w:val="621" w:hRule="exact"/>
        </w:trPr>
        <w:tc>
          <w:tcPr>
            <w:tcW w:w="1445" w:type="dxa"/>
            <w:tcBorders>
              <w:top w:val="single" w:sz="6" w:space="0" w:color="000000"/>
              <w:left w:val="single" w:sz="4" w:space="0" w:color="000000"/>
              <w:bottom w:val="nil" w:sz="6" w:space="0" w:color="auto"/>
              <w:right w:val="single" w:sz="6" w:space="0" w:color="000000"/>
            </w:tcBorders>
          </w:tcPr>
          <w:p>
            <w:pPr>
              <w:pStyle w:val="TableParagraph"/>
              <w:spacing w:line="240" w:lineRule="auto" w:before="146"/>
              <w:ind w:left="7"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1316" w:type="dxa"/>
            <w:tcBorders>
              <w:top w:val="single" w:sz="6" w:space="0" w:color="000000"/>
              <w:left w:val="single" w:sz="6" w:space="0" w:color="000000"/>
              <w:bottom w:val="nil" w:sz="6" w:space="0" w:color="auto"/>
              <w:right w:val="single" w:sz="6" w:space="0" w:color="000000"/>
            </w:tcBorders>
          </w:tcPr>
          <w:p>
            <w:pPr/>
          </w:p>
        </w:tc>
        <w:tc>
          <w:tcPr>
            <w:tcW w:w="914" w:type="dxa"/>
            <w:tcBorders>
              <w:top w:val="single" w:sz="6" w:space="0" w:color="000000"/>
              <w:left w:val="single" w:sz="6" w:space="0" w:color="000000"/>
              <w:bottom w:val="nil" w:sz="6" w:space="0" w:color="auto"/>
              <w:right w:val="single" w:sz="6" w:space="0" w:color="000000"/>
            </w:tcBorders>
          </w:tcPr>
          <w:p>
            <w:pPr/>
          </w:p>
        </w:tc>
        <w:tc>
          <w:tcPr>
            <w:tcW w:w="1575"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443,704,190.42</w:t>
            </w:r>
          </w:p>
        </w:tc>
        <w:tc>
          <w:tcPr>
            <w:tcW w:w="1279" w:type="dxa"/>
            <w:tcBorders>
              <w:top w:val="single" w:sz="6" w:space="0" w:color="000000"/>
              <w:left w:val="single" w:sz="6" w:space="0" w:color="000000"/>
              <w:bottom w:val="nil" w:sz="6" w:space="0" w:color="auto"/>
              <w:right w:val="single" w:sz="6" w:space="0" w:color="000000"/>
            </w:tcBorders>
          </w:tcPr>
          <w:p>
            <w:pPr/>
          </w:p>
        </w:tc>
        <w:tc>
          <w:tcPr>
            <w:tcW w:w="951" w:type="dxa"/>
            <w:tcBorders>
              <w:top w:val="single" w:sz="6" w:space="0" w:color="000000"/>
              <w:left w:val="single" w:sz="6" w:space="0" w:color="000000"/>
              <w:bottom w:val="nil" w:sz="6" w:space="0" w:color="auto"/>
              <w:right w:val="single" w:sz="6" w:space="0" w:color="000000"/>
            </w:tcBorders>
          </w:tcPr>
          <w:p>
            <w:pPr/>
          </w:p>
        </w:tc>
        <w:tc>
          <w:tcPr>
            <w:tcW w:w="1474" w:type="dxa"/>
            <w:tcBorders>
              <w:top w:val="single" w:sz="6" w:space="0" w:color="000000"/>
              <w:left w:val="single" w:sz="6"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429,024,930.7</w:t>
            </w:r>
          </w:p>
          <w:p>
            <w:pPr>
              <w:pStyle w:val="TableParagraph"/>
              <w:spacing w:line="240" w:lineRule="auto" w:before="25"/>
              <w:ind w:right="2"/>
              <w:jc w:val="right"/>
              <w:rPr>
                <w:rFonts w:ascii="宋体" w:hAnsi="宋体" w:cs="宋体" w:eastAsia="宋体" w:hint="default"/>
                <w:sz w:val="21"/>
                <w:szCs w:val="21"/>
              </w:rPr>
            </w:pPr>
            <w:r>
              <w:rPr>
                <w:rFonts w:ascii="宋体"/>
                <w:w w:val="100"/>
                <w:sz w:val="21"/>
              </w:rPr>
              <w:t>9</w:t>
            </w:r>
          </w:p>
        </w:tc>
      </w:tr>
      <w:tr>
        <w:trPr>
          <w:trHeight w:val="300" w:hRule="exact"/>
        </w:trPr>
        <w:tc>
          <w:tcPr>
            <w:tcW w:w="1445"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638"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85,375.06</w:t>
            </w:r>
          </w:p>
        </w:tc>
        <w:tc>
          <w:tcPr>
            <w:tcW w:w="91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6.3009</w:t>
            </w:r>
          </w:p>
        </w:tc>
        <w:tc>
          <w:tcPr>
            <w:tcW w:w="1575"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537,939.72</w:t>
            </w:r>
          </w:p>
        </w:tc>
        <w:tc>
          <w:tcPr>
            <w:tcW w:w="1279"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139,613.06</w:t>
            </w: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6.6227</w:t>
            </w:r>
          </w:p>
        </w:tc>
        <w:tc>
          <w:tcPr>
            <w:tcW w:w="1474"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924,615.42</w:t>
            </w:r>
          </w:p>
        </w:tc>
      </w:tr>
      <w:tr>
        <w:trPr>
          <w:trHeight w:val="293" w:hRule="exact"/>
        </w:trPr>
        <w:tc>
          <w:tcPr>
            <w:tcW w:w="1445" w:type="dxa"/>
            <w:tcBorders>
              <w:top w:val="nil" w:sz="6" w:space="0" w:color="auto"/>
              <w:left w:val="single" w:sz="4" w:space="0" w:color="000000"/>
              <w:bottom w:val="single" w:sz="6" w:space="0" w:color="000000"/>
              <w:right w:val="single" w:sz="6" w:space="0" w:color="000000"/>
            </w:tcBorders>
          </w:tcPr>
          <w:p>
            <w:pPr>
              <w:pStyle w:val="TableParagraph"/>
              <w:spacing w:line="255" w:lineRule="exact"/>
              <w:ind w:left="638"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31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32,888.32</w:t>
            </w:r>
          </w:p>
        </w:tc>
        <w:tc>
          <w:tcPr>
            <w:tcW w:w="9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0.8107</w:t>
            </w:r>
          </w:p>
        </w:tc>
        <w:tc>
          <w:tcPr>
            <w:tcW w:w="157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26,662.56</w:t>
            </w:r>
          </w:p>
        </w:tc>
        <w:tc>
          <w:tcPr>
            <w:tcW w:w="127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83,818.70</w:t>
            </w:r>
          </w:p>
        </w:tc>
        <w:tc>
          <w:tcPr>
            <w:tcW w:w="951"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0.8509</w:t>
            </w:r>
          </w:p>
        </w:tc>
        <w:tc>
          <w:tcPr>
            <w:tcW w:w="1474" w:type="dxa"/>
            <w:tcBorders>
              <w:top w:val="nil" w:sz="6" w:space="0" w:color="auto"/>
              <w:left w:val="single" w:sz="6" w:space="0" w:color="000000"/>
              <w:bottom w:val="single" w:sz="6"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71,321.33</w:t>
            </w:r>
          </w:p>
        </w:tc>
      </w:tr>
      <w:tr>
        <w:trPr>
          <w:trHeight w:val="613" w:hRule="exact"/>
        </w:trPr>
        <w:tc>
          <w:tcPr>
            <w:tcW w:w="1445" w:type="dxa"/>
            <w:tcBorders>
              <w:top w:val="single" w:sz="6" w:space="0" w:color="000000"/>
              <w:left w:val="single" w:sz="4" w:space="0" w:color="000000"/>
              <w:bottom w:val="single" w:sz="2" w:space="0" w:color="000000"/>
              <w:right w:val="single" w:sz="6" w:space="0" w:color="000000"/>
            </w:tcBorders>
          </w:tcPr>
          <w:p>
            <w:pPr>
              <w:pStyle w:val="TableParagraph"/>
              <w:spacing w:line="261" w:lineRule="auto"/>
              <w:ind w:left="7" w:right="369"/>
              <w:jc w:val="left"/>
              <w:rPr>
                <w:rFonts w:ascii="宋体" w:hAnsi="宋体" w:cs="宋体" w:eastAsia="宋体" w:hint="default"/>
                <w:sz w:val="21"/>
                <w:szCs w:val="21"/>
              </w:rPr>
            </w:pPr>
            <w:r>
              <w:rPr>
                <w:rFonts w:ascii="宋体" w:hAnsi="宋体" w:cs="宋体" w:eastAsia="宋体" w:hint="default"/>
                <w:sz w:val="21"/>
                <w:szCs w:val="21"/>
              </w:rPr>
              <w:t>其他货币资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1316" w:type="dxa"/>
            <w:tcBorders>
              <w:top w:val="single" w:sz="6" w:space="0" w:color="000000"/>
              <w:left w:val="single" w:sz="6" w:space="0" w:color="000000"/>
              <w:bottom w:val="single" w:sz="2" w:space="0" w:color="000000"/>
              <w:right w:val="single" w:sz="6" w:space="0" w:color="000000"/>
            </w:tcBorders>
          </w:tcPr>
          <w:p>
            <w:pPr/>
          </w:p>
        </w:tc>
        <w:tc>
          <w:tcPr>
            <w:tcW w:w="914" w:type="dxa"/>
            <w:tcBorders>
              <w:top w:val="single" w:sz="6" w:space="0" w:color="000000"/>
              <w:left w:val="single" w:sz="6" w:space="0" w:color="000000"/>
              <w:bottom w:val="single" w:sz="2" w:space="0" w:color="000000"/>
              <w:right w:val="single" w:sz="6" w:space="0" w:color="000000"/>
            </w:tcBorders>
          </w:tcPr>
          <w:p>
            <w:pPr/>
          </w:p>
        </w:tc>
        <w:tc>
          <w:tcPr>
            <w:tcW w:w="1575" w:type="dxa"/>
            <w:tcBorders>
              <w:top w:val="single" w:sz="6" w:space="0" w:color="000000"/>
              <w:left w:val="single" w:sz="6" w:space="0" w:color="000000"/>
              <w:bottom w:val="single" w:sz="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4,166,543.06</w:t>
            </w:r>
          </w:p>
        </w:tc>
        <w:tc>
          <w:tcPr>
            <w:tcW w:w="1279" w:type="dxa"/>
            <w:tcBorders>
              <w:top w:val="single" w:sz="6" w:space="0" w:color="000000"/>
              <w:left w:val="single" w:sz="6" w:space="0" w:color="000000"/>
              <w:bottom w:val="single" w:sz="2" w:space="0" w:color="000000"/>
              <w:right w:val="single" w:sz="6" w:space="0" w:color="000000"/>
            </w:tcBorders>
          </w:tcPr>
          <w:p>
            <w:pPr/>
          </w:p>
        </w:tc>
        <w:tc>
          <w:tcPr>
            <w:tcW w:w="951" w:type="dxa"/>
            <w:tcBorders>
              <w:top w:val="single" w:sz="6" w:space="0" w:color="000000"/>
              <w:left w:val="single" w:sz="6" w:space="0" w:color="000000"/>
              <w:bottom w:val="single" w:sz="2" w:space="0" w:color="000000"/>
              <w:right w:val="single" w:sz="6" w:space="0" w:color="000000"/>
            </w:tcBorders>
          </w:tcPr>
          <w:p>
            <w:pPr/>
          </w:p>
        </w:tc>
        <w:tc>
          <w:tcPr>
            <w:tcW w:w="1474" w:type="dxa"/>
            <w:tcBorders>
              <w:top w:val="single" w:sz="6" w:space="0" w:color="000000"/>
              <w:left w:val="single" w:sz="6" w:space="0" w:color="000000"/>
              <w:bottom w:val="single" w:sz="2"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1,740,651.94</w:t>
            </w:r>
          </w:p>
        </w:tc>
      </w:tr>
      <w:tr>
        <w:trPr>
          <w:trHeight w:val="316" w:hRule="exact"/>
        </w:trPr>
        <w:tc>
          <w:tcPr>
            <w:tcW w:w="1445" w:type="dxa"/>
            <w:tcBorders>
              <w:top w:val="single" w:sz="2" w:space="0" w:color="000000"/>
              <w:left w:val="single" w:sz="4" w:space="0" w:color="000000"/>
              <w:bottom w:val="nil" w:sz="6" w:space="0" w:color="auto"/>
              <w:right w:val="single" w:sz="6"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1316" w:type="dxa"/>
            <w:vMerge w:val="restart"/>
            <w:tcBorders>
              <w:top w:val="single" w:sz="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8" w:right="0"/>
              <w:jc w:val="left"/>
              <w:rPr>
                <w:rFonts w:ascii="宋体" w:hAnsi="宋体" w:cs="宋体" w:eastAsia="宋体" w:hint="default"/>
                <w:sz w:val="21"/>
                <w:szCs w:val="21"/>
              </w:rPr>
            </w:pPr>
            <w:r>
              <w:rPr>
                <w:rFonts w:ascii="宋体"/>
                <w:sz w:val="21"/>
              </w:rPr>
              <w:t>41,000.64</w:t>
            </w:r>
          </w:p>
        </w:tc>
        <w:tc>
          <w:tcPr>
            <w:tcW w:w="914" w:type="dxa"/>
            <w:vMerge w:val="restart"/>
            <w:tcBorders>
              <w:top w:val="single" w:sz="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sz w:val="21"/>
              </w:rPr>
              <w:t>6.3009</w:t>
            </w:r>
          </w:p>
        </w:tc>
        <w:tc>
          <w:tcPr>
            <w:tcW w:w="1575" w:type="dxa"/>
            <w:tcBorders>
              <w:top w:val="single" w:sz="2" w:space="0" w:color="000000"/>
              <w:left w:val="single" w:sz="6" w:space="0" w:color="000000"/>
              <w:bottom w:val="nil" w:sz="6" w:space="0" w:color="auto"/>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3,908,202.13</w:t>
            </w:r>
          </w:p>
        </w:tc>
        <w:tc>
          <w:tcPr>
            <w:tcW w:w="1279" w:type="dxa"/>
            <w:vMerge w:val="restart"/>
            <w:tcBorders>
              <w:top w:val="single" w:sz="2" w:space="0" w:color="000000"/>
              <w:left w:val="single" w:sz="6" w:space="0" w:color="000000"/>
              <w:right w:val="single" w:sz="6" w:space="0" w:color="000000"/>
            </w:tcBorders>
          </w:tcPr>
          <w:p>
            <w:pPr/>
          </w:p>
        </w:tc>
        <w:tc>
          <w:tcPr>
            <w:tcW w:w="951" w:type="dxa"/>
            <w:vMerge w:val="restart"/>
            <w:tcBorders>
              <w:top w:val="single" w:sz="2" w:space="0" w:color="000000"/>
              <w:left w:val="single" w:sz="6" w:space="0" w:color="000000"/>
              <w:right w:val="single" w:sz="6" w:space="0" w:color="000000"/>
            </w:tcBorders>
          </w:tcPr>
          <w:p>
            <w:pPr/>
          </w:p>
        </w:tc>
        <w:tc>
          <w:tcPr>
            <w:tcW w:w="1474" w:type="dxa"/>
            <w:vMerge w:val="restart"/>
            <w:tcBorders>
              <w:top w:val="single" w:sz="2" w:space="0" w:color="000000"/>
              <w:left w:val="single" w:sz="6" w:space="0" w:color="000000"/>
              <w:right w:val="single" w:sz="4" w:space="0" w:color="000000"/>
            </w:tcBorders>
          </w:tcPr>
          <w:p>
            <w:pPr>
              <w:pStyle w:val="TableParagraph"/>
              <w:spacing w:line="270" w:lineRule="exact"/>
              <w:ind w:left="196" w:right="0"/>
              <w:jc w:val="left"/>
              <w:rPr>
                <w:rFonts w:ascii="宋体" w:hAnsi="宋体" w:cs="宋体" w:eastAsia="宋体" w:hint="default"/>
                <w:sz w:val="21"/>
                <w:szCs w:val="21"/>
              </w:rPr>
            </w:pPr>
            <w:r>
              <w:rPr>
                <w:rFonts w:ascii="宋体"/>
                <w:sz w:val="21"/>
              </w:rPr>
              <w:t>1,740,651.94</w:t>
            </w:r>
          </w:p>
        </w:tc>
      </w:tr>
      <w:tr>
        <w:trPr>
          <w:trHeight w:val="293" w:hRule="exact"/>
        </w:trPr>
        <w:tc>
          <w:tcPr>
            <w:tcW w:w="1445" w:type="dxa"/>
            <w:tcBorders>
              <w:top w:val="nil" w:sz="6" w:space="0" w:color="auto"/>
              <w:left w:val="single" w:sz="4" w:space="0" w:color="000000"/>
              <w:bottom w:val="single" w:sz="6" w:space="0" w:color="000000"/>
              <w:right w:val="single" w:sz="6" w:space="0" w:color="000000"/>
            </w:tcBorders>
          </w:tcPr>
          <w:p>
            <w:pPr>
              <w:pStyle w:val="TableParagraph"/>
              <w:spacing w:line="255" w:lineRule="exact"/>
              <w:ind w:left="638"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16" w:type="dxa"/>
            <w:vMerge/>
            <w:tcBorders>
              <w:left w:val="single" w:sz="6" w:space="0" w:color="000000"/>
              <w:bottom w:val="single" w:sz="6" w:space="0" w:color="000000"/>
              <w:right w:val="single" w:sz="6" w:space="0" w:color="000000"/>
            </w:tcBorders>
          </w:tcPr>
          <w:p>
            <w:pPr/>
          </w:p>
        </w:tc>
        <w:tc>
          <w:tcPr>
            <w:tcW w:w="914" w:type="dxa"/>
            <w:vMerge/>
            <w:tcBorders>
              <w:left w:val="single" w:sz="6" w:space="0" w:color="000000"/>
              <w:bottom w:val="single" w:sz="6" w:space="0" w:color="000000"/>
              <w:right w:val="single" w:sz="6" w:space="0" w:color="000000"/>
            </w:tcBorders>
          </w:tcPr>
          <w:p>
            <w:pPr/>
          </w:p>
        </w:tc>
        <w:tc>
          <w:tcPr>
            <w:tcW w:w="157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258,340.93</w:t>
            </w:r>
          </w:p>
        </w:tc>
        <w:tc>
          <w:tcPr>
            <w:tcW w:w="1279" w:type="dxa"/>
            <w:vMerge/>
            <w:tcBorders>
              <w:left w:val="single" w:sz="6" w:space="0" w:color="000000"/>
              <w:bottom w:val="single" w:sz="6" w:space="0" w:color="000000"/>
              <w:right w:val="single" w:sz="6" w:space="0" w:color="000000"/>
            </w:tcBorders>
          </w:tcPr>
          <w:p>
            <w:pPr/>
          </w:p>
        </w:tc>
        <w:tc>
          <w:tcPr>
            <w:tcW w:w="951" w:type="dxa"/>
            <w:vMerge/>
            <w:tcBorders>
              <w:left w:val="single" w:sz="6" w:space="0" w:color="000000"/>
              <w:bottom w:val="single" w:sz="6" w:space="0" w:color="000000"/>
              <w:right w:val="single" w:sz="6" w:space="0" w:color="000000"/>
            </w:tcBorders>
          </w:tcPr>
          <w:p>
            <w:pPr/>
          </w:p>
        </w:tc>
        <w:tc>
          <w:tcPr>
            <w:tcW w:w="1474" w:type="dxa"/>
            <w:vMerge/>
            <w:tcBorders>
              <w:left w:val="single" w:sz="6" w:space="0" w:color="000000"/>
              <w:bottom w:val="single" w:sz="6" w:space="0" w:color="000000"/>
              <w:right w:val="single" w:sz="4" w:space="0" w:color="000000"/>
            </w:tcBorders>
          </w:tcPr>
          <w:p>
            <w:pPr/>
          </w:p>
        </w:tc>
      </w:tr>
      <w:tr>
        <w:trPr>
          <w:trHeight w:val="619" w:hRule="exact"/>
        </w:trPr>
        <w:tc>
          <w:tcPr>
            <w:tcW w:w="1445" w:type="dxa"/>
            <w:tcBorders>
              <w:top w:val="single" w:sz="6" w:space="0" w:color="000000"/>
              <w:left w:val="single" w:sz="4" w:space="0" w:color="000000"/>
              <w:bottom w:val="single" w:sz="12" w:space="0" w:color="000000"/>
              <w:right w:val="single" w:sz="6" w:space="0" w:color="000000"/>
            </w:tcBorders>
          </w:tcPr>
          <w:p>
            <w:pPr>
              <w:pStyle w:val="TableParagraph"/>
              <w:tabs>
                <w:tab w:pos="823" w:val="left" w:leader="none"/>
              </w:tabs>
              <w:spacing w:line="240" w:lineRule="auto" w:before="143"/>
              <w:ind w:left="4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16" w:type="dxa"/>
            <w:tcBorders>
              <w:top w:val="single" w:sz="6" w:space="0" w:color="000000"/>
              <w:left w:val="single" w:sz="6" w:space="0" w:color="000000"/>
              <w:bottom w:val="single" w:sz="12" w:space="0" w:color="000000"/>
              <w:right w:val="single" w:sz="6" w:space="0" w:color="000000"/>
            </w:tcBorders>
          </w:tcPr>
          <w:p>
            <w:pPr/>
          </w:p>
        </w:tc>
        <w:tc>
          <w:tcPr>
            <w:tcW w:w="914" w:type="dxa"/>
            <w:tcBorders>
              <w:top w:val="single" w:sz="6" w:space="0" w:color="000000"/>
              <w:left w:val="single" w:sz="6" w:space="0" w:color="000000"/>
              <w:bottom w:val="single" w:sz="12" w:space="0" w:color="000000"/>
              <w:right w:val="single" w:sz="6" w:space="0" w:color="000000"/>
            </w:tcBorders>
          </w:tcPr>
          <w:p>
            <w:pP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449,721,782.23</w:t>
            </w:r>
          </w:p>
        </w:tc>
        <w:tc>
          <w:tcPr>
            <w:tcW w:w="1279" w:type="dxa"/>
            <w:tcBorders>
              <w:top w:val="single" w:sz="6" w:space="0" w:color="000000"/>
              <w:left w:val="single" w:sz="6" w:space="0" w:color="000000"/>
              <w:bottom w:val="single" w:sz="12" w:space="0" w:color="000000"/>
              <w:right w:val="single" w:sz="6" w:space="0" w:color="000000"/>
            </w:tcBorders>
          </w:tcPr>
          <w:p>
            <w:pPr/>
          </w:p>
        </w:tc>
        <w:tc>
          <w:tcPr>
            <w:tcW w:w="951"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432,230,533.8</w:t>
            </w:r>
          </w:p>
          <w:p>
            <w:pPr>
              <w:pStyle w:val="TableParagraph"/>
              <w:spacing w:line="240" w:lineRule="auto" w:before="25"/>
              <w:ind w:right="2"/>
              <w:jc w:val="right"/>
              <w:rPr>
                <w:rFonts w:ascii="宋体" w:hAnsi="宋体" w:cs="宋体" w:eastAsia="宋体" w:hint="default"/>
                <w:sz w:val="21"/>
                <w:szCs w:val="21"/>
              </w:rPr>
            </w:pPr>
            <w:r>
              <w:rPr>
                <w:rFonts w:ascii="宋体"/>
                <w:w w:val="100"/>
                <w:sz w:val="21"/>
              </w:rPr>
              <w:t>6</w:t>
            </w:r>
          </w:p>
        </w:tc>
      </w:tr>
    </w:tbl>
    <w:p>
      <w:pPr>
        <w:spacing w:before="2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）其他货币资金分类表</w:t>
      </w:r>
      <w:r>
        <w:rPr>
          <w:rFonts w:ascii="宋体" w:hAnsi="宋体" w:cs="宋体" w:eastAsia="宋体" w:hint="default"/>
          <w:sz w:val="21"/>
          <w:szCs w:val="21"/>
        </w:rPr>
        <w:t>:</w:t>
      </w:r>
    </w:p>
    <w:p>
      <w:pPr>
        <w:spacing w:line="240" w:lineRule="auto" w:before="10"/>
        <w:rPr>
          <w:rFonts w:ascii="宋体" w:hAnsi="宋体" w:cs="宋体" w:eastAsia="宋体" w:hint="default"/>
          <w:sz w:val="6"/>
          <w:szCs w:val="6"/>
        </w:rPr>
      </w:pPr>
    </w:p>
    <w:tbl>
      <w:tblPr>
        <w:tblW w:w="0" w:type="auto"/>
        <w:jc w:val="left"/>
        <w:tblInd w:w="122" w:type="dxa"/>
        <w:tblLayout w:type="fixed"/>
        <w:tblCellMar>
          <w:top w:w="0" w:type="dxa"/>
          <w:left w:w="0" w:type="dxa"/>
          <w:bottom w:w="0" w:type="dxa"/>
          <w:right w:w="0" w:type="dxa"/>
        </w:tblCellMar>
        <w:tblLook w:val="01E0"/>
      </w:tblPr>
      <w:tblGrid>
        <w:gridCol w:w="3303"/>
        <w:gridCol w:w="2859"/>
        <w:gridCol w:w="2792"/>
      </w:tblGrid>
      <w:tr>
        <w:trPr>
          <w:trHeight w:val="317" w:hRule="exact"/>
        </w:trPr>
        <w:tc>
          <w:tcPr>
            <w:tcW w:w="3303" w:type="dxa"/>
            <w:tcBorders>
              <w:top w:val="single" w:sz="12" w:space="0" w:color="000000"/>
              <w:left w:val="single" w:sz="2" w:space="0" w:color="000000"/>
              <w:bottom w:val="single" w:sz="2" w:space="0" w:color="000000"/>
              <w:right w:val="single" w:sz="2" w:space="0" w:color="000000"/>
            </w:tcBorders>
          </w:tcPr>
          <w:p>
            <w:pPr>
              <w:pStyle w:val="TableParagraph"/>
              <w:tabs>
                <w:tab w:pos="422" w:val="left" w:leader="none"/>
              </w:tabs>
              <w:spacing w:line="270" w:lineRule="exact"/>
              <w:ind w:right="133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59" w:type="dxa"/>
            <w:tcBorders>
              <w:top w:val="single" w:sz="12" w:space="0" w:color="000000"/>
              <w:left w:val="single" w:sz="2" w:space="0" w:color="000000"/>
              <w:bottom w:val="single" w:sz="2" w:space="0" w:color="000000"/>
              <w:right w:val="single" w:sz="2"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92" w:type="dxa"/>
            <w:tcBorders>
              <w:top w:val="single" w:sz="12" w:space="0" w:color="000000"/>
              <w:left w:val="single" w:sz="2" w:space="0" w:color="000000"/>
              <w:bottom w:val="single" w:sz="2" w:space="0" w:color="000000"/>
              <w:right w:val="single" w:sz="2"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05" w:hRule="exact"/>
        </w:trPr>
        <w:tc>
          <w:tcPr>
            <w:tcW w:w="3303"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859"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4,166,543.06</w:t>
            </w:r>
          </w:p>
        </w:tc>
        <w:tc>
          <w:tcPr>
            <w:tcW w:w="2792"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1,740,651.94</w:t>
            </w:r>
          </w:p>
        </w:tc>
      </w:tr>
      <w:tr>
        <w:trPr>
          <w:trHeight w:val="317" w:hRule="exact"/>
        </w:trPr>
        <w:tc>
          <w:tcPr>
            <w:tcW w:w="3303" w:type="dxa"/>
            <w:tcBorders>
              <w:top w:val="single" w:sz="2" w:space="0" w:color="000000"/>
              <w:left w:val="single" w:sz="2" w:space="0" w:color="000000"/>
              <w:bottom w:val="single" w:sz="12" w:space="0" w:color="000000"/>
              <w:right w:val="single" w:sz="2" w:space="0" w:color="000000"/>
            </w:tcBorders>
          </w:tcPr>
          <w:p>
            <w:pPr>
              <w:pStyle w:val="TableParagraph"/>
              <w:tabs>
                <w:tab w:pos="422" w:val="left" w:leader="none"/>
              </w:tabs>
              <w:spacing w:line="270" w:lineRule="exact"/>
              <w:ind w:right="133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59"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4,166,543.06</w:t>
            </w:r>
          </w:p>
        </w:tc>
        <w:tc>
          <w:tcPr>
            <w:tcW w:w="2792"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1,740,651.94</w:t>
            </w:r>
          </w:p>
        </w:tc>
      </w:tr>
    </w:tbl>
    <w:p>
      <w:pPr>
        <w:spacing w:before="2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）使用受到限制的其他货币资金</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835"/>
        <w:gridCol w:w="1560"/>
        <w:gridCol w:w="1800"/>
        <w:gridCol w:w="1681"/>
        <w:gridCol w:w="1997"/>
      </w:tblGrid>
      <w:tr>
        <w:trPr>
          <w:trHeight w:val="320" w:hRule="exact"/>
        </w:trPr>
        <w:tc>
          <w:tcPr>
            <w:tcW w:w="283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使用权受到限制的资产</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9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5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保函保证金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3,393,971.33</w:t>
            </w:r>
          </w:p>
        </w:tc>
        <w:tc>
          <w:tcPr>
            <w:tcW w:w="168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3,393,971.33</w:t>
            </w:r>
          </w:p>
        </w:tc>
      </w:tr>
      <w:tr>
        <w:trPr>
          <w:trHeight w:val="317" w:hRule="exact"/>
        </w:trPr>
        <w:tc>
          <w:tcPr>
            <w:tcW w:w="2835" w:type="dxa"/>
            <w:tcBorders>
              <w:top w:val="single" w:sz="4" w:space="0" w:color="000000"/>
              <w:left w:val="single" w:sz="4" w:space="0" w:color="000000"/>
              <w:bottom w:val="single" w:sz="12" w:space="0" w:color="000000"/>
              <w:right w:val="single" w:sz="4" w:space="0" w:color="000000"/>
            </w:tcBorders>
          </w:tcPr>
          <w:p>
            <w:pPr>
              <w:pStyle w:val="TableParagraph"/>
              <w:tabs>
                <w:tab w:pos="525"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3,393,971.33</w:t>
            </w:r>
          </w:p>
        </w:tc>
        <w:tc>
          <w:tcPr>
            <w:tcW w:w="1681" w:type="dxa"/>
            <w:tcBorders>
              <w:top w:val="single" w:sz="4" w:space="0" w:color="000000"/>
              <w:left w:val="single" w:sz="4" w:space="0" w:color="000000"/>
              <w:bottom w:val="single" w:sz="12" w:space="0" w:color="000000"/>
              <w:right w:val="single" w:sz="4" w:space="0" w:color="000000"/>
            </w:tcBorders>
          </w:tcPr>
          <w:p>
            <w:pPr/>
          </w:p>
        </w:tc>
        <w:tc>
          <w:tcPr>
            <w:tcW w:w="199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3,393,971.33</w:t>
            </w:r>
          </w:p>
        </w:tc>
      </w:tr>
    </w:tbl>
    <w:p>
      <w:pPr>
        <w:spacing w:line="297" w:lineRule="auto" w:before="28"/>
        <w:ind w:left="124" w:right="1265" w:firstLine="419"/>
        <w:jc w:val="left"/>
        <w:rPr>
          <w:rFonts w:ascii="宋体" w:hAnsi="宋体" w:cs="宋体" w:eastAsia="宋体" w:hint="default"/>
          <w:sz w:val="21"/>
          <w:szCs w:val="21"/>
        </w:rPr>
      </w:pPr>
      <w:r>
        <w:rPr>
          <w:rFonts w:ascii="宋体" w:hAnsi="宋体" w:cs="宋体" w:eastAsia="宋体" w:hint="default"/>
          <w:spacing w:val="-5"/>
          <w:sz w:val="21"/>
          <w:szCs w:val="21"/>
        </w:rPr>
        <w:t>说明：公司所有权受到限制的其他货币资金包括在资产负债表日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个月后不可以用于支付的保</w:t>
      </w:r>
      <w:r>
        <w:rPr>
          <w:rFonts w:ascii="宋体" w:hAnsi="宋体" w:cs="宋体" w:eastAsia="宋体" w:hint="default"/>
          <w:w w:val="100"/>
          <w:sz w:val="21"/>
          <w:szCs w:val="21"/>
        </w:rPr>
        <w:t> </w:t>
      </w:r>
      <w:r>
        <w:rPr>
          <w:rFonts w:ascii="宋体" w:hAnsi="宋体" w:cs="宋体" w:eastAsia="宋体" w:hint="default"/>
          <w:sz w:val="21"/>
          <w:szCs w:val="21"/>
        </w:rPr>
        <w:t>函保证金。</w:t>
      </w:r>
    </w:p>
    <w:p>
      <w:pPr>
        <w:spacing w:line="388" w:lineRule="auto" w:before="75"/>
        <w:ind w:left="546" w:right="1714"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）货币资金期末余额中不存在抵押、冻结等对变现有限制或存在潜在回收风险的款项。</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71" w:lineRule="exact" w:before="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）应收票据分类：</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572"/>
        <w:gridCol w:w="3097"/>
        <w:gridCol w:w="3204"/>
      </w:tblGrid>
      <w:tr>
        <w:trPr>
          <w:trHeight w:val="324" w:hRule="exact"/>
        </w:trPr>
        <w:tc>
          <w:tcPr>
            <w:tcW w:w="3572" w:type="dxa"/>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3097" w:type="dxa"/>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4" w:type="dxa"/>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3" w:hRule="exact"/>
        </w:trPr>
        <w:tc>
          <w:tcPr>
            <w:tcW w:w="3572"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097"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68,479,318.31</w:t>
            </w:r>
          </w:p>
        </w:tc>
        <w:tc>
          <w:tcPr>
            <w:tcW w:w="3204"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30,376,567.48</w:t>
            </w:r>
          </w:p>
        </w:tc>
      </w:tr>
      <w:tr>
        <w:trPr>
          <w:trHeight w:val="319" w:hRule="exact"/>
        </w:trPr>
        <w:tc>
          <w:tcPr>
            <w:tcW w:w="357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9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68,479,318.31</w:t>
            </w:r>
          </w:p>
        </w:tc>
        <w:tc>
          <w:tcPr>
            <w:tcW w:w="320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30,376,567.48</w:t>
            </w:r>
          </w:p>
        </w:tc>
      </w:tr>
    </w:tbl>
    <w:p>
      <w:pPr>
        <w:spacing w:before="28"/>
        <w:ind w:left="544"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）应收票据期末余额中，无应收持有本公司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）以上股份的股东单位的票据。</w:t>
      </w:r>
    </w:p>
    <w:p>
      <w:pPr>
        <w:spacing w:before="109"/>
        <w:ind w:left="527"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）期末公司无已质押的应收票据情况。</w:t>
      </w:r>
    </w:p>
    <w:p>
      <w:pPr>
        <w:spacing w:before="138"/>
        <w:ind w:left="527"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）期末无因出票人无力履约而将票据转为应收账款的情况。</w:t>
      </w:r>
    </w:p>
    <w:p>
      <w:pPr>
        <w:spacing w:before="140"/>
        <w:ind w:left="527"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）期末公司已经背书给他方但尚未到期的票据为</w:t>
      </w:r>
      <w:r>
        <w:rPr>
          <w:rFonts w:ascii="宋体" w:hAnsi="宋体" w:cs="宋体" w:eastAsia="宋体" w:hint="default"/>
          <w:sz w:val="21"/>
          <w:szCs w:val="21"/>
        </w:rPr>
        <w:t>10,090,000.00</w:t>
      </w:r>
      <w:r>
        <w:rPr>
          <w:rFonts w:ascii="宋体" w:hAnsi="宋体" w:cs="宋体" w:eastAsia="宋体" w:hint="default"/>
          <w:sz w:val="21"/>
          <w:szCs w:val="21"/>
        </w:rPr>
        <w:t>元，前五名明细如下：</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524"/>
        <w:gridCol w:w="1762"/>
        <w:gridCol w:w="1388"/>
        <w:gridCol w:w="1423"/>
        <w:gridCol w:w="960"/>
      </w:tblGrid>
      <w:tr>
        <w:trPr>
          <w:trHeight w:val="336" w:hRule="exact"/>
        </w:trPr>
        <w:tc>
          <w:tcPr>
            <w:tcW w:w="3524" w:type="dxa"/>
            <w:tcBorders>
              <w:top w:val="single" w:sz="12" w:space="0" w:color="000000"/>
              <w:left w:val="single" w:sz="4"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556" w:right="0"/>
              <w:jc w:val="left"/>
              <w:rPr>
                <w:rFonts w:ascii="宋体" w:hAnsi="宋体" w:cs="宋体" w:eastAsia="宋体" w:hint="default"/>
                <w:sz w:val="21"/>
                <w:szCs w:val="21"/>
              </w:rPr>
            </w:pPr>
            <w:r>
              <w:rPr>
                <w:rFonts w:ascii="宋体" w:hAnsi="宋体" w:cs="宋体" w:eastAsia="宋体" w:hint="default"/>
                <w:sz w:val="21"/>
                <w:szCs w:val="21"/>
              </w:rPr>
              <w:t>出票日</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42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0" w:type="dxa"/>
            <w:tcBorders>
              <w:top w:val="single" w:sz="12" w:space="0" w:color="000000"/>
              <w:left w:val="single" w:sz="6" w:space="0" w:color="000000"/>
              <w:bottom w:val="single" w:sz="6" w:space="0" w:color="000000"/>
              <w:right w:val="single" w:sz="4" w:space="0" w:color="000000"/>
            </w:tcBorders>
          </w:tcPr>
          <w:p>
            <w:pPr>
              <w:pStyle w:val="TableParagraph"/>
              <w:spacing w:line="272" w:lineRule="exact"/>
              <w:ind w:left="261"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72" w:lineRule="exact"/>
        <w:jc w:val="left"/>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24"/>
        <w:gridCol w:w="1762"/>
        <w:gridCol w:w="1388"/>
        <w:gridCol w:w="1423"/>
        <w:gridCol w:w="960"/>
      </w:tblGrid>
      <w:tr>
        <w:trPr>
          <w:trHeight w:val="782" w:hRule="exact"/>
        </w:trPr>
        <w:tc>
          <w:tcPr>
            <w:tcW w:w="3524" w:type="dxa"/>
            <w:tcBorders>
              <w:top w:val="single" w:sz="14" w:space="0" w:color="000000"/>
              <w:left w:val="single" w:sz="4" w:space="0" w:color="000000"/>
              <w:bottom w:val="nil" w:sz="6" w:space="0" w:color="auto"/>
              <w:right w:val="single" w:sz="6" w:space="0" w:color="000000"/>
            </w:tcBorders>
          </w:tcPr>
          <w:p>
            <w:pPr>
              <w:pStyle w:val="TableParagraph"/>
              <w:spacing w:line="261" w:lineRule="auto"/>
              <w:ind w:left="103" w:right="252"/>
              <w:jc w:val="left"/>
              <w:rPr>
                <w:rFonts w:ascii="宋体" w:hAnsi="宋体" w:cs="宋体" w:eastAsia="宋体" w:hint="default"/>
                <w:sz w:val="21"/>
                <w:szCs w:val="21"/>
              </w:rPr>
            </w:pPr>
            <w:r>
              <w:rPr>
                <w:rFonts w:ascii="宋体" w:hAnsi="宋体" w:cs="宋体" w:eastAsia="宋体" w:hint="default"/>
                <w:spacing w:val="-2"/>
                <w:sz w:val="21"/>
                <w:szCs w:val="21"/>
              </w:rPr>
              <w:t>天津港保税区亨运国际贸易有限公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1762"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sz w:val="21"/>
              </w:rPr>
              <w:t>2011-08-19</w:t>
            </w:r>
          </w:p>
        </w:tc>
        <w:tc>
          <w:tcPr>
            <w:tcW w:w="1388"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2012-02-19</w:t>
            </w:r>
          </w:p>
        </w:tc>
        <w:tc>
          <w:tcPr>
            <w:tcW w:w="1423"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2,000,000.00</w:t>
            </w:r>
          </w:p>
        </w:tc>
        <w:tc>
          <w:tcPr>
            <w:tcW w:w="960" w:type="dxa"/>
            <w:vMerge w:val="restart"/>
            <w:tcBorders>
              <w:top w:val="single" w:sz="14" w:space="0" w:color="000000"/>
              <w:left w:val="single" w:sz="6" w:space="0" w:color="000000"/>
              <w:right w:val="single" w:sz="4" w:space="0" w:color="000000"/>
            </w:tcBorders>
          </w:tcPr>
          <w:p>
            <w:pPr/>
          </w:p>
        </w:tc>
      </w:tr>
      <w:tr>
        <w:trPr>
          <w:trHeight w:val="600" w:hRule="exact"/>
        </w:trPr>
        <w:tc>
          <w:tcPr>
            <w:tcW w:w="3524" w:type="dxa"/>
            <w:tcBorders>
              <w:top w:val="nil" w:sz="6" w:space="0" w:color="auto"/>
              <w:left w:val="single" w:sz="4" w:space="0" w:color="000000"/>
              <w:bottom w:val="nil" w:sz="6" w:space="0" w:color="auto"/>
              <w:right w:val="single" w:sz="6" w:space="0" w:color="000000"/>
            </w:tcBorders>
          </w:tcPr>
          <w:p>
            <w:pPr>
              <w:pStyle w:val="TableParagraph"/>
              <w:spacing w:line="240" w:lineRule="auto" w:before="130"/>
              <w:ind w:left="103" w:right="0"/>
              <w:jc w:val="left"/>
              <w:rPr>
                <w:rFonts w:ascii="宋体" w:hAnsi="宋体" w:cs="宋体" w:eastAsia="宋体" w:hint="default"/>
                <w:sz w:val="21"/>
                <w:szCs w:val="21"/>
              </w:rPr>
            </w:pPr>
            <w:r>
              <w:rPr>
                <w:rFonts w:ascii="宋体" w:hAnsi="宋体" w:cs="宋体" w:eastAsia="宋体" w:hint="default"/>
                <w:sz w:val="21"/>
                <w:szCs w:val="21"/>
              </w:rPr>
              <w:t>常州格力博工具有限公司</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347" w:right="0"/>
              <w:jc w:val="left"/>
              <w:rPr>
                <w:rFonts w:ascii="宋体" w:hAnsi="宋体" w:cs="宋体" w:eastAsia="宋体" w:hint="default"/>
                <w:sz w:val="21"/>
                <w:szCs w:val="21"/>
              </w:rPr>
            </w:pPr>
            <w:r>
              <w:rPr>
                <w:rFonts w:ascii="宋体"/>
                <w:sz w:val="21"/>
              </w:rPr>
              <w:t>2011-10-10</w:t>
            </w: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 w:right="0"/>
              <w:jc w:val="center"/>
              <w:rPr>
                <w:rFonts w:ascii="宋体" w:hAnsi="宋体" w:cs="宋体" w:eastAsia="宋体" w:hint="default"/>
                <w:sz w:val="21"/>
                <w:szCs w:val="21"/>
              </w:rPr>
            </w:pPr>
            <w:r>
              <w:rPr>
                <w:rFonts w:ascii="宋体"/>
                <w:sz w:val="21"/>
              </w:rPr>
              <w:t>2012-04-10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0"/>
              <w:jc w:val="right"/>
              <w:rPr>
                <w:rFonts w:ascii="宋体" w:hAnsi="宋体" w:cs="宋体" w:eastAsia="宋体" w:hint="default"/>
                <w:sz w:val="21"/>
                <w:szCs w:val="21"/>
              </w:rPr>
            </w:pPr>
            <w:r>
              <w:rPr>
                <w:rFonts w:ascii="宋体"/>
                <w:spacing w:val="-1"/>
                <w:sz w:val="21"/>
              </w:rPr>
              <w:t>1,100,000.00</w:t>
            </w:r>
          </w:p>
        </w:tc>
        <w:tc>
          <w:tcPr>
            <w:tcW w:w="960" w:type="dxa"/>
            <w:vMerge/>
            <w:tcBorders>
              <w:left w:val="single" w:sz="6" w:space="0" w:color="000000"/>
              <w:right w:val="single" w:sz="4" w:space="0" w:color="000000"/>
            </w:tcBorders>
          </w:tcPr>
          <w:p>
            <w:pPr/>
          </w:p>
        </w:tc>
      </w:tr>
      <w:tr>
        <w:trPr>
          <w:trHeight w:val="450" w:hRule="exact"/>
        </w:trPr>
        <w:tc>
          <w:tcPr>
            <w:tcW w:w="3524" w:type="dxa"/>
            <w:tcBorders>
              <w:top w:val="nil" w:sz="6" w:space="0" w:color="auto"/>
              <w:left w:val="single" w:sz="4" w:space="0" w:color="000000"/>
              <w:bottom w:val="nil" w:sz="6" w:space="0" w:color="auto"/>
              <w:right w:val="single" w:sz="6" w:space="0" w:color="000000"/>
            </w:tcBorders>
          </w:tcPr>
          <w:p>
            <w:pPr>
              <w:pStyle w:val="TableParagraph"/>
              <w:spacing w:line="240" w:lineRule="auto" w:before="130"/>
              <w:ind w:left="103" w:right="0"/>
              <w:jc w:val="left"/>
              <w:rPr>
                <w:rFonts w:ascii="宋体" w:hAnsi="宋体" w:cs="宋体" w:eastAsia="宋体" w:hint="default"/>
                <w:sz w:val="21"/>
                <w:szCs w:val="21"/>
              </w:rPr>
            </w:pPr>
            <w:r>
              <w:rPr>
                <w:rFonts w:ascii="宋体" w:hAnsi="宋体" w:cs="宋体" w:eastAsia="宋体" w:hint="default"/>
                <w:sz w:val="21"/>
                <w:szCs w:val="21"/>
              </w:rPr>
              <w:t>长沙中联重工科技发展有限公司</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347" w:right="0"/>
              <w:jc w:val="left"/>
              <w:rPr>
                <w:rFonts w:ascii="宋体" w:hAnsi="宋体" w:cs="宋体" w:eastAsia="宋体" w:hint="default"/>
                <w:sz w:val="21"/>
                <w:szCs w:val="21"/>
              </w:rPr>
            </w:pPr>
            <w:r>
              <w:rPr>
                <w:rFonts w:ascii="宋体"/>
                <w:sz w:val="21"/>
              </w:rPr>
              <w:t>2011-08-19</w:t>
            </w: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 w:right="0"/>
              <w:jc w:val="center"/>
              <w:rPr>
                <w:rFonts w:ascii="宋体" w:hAnsi="宋体" w:cs="宋体" w:eastAsia="宋体" w:hint="default"/>
                <w:sz w:val="21"/>
                <w:szCs w:val="21"/>
              </w:rPr>
            </w:pPr>
            <w:r>
              <w:rPr>
                <w:rFonts w:ascii="宋体"/>
                <w:sz w:val="21"/>
              </w:rPr>
              <w:t>2012-02-19</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0"/>
              <w:jc w:val="right"/>
              <w:rPr>
                <w:rFonts w:ascii="宋体" w:hAnsi="宋体" w:cs="宋体" w:eastAsia="宋体" w:hint="default"/>
                <w:sz w:val="21"/>
                <w:szCs w:val="21"/>
              </w:rPr>
            </w:pPr>
            <w:r>
              <w:rPr>
                <w:rFonts w:ascii="宋体"/>
                <w:spacing w:val="-1"/>
                <w:sz w:val="21"/>
              </w:rPr>
              <w:t>1,000,000.00</w:t>
            </w:r>
          </w:p>
        </w:tc>
        <w:tc>
          <w:tcPr>
            <w:tcW w:w="960" w:type="dxa"/>
            <w:vMerge/>
            <w:tcBorders>
              <w:left w:val="single" w:sz="6" w:space="0" w:color="000000"/>
              <w:right w:val="single" w:sz="4" w:space="0" w:color="000000"/>
            </w:tcBorders>
          </w:tcPr>
          <w:p>
            <w:pPr/>
          </w:p>
        </w:tc>
      </w:tr>
      <w:tr>
        <w:trPr>
          <w:trHeight w:val="600" w:hRule="exact"/>
        </w:trPr>
        <w:tc>
          <w:tcPr>
            <w:tcW w:w="3524" w:type="dxa"/>
            <w:tcBorders>
              <w:top w:val="nil" w:sz="6" w:space="0" w:color="auto"/>
              <w:left w:val="single" w:sz="4"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黄石东贝电器股份有限公司</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21"/>
                <w:szCs w:val="21"/>
              </w:rPr>
            </w:pPr>
            <w:r>
              <w:rPr>
                <w:rFonts w:ascii="宋体"/>
                <w:sz w:val="21"/>
              </w:rPr>
              <w:t>2011-09-01</w:t>
            </w: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2012-03-01</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900,000.0</w:t>
            </w:r>
          </w:p>
          <w:p>
            <w:pPr>
              <w:pStyle w:val="TableParagraph"/>
              <w:spacing w:line="240" w:lineRule="auto" w:before="25"/>
              <w:ind w:right="0"/>
              <w:jc w:val="right"/>
              <w:rPr>
                <w:rFonts w:ascii="宋体" w:hAnsi="宋体" w:cs="宋体" w:eastAsia="宋体" w:hint="default"/>
                <w:sz w:val="21"/>
                <w:szCs w:val="21"/>
              </w:rPr>
            </w:pPr>
            <w:r>
              <w:rPr>
                <w:rFonts w:ascii="宋体"/>
                <w:w w:val="100"/>
                <w:sz w:val="21"/>
              </w:rPr>
              <w:t>0</w:t>
            </w:r>
          </w:p>
        </w:tc>
        <w:tc>
          <w:tcPr>
            <w:tcW w:w="960" w:type="dxa"/>
            <w:vMerge/>
            <w:tcBorders>
              <w:left w:val="single" w:sz="6" w:space="0" w:color="000000"/>
              <w:right w:val="single" w:sz="4" w:space="0" w:color="000000"/>
            </w:tcBorders>
          </w:tcPr>
          <w:p>
            <w:pPr/>
          </w:p>
        </w:tc>
      </w:tr>
      <w:tr>
        <w:trPr>
          <w:trHeight w:val="593" w:hRule="exact"/>
        </w:trPr>
        <w:tc>
          <w:tcPr>
            <w:tcW w:w="3524"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浙江快活林食品有限公司</w:t>
            </w:r>
          </w:p>
        </w:tc>
        <w:tc>
          <w:tcPr>
            <w:tcW w:w="17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21"/>
                <w:szCs w:val="21"/>
              </w:rPr>
            </w:pPr>
            <w:r>
              <w:rPr>
                <w:rFonts w:ascii="宋体"/>
                <w:sz w:val="21"/>
              </w:rPr>
              <w:t>2011-08-05</w:t>
            </w:r>
          </w:p>
        </w:tc>
        <w:tc>
          <w:tcPr>
            <w:tcW w:w="13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2012-02-04</w:t>
            </w:r>
          </w:p>
        </w:tc>
        <w:tc>
          <w:tcPr>
            <w:tcW w:w="142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800,000.0</w:t>
            </w:r>
          </w:p>
          <w:p>
            <w:pPr>
              <w:pStyle w:val="TableParagraph"/>
              <w:spacing w:line="240" w:lineRule="auto" w:before="25"/>
              <w:ind w:right="0"/>
              <w:jc w:val="right"/>
              <w:rPr>
                <w:rFonts w:ascii="宋体" w:hAnsi="宋体" w:cs="宋体" w:eastAsia="宋体" w:hint="default"/>
                <w:sz w:val="21"/>
                <w:szCs w:val="21"/>
              </w:rPr>
            </w:pPr>
            <w:r>
              <w:rPr>
                <w:rFonts w:ascii="宋体"/>
                <w:w w:val="100"/>
                <w:sz w:val="21"/>
              </w:rPr>
              <w:t>0</w:t>
            </w:r>
          </w:p>
        </w:tc>
        <w:tc>
          <w:tcPr>
            <w:tcW w:w="960" w:type="dxa"/>
            <w:vMerge/>
            <w:tcBorders>
              <w:left w:val="single" w:sz="6" w:space="0" w:color="000000"/>
              <w:bottom w:val="single" w:sz="6" w:space="0" w:color="000000"/>
              <w:right w:val="single" w:sz="4" w:space="0" w:color="000000"/>
            </w:tcBorders>
          </w:tcPr>
          <w:p>
            <w:pPr/>
          </w:p>
        </w:tc>
      </w:tr>
      <w:tr>
        <w:trPr>
          <w:trHeight w:val="334" w:hRule="exact"/>
        </w:trPr>
        <w:tc>
          <w:tcPr>
            <w:tcW w:w="3524" w:type="dxa"/>
            <w:tcBorders>
              <w:top w:val="single" w:sz="6" w:space="0" w:color="000000"/>
              <w:left w:val="single" w:sz="4" w:space="0" w:color="000000"/>
              <w:bottom w:val="single" w:sz="12" w:space="0" w:color="000000"/>
              <w:right w:val="single" w:sz="6" w:space="0" w:color="000000"/>
            </w:tcBorders>
          </w:tcPr>
          <w:p>
            <w:pPr>
              <w:pStyle w:val="TableParagraph"/>
              <w:tabs>
                <w:tab w:pos="424"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
        </w:tc>
        <w:tc>
          <w:tcPr>
            <w:tcW w:w="1388"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5,800,000.00</w:t>
            </w:r>
          </w:p>
        </w:tc>
        <w:tc>
          <w:tcPr>
            <w:tcW w:w="960" w:type="dxa"/>
            <w:tcBorders>
              <w:top w:val="single" w:sz="6" w:space="0" w:color="000000"/>
              <w:left w:val="single" w:sz="6" w:space="0" w:color="000000"/>
              <w:bottom w:val="single" w:sz="12" w:space="0" w:color="000000"/>
              <w:right w:val="single" w:sz="4" w:space="0" w:color="000000"/>
            </w:tcBorders>
          </w:tcPr>
          <w:p>
            <w:pPr/>
          </w:p>
        </w:tc>
      </w:tr>
    </w:tbl>
    <w:p>
      <w:pPr>
        <w:spacing w:before="26"/>
        <w:ind w:left="527"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）期末公司无已贴现或质押的商业承兑票据。</w:t>
      </w:r>
    </w:p>
    <w:p>
      <w:pPr>
        <w:spacing w:before="14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）应收票据的说明：</w:t>
      </w:r>
    </w:p>
    <w:p>
      <w:pPr>
        <w:spacing w:line="285" w:lineRule="auto" w:before="114"/>
        <w:ind w:left="124" w:right="1265" w:firstLine="419"/>
        <w:jc w:val="left"/>
        <w:rPr>
          <w:rFonts w:ascii="宋体" w:hAnsi="宋体" w:cs="宋体" w:eastAsia="宋体" w:hint="default"/>
          <w:sz w:val="21"/>
          <w:szCs w:val="21"/>
        </w:rPr>
      </w:pPr>
      <w:r>
        <w:rPr>
          <w:rFonts w:ascii="宋体" w:hAnsi="宋体" w:cs="宋体" w:eastAsia="宋体" w:hint="default"/>
          <w:sz w:val="21"/>
          <w:szCs w:val="21"/>
        </w:rPr>
        <w:t>应收票据本期增加</w:t>
      </w:r>
      <w:r>
        <w:rPr>
          <w:rFonts w:ascii="宋体" w:hAnsi="宋体" w:cs="宋体" w:eastAsia="宋体" w:hint="default"/>
          <w:spacing w:val="-54"/>
          <w:sz w:val="21"/>
          <w:szCs w:val="21"/>
        </w:rPr>
        <w:t> </w:t>
      </w:r>
      <w:r>
        <w:rPr>
          <w:rFonts w:ascii="宋体" w:hAnsi="宋体" w:cs="宋体" w:eastAsia="宋体" w:hint="default"/>
          <w:sz w:val="21"/>
          <w:szCs w:val="21"/>
        </w:rPr>
        <w:t>38,102,750.83</w:t>
      </w:r>
      <w:r>
        <w:rPr>
          <w:rFonts w:ascii="宋体" w:hAnsi="宋体" w:cs="宋体" w:eastAsia="宋体" w:hint="default"/>
          <w:spacing w:val="-55"/>
          <w:sz w:val="21"/>
          <w:szCs w:val="21"/>
        </w:rPr>
        <w:t> </w:t>
      </w:r>
      <w:r>
        <w:rPr>
          <w:rFonts w:ascii="宋体" w:hAnsi="宋体" w:cs="宋体" w:eastAsia="宋体" w:hint="default"/>
          <w:spacing w:val="-4"/>
          <w:sz w:val="21"/>
          <w:szCs w:val="21"/>
        </w:rPr>
        <w:t>元，增加的比例为</w:t>
      </w:r>
      <w:r>
        <w:rPr>
          <w:rFonts w:ascii="宋体" w:hAnsi="宋体" w:cs="宋体" w:eastAsia="宋体" w:hint="default"/>
          <w:spacing w:val="-55"/>
          <w:sz w:val="21"/>
          <w:szCs w:val="21"/>
        </w:rPr>
        <w:t> </w:t>
      </w:r>
      <w:r>
        <w:rPr>
          <w:rFonts w:ascii="宋体" w:hAnsi="宋体" w:cs="宋体" w:eastAsia="宋体" w:hint="default"/>
          <w:sz w:val="21"/>
          <w:szCs w:val="21"/>
        </w:rPr>
        <w:t>125.43%</w:t>
      </w:r>
      <w:r>
        <w:rPr>
          <w:rFonts w:ascii="宋体" w:hAnsi="宋体" w:cs="宋体" w:eastAsia="宋体" w:hint="default"/>
          <w:sz w:val="21"/>
          <w:szCs w:val="21"/>
        </w:rPr>
        <w:t>，增加的主要原因系本期以应收</w:t>
      </w:r>
      <w:r>
        <w:rPr>
          <w:rFonts w:ascii="宋体" w:hAnsi="宋体" w:cs="宋体" w:eastAsia="宋体" w:hint="default"/>
          <w:w w:val="100"/>
          <w:sz w:val="21"/>
          <w:szCs w:val="21"/>
        </w:rPr>
        <w:t> </w:t>
      </w:r>
      <w:r>
        <w:rPr>
          <w:rFonts w:ascii="宋体" w:hAnsi="宋体" w:cs="宋体" w:eastAsia="宋体" w:hint="default"/>
          <w:sz w:val="21"/>
          <w:szCs w:val="21"/>
        </w:rPr>
        <w:t>票据结算项目款增加所致。</w:t>
      </w:r>
    </w:p>
    <w:p>
      <w:pPr>
        <w:spacing w:before="71"/>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0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）应收账款按种类披露如下：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41"/>
        <w:gridCol w:w="1260"/>
        <w:gridCol w:w="725"/>
        <w:gridCol w:w="1087"/>
        <w:gridCol w:w="634"/>
        <w:gridCol w:w="1234"/>
        <w:gridCol w:w="720"/>
        <w:gridCol w:w="1241"/>
        <w:gridCol w:w="631"/>
      </w:tblGrid>
      <w:tr>
        <w:trPr>
          <w:trHeight w:val="319" w:hRule="exact"/>
        </w:trPr>
        <w:tc>
          <w:tcPr>
            <w:tcW w:w="2341" w:type="dxa"/>
            <w:vMerge w:val="restart"/>
            <w:tcBorders>
              <w:top w:val="single" w:sz="12" w:space="0" w:color="000000"/>
              <w:left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70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341" w:type="dxa"/>
            <w:vMerge/>
            <w:tcBorders>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0" w:hRule="exact"/>
        </w:trPr>
        <w:tc>
          <w:tcPr>
            <w:tcW w:w="2341"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14" w:hRule="exact"/>
        </w:trPr>
        <w:tc>
          <w:tcPr>
            <w:tcW w:w="2341"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13"/>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账准备的应收账款</w:t>
            </w:r>
          </w:p>
        </w:tc>
        <w:tc>
          <w:tcPr>
            <w:tcW w:w="1260" w:type="dxa"/>
            <w:tcBorders>
              <w:top w:val="single" w:sz="4" w:space="0" w:color="000000"/>
              <w:left w:val="single" w:sz="4" w:space="0" w:color="000000"/>
              <w:bottom w:val="nil" w:sz="6" w:space="0" w:color="auto"/>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1087"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41"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r>
      <w:tr>
        <w:trPr>
          <w:trHeight w:val="610"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84" w:right="113" w:hanging="29"/>
              <w:jc w:val="left"/>
              <w:rPr>
                <w:rFonts w:ascii="宋体" w:hAnsi="宋体" w:cs="宋体" w:eastAsia="宋体" w:hint="default"/>
                <w:sz w:val="18"/>
                <w:szCs w:val="18"/>
              </w:rPr>
            </w:pPr>
            <w:r>
              <w:rPr>
                <w:rFonts w:ascii="宋体" w:hAnsi="宋体" w:cs="宋体" w:eastAsia="宋体" w:hint="default"/>
                <w:sz w:val="18"/>
                <w:szCs w:val="18"/>
              </w:rPr>
              <w:t>按组合计提坏账准备的应收 账款</w:t>
            </w:r>
          </w:p>
        </w:tc>
        <w:tc>
          <w:tcPr>
            <w:tcW w:w="1260"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087" w:type="dxa"/>
            <w:tcBorders>
              <w:top w:val="nil" w:sz="6" w:space="0" w:color="auto"/>
              <w:left w:val="single" w:sz="4" w:space="0" w:color="000000"/>
              <w:bottom w:val="nil" w:sz="6" w:space="0" w:color="auto"/>
              <w:right w:val="single" w:sz="4" w:space="0" w:color="000000"/>
            </w:tcBorders>
          </w:tcPr>
          <w:p>
            <w:pPr/>
          </w:p>
        </w:tc>
        <w:tc>
          <w:tcPr>
            <w:tcW w:w="634"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35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96" w:right="0"/>
              <w:jc w:val="center"/>
              <w:rPr>
                <w:rFonts w:ascii="Calibri" w:hAnsi="Calibri" w:cs="Calibri" w:eastAsia="Calibri" w:hint="default"/>
                <w:sz w:val="18"/>
                <w:szCs w:val="18"/>
              </w:rPr>
            </w:pPr>
            <w:r>
              <w:rPr>
                <w:rFonts w:ascii="Calibri"/>
                <w:sz w:val="18"/>
              </w:rPr>
              <w:t>685,705,262.26</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6" w:right="0"/>
              <w:jc w:val="center"/>
              <w:rPr>
                <w:rFonts w:ascii="宋体" w:hAnsi="宋体" w:cs="宋体" w:eastAsia="宋体" w:hint="default"/>
                <w:sz w:val="18"/>
                <w:szCs w:val="18"/>
              </w:rPr>
            </w:pPr>
            <w:r>
              <w:rPr>
                <w:rFonts w:ascii="Calibri"/>
                <w:sz w:val="18"/>
              </w:rPr>
              <w:t>100.00</w:t>
            </w:r>
            <w:r>
              <w:rPr>
                <w:rFonts w:ascii="宋体"/>
                <w:sz w:val="18"/>
              </w:rPr>
              <w:t>%</w:t>
            </w:r>
          </w:p>
        </w:tc>
        <w:tc>
          <w:tcPr>
            <w:tcW w:w="108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4" w:right="0"/>
              <w:jc w:val="center"/>
              <w:rPr>
                <w:rFonts w:ascii="Calibri" w:hAnsi="Calibri" w:cs="Calibri" w:eastAsia="Calibri" w:hint="default"/>
                <w:sz w:val="18"/>
                <w:szCs w:val="18"/>
              </w:rPr>
            </w:pPr>
            <w:r>
              <w:rPr>
                <w:rFonts w:ascii="Calibri"/>
                <w:sz w:val="18"/>
              </w:rPr>
              <w:t>35,030,865.40</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Calibri"/>
                <w:sz w:val="18"/>
              </w:rPr>
              <w:t>5.11</w:t>
            </w:r>
            <w:r>
              <w:rPr>
                <w:rFonts w:ascii="宋体"/>
                <w:sz w:val="18"/>
              </w:rPr>
              <w:t>%</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69" w:right="0"/>
              <w:jc w:val="center"/>
              <w:rPr>
                <w:rFonts w:ascii="Calibri" w:hAnsi="Calibri" w:cs="Calibri" w:eastAsia="Calibri" w:hint="default"/>
                <w:sz w:val="18"/>
                <w:szCs w:val="18"/>
              </w:rPr>
            </w:pPr>
            <w:r>
              <w:rPr>
                <w:rFonts w:ascii="Calibri"/>
                <w:sz w:val="18"/>
              </w:rPr>
              <w:t>458,370,534.92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3"/>
              <w:jc w:val="right"/>
              <w:rPr>
                <w:rFonts w:ascii="Calibri" w:hAnsi="Calibri" w:cs="Calibri" w:eastAsia="Calibri" w:hint="default"/>
                <w:sz w:val="18"/>
                <w:szCs w:val="18"/>
              </w:rPr>
            </w:pPr>
            <w:r>
              <w:rPr>
                <w:rFonts w:ascii="Calibri"/>
                <w:sz w:val="18"/>
              </w:rPr>
              <w:t>20,480,983.75</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
              <w:jc w:val="right"/>
              <w:rPr>
                <w:rFonts w:ascii="宋体" w:hAnsi="宋体" w:cs="宋体" w:eastAsia="宋体" w:hint="default"/>
                <w:sz w:val="18"/>
                <w:szCs w:val="18"/>
              </w:rPr>
            </w:pPr>
            <w:r>
              <w:rPr>
                <w:rFonts w:ascii="Calibri"/>
                <w:sz w:val="18"/>
              </w:rPr>
              <w:t>4.47</w:t>
            </w:r>
            <w:r>
              <w:rPr>
                <w:rFonts w:ascii="宋体"/>
                <w:sz w:val="18"/>
              </w:rPr>
              <w:t>%</w:t>
            </w:r>
          </w:p>
        </w:tc>
      </w:tr>
      <w:tr>
        <w:trPr>
          <w:trHeight w:val="291"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35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96" w:right="0"/>
              <w:jc w:val="center"/>
              <w:rPr>
                <w:rFonts w:ascii="Calibri" w:hAnsi="Calibri" w:cs="Calibri" w:eastAsia="Calibri" w:hint="default"/>
                <w:sz w:val="18"/>
                <w:szCs w:val="18"/>
              </w:rPr>
            </w:pPr>
            <w:r>
              <w:rPr>
                <w:rFonts w:ascii="Calibri"/>
                <w:sz w:val="18"/>
              </w:rPr>
              <w:t>685,705,262.26</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6" w:right="0"/>
              <w:jc w:val="center"/>
              <w:rPr>
                <w:rFonts w:ascii="宋体" w:hAnsi="宋体" w:cs="宋体" w:eastAsia="宋体" w:hint="default"/>
                <w:sz w:val="18"/>
                <w:szCs w:val="18"/>
              </w:rPr>
            </w:pPr>
            <w:r>
              <w:rPr>
                <w:rFonts w:ascii="Calibri"/>
                <w:sz w:val="18"/>
              </w:rPr>
              <w:t>100.00</w:t>
            </w:r>
            <w:r>
              <w:rPr>
                <w:rFonts w:ascii="宋体"/>
                <w:sz w:val="18"/>
              </w:rPr>
              <w:t>%</w:t>
            </w:r>
          </w:p>
        </w:tc>
        <w:tc>
          <w:tcPr>
            <w:tcW w:w="1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4" w:right="0"/>
              <w:jc w:val="center"/>
              <w:rPr>
                <w:rFonts w:ascii="Calibri" w:hAnsi="Calibri" w:cs="Calibri" w:eastAsia="Calibri" w:hint="default"/>
                <w:sz w:val="18"/>
                <w:szCs w:val="18"/>
              </w:rPr>
            </w:pPr>
            <w:r>
              <w:rPr>
                <w:rFonts w:ascii="Calibri"/>
                <w:sz w:val="18"/>
              </w:rPr>
              <w:t>35,030,865.40</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Calibri"/>
                <w:sz w:val="18"/>
              </w:rPr>
              <w:t>5.11</w:t>
            </w:r>
            <w:r>
              <w:rPr>
                <w:rFonts w:ascii="宋体"/>
                <w:sz w:val="18"/>
              </w:rPr>
              <w:t>%</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69" w:right="0"/>
              <w:jc w:val="center"/>
              <w:rPr>
                <w:rFonts w:ascii="Calibri" w:hAnsi="Calibri" w:cs="Calibri" w:eastAsia="Calibri" w:hint="default"/>
                <w:sz w:val="18"/>
                <w:szCs w:val="18"/>
              </w:rPr>
            </w:pPr>
            <w:r>
              <w:rPr>
                <w:rFonts w:ascii="Calibri"/>
                <w:sz w:val="18"/>
              </w:rPr>
              <w:t>458,370,534.92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3"/>
              <w:jc w:val="right"/>
              <w:rPr>
                <w:rFonts w:ascii="Calibri" w:hAnsi="Calibri" w:cs="Calibri" w:eastAsia="Calibri" w:hint="default"/>
                <w:sz w:val="18"/>
                <w:szCs w:val="18"/>
              </w:rPr>
            </w:pPr>
            <w:r>
              <w:rPr>
                <w:rFonts w:ascii="Calibri"/>
                <w:sz w:val="18"/>
              </w:rPr>
              <w:t>20,480,983.75</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6"/>
              <w:jc w:val="right"/>
              <w:rPr>
                <w:rFonts w:ascii="宋体" w:hAnsi="宋体" w:cs="宋体" w:eastAsia="宋体" w:hint="default"/>
                <w:sz w:val="18"/>
                <w:szCs w:val="18"/>
              </w:rPr>
            </w:pPr>
            <w:r>
              <w:rPr>
                <w:rFonts w:ascii="Calibri"/>
                <w:sz w:val="18"/>
              </w:rPr>
              <w:t>4.47</w:t>
            </w:r>
            <w:r>
              <w:rPr>
                <w:rFonts w:ascii="宋体"/>
                <w:sz w:val="18"/>
              </w:rPr>
              <w:t>%</w:t>
            </w:r>
          </w:p>
        </w:tc>
      </w:tr>
      <w:tr>
        <w:trPr>
          <w:trHeight w:val="603" w:hRule="exact"/>
        </w:trPr>
        <w:tc>
          <w:tcPr>
            <w:tcW w:w="2341" w:type="dxa"/>
            <w:tcBorders>
              <w:top w:val="nil" w:sz="6" w:space="0" w:color="auto"/>
              <w:left w:val="single" w:sz="4" w:space="0" w:color="000000"/>
              <w:bottom w:val="single" w:sz="4" w:space="0" w:color="000000"/>
              <w:right w:val="single" w:sz="4" w:space="0" w:color="000000"/>
            </w:tcBorders>
          </w:tcPr>
          <w:p>
            <w:pPr>
              <w:pStyle w:val="TableParagraph"/>
              <w:spacing w:line="304" w:lineRule="auto" w:before="9"/>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提坏账准备的应收账款</w:t>
            </w:r>
          </w:p>
        </w:tc>
        <w:tc>
          <w:tcPr>
            <w:tcW w:w="1260" w:type="dxa"/>
            <w:tcBorders>
              <w:top w:val="nil" w:sz="6" w:space="0" w:color="auto"/>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1087"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41" w:type="dxa"/>
            <w:tcBorders>
              <w:top w:val="nil" w:sz="6" w:space="0" w:color="auto"/>
              <w:left w:val="single" w:sz="4" w:space="0" w:color="000000"/>
              <w:bottom w:val="single" w:sz="4" w:space="0" w:color="000000"/>
              <w:right w:val="single" w:sz="4" w:space="0" w:color="000000"/>
            </w:tcBorders>
          </w:tcPr>
          <w:p>
            <w:pPr/>
          </w:p>
        </w:tc>
        <w:tc>
          <w:tcPr>
            <w:tcW w:w="631" w:type="dxa"/>
            <w:tcBorders>
              <w:top w:val="nil" w:sz="6" w:space="0" w:color="auto"/>
              <w:left w:val="single" w:sz="4" w:space="0" w:color="000000"/>
              <w:bottom w:val="single" w:sz="4" w:space="0" w:color="000000"/>
              <w:right w:val="single" w:sz="4" w:space="0" w:color="000000"/>
            </w:tcBorders>
          </w:tcPr>
          <w:p>
            <w:pPr/>
          </w:p>
        </w:tc>
      </w:tr>
      <w:tr>
        <w:trPr>
          <w:trHeight w:val="338" w:hRule="exact"/>
        </w:trPr>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96" w:right="0"/>
              <w:jc w:val="center"/>
              <w:rPr>
                <w:rFonts w:ascii="Calibri" w:hAnsi="Calibri" w:cs="Calibri" w:eastAsia="Calibri" w:hint="default"/>
                <w:sz w:val="18"/>
                <w:szCs w:val="18"/>
              </w:rPr>
            </w:pPr>
            <w:r>
              <w:rPr>
                <w:rFonts w:ascii="Calibri"/>
                <w:sz w:val="18"/>
              </w:rPr>
              <w:t>685,705,262.26</w:t>
            </w:r>
          </w:p>
        </w:tc>
        <w:tc>
          <w:tcPr>
            <w:tcW w:w="7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06" w:right="0"/>
              <w:jc w:val="center"/>
              <w:rPr>
                <w:rFonts w:ascii="宋体" w:hAnsi="宋体" w:cs="宋体" w:eastAsia="宋体" w:hint="default"/>
                <w:sz w:val="18"/>
                <w:szCs w:val="18"/>
              </w:rPr>
            </w:pPr>
            <w:r>
              <w:rPr>
                <w:rFonts w:ascii="Calibri"/>
                <w:sz w:val="18"/>
              </w:rPr>
              <w:t>100.00</w:t>
            </w:r>
            <w:r>
              <w:rPr>
                <w:rFonts w:ascii="宋体"/>
                <w:sz w:val="18"/>
              </w:rPr>
              <w:t>%</w:t>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14" w:right="0"/>
              <w:jc w:val="center"/>
              <w:rPr>
                <w:rFonts w:ascii="Calibri" w:hAnsi="Calibri" w:cs="Calibri" w:eastAsia="Calibri" w:hint="default"/>
                <w:sz w:val="18"/>
                <w:szCs w:val="18"/>
              </w:rPr>
            </w:pPr>
            <w:r>
              <w:rPr>
                <w:rFonts w:ascii="Calibri"/>
                <w:sz w:val="18"/>
              </w:rPr>
              <w:t>35,030,865.40</w:t>
            </w:r>
          </w:p>
        </w:tc>
        <w:tc>
          <w:tcPr>
            <w:tcW w:w="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Calibri"/>
                <w:sz w:val="18"/>
              </w:rPr>
              <w:t>5.11</w:t>
            </w:r>
            <w:r>
              <w:rPr>
                <w:rFonts w:ascii="宋体"/>
                <w:sz w:val="18"/>
              </w:rPr>
              <w:t>%</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69" w:right="0"/>
              <w:jc w:val="center"/>
              <w:rPr>
                <w:rFonts w:ascii="Calibri" w:hAnsi="Calibri" w:cs="Calibri" w:eastAsia="Calibri" w:hint="default"/>
                <w:sz w:val="18"/>
                <w:szCs w:val="18"/>
              </w:rPr>
            </w:pPr>
            <w:r>
              <w:rPr>
                <w:rFonts w:ascii="Calibri"/>
                <w:sz w:val="18"/>
              </w:rPr>
              <w:t>458,370,534.92</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3"/>
              <w:jc w:val="right"/>
              <w:rPr>
                <w:rFonts w:ascii="Calibri" w:hAnsi="Calibri" w:cs="Calibri" w:eastAsia="Calibri" w:hint="default"/>
                <w:sz w:val="18"/>
                <w:szCs w:val="18"/>
              </w:rPr>
            </w:pPr>
            <w:r>
              <w:rPr>
                <w:rFonts w:ascii="Calibri"/>
                <w:sz w:val="18"/>
              </w:rPr>
              <w:t>20,480,983.75</w:t>
            </w:r>
          </w:p>
        </w:tc>
        <w:tc>
          <w:tcPr>
            <w:tcW w:w="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6"/>
              <w:jc w:val="right"/>
              <w:rPr>
                <w:rFonts w:ascii="宋体" w:hAnsi="宋体" w:cs="宋体" w:eastAsia="宋体" w:hint="default"/>
                <w:sz w:val="18"/>
                <w:szCs w:val="18"/>
              </w:rPr>
            </w:pPr>
            <w:r>
              <w:rPr>
                <w:rFonts w:ascii="Calibri"/>
                <w:sz w:val="18"/>
              </w:rPr>
              <w:t>4.47</w:t>
            </w:r>
            <w:r>
              <w:rPr>
                <w:rFonts w:ascii="宋体"/>
                <w:sz w:val="18"/>
              </w:rPr>
              <w:t>%</w:t>
            </w:r>
          </w:p>
        </w:tc>
      </w:tr>
    </w:tbl>
    <w:p>
      <w:pPr>
        <w:spacing w:before="26"/>
        <w:ind w:left="527" w:right="4204"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按账龄分析法计提坏账准备的应收账款：</w:t>
      </w:r>
    </w:p>
    <w:p>
      <w:pPr>
        <w:spacing w:line="240" w:lineRule="auto" w:before="1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54"/>
        <w:gridCol w:w="1496"/>
        <w:gridCol w:w="958"/>
        <w:gridCol w:w="1390"/>
        <w:gridCol w:w="1546"/>
        <w:gridCol w:w="1025"/>
        <w:gridCol w:w="1510"/>
      </w:tblGrid>
      <w:tr>
        <w:trPr>
          <w:trHeight w:val="319" w:hRule="exact"/>
        </w:trPr>
        <w:tc>
          <w:tcPr>
            <w:tcW w:w="1054" w:type="dxa"/>
            <w:vMerge w:val="restart"/>
            <w:tcBorders>
              <w:top w:val="single" w:sz="12" w:space="0" w:color="000000"/>
              <w:left w:val="single" w:sz="4" w:space="0" w:color="000000"/>
              <w:right w:val="single" w:sz="4" w:space="0" w:color="000000"/>
            </w:tcBorders>
          </w:tcPr>
          <w:p>
            <w:pPr>
              <w:pStyle w:val="TableParagraph"/>
              <w:tabs>
                <w:tab w:pos="628" w:val="left" w:leader="none"/>
              </w:tabs>
              <w:spacing w:line="270" w:lineRule="exact"/>
              <w:ind w:left="206"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4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1054" w:type="dxa"/>
            <w:vMerge/>
            <w:tcBorders>
              <w:left w:val="single" w:sz="4" w:space="0" w:color="000000"/>
              <w:right w:val="single" w:sz="4" w:space="0" w:color="000000"/>
            </w:tcBorders>
          </w:tcPr>
          <w:p>
            <w:pP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0" w:type="dxa"/>
            <w:vMerge w:val="restart"/>
            <w:tcBorders>
              <w:top w:val="single" w:sz="4" w:space="0" w:color="000000"/>
              <w:left w:val="single" w:sz="4"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10" w:type="dxa"/>
            <w:vMerge w:val="restart"/>
            <w:tcBorders>
              <w:top w:val="single" w:sz="4" w:space="0" w:color="000000"/>
              <w:left w:val="single" w:sz="4" w:space="0" w:color="000000"/>
              <w:right w:val="single" w:sz="4"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2" w:hRule="exact"/>
        </w:trPr>
        <w:tc>
          <w:tcPr>
            <w:tcW w:w="1054" w:type="dxa"/>
            <w:vMerge/>
            <w:tcBorders>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90"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10" w:type="dxa"/>
            <w:vMerge/>
            <w:tcBorders>
              <w:left w:val="single" w:sz="4" w:space="0" w:color="000000"/>
              <w:bottom w:val="single" w:sz="4" w:space="0" w:color="000000"/>
              <w:right w:val="single" w:sz="4" w:space="0" w:color="000000"/>
            </w:tcBorders>
          </w:tcPr>
          <w:p>
            <w:pPr/>
          </w:p>
        </w:tc>
      </w:tr>
      <w:tr>
        <w:trPr>
          <w:trHeight w:val="319"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449,928,788.14</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65.62%</w:t>
            </w:r>
          </w:p>
        </w:tc>
        <w:tc>
          <w:tcPr>
            <w:tcW w:w="139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4,499,287.88</w:t>
            </w:r>
          </w:p>
        </w:tc>
        <w:tc>
          <w:tcPr>
            <w:tcW w:w="154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354,167,859.37</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77.27%</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3,541,678.59</w:t>
            </w:r>
          </w:p>
        </w:tc>
      </w:tr>
      <w:tr>
        <w:trPr>
          <w:trHeight w:val="30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一至二年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161,194,154.51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23.51%</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8,059,707.73</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39,511,071.85</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8.62%</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1,975,553.59</w:t>
            </w:r>
          </w:p>
        </w:tc>
      </w:tr>
      <w:tr>
        <w:trPr>
          <w:trHeight w:val="30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二至三年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22,136,185.55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3.23%</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2,213,618.56</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26,290,108.16</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5.74%</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2,629,010.82</w:t>
            </w:r>
          </w:p>
        </w:tc>
      </w:tr>
      <w:tr>
        <w:trPr>
          <w:trHeight w:val="30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三至四年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16,916,650.98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2.47%</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5,074,995.29</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31,936,662.32</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6.97%</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9,580,998.70</w:t>
            </w:r>
          </w:p>
        </w:tc>
      </w:tr>
      <w:tr>
        <w:trPr>
          <w:trHeight w:val="30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四至五年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29,066,038.77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4.24%</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8,719,811.63</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5,301,558.82</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1.15%</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1,590,467.65</w:t>
            </w:r>
          </w:p>
        </w:tc>
      </w:tr>
      <w:tr>
        <w:trPr>
          <w:trHeight w:val="291"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6,463,444.31</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0.93%</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6,463,444.31</w:t>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1,163,274.40</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0.25%</w:t>
            </w:r>
          </w:p>
        </w:tc>
        <w:tc>
          <w:tcPr>
            <w:tcW w:w="151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1,163,274.40</w:t>
            </w:r>
          </w:p>
        </w:tc>
      </w:tr>
      <w:tr>
        <w:trPr>
          <w:trHeight w:val="317" w:hRule="exact"/>
        </w:trPr>
        <w:tc>
          <w:tcPr>
            <w:tcW w:w="1054"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20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685,705,262.26</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35,030,865.40</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458,370,534.92</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20,480,983.75</w:t>
            </w:r>
          </w:p>
        </w:tc>
      </w:tr>
    </w:tbl>
    <w:p>
      <w:pPr>
        <w:spacing w:after="0" w:line="270" w:lineRule="exact"/>
        <w:jc w:val="right"/>
        <w:rPr>
          <w:rFonts w:ascii="宋体" w:hAnsi="宋体" w:cs="宋体" w:eastAsia="宋体" w:hint="default"/>
          <w:sz w:val="21"/>
          <w:szCs w:val="21"/>
        </w:rPr>
        <w:sectPr>
          <w:footerReference w:type="even" r:id="rId80"/>
          <w:footerReference w:type="default" r:id="rId81"/>
          <w:pgSz w:w="12240" w:h="15840"/>
          <w:pgMar w:footer="956" w:header="850" w:top="1360" w:bottom="1140" w:left="1520" w:right="0"/>
        </w:sectPr>
      </w:pPr>
    </w:p>
    <w:p>
      <w:pPr>
        <w:spacing w:before="15"/>
        <w:ind w:left="564" w:right="1697" w:firstLine="0"/>
        <w:jc w:val="left"/>
        <w:rPr>
          <w:rFonts w:ascii="宋体" w:hAnsi="宋体" w:cs="宋体" w:eastAsia="宋体" w:hint="default"/>
          <w:sz w:val="21"/>
          <w:szCs w:val="21"/>
        </w:rPr>
      </w:pPr>
      <w:r>
        <w:rPr/>
        <w:pict>
          <v:group style="position:absolute;margin-left:80.783997pt;margin-top:1.853692pt;width:450.6pt;height:.1pt;mso-position-horizontal-relative:page;mso-position-vertical-relative:paragraph;z-index:-862528"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）应收账款期末余额中，无应收持有公司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z w:val="21"/>
          <w:szCs w:val="21"/>
        </w:rPr>
        <w:t>）股份的股东单位的往来款项。</w:t>
      </w:r>
    </w:p>
    <w:p>
      <w:pPr>
        <w:spacing w:before="73"/>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）应收账款金额前五名单位情况如下：</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104"/>
        <w:gridCol w:w="1388"/>
        <w:gridCol w:w="1493"/>
        <w:gridCol w:w="913"/>
        <w:gridCol w:w="2081"/>
      </w:tblGrid>
      <w:tr>
        <w:trPr>
          <w:trHeight w:val="619" w:hRule="exact"/>
        </w:trPr>
        <w:tc>
          <w:tcPr>
            <w:tcW w:w="310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081"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928" w:right="86" w:hanging="840"/>
              <w:jc w:val="left"/>
              <w:rPr>
                <w:rFonts w:ascii="宋体" w:hAnsi="宋体" w:cs="宋体" w:eastAsia="宋体" w:hint="default"/>
                <w:sz w:val="21"/>
                <w:szCs w:val="21"/>
              </w:rPr>
            </w:pPr>
            <w:r>
              <w:rPr>
                <w:rFonts w:ascii="宋体" w:hAnsi="宋体" w:cs="宋体" w:eastAsia="宋体" w:hint="default"/>
                <w:sz w:val="21"/>
                <w:szCs w:val="21"/>
              </w:rPr>
              <w:t>占应收账款总额的比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319" w:hRule="exact"/>
        </w:trPr>
        <w:tc>
          <w:tcPr>
            <w:tcW w:w="310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客户</w:t>
            </w:r>
          </w:p>
        </w:tc>
        <w:tc>
          <w:tcPr>
            <w:tcW w:w="149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sz w:val="21"/>
              </w:rPr>
              <w:t>55,025,453.05</w:t>
            </w:r>
          </w:p>
        </w:tc>
        <w:tc>
          <w:tcPr>
            <w:tcW w:w="91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w:t>
            </w:r>
          </w:p>
        </w:tc>
        <w:tc>
          <w:tcPr>
            <w:tcW w:w="208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72" w:right="0"/>
              <w:jc w:val="left"/>
              <w:rPr>
                <w:rFonts w:ascii="宋体" w:hAnsi="宋体" w:cs="宋体" w:eastAsia="宋体" w:hint="default"/>
                <w:sz w:val="21"/>
                <w:szCs w:val="21"/>
              </w:rPr>
            </w:pPr>
            <w:r>
              <w:rPr>
                <w:rFonts w:ascii="宋体"/>
                <w:sz w:val="21"/>
              </w:rPr>
              <w:t>8.02%</w:t>
            </w:r>
          </w:p>
        </w:tc>
      </w:tr>
      <w:tr>
        <w:trPr>
          <w:trHeight w:val="600" w:hRule="exact"/>
        </w:trPr>
        <w:tc>
          <w:tcPr>
            <w:tcW w:w="310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北京科东电力控制系统有限责任</w:t>
            </w:r>
          </w:p>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客户</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29,251,592.00</w:t>
            </w:r>
          </w:p>
        </w:tc>
        <w:tc>
          <w:tcPr>
            <w:tcW w:w="91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*2</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772" w:right="0"/>
              <w:jc w:val="left"/>
              <w:rPr>
                <w:rFonts w:ascii="宋体" w:hAnsi="宋体" w:cs="宋体" w:eastAsia="宋体" w:hint="default"/>
                <w:sz w:val="21"/>
                <w:szCs w:val="21"/>
              </w:rPr>
            </w:pPr>
            <w:r>
              <w:rPr>
                <w:rFonts w:ascii="宋体"/>
                <w:sz w:val="21"/>
              </w:rPr>
              <w:t>4.27%</w:t>
            </w:r>
          </w:p>
        </w:tc>
      </w:tr>
      <w:tr>
        <w:trPr>
          <w:trHeight w:val="300" w:hRule="exact"/>
        </w:trPr>
        <w:tc>
          <w:tcPr>
            <w:tcW w:w="310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客户</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22,745,334.74</w:t>
            </w:r>
          </w:p>
        </w:tc>
        <w:tc>
          <w:tcPr>
            <w:tcW w:w="91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*3</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72" w:right="0"/>
              <w:jc w:val="left"/>
              <w:rPr>
                <w:rFonts w:ascii="宋体" w:hAnsi="宋体" w:cs="宋体" w:eastAsia="宋体" w:hint="default"/>
                <w:sz w:val="21"/>
                <w:szCs w:val="21"/>
              </w:rPr>
            </w:pPr>
            <w:r>
              <w:rPr>
                <w:rFonts w:ascii="宋体"/>
                <w:sz w:val="21"/>
              </w:rPr>
              <w:t>3.32%</w:t>
            </w:r>
          </w:p>
        </w:tc>
      </w:tr>
      <w:tr>
        <w:trPr>
          <w:trHeight w:val="300" w:hRule="exact"/>
        </w:trPr>
        <w:tc>
          <w:tcPr>
            <w:tcW w:w="310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山西省物产集团进出口有限公司</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客户</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20,553,971.78</w:t>
            </w:r>
          </w:p>
        </w:tc>
        <w:tc>
          <w:tcPr>
            <w:tcW w:w="91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08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72" w:right="0"/>
              <w:jc w:val="left"/>
              <w:rPr>
                <w:rFonts w:ascii="宋体" w:hAnsi="宋体" w:cs="宋体" w:eastAsia="宋体" w:hint="default"/>
                <w:sz w:val="21"/>
                <w:szCs w:val="21"/>
              </w:rPr>
            </w:pPr>
            <w:r>
              <w:rPr>
                <w:rFonts w:ascii="宋体"/>
                <w:sz w:val="21"/>
              </w:rPr>
              <w:t>3.00%</w:t>
            </w:r>
          </w:p>
        </w:tc>
      </w:tr>
      <w:tr>
        <w:trPr>
          <w:trHeight w:val="291" w:hRule="exact"/>
        </w:trPr>
        <w:tc>
          <w:tcPr>
            <w:tcW w:w="310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国美电器有限公司</w:t>
            </w: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客户</w:t>
            </w:r>
          </w:p>
        </w:tc>
        <w:tc>
          <w:tcPr>
            <w:tcW w:w="149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20,420,950.00</w:t>
            </w:r>
          </w:p>
        </w:tc>
        <w:tc>
          <w:tcPr>
            <w:tcW w:w="91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08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772" w:right="0"/>
              <w:jc w:val="left"/>
              <w:rPr>
                <w:rFonts w:ascii="宋体" w:hAnsi="宋体" w:cs="宋体" w:eastAsia="宋体" w:hint="default"/>
                <w:sz w:val="21"/>
                <w:szCs w:val="21"/>
              </w:rPr>
            </w:pPr>
            <w:r>
              <w:rPr>
                <w:rFonts w:ascii="宋体"/>
                <w:sz w:val="21"/>
              </w:rPr>
              <w:t>2.98%</w:t>
            </w:r>
          </w:p>
        </w:tc>
      </w:tr>
      <w:tr>
        <w:trPr>
          <w:trHeight w:val="319" w:hRule="exact"/>
        </w:trPr>
        <w:tc>
          <w:tcPr>
            <w:tcW w:w="3104"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pacing w:val="-1"/>
                <w:sz w:val="21"/>
              </w:rPr>
              <w:t>147,997,301.57</w:t>
            </w:r>
          </w:p>
        </w:tc>
        <w:tc>
          <w:tcPr>
            <w:tcW w:w="913" w:type="dxa"/>
            <w:tcBorders>
              <w:top w:val="single" w:sz="4" w:space="0" w:color="000000"/>
              <w:left w:val="single" w:sz="4" w:space="0" w:color="000000"/>
              <w:bottom w:val="single" w:sz="12" w:space="0" w:color="000000"/>
              <w:right w:val="single" w:sz="4" w:space="0" w:color="000000"/>
            </w:tcBorders>
          </w:tcPr>
          <w:p>
            <w:pP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sz w:val="21"/>
              </w:rPr>
              <w:t>21.59%</w:t>
            </w:r>
          </w:p>
        </w:tc>
      </w:tr>
    </w:tbl>
    <w:p>
      <w:pPr>
        <w:spacing w:line="263" w:lineRule="exact" w:before="0"/>
        <w:ind w:left="564" w:right="1506" w:firstLine="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、其中一年以内</w:t>
      </w:r>
      <w:r>
        <w:rPr>
          <w:rFonts w:ascii="宋体" w:hAnsi="宋体" w:cs="宋体" w:eastAsia="宋体" w:hint="default"/>
          <w:spacing w:val="-48"/>
          <w:sz w:val="21"/>
          <w:szCs w:val="21"/>
        </w:rPr>
        <w:t> </w:t>
      </w:r>
      <w:r>
        <w:rPr>
          <w:rFonts w:ascii="宋体" w:hAnsi="宋体" w:cs="宋体" w:eastAsia="宋体" w:hint="default"/>
          <w:sz w:val="21"/>
          <w:szCs w:val="21"/>
        </w:rPr>
        <w:t>29,450,226.42</w:t>
      </w:r>
      <w:r>
        <w:rPr>
          <w:rFonts w:ascii="宋体" w:hAnsi="宋体" w:cs="宋体" w:eastAsia="宋体" w:hint="default"/>
          <w:spacing w:val="-49"/>
          <w:sz w:val="21"/>
          <w:szCs w:val="21"/>
        </w:rPr>
        <w:t> </w:t>
      </w:r>
      <w:r>
        <w:rPr>
          <w:rFonts w:ascii="宋体" w:hAnsi="宋体" w:cs="宋体" w:eastAsia="宋体" w:hint="default"/>
          <w:spacing w:val="-6"/>
          <w:sz w:val="21"/>
          <w:szCs w:val="21"/>
        </w:rPr>
        <w:t>元、一至二年</w:t>
      </w:r>
      <w:r>
        <w:rPr>
          <w:rFonts w:ascii="宋体" w:hAnsi="宋体" w:cs="宋体" w:eastAsia="宋体" w:hint="default"/>
          <w:spacing w:val="-48"/>
          <w:sz w:val="21"/>
          <w:szCs w:val="21"/>
        </w:rPr>
        <w:t> </w:t>
      </w:r>
      <w:r>
        <w:rPr>
          <w:rFonts w:ascii="宋体" w:hAnsi="宋体" w:cs="宋体" w:eastAsia="宋体" w:hint="default"/>
          <w:sz w:val="21"/>
          <w:szCs w:val="21"/>
        </w:rPr>
        <w:t>24,539,021.91</w:t>
      </w:r>
      <w:r>
        <w:rPr>
          <w:rFonts w:ascii="宋体" w:hAnsi="宋体" w:cs="宋体" w:eastAsia="宋体" w:hint="default"/>
          <w:spacing w:val="-51"/>
          <w:sz w:val="21"/>
          <w:szCs w:val="21"/>
        </w:rPr>
        <w:t> </w:t>
      </w:r>
      <w:r>
        <w:rPr>
          <w:rFonts w:ascii="宋体" w:hAnsi="宋体" w:cs="宋体" w:eastAsia="宋体" w:hint="default"/>
          <w:spacing w:val="-6"/>
          <w:sz w:val="21"/>
          <w:szCs w:val="21"/>
        </w:rPr>
        <w:t>元、二至三年</w:t>
      </w:r>
      <w:r>
        <w:rPr>
          <w:rFonts w:ascii="宋体" w:hAnsi="宋体" w:cs="宋体" w:eastAsia="宋体" w:hint="default"/>
          <w:spacing w:val="-51"/>
          <w:sz w:val="21"/>
          <w:szCs w:val="21"/>
        </w:rPr>
        <w:t> </w:t>
      </w:r>
      <w:r>
        <w:rPr>
          <w:rFonts w:ascii="宋体" w:hAnsi="宋体" w:cs="宋体" w:eastAsia="宋体" w:hint="default"/>
          <w:sz w:val="21"/>
          <w:szCs w:val="21"/>
        </w:rPr>
        <w:t>226,542.00</w:t>
      </w:r>
      <w:r>
        <w:rPr>
          <w:rFonts w:ascii="宋体" w:hAnsi="宋体" w:cs="宋体" w:eastAsia="宋体" w:hint="default"/>
          <w:spacing w:val="-51"/>
          <w:sz w:val="21"/>
          <w:szCs w:val="21"/>
        </w:rPr>
        <w:t> </w:t>
      </w:r>
      <w:r>
        <w:rPr>
          <w:rFonts w:ascii="宋体" w:hAnsi="宋体" w:cs="宋体" w:eastAsia="宋体" w:hint="default"/>
          <w:sz w:val="21"/>
          <w:szCs w:val="21"/>
        </w:rPr>
        <w:t>元、</w:t>
      </w:r>
    </w:p>
    <w:p>
      <w:pPr>
        <w:tabs>
          <w:tab w:pos="1406" w:val="left" w:leader="none"/>
        </w:tabs>
        <w:spacing w:before="51"/>
        <w:ind w:left="144" w:right="1697" w:firstLine="0"/>
        <w:jc w:val="left"/>
        <w:rPr>
          <w:rFonts w:ascii="宋体" w:hAnsi="宋体" w:cs="宋体" w:eastAsia="宋体" w:hint="default"/>
          <w:sz w:val="21"/>
          <w:szCs w:val="21"/>
        </w:rPr>
      </w:pPr>
      <w:r>
        <w:rPr>
          <w:rFonts w:ascii="宋体" w:hAnsi="宋体" w:cs="宋体" w:eastAsia="宋体" w:hint="default"/>
          <w:spacing w:val="-1"/>
          <w:sz w:val="21"/>
          <w:szCs w:val="21"/>
        </w:rPr>
        <w:t>三年以上</w:t>
        <w:tab/>
      </w:r>
      <w:r>
        <w:rPr>
          <w:rFonts w:ascii="宋体" w:hAnsi="宋体" w:cs="宋体" w:eastAsia="宋体" w:hint="default"/>
          <w:spacing w:val="-1"/>
          <w:sz w:val="21"/>
          <w:szCs w:val="21"/>
        </w:rPr>
        <w:t>809,662.72</w:t>
      </w:r>
      <w:r>
        <w:rPr>
          <w:rFonts w:ascii="宋体" w:hAnsi="宋体" w:cs="宋体" w:eastAsia="宋体" w:hint="default"/>
          <w:spacing w:val="-46"/>
          <w:sz w:val="21"/>
          <w:szCs w:val="21"/>
        </w:rPr>
        <w:t> </w:t>
      </w:r>
      <w:r>
        <w:rPr>
          <w:rFonts w:ascii="宋体" w:hAnsi="宋体" w:cs="宋体" w:eastAsia="宋体" w:hint="default"/>
          <w:sz w:val="21"/>
          <w:szCs w:val="21"/>
        </w:rPr>
        <w:t>元。</w:t>
      </w:r>
    </w:p>
    <w:p>
      <w:pPr>
        <w:spacing w:before="73"/>
        <w:ind w:left="564" w:right="1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、其中一年以内</w:t>
      </w:r>
      <w:r>
        <w:rPr>
          <w:rFonts w:ascii="宋体" w:hAnsi="宋体" w:cs="宋体" w:eastAsia="宋体" w:hint="default"/>
          <w:spacing w:val="-54"/>
          <w:sz w:val="21"/>
          <w:szCs w:val="21"/>
        </w:rPr>
        <w:t> </w:t>
      </w:r>
      <w:r>
        <w:rPr>
          <w:rFonts w:ascii="宋体" w:hAnsi="宋体" w:cs="宋体" w:eastAsia="宋体" w:hint="default"/>
          <w:sz w:val="21"/>
          <w:szCs w:val="21"/>
        </w:rPr>
        <w:t>29,050,042.04</w:t>
      </w:r>
      <w:r>
        <w:rPr>
          <w:rFonts w:ascii="宋体" w:hAnsi="宋体" w:cs="宋体" w:eastAsia="宋体" w:hint="default"/>
          <w:spacing w:val="-55"/>
          <w:sz w:val="21"/>
          <w:szCs w:val="21"/>
        </w:rPr>
        <w:t> </w:t>
      </w:r>
      <w:r>
        <w:rPr>
          <w:rFonts w:ascii="宋体" w:hAnsi="宋体" w:cs="宋体" w:eastAsia="宋体" w:hint="default"/>
          <w:sz w:val="21"/>
          <w:szCs w:val="21"/>
        </w:rPr>
        <w:t>元、一至二年</w:t>
      </w:r>
      <w:r>
        <w:rPr>
          <w:rFonts w:ascii="宋体" w:hAnsi="宋体" w:cs="宋体" w:eastAsia="宋体" w:hint="default"/>
          <w:spacing w:val="-55"/>
          <w:sz w:val="21"/>
          <w:szCs w:val="21"/>
        </w:rPr>
        <w:t> </w:t>
      </w:r>
      <w:r>
        <w:rPr>
          <w:rFonts w:ascii="宋体" w:hAnsi="宋体" w:cs="宋体" w:eastAsia="宋体" w:hint="default"/>
          <w:sz w:val="21"/>
          <w:szCs w:val="21"/>
        </w:rPr>
        <w:t>201,549.96</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70"/>
        <w:ind w:left="564" w:right="155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、其中一年以内</w:t>
      </w:r>
      <w:r>
        <w:rPr>
          <w:rFonts w:ascii="宋体" w:hAnsi="宋体" w:cs="宋体" w:eastAsia="宋体" w:hint="default"/>
          <w:spacing w:val="-55"/>
          <w:sz w:val="21"/>
          <w:szCs w:val="21"/>
        </w:rPr>
        <w:t> </w:t>
      </w:r>
      <w:r>
        <w:rPr>
          <w:rFonts w:ascii="宋体" w:hAnsi="宋体" w:cs="宋体" w:eastAsia="宋体" w:hint="default"/>
          <w:sz w:val="21"/>
          <w:szCs w:val="21"/>
        </w:rPr>
        <w:t>21,220,337.29</w:t>
      </w:r>
      <w:r>
        <w:rPr>
          <w:rFonts w:ascii="宋体" w:hAnsi="宋体" w:cs="宋体" w:eastAsia="宋体" w:hint="default"/>
          <w:spacing w:val="-56"/>
          <w:sz w:val="21"/>
          <w:szCs w:val="21"/>
        </w:rPr>
        <w:t> </w:t>
      </w:r>
      <w:r>
        <w:rPr>
          <w:rFonts w:ascii="宋体" w:hAnsi="宋体" w:cs="宋体" w:eastAsia="宋体" w:hint="default"/>
          <w:sz w:val="21"/>
          <w:szCs w:val="21"/>
        </w:rPr>
        <w:t>元、一至二年</w:t>
      </w:r>
      <w:r>
        <w:rPr>
          <w:rFonts w:ascii="宋体" w:hAnsi="宋体" w:cs="宋体" w:eastAsia="宋体" w:hint="default"/>
          <w:spacing w:val="-56"/>
          <w:sz w:val="21"/>
          <w:szCs w:val="21"/>
        </w:rPr>
        <w:t> </w:t>
      </w:r>
      <w:r>
        <w:rPr>
          <w:rFonts w:ascii="宋体" w:hAnsi="宋体" w:cs="宋体" w:eastAsia="宋体" w:hint="default"/>
          <w:sz w:val="21"/>
          <w:szCs w:val="21"/>
        </w:rPr>
        <w:t>368,530.12</w:t>
      </w:r>
      <w:r>
        <w:rPr>
          <w:rFonts w:ascii="宋体" w:hAnsi="宋体" w:cs="宋体" w:eastAsia="宋体" w:hint="default"/>
          <w:spacing w:val="-56"/>
          <w:sz w:val="21"/>
          <w:szCs w:val="21"/>
        </w:rPr>
        <w:t> </w:t>
      </w:r>
      <w:r>
        <w:rPr>
          <w:rFonts w:ascii="宋体" w:hAnsi="宋体" w:cs="宋体" w:eastAsia="宋体" w:hint="default"/>
          <w:sz w:val="21"/>
          <w:szCs w:val="21"/>
        </w:rPr>
        <w:t>元、二至三年</w:t>
      </w:r>
      <w:r>
        <w:rPr>
          <w:rFonts w:ascii="宋体" w:hAnsi="宋体" w:cs="宋体" w:eastAsia="宋体" w:hint="default"/>
          <w:spacing w:val="-55"/>
          <w:sz w:val="21"/>
          <w:szCs w:val="21"/>
        </w:rPr>
        <w:t> </w:t>
      </w:r>
      <w:r>
        <w:rPr>
          <w:rFonts w:ascii="宋体" w:hAnsi="宋体" w:cs="宋体" w:eastAsia="宋体" w:hint="default"/>
          <w:sz w:val="21"/>
          <w:szCs w:val="21"/>
        </w:rPr>
        <w:t>98,070.40</w:t>
      </w:r>
      <w:r>
        <w:rPr>
          <w:rFonts w:ascii="宋体" w:hAnsi="宋体" w:cs="宋体" w:eastAsia="宋体" w:hint="default"/>
          <w:spacing w:val="-56"/>
          <w:sz w:val="21"/>
          <w:szCs w:val="21"/>
        </w:rPr>
        <w:t> </w:t>
      </w:r>
      <w:r>
        <w:rPr>
          <w:rFonts w:ascii="宋体" w:hAnsi="宋体" w:cs="宋体" w:eastAsia="宋体" w:hint="default"/>
          <w:sz w:val="21"/>
          <w:szCs w:val="21"/>
        </w:rPr>
        <w:t>元、三</w:t>
      </w:r>
    </w:p>
    <w:p>
      <w:pPr>
        <w:tabs>
          <w:tab w:pos="986" w:val="left" w:leader="none"/>
        </w:tabs>
        <w:spacing w:before="54"/>
        <w:ind w:left="144" w:right="1697" w:firstLine="0"/>
        <w:jc w:val="left"/>
        <w:rPr>
          <w:rFonts w:ascii="宋体" w:hAnsi="宋体" w:cs="宋体" w:eastAsia="宋体" w:hint="default"/>
          <w:sz w:val="21"/>
          <w:szCs w:val="21"/>
        </w:rPr>
      </w:pPr>
      <w:r>
        <w:rPr>
          <w:rFonts w:ascii="宋体" w:hAnsi="宋体" w:cs="宋体" w:eastAsia="宋体" w:hint="default"/>
          <w:sz w:val="21"/>
          <w:szCs w:val="21"/>
        </w:rPr>
        <w:t>年以上</w:t>
        <w:tab/>
      </w:r>
      <w:r>
        <w:rPr>
          <w:rFonts w:ascii="宋体" w:hAnsi="宋体" w:cs="宋体" w:eastAsia="宋体" w:hint="default"/>
          <w:sz w:val="21"/>
          <w:szCs w:val="21"/>
        </w:rPr>
        <w:t>1,058,396.93</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1"/>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）坏账准备</w:t>
      </w:r>
    </w:p>
    <w:p>
      <w:pPr>
        <w:spacing w:line="240" w:lineRule="auto" w:before="7"/>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390"/>
        <w:gridCol w:w="1285"/>
        <w:gridCol w:w="1390"/>
        <w:gridCol w:w="1097"/>
        <w:gridCol w:w="1207"/>
        <w:gridCol w:w="1189"/>
        <w:gridCol w:w="1493"/>
      </w:tblGrid>
      <w:tr>
        <w:trPr>
          <w:trHeight w:val="322" w:hRule="exact"/>
        </w:trPr>
        <w:tc>
          <w:tcPr>
            <w:tcW w:w="1390" w:type="dxa"/>
            <w:vMerge w:val="restart"/>
            <w:tcBorders>
              <w:top w:val="single" w:sz="12" w:space="0" w:color="000000"/>
              <w:left w:val="single" w:sz="4" w:space="0" w:color="000000"/>
              <w:right w:val="single" w:sz="4" w:space="0" w:color="000000"/>
            </w:tcBorders>
          </w:tcPr>
          <w:p>
            <w:pPr>
              <w:pStyle w:val="TableParagraph"/>
              <w:spacing w:line="240" w:lineRule="auto" w:before="129"/>
              <w:ind w:left="2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85" w:type="dxa"/>
            <w:vMerge w:val="restart"/>
            <w:tcBorders>
              <w:top w:val="single" w:sz="12" w:space="0" w:color="000000"/>
              <w:left w:val="single" w:sz="4" w:space="0" w:color="000000"/>
              <w:right w:val="single" w:sz="4" w:space="0" w:color="000000"/>
            </w:tcBorders>
          </w:tcPr>
          <w:p>
            <w:pPr>
              <w:pStyle w:val="TableParagraph"/>
              <w:spacing w:line="240" w:lineRule="auto" w:before="129"/>
              <w:ind w:left="216"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390" w:type="dxa"/>
            <w:vMerge w:val="restart"/>
            <w:tcBorders>
              <w:top w:val="single" w:sz="12" w:space="0" w:color="000000"/>
              <w:left w:val="single" w:sz="4" w:space="0" w:color="000000"/>
              <w:right w:val="single" w:sz="4" w:space="0" w:color="000000"/>
            </w:tcBorders>
          </w:tcPr>
          <w:p>
            <w:pPr>
              <w:pStyle w:val="TableParagraph"/>
              <w:spacing w:line="240" w:lineRule="auto" w:before="129"/>
              <w:ind w:left="26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349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93" w:type="dxa"/>
            <w:vMerge w:val="restart"/>
            <w:tcBorders>
              <w:top w:val="single" w:sz="12" w:space="0" w:color="000000"/>
              <w:left w:val="single" w:sz="4" w:space="0" w:color="000000"/>
              <w:right w:val="single" w:sz="4" w:space="0" w:color="000000"/>
            </w:tcBorders>
          </w:tcPr>
          <w:p>
            <w:pPr>
              <w:pStyle w:val="TableParagraph"/>
              <w:spacing w:line="240" w:lineRule="auto" w:before="129"/>
              <w:ind w:left="3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390"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31"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8"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7"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493" w:type="dxa"/>
            <w:vMerge/>
            <w:tcBorders>
              <w:left w:val="single" w:sz="4" w:space="0" w:color="000000"/>
              <w:bottom w:val="single" w:sz="4" w:space="0" w:color="000000"/>
              <w:right w:val="single" w:sz="4" w:space="0" w:color="000000"/>
            </w:tcBorders>
          </w:tcPr>
          <w:p>
            <w:pPr/>
          </w:p>
        </w:tc>
      </w:tr>
      <w:tr>
        <w:trPr>
          <w:trHeight w:val="319" w:hRule="exact"/>
        </w:trPr>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sz w:val="21"/>
              </w:rPr>
              <w:t>20,480,983.75</w:t>
            </w:r>
          </w:p>
        </w:tc>
        <w:tc>
          <w:tcPr>
            <w:tcW w:w="128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sz w:val="21"/>
              </w:rPr>
              <w:t>2,913,205.21</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sz w:val="21"/>
              </w:rPr>
              <w:t>11,636,676.44</w:t>
            </w:r>
          </w:p>
        </w:tc>
        <w:tc>
          <w:tcPr>
            <w:tcW w:w="1097" w:type="dxa"/>
            <w:tcBorders>
              <w:top w:val="single" w:sz="4" w:space="0" w:color="000000"/>
              <w:left w:val="single" w:sz="4" w:space="0" w:color="000000"/>
              <w:bottom w:val="single" w:sz="12" w:space="0" w:color="000000"/>
              <w:right w:val="single" w:sz="4" w:space="0" w:color="000000"/>
            </w:tcBorders>
          </w:tcPr>
          <w:p>
            <w:pPr/>
          </w:p>
        </w:tc>
        <w:tc>
          <w:tcPr>
            <w:tcW w:w="1207" w:type="dxa"/>
            <w:tcBorders>
              <w:top w:val="single" w:sz="4" w:space="0" w:color="000000"/>
              <w:left w:val="single" w:sz="4" w:space="0" w:color="000000"/>
              <w:bottom w:val="single" w:sz="12" w:space="0" w:color="000000"/>
              <w:right w:val="single" w:sz="4" w:space="0" w:color="000000"/>
            </w:tcBorders>
          </w:tcPr>
          <w:p>
            <w:pPr/>
          </w:p>
        </w:tc>
        <w:tc>
          <w:tcPr>
            <w:tcW w:w="1189"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110" w:right="0"/>
              <w:jc w:val="left"/>
              <w:rPr>
                <w:rFonts w:ascii="宋体" w:hAnsi="宋体" w:cs="宋体" w:eastAsia="宋体" w:hint="default"/>
                <w:sz w:val="21"/>
                <w:szCs w:val="21"/>
              </w:rPr>
            </w:pPr>
            <w:r>
              <w:rPr>
                <w:rFonts w:ascii="宋体"/>
                <w:sz w:val="21"/>
              </w:rPr>
              <w:t>35,030,865.40</w:t>
            </w:r>
          </w:p>
        </w:tc>
      </w:tr>
    </w:tbl>
    <w:p>
      <w:pPr>
        <w:spacing w:line="285" w:lineRule="auto" w:before="28"/>
        <w:ind w:left="144" w:right="1557" w:firstLine="419"/>
        <w:jc w:val="left"/>
        <w:rPr>
          <w:rFonts w:ascii="宋体" w:hAnsi="宋体" w:cs="宋体" w:eastAsia="宋体" w:hint="default"/>
          <w:sz w:val="21"/>
          <w:szCs w:val="21"/>
        </w:rPr>
      </w:pPr>
      <w:r>
        <w:rPr>
          <w:rFonts w:ascii="宋体" w:hAnsi="宋体" w:cs="宋体" w:eastAsia="宋体" w:hint="default"/>
          <w:spacing w:val="-4"/>
          <w:sz w:val="21"/>
          <w:szCs w:val="21"/>
        </w:rPr>
        <w:t>注：本期转入系公司收购北京神州新桥科技有限公司、北京东方易维软件有限公司的股权，转</w:t>
      </w:r>
      <w:r>
        <w:rPr>
          <w:rFonts w:ascii="宋体" w:hAnsi="宋体" w:cs="宋体" w:eastAsia="宋体" w:hint="default"/>
          <w:w w:val="100"/>
          <w:sz w:val="21"/>
          <w:szCs w:val="21"/>
        </w:rPr>
        <w:t> </w:t>
      </w:r>
      <w:r>
        <w:rPr>
          <w:rFonts w:ascii="宋体" w:hAnsi="宋体" w:cs="宋体" w:eastAsia="宋体" w:hint="default"/>
          <w:sz w:val="21"/>
          <w:szCs w:val="21"/>
        </w:rPr>
        <w:t>入截止购买日已计提的坏账准备。</w:t>
      </w:r>
    </w:p>
    <w:p>
      <w:pPr>
        <w:spacing w:before="71"/>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）应收账款的说明：</w:t>
      </w:r>
    </w:p>
    <w:p>
      <w:pPr>
        <w:spacing w:line="285" w:lineRule="auto" w:before="111"/>
        <w:ind w:left="144" w:right="1635" w:firstLine="419"/>
        <w:jc w:val="left"/>
        <w:rPr>
          <w:rFonts w:ascii="宋体" w:hAnsi="宋体" w:cs="宋体" w:eastAsia="宋体" w:hint="default"/>
          <w:sz w:val="21"/>
          <w:szCs w:val="21"/>
        </w:rPr>
      </w:pPr>
      <w:r>
        <w:rPr>
          <w:rFonts w:ascii="宋体" w:hAnsi="宋体" w:cs="宋体" w:eastAsia="宋体" w:hint="default"/>
          <w:sz w:val="21"/>
          <w:szCs w:val="21"/>
        </w:rPr>
        <w:t>应收账款本期增加</w:t>
      </w:r>
      <w:r>
        <w:rPr>
          <w:rFonts w:ascii="宋体" w:hAnsi="宋体" w:cs="宋体" w:eastAsia="宋体" w:hint="default"/>
          <w:spacing w:val="-55"/>
          <w:sz w:val="21"/>
          <w:szCs w:val="21"/>
        </w:rPr>
        <w:t> </w:t>
      </w:r>
      <w:r>
        <w:rPr>
          <w:rFonts w:ascii="宋体" w:hAnsi="宋体" w:cs="宋体" w:eastAsia="宋体" w:hint="default"/>
          <w:sz w:val="21"/>
          <w:szCs w:val="21"/>
        </w:rPr>
        <w:t>227,334,727.34</w:t>
      </w:r>
      <w:r>
        <w:rPr>
          <w:rFonts w:ascii="宋体" w:hAnsi="宋体" w:cs="宋体" w:eastAsia="宋体" w:hint="default"/>
          <w:spacing w:val="-58"/>
          <w:sz w:val="21"/>
          <w:szCs w:val="21"/>
        </w:rPr>
        <w:t> </w:t>
      </w:r>
      <w:r>
        <w:rPr>
          <w:rFonts w:ascii="宋体" w:hAnsi="宋体" w:cs="宋体" w:eastAsia="宋体" w:hint="default"/>
          <w:spacing w:val="-3"/>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49.60%</w:t>
      </w:r>
      <w:r>
        <w:rPr>
          <w:rFonts w:ascii="宋体" w:hAnsi="宋体" w:cs="宋体" w:eastAsia="宋体" w:hint="default"/>
          <w:sz w:val="21"/>
          <w:szCs w:val="21"/>
        </w:rPr>
        <w:t>，增加的主要原因系公司承接的</w:t>
      </w:r>
      <w:r>
        <w:rPr>
          <w:rFonts w:ascii="宋体" w:hAnsi="宋体" w:cs="宋体" w:eastAsia="宋体" w:hint="default"/>
          <w:w w:val="100"/>
          <w:sz w:val="21"/>
          <w:szCs w:val="21"/>
        </w:rPr>
        <w:t> </w:t>
      </w:r>
      <w:r>
        <w:rPr>
          <w:rFonts w:ascii="宋体" w:hAnsi="宋体" w:cs="宋体" w:eastAsia="宋体" w:hint="default"/>
          <w:sz w:val="21"/>
          <w:szCs w:val="21"/>
        </w:rPr>
        <w:t>项目增加，已完工尚未结算的款项增多，以及合并新增子公司所致。</w:t>
      </w:r>
    </w:p>
    <w:p>
      <w:pPr>
        <w:spacing w:before="131"/>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）预付款项按账龄列示如下：</w:t>
      </w:r>
    </w:p>
    <w:p>
      <w:pPr>
        <w:spacing w:line="240" w:lineRule="auto" w:before="8"/>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101"/>
        <w:gridCol w:w="2415"/>
        <w:gridCol w:w="1418"/>
        <w:gridCol w:w="2468"/>
        <w:gridCol w:w="1472"/>
      </w:tblGrid>
      <w:tr>
        <w:trPr>
          <w:trHeight w:val="322" w:hRule="exact"/>
        </w:trPr>
        <w:tc>
          <w:tcPr>
            <w:tcW w:w="2101" w:type="dxa"/>
            <w:vMerge w:val="restart"/>
            <w:tcBorders>
              <w:top w:val="single" w:sz="12" w:space="0" w:color="000000"/>
              <w:left w:val="single" w:sz="4" w:space="0" w:color="000000"/>
              <w:right w:val="single" w:sz="4" w:space="0" w:color="000000"/>
            </w:tcBorders>
          </w:tcPr>
          <w:p>
            <w:pPr>
              <w:pStyle w:val="TableParagraph"/>
              <w:tabs>
                <w:tab w:pos="424" w:val="left" w:leader="none"/>
              </w:tabs>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8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2101" w:type="dxa"/>
            <w:vMerge/>
            <w:tcBorders>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08" w:hRule="exact"/>
        </w:trPr>
        <w:tc>
          <w:tcPr>
            <w:tcW w:w="2101"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1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76,834,021.67</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z w:val="21"/>
              </w:rPr>
              <w:t>86.17%</w:t>
            </w:r>
          </w:p>
        </w:tc>
        <w:tc>
          <w:tcPr>
            <w:tcW w:w="246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89,118,049.69</w:t>
            </w:r>
          </w:p>
        </w:tc>
        <w:tc>
          <w:tcPr>
            <w:tcW w:w="147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z w:val="21"/>
              </w:rPr>
              <w:t>84.11%</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7"/>
              <w:jc w:val="right"/>
              <w:rPr>
                <w:rFonts w:ascii="宋体" w:hAnsi="宋体" w:cs="宋体" w:eastAsia="宋体" w:hint="default"/>
                <w:sz w:val="21"/>
                <w:szCs w:val="21"/>
              </w:rPr>
            </w:pPr>
            <w:r>
              <w:rPr>
                <w:rFonts w:ascii="宋体"/>
                <w:spacing w:val="-1"/>
                <w:sz w:val="21"/>
              </w:rPr>
              <w:t>3,990,475.28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9"/>
              <w:jc w:val="right"/>
              <w:rPr>
                <w:rFonts w:ascii="宋体" w:hAnsi="宋体" w:cs="宋体" w:eastAsia="宋体" w:hint="default"/>
                <w:sz w:val="21"/>
                <w:szCs w:val="21"/>
              </w:rPr>
            </w:pPr>
            <w:r>
              <w:rPr>
                <w:rFonts w:ascii="宋体"/>
                <w:sz w:val="21"/>
              </w:rPr>
              <w:t>4.48%</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6"/>
              <w:jc w:val="right"/>
              <w:rPr>
                <w:rFonts w:ascii="宋体" w:hAnsi="宋体" w:cs="宋体" w:eastAsia="宋体" w:hint="default"/>
                <w:sz w:val="21"/>
                <w:szCs w:val="21"/>
              </w:rPr>
            </w:pPr>
            <w:r>
              <w:rPr>
                <w:rFonts w:ascii="宋体"/>
                <w:spacing w:val="-1"/>
                <w:sz w:val="21"/>
              </w:rPr>
              <w:t>4,956,495.63</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6"/>
              <w:jc w:val="right"/>
              <w:rPr>
                <w:rFonts w:ascii="宋体" w:hAnsi="宋体" w:cs="宋体" w:eastAsia="宋体" w:hint="default"/>
                <w:sz w:val="21"/>
                <w:szCs w:val="21"/>
              </w:rPr>
            </w:pPr>
            <w:r>
              <w:rPr>
                <w:rFonts w:ascii="宋体"/>
                <w:sz w:val="21"/>
              </w:rPr>
              <w:t>4.68%</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7"/>
              <w:jc w:val="right"/>
              <w:rPr>
                <w:rFonts w:ascii="宋体" w:hAnsi="宋体" w:cs="宋体" w:eastAsia="宋体" w:hint="default"/>
                <w:sz w:val="21"/>
                <w:szCs w:val="21"/>
              </w:rPr>
            </w:pPr>
            <w:r>
              <w:rPr>
                <w:rFonts w:ascii="宋体"/>
                <w:spacing w:val="-1"/>
                <w:sz w:val="21"/>
              </w:rPr>
              <w:t>4,489,890.56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z w:val="21"/>
              </w:rPr>
              <w:t>5.04%</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6"/>
              <w:jc w:val="right"/>
              <w:rPr>
                <w:rFonts w:ascii="宋体" w:hAnsi="宋体" w:cs="宋体" w:eastAsia="宋体" w:hint="default"/>
                <w:sz w:val="21"/>
                <w:szCs w:val="21"/>
              </w:rPr>
            </w:pPr>
            <w:r>
              <w:rPr>
                <w:rFonts w:ascii="宋体"/>
                <w:spacing w:val="-1"/>
                <w:sz w:val="21"/>
              </w:rPr>
              <w:t>937,003.60</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6"/>
              <w:jc w:val="right"/>
              <w:rPr>
                <w:rFonts w:ascii="宋体" w:hAnsi="宋体" w:cs="宋体" w:eastAsia="宋体" w:hint="default"/>
                <w:sz w:val="21"/>
                <w:szCs w:val="21"/>
              </w:rPr>
            </w:pPr>
            <w:r>
              <w:rPr>
                <w:rFonts w:ascii="宋体"/>
                <w:sz w:val="21"/>
              </w:rPr>
              <w:t>0.88%</w:t>
            </w:r>
          </w:p>
        </w:tc>
      </w:tr>
      <w:tr>
        <w:trPr>
          <w:trHeight w:val="302" w:hRule="exact"/>
        </w:trPr>
        <w:tc>
          <w:tcPr>
            <w:tcW w:w="2101"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1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pacing w:val="-1"/>
                <w:sz w:val="21"/>
              </w:rPr>
              <w:t>3,854,514.09</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z w:val="21"/>
              </w:rPr>
              <w:t>4.31%</w:t>
            </w:r>
          </w:p>
        </w:tc>
        <w:tc>
          <w:tcPr>
            <w:tcW w:w="246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8"/>
              <w:jc w:val="right"/>
              <w:rPr>
                <w:rFonts w:ascii="宋体" w:hAnsi="宋体" w:cs="宋体" w:eastAsia="宋体" w:hint="default"/>
                <w:sz w:val="21"/>
                <w:szCs w:val="21"/>
              </w:rPr>
            </w:pPr>
            <w:r>
              <w:rPr>
                <w:rFonts w:ascii="宋体"/>
                <w:spacing w:val="-1"/>
                <w:sz w:val="21"/>
              </w:rPr>
              <w:t>10,945,770.09</w:t>
            </w:r>
          </w:p>
        </w:tc>
        <w:tc>
          <w:tcPr>
            <w:tcW w:w="1472"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6"/>
              <w:jc w:val="right"/>
              <w:rPr>
                <w:rFonts w:ascii="宋体" w:hAnsi="宋体" w:cs="宋体" w:eastAsia="宋体" w:hint="default"/>
                <w:sz w:val="21"/>
                <w:szCs w:val="21"/>
              </w:rPr>
            </w:pPr>
            <w:r>
              <w:rPr>
                <w:rFonts w:ascii="宋体"/>
                <w:sz w:val="21"/>
              </w:rPr>
              <w:t>10.33%</w:t>
            </w:r>
          </w:p>
        </w:tc>
      </w:tr>
      <w:tr>
        <w:trPr>
          <w:trHeight w:val="319" w:hRule="exact"/>
        </w:trPr>
        <w:tc>
          <w:tcPr>
            <w:tcW w:w="2101" w:type="dxa"/>
            <w:tcBorders>
              <w:top w:val="single" w:sz="4" w:space="0" w:color="000000"/>
              <w:left w:val="single" w:sz="4" w:space="0" w:color="000000"/>
              <w:bottom w:val="single" w:sz="12" w:space="0" w:color="000000"/>
              <w:right w:val="single" w:sz="4" w:space="0" w:color="000000"/>
            </w:tcBorders>
          </w:tcPr>
          <w:p>
            <w:pPr>
              <w:pStyle w:val="TableParagraph"/>
              <w:tabs>
                <w:tab w:pos="1202" w:val="left" w:leader="none"/>
              </w:tabs>
              <w:spacing w:line="248" w:lineRule="exact"/>
              <w:ind w:left="67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89,168,901.60</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1"/>
              <w:jc w:val="right"/>
              <w:rPr>
                <w:rFonts w:ascii="宋体" w:hAnsi="宋体" w:cs="宋体" w:eastAsia="宋体" w:hint="default"/>
                <w:sz w:val="21"/>
                <w:szCs w:val="21"/>
              </w:rPr>
            </w:pPr>
            <w:r>
              <w:rPr>
                <w:rFonts w:ascii="宋体"/>
                <w:spacing w:val="-1"/>
                <w:sz w:val="21"/>
              </w:rPr>
              <w:t>100.00%</w:t>
            </w:r>
            <w:r>
              <w:rPr>
                <w:rFonts w:ascii="宋体"/>
                <w:sz w:val="21"/>
              </w:rPr>
            </w:r>
          </w:p>
        </w:tc>
        <w:tc>
          <w:tcPr>
            <w:tcW w:w="24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105,957,319.01</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100.00%</w:t>
            </w:r>
          </w:p>
        </w:tc>
      </w:tr>
    </w:tbl>
    <w:p>
      <w:pPr>
        <w:spacing w:before="4"/>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）预付款项期末余额中，无预付持本公司</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z w:val="21"/>
          <w:szCs w:val="21"/>
        </w:rPr>
        <w:t>5%</w:t>
      </w:r>
      <w:r>
        <w:rPr>
          <w:rFonts w:ascii="宋体" w:hAnsi="宋体" w:cs="宋体" w:eastAsia="宋体" w:hint="default"/>
          <w:sz w:val="21"/>
          <w:szCs w:val="21"/>
        </w:rPr>
        <w:t>）以上股份的股东的款项。</w:t>
      </w:r>
    </w:p>
    <w:p>
      <w:pPr>
        <w:spacing w:before="90"/>
        <w:ind w:left="547"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）预付款项金额前五名单位情况如下：</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457"/>
        <w:gridCol w:w="1380"/>
        <w:gridCol w:w="1555"/>
        <w:gridCol w:w="1208"/>
        <w:gridCol w:w="1337"/>
      </w:tblGrid>
      <w:tr>
        <w:trPr>
          <w:trHeight w:val="322" w:hRule="exact"/>
        </w:trPr>
        <w:tc>
          <w:tcPr>
            <w:tcW w:w="345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5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33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05" w:hRule="exact"/>
        </w:trPr>
        <w:tc>
          <w:tcPr>
            <w:tcW w:w="3457"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z w:val="21"/>
                <w:szCs w:val="21"/>
              </w:rPr>
              <w:t>杭州华三通信技术有限公司</w:t>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15" w:right="0"/>
              <w:jc w:val="center"/>
              <w:rPr>
                <w:rFonts w:ascii="宋体" w:hAnsi="宋体" w:cs="宋体" w:eastAsia="宋体" w:hint="default"/>
                <w:sz w:val="21"/>
                <w:szCs w:val="21"/>
              </w:rPr>
            </w:pPr>
            <w:r>
              <w:rPr>
                <w:rFonts w:ascii="宋体"/>
                <w:sz w:val="21"/>
              </w:rPr>
              <w:t>28,260,579.86</w:t>
            </w:r>
          </w:p>
        </w:tc>
        <w:tc>
          <w:tcPr>
            <w:tcW w:w="120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预付购货款</w:t>
            </w:r>
          </w:p>
        </w:tc>
      </w:tr>
    </w:tbl>
    <w:p>
      <w:pPr>
        <w:spacing w:after="0" w:line="270" w:lineRule="exact"/>
        <w:jc w:val="center"/>
        <w:rPr>
          <w:rFonts w:ascii="宋体" w:hAnsi="宋体" w:cs="宋体" w:eastAsia="宋体" w:hint="default"/>
          <w:sz w:val="21"/>
          <w:szCs w:val="21"/>
        </w:rPr>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57"/>
        <w:gridCol w:w="1380"/>
        <w:gridCol w:w="1555"/>
        <w:gridCol w:w="1208"/>
        <w:gridCol w:w="1337"/>
      </w:tblGrid>
      <w:tr>
        <w:trPr>
          <w:trHeight w:val="318" w:hRule="exact"/>
        </w:trPr>
        <w:tc>
          <w:tcPr>
            <w:tcW w:w="3457" w:type="dxa"/>
            <w:tcBorders>
              <w:top w:val="single" w:sz="6" w:space="0" w:color="000000"/>
              <w:left w:val="single" w:sz="4" w:space="0" w:color="000000"/>
              <w:bottom w:val="nil" w:sz="6" w:space="0" w:color="auto"/>
              <w:right w:val="single" w:sz="4" w:space="0" w:color="000000"/>
            </w:tcBorders>
          </w:tcPr>
          <w:p>
            <w:pPr>
              <w:pStyle w:val="TableParagraph"/>
              <w:spacing w:line="255" w:lineRule="exact"/>
              <w:ind w:left="31" w:right="0"/>
              <w:jc w:val="left"/>
              <w:rPr>
                <w:rFonts w:ascii="宋体" w:hAnsi="宋体" w:cs="宋体" w:eastAsia="宋体" w:hint="default"/>
                <w:sz w:val="21"/>
                <w:szCs w:val="21"/>
              </w:rPr>
            </w:pPr>
            <w:r>
              <w:rPr>
                <w:rFonts w:ascii="宋体" w:hAnsi="宋体" w:cs="宋体" w:eastAsia="宋体" w:hint="default"/>
                <w:sz w:val="21"/>
                <w:szCs w:val="21"/>
              </w:rPr>
              <w:t>山西世纪创想科技有限公司</w:t>
            </w:r>
          </w:p>
        </w:tc>
        <w:tc>
          <w:tcPr>
            <w:tcW w:w="138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left="369"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55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宋体"/>
                <w:spacing w:val="-1"/>
                <w:sz w:val="21"/>
              </w:rPr>
              <w:t>4,802,475.00</w:t>
            </w:r>
          </w:p>
        </w:tc>
        <w:tc>
          <w:tcPr>
            <w:tcW w:w="120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left="136" w:right="0"/>
              <w:jc w:val="left"/>
              <w:rPr>
                <w:rFonts w:ascii="宋体" w:hAnsi="宋体" w:cs="宋体" w:eastAsia="宋体" w:hint="default"/>
                <w:sz w:val="21"/>
                <w:szCs w:val="21"/>
              </w:rPr>
            </w:pPr>
            <w:r>
              <w:rPr>
                <w:rFonts w:ascii="宋体" w:hAnsi="宋体" w:cs="宋体" w:eastAsia="宋体" w:hint="default"/>
                <w:sz w:val="21"/>
                <w:szCs w:val="21"/>
              </w:rPr>
              <w:t>预付购货款</w:t>
            </w:r>
          </w:p>
        </w:tc>
      </w:tr>
      <w:tr>
        <w:trPr>
          <w:trHeight w:val="300" w:hRule="exact"/>
        </w:trPr>
        <w:tc>
          <w:tcPr>
            <w:tcW w:w="345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（戴尔）中国有限公司</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69"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pacing w:val="-1"/>
                <w:sz w:val="21"/>
              </w:rPr>
              <w:t>4,436,644.23</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36" w:right="0"/>
              <w:jc w:val="left"/>
              <w:rPr>
                <w:rFonts w:ascii="宋体" w:hAnsi="宋体" w:cs="宋体" w:eastAsia="宋体" w:hint="default"/>
                <w:sz w:val="21"/>
                <w:szCs w:val="21"/>
              </w:rPr>
            </w:pPr>
            <w:r>
              <w:rPr>
                <w:rFonts w:ascii="宋体" w:hAnsi="宋体" w:cs="宋体" w:eastAsia="宋体" w:hint="default"/>
                <w:sz w:val="21"/>
                <w:szCs w:val="21"/>
              </w:rPr>
              <w:t>预付购货款</w:t>
            </w:r>
          </w:p>
        </w:tc>
      </w:tr>
      <w:tr>
        <w:trPr>
          <w:trHeight w:val="300" w:hRule="exact"/>
        </w:trPr>
        <w:tc>
          <w:tcPr>
            <w:tcW w:w="345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神州数码（合肥）有限公司</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369"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pacing w:val="-1"/>
                <w:sz w:val="21"/>
              </w:rPr>
              <w:t>2,820,000.00</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36" w:right="0"/>
              <w:jc w:val="left"/>
              <w:rPr>
                <w:rFonts w:ascii="宋体" w:hAnsi="宋体" w:cs="宋体" w:eastAsia="宋体" w:hint="default"/>
                <w:sz w:val="21"/>
                <w:szCs w:val="21"/>
              </w:rPr>
            </w:pPr>
            <w:r>
              <w:rPr>
                <w:rFonts w:ascii="宋体" w:hAnsi="宋体" w:cs="宋体" w:eastAsia="宋体" w:hint="default"/>
                <w:sz w:val="21"/>
                <w:szCs w:val="21"/>
              </w:rPr>
              <w:t>预付购货款</w:t>
            </w:r>
          </w:p>
        </w:tc>
      </w:tr>
      <w:tr>
        <w:trPr>
          <w:trHeight w:val="301" w:hRule="exact"/>
        </w:trPr>
        <w:tc>
          <w:tcPr>
            <w:tcW w:w="3457"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31" w:right="0"/>
              <w:jc w:val="left"/>
              <w:rPr>
                <w:rFonts w:ascii="宋体" w:hAnsi="宋体" w:cs="宋体" w:eastAsia="宋体" w:hint="default"/>
                <w:sz w:val="21"/>
                <w:szCs w:val="21"/>
              </w:rPr>
            </w:pPr>
            <w:r>
              <w:rPr>
                <w:rFonts w:ascii="宋体" w:hAnsi="宋体" w:cs="宋体" w:eastAsia="宋体" w:hint="default"/>
                <w:sz w:val="21"/>
                <w:szCs w:val="21"/>
              </w:rPr>
              <w:t>上海神州数码有限公司</w:t>
            </w:r>
          </w:p>
        </w:tc>
        <w:tc>
          <w:tcPr>
            <w:tcW w:w="138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369"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9"/>
              <w:jc w:val="right"/>
              <w:rPr>
                <w:rFonts w:ascii="宋体" w:hAnsi="宋体" w:cs="宋体" w:eastAsia="宋体" w:hint="default"/>
                <w:sz w:val="21"/>
                <w:szCs w:val="21"/>
              </w:rPr>
            </w:pPr>
            <w:r>
              <w:rPr>
                <w:rFonts w:ascii="宋体"/>
                <w:spacing w:val="-1"/>
                <w:sz w:val="21"/>
              </w:rPr>
              <w:t>2,061,040.00</w:t>
            </w:r>
          </w:p>
        </w:tc>
        <w:tc>
          <w:tcPr>
            <w:tcW w:w="120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136" w:right="0"/>
              <w:jc w:val="left"/>
              <w:rPr>
                <w:rFonts w:ascii="宋体" w:hAnsi="宋体" w:cs="宋体" w:eastAsia="宋体" w:hint="default"/>
                <w:sz w:val="21"/>
                <w:szCs w:val="21"/>
              </w:rPr>
            </w:pPr>
            <w:r>
              <w:rPr>
                <w:rFonts w:ascii="宋体" w:hAnsi="宋体" w:cs="宋体" w:eastAsia="宋体" w:hint="default"/>
                <w:sz w:val="21"/>
                <w:szCs w:val="21"/>
              </w:rPr>
              <w:t>预付购货款</w:t>
            </w:r>
          </w:p>
        </w:tc>
      </w:tr>
      <w:tr>
        <w:trPr>
          <w:trHeight w:val="317" w:hRule="exact"/>
        </w:trPr>
        <w:tc>
          <w:tcPr>
            <w:tcW w:w="3457"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80" w:type="dxa"/>
            <w:tcBorders>
              <w:top w:val="single" w:sz="4" w:space="0" w:color="000000"/>
              <w:left w:val="single" w:sz="4" w:space="0" w:color="000000"/>
              <w:bottom w:val="single" w:sz="12" w:space="0" w:color="000000"/>
              <w:right w:val="single" w:sz="4" w:space="0" w:color="000000"/>
            </w:tcBorders>
          </w:tcPr>
          <w:p>
            <w:pP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88" w:right="0"/>
              <w:jc w:val="left"/>
              <w:rPr>
                <w:rFonts w:ascii="宋体" w:hAnsi="宋体" w:cs="宋体" w:eastAsia="宋体" w:hint="default"/>
                <w:sz w:val="21"/>
                <w:szCs w:val="21"/>
              </w:rPr>
            </w:pPr>
            <w:r>
              <w:rPr>
                <w:rFonts w:ascii="宋体"/>
                <w:sz w:val="21"/>
              </w:rPr>
              <w:t>42,380,739.09</w:t>
            </w:r>
          </w:p>
        </w:tc>
        <w:tc>
          <w:tcPr>
            <w:tcW w:w="1208" w:type="dxa"/>
            <w:tcBorders>
              <w:top w:val="single" w:sz="4" w:space="0" w:color="000000"/>
              <w:left w:val="single" w:sz="4" w:space="0" w:color="000000"/>
              <w:bottom w:val="single" w:sz="12" w:space="0" w:color="000000"/>
              <w:right w:val="single" w:sz="4" w:space="0" w:color="000000"/>
            </w:tcBorders>
          </w:tcPr>
          <w:p>
            <w:pPr/>
          </w:p>
        </w:tc>
        <w:tc>
          <w:tcPr>
            <w:tcW w:w="1337" w:type="dxa"/>
            <w:tcBorders>
              <w:top w:val="single" w:sz="4" w:space="0" w:color="000000"/>
              <w:left w:val="single" w:sz="4" w:space="0" w:color="000000"/>
              <w:bottom w:val="single" w:sz="12" w:space="0" w:color="000000"/>
              <w:right w:val="single" w:sz="4" w:space="0" w:color="000000"/>
            </w:tcBorders>
          </w:tcPr>
          <w:p>
            <w:pPr/>
          </w:p>
        </w:tc>
      </w:tr>
    </w:tbl>
    <w:p>
      <w:pPr>
        <w:spacing w:line="321" w:lineRule="auto" w:before="4"/>
        <w:ind w:left="527"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）预付款项的说明：</w:t>
      </w:r>
      <w:r>
        <w:rPr>
          <w:rFonts w:ascii="宋体" w:hAnsi="宋体" w:cs="宋体" w:eastAsia="宋体" w:hint="default"/>
          <w:w w:val="100"/>
          <w:sz w:val="21"/>
          <w:szCs w:val="21"/>
        </w:rPr>
        <w:t> </w:t>
      </w:r>
      <w:r>
        <w:rPr>
          <w:rFonts w:ascii="宋体" w:hAnsi="宋体" w:cs="宋体" w:eastAsia="宋体" w:hint="default"/>
          <w:spacing w:val="-2"/>
          <w:sz w:val="21"/>
          <w:szCs w:val="21"/>
        </w:rPr>
        <w:t>预付款项期末余额中，账龄超过一年的预付款项为</w:t>
      </w:r>
      <w:r>
        <w:rPr>
          <w:rFonts w:ascii="宋体" w:hAnsi="宋体" w:cs="宋体" w:eastAsia="宋体" w:hint="default"/>
          <w:spacing w:val="-2"/>
          <w:sz w:val="21"/>
          <w:szCs w:val="21"/>
        </w:rPr>
        <w:t>12,334,879.93</w:t>
      </w:r>
      <w:r>
        <w:rPr>
          <w:rFonts w:ascii="宋体" w:hAnsi="宋体" w:cs="宋体" w:eastAsia="宋体" w:hint="default"/>
          <w:spacing w:val="-2"/>
          <w:sz w:val="21"/>
          <w:szCs w:val="21"/>
        </w:rPr>
        <w:t>元，所占比例为</w:t>
      </w:r>
      <w:r>
        <w:rPr>
          <w:rFonts w:ascii="宋体" w:hAnsi="宋体" w:cs="宋体" w:eastAsia="宋体" w:hint="default"/>
          <w:spacing w:val="-2"/>
          <w:sz w:val="21"/>
          <w:szCs w:val="21"/>
        </w:rPr>
        <w:t>13.83%</w:t>
      </w:r>
      <w:r>
        <w:rPr>
          <w:rFonts w:ascii="宋体" w:hAnsi="宋体" w:cs="宋体" w:eastAsia="宋体" w:hint="default"/>
          <w:spacing w:val="-2"/>
          <w:sz w:val="21"/>
          <w:szCs w:val="21"/>
        </w:rPr>
        <w:t>，无</w:t>
      </w:r>
    </w:p>
    <w:p>
      <w:pPr>
        <w:spacing w:line="257" w:lineRule="exact" w:before="0"/>
        <w:ind w:left="124" w:right="4204" w:firstLine="0"/>
        <w:jc w:val="left"/>
        <w:rPr>
          <w:rFonts w:ascii="宋体" w:hAnsi="宋体" w:cs="宋体" w:eastAsia="宋体" w:hint="default"/>
          <w:sz w:val="21"/>
          <w:szCs w:val="21"/>
        </w:rPr>
      </w:pPr>
      <w:r>
        <w:rPr>
          <w:rFonts w:ascii="宋体" w:hAnsi="宋体" w:cs="宋体" w:eastAsia="宋体" w:hint="default"/>
          <w:sz w:val="21"/>
          <w:szCs w:val="21"/>
        </w:rPr>
        <w:t>大额预付款项。</w:t>
      </w:r>
    </w:p>
    <w:p>
      <w:pPr>
        <w:spacing w:before="174"/>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92"/>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）其他应收款按种类披露如下：</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41"/>
        <w:gridCol w:w="1260"/>
        <w:gridCol w:w="720"/>
        <w:gridCol w:w="1140"/>
        <w:gridCol w:w="631"/>
        <w:gridCol w:w="1261"/>
        <w:gridCol w:w="734"/>
        <w:gridCol w:w="1155"/>
        <w:gridCol w:w="631"/>
      </w:tblGrid>
      <w:tr>
        <w:trPr>
          <w:trHeight w:val="341" w:hRule="exact"/>
        </w:trPr>
        <w:tc>
          <w:tcPr>
            <w:tcW w:w="2341" w:type="dxa"/>
            <w:vMerge w:val="restart"/>
            <w:tcBorders>
              <w:top w:val="single" w:sz="12" w:space="0" w:color="000000"/>
              <w:left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75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2341" w:type="dxa"/>
            <w:vMerge/>
            <w:tcBorders>
              <w:left w:val="single" w:sz="4" w:space="0" w:color="000000"/>
              <w:right w:val="single" w:sz="4" w:space="0" w:color="000000"/>
            </w:tcBorders>
          </w:tcPr>
          <w:p>
            <w:pP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50" w:hRule="exact"/>
        </w:trPr>
        <w:tc>
          <w:tcPr>
            <w:tcW w:w="2341"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29" w:right="13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29" w:right="131"/>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611" w:hRule="exact"/>
        </w:trPr>
        <w:tc>
          <w:tcPr>
            <w:tcW w:w="2341" w:type="dxa"/>
            <w:tcBorders>
              <w:top w:val="single" w:sz="4" w:space="0" w:color="000000"/>
              <w:left w:val="single" w:sz="4" w:space="0" w:color="000000"/>
              <w:bottom w:val="nil" w:sz="6" w:space="0" w:color="auto"/>
              <w:right w:val="single" w:sz="4" w:space="0" w:color="000000"/>
            </w:tcBorders>
          </w:tcPr>
          <w:p>
            <w:pPr>
              <w:pStyle w:val="TableParagraph"/>
              <w:spacing w:line="304" w:lineRule="auto" w:before="10"/>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c>
          <w:tcPr>
            <w:tcW w:w="1261"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r>
      <w:tr>
        <w:trPr>
          <w:trHeight w:val="610"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84" w:right="113" w:hanging="29"/>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2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35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96" w:right="0"/>
              <w:jc w:val="center"/>
              <w:rPr>
                <w:rFonts w:ascii="Calibri" w:hAnsi="Calibri" w:cs="Calibri" w:eastAsia="Calibri" w:hint="default"/>
                <w:sz w:val="18"/>
                <w:szCs w:val="18"/>
              </w:rPr>
            </w:pPr>
            <w:r>
              <w:rPr>
                <w:rFonts w:ascii="Calibri"/>
                <w:sz w:val="18"/>
              </w:rPr>
              <w:t>150,702,829.71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67" w:right="0"/>
              <w:jc w:val="center"/>
              <w:rPr>
                <w:rFonts w:ascii="Calibri" w:hAnsi="Calibri" w:cs="Calibri" w:eastAsia="Calibri" w:hint="default"/>
                <w:sz w:val="18"/>
                <w:szCs w:val="18"/>
              </w:rPr>
            </w:pPr>
            <w:r>
              <w:rPr>
                <w:rFonts w:ascii="Calibri"/>
                <w:sz w:val="18"/>
              </w:rPr>
              <w:t>12,802,378.11</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Calibri"/>
                <w:sz w:val="18"/>
              </w:rPr>
              <w:t>8.50</w:t>
            </w:r>
            <w:r>
              <w:rPr>
                <w:rFonts w:ascii="宋体"/>
                <w:sz w:val="18"/>
              </w:rPr>
              <w:t>%</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90" w:right="0"/>
              <w:jc w:val="center"/>
              <w:rPr>
                <w:rFonts w:ascii="Calibri" w:hAnsi="Calibri" w:cs="Calibri" w:eastAsia="Calibri" w:hint="default"/>
                <w:sz w:val="18"/>
                <w:szCs w:val="18"/>
              </w:rPr>
            </w:pPr>
            <w:r>
              <w:rPr>
                <w:rFonts w:ascii="Calibri"/>
                <w:sz w:val="18"/>
              </w:rPr>
              <w:t>119,356,048.38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5"/>
              <w:jc w:val="right"/>
              <w:rPr>
                <w:rFonts w:ascii="Calibri" w:hAnsi="Calibri" w:cs="Calibri" w:eastAsia="Calibri" w:hint="default"/>
                <w:sz w:val="18"/>
                <w:szCs w:val="18"/>
              </w:rPr>
            </w:pPr>
            <w:r>
              <w:rPr>
                <w:rFonts w:ascii="Calibri"/>
                <w:sz w:val="18"/>
              </w:rPr>
              <w:t>5,590,961.93</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Calibri"/>
                <w:sz w:val="18"/>
              </w:rPr>
              <w:t>4.68</w:t>
            </w:r>
            <w:r>
              <w:rPr>
                <w:rFonts w:ascii="宋体"/>
                <w:sz w:val="18"/>
              </w:rPr>
              <w:t>%</w:t>
            </w:r>
          </w:p>
        </w:tc>
      </w:tr>
      <w:tr>
        <w:trPr>
          <w:trHeight w:val="291"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35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96" w:right="0"/>
              <w:jc w:val="center"/>
              <w:rPr>
                <w:rFonts w:ascii="Calibri" w:hAnsi="Calibri" w:cs="Calibri" w:eastAsia="Calibri" w:hint="default"/>
                <w:sz w:val="18"/>
                <w:szCs w:val="18"/>
              </w:rPr>
            </w:pPr>
            <w:r>
              <w:rPr>
                <w:rFonts w:ascii="Calibri"/>
                <w:sz w:val="18"/>
              </w:rPr>
              <w:t>150,702,829.71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67" w:right="0"/>
              <w:jc w:val="center"/>
              <w:rPr>
                <w:rFonts w:ascii="Calibri" w:hAnsi="Calibri" w:cs="Calibri" w:eastAsia="Calibri" w:hint="default"/>
                <w:sz w:val="18"/>
                <w:szCs w:val="18"/>
              </w:rPr>
            </w:pPr>
            <w:r>
              <w:rPr>
                <w:rFonts w:ascii="Calibri"/>
                <w:sz w:val="18"/>
              </w:rPr>
              <w:t>12,802,378.11</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Calibri"/>
                <w:sz w:val="18"/>
              </w:rPr>
              <w:t>8.50</w:t>
            </w:r>
            <w:r>
              <w:rPr>
                <w:rFonts w:ascii="宋体"/>
                <w:sz w:val="18"/>
              </w:rPr>
              <w:t>%</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91" w:right="0"/>
              <w:jc w:val="center"/>
              <w:rPr>
                <w:rFonts w:ascii="Calibri" w:hAnsi="Calibri" w:cs="Calibri" w:eastAsia="Calibri" w:hint="default"/>
                <w:sz w:val="18"/>
                <w:szCs w:val="18"/>
              </w:rPr>
            </w:pPr>
            <w:r>
              <w:rPr>
                <w:rFonts w:ascii="Calibri"/>
                <w:sz w:val="18"/>
              </w:rPr>
              <w:t>119,356,048.38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5"/>
              <w:jc w:val="right"/>
              <w:rPr>
                <w:rFonts w:ascii="Calibri" w:hAnsi="Calibri" w:cs="Calibri" w:eastAsia="Calibri" w:hint="default"/>
                <w:sz w:val="18"/>
                <w:szCs w:val="18"/>
              </w:rPr>
            </w:pPr>
            <w:r>
              <w:rPr>
                <w:rFonts w:ascii="Calibri"/>
                <w:sz w:val="18"/>
              </w:rPr>
              <w:t>5,590,961.93</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Calibri"/>
                <w:sz w:val="18"/>
              </w:rPr>
              <w:t>4.68</w:t>
            </w:r>
            <w:r>
              <w:rPr>
                <w:rFonts w:ascii="宋体"/>
                <w:sz w:val="18"/>
              </w:rPr>
              <w:t>%</w:t>
            </w:r>
          </w:p>
        </w:tc>
      </w:tr>
      <w:tr>
        <w:trPr>
          <w:trHeight w:val="604" w:hRule="exact"/>
        </w:trPr>
        <w:tc>
          <w:tcPr>
            <w:tcW w:w="2341" w:type="dxa"/>
            <w:tcBorders>
              <w:top w:val="nil" w:sz="6" w:space="0" w:color="auto"/>
              <w:left w:val="single" w:sz="4" w:space="0" w:color="000000"/>
              <w:bottom w:val="single" w:sz="4" w:space="0" w:color="000000"/>
              <w:right w:val="single" w:sz="4" w:space="0" w:color="000000"/>
            </w:tcBorders>
          </w:tcPr>
          <w:p>
            <w:pPr>
              <w:pStyle w:val="TableParagraph"/>
              <w:spacing w:line="307" w:lineRule="auto" w:before="9"/>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631" w:type="dxa"/>
            <w:tcBorders>
              <w:top w:val="nil" w:sz="6" w:space="0" w:color="auto"/>
              <w:left w:val="single" w:sz="4" w:space="0" w:color="000000"/>
              <w:bottom w:val="single" w:sz="4" w:space="0" w:color="000000"/>
              <w:right w:val="single" w:sz="4" w:space="0" w:color="000000"/>
            </w:tcBorders>
          </w:tcPr>
          <w:p>
            <w:pPr/>
          </w:p>
        </w:tc>
        <w:tc>
          <w:tcPr>
            <w:tcW w:w="1261"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631" w:type="dxa"/>
            <w:tcBorders>
              <w:top w:val="nil" w:sz="6" w:space="0" w:color="auto"/>
              <w:left w:val="single" w:sz="4" w:space="0" w:color="000000"/>
              <w:bottom w:val="single" w:sz="4" w:space="0" w:color="000000"/>
              <w:right w:val="single" w:sz="4" w:space="0" w:color="000000"/>
            </w:tcBorders>
          </w:tcPr>
          <w:p>
            <w:pPr/>
          </w:p>
        </w:tc>
      </w:tr>
      <w:tr>
        <w:trPr>
          <w:trHeight w:val="338" w:hRule="exact"/>
        </w:trPr>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96" w:right="0"/>
              <w:jc w:val="center"/>
              <w:rPr>
                <w:rFonts w:ascii="Calibri" w:hAnsi="Calibri" w:cs="Calibri" w:eastAsia="Calibri" w:hint="default"/>
                <w:sz w:val="18"/>
                <w:szCs w:val="18"/>
              </w:rPr>
            </w:pPr>
            <w:r>
              <w:rPr>
                <w:rFonts w:ascii="Calibri"/>
                <w:sz w:val="18"/>
              </w:rPr>
              <w:t>150,702,829.71</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67" w:right="0"/>
              <w:jc w:val="center"/>
              <w:rPr>
                <w:rFonts w:ascii="Calibri" w:hAnsi="Calibri" w:cs="Calibri" w:eastAsia="Calibri" w:hint="default"/>
                <w:sz w:val="18"/>
                <w:szCs w:val="18"/>
              </w:rPr>
            </w:pPr>
            <w:r>
              <w:rPr>
                <w:rFonts w:ascii="Calibri"/>
                <w:sz w:val="18"/>
              </w:rPr>
              <w:t>12,802,378.11</w:t>
            </w:r>
          </w:p>
        </w:tc>
        <w:tc>
          <w:tcPr>
            <w:tcW w:w="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5"/>
              <w:jc w:val="right"/>
              <w:rPr>
                <w:rFonts w:ascii="宋体" w:hAnsi="宋体" w:cs="宋体" w:eastAsia="宋体" w:hint="default"/>
                <w:sz w:val="18"/>
                <w:szCs w:val="18"/>
              </w:rPr>
            </w:pPr>
            <w:r>
              <w:rPr>
                <w:rFonts w:ascii="Calibri"/>
                <w:sz w:val="18"/>
              </w:rPr>
              <w:t>8.50</w:t>
            </w:r>
            <w:r>
              <w:rPr>
                <w:rFonts w:ascii="宋体"/>
                <w:sz w:val="18"/>
              </w:rPr>
              <w:t>%</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90" w:right="0"/>
              <w:jc w:val="center"/>
              <w:rPr>
                <w:rFonts w:ascii="Calibri" w:hAnsi="Calibri" w:cs="Calibri" w:eastAsia="Calibri" w:hint="default"/>
                <w:sz w:val="18"/>
                <w:szCs w:val="18"/>
              </w:rPr>
            </w:pPr>
            <w:r>
              <w:rPr>
                <w:rFonts w:ascii="Calibri"/>
                <w:sz w:val="18"/>
              </w:rPr>
              <w:t>119,356,048.38</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5"/>
              <w:jc w:val="right"/>
              <w:rPr>
                <w:rFonts w:ascii="Calibri" w:hAnsi="Calibri" w:cs="Calibri" w:eastAsia="Calibri" w:hint="default"/>
                <w:sz w:val="18"/>
                <w:szCs w:val="18"/>
              </w:rPr>
            </w:pPr>
            <w:r>
              <w:rPr>
                <w:rFonts w:ascii="Calibri"/>
                <w:sz w:val="18"/>
              </w:rPr>
              <w:t>5,590,961.93</w:t>
            </w:r>
          </w:p>
        </w:tc>
        <w:tc>
          <w:tcPr>
            <w:tcW w:w="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5"/>
              <w:jc w:val="right"/>
              <w:rPr>
                <w:rFonts w:ascii="宋体" w:hAnsi="宋体" w:cs="宋体" w:eastAsia="宋体" w:hint="default"/>
                <w:sz w:val="18"/>
                <w:szCs w:val="18"/>
              </w:rPr>
            </w:pPr>
            <w:r>
              <w:rPr>
                <w:rFonts w:ascii="Calibri"/>
                <w:sz w:val="18"/>
              </w:rPr>
              <w:t>4.68</w:t>
            </w:r>
            <w:r>
              <w:rPr>
                <w:rFonts w:ascii="宋体"/>
                <w:sz w:val="18"/>
              </w:rPr>
              <w:t>%</w:t>
            </w:r>
          </w:p>
        </w:tc>
      </w:tr>
    </w:tbl>
    <w:p>
      <w:pPr>
        <w:spacing w:before="26"/>
        <w:ind w:left="527" w:right="4204"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按账龄分析法计提坏账准备的其他应收款：</w:t>
      </w:r>
    </w:p>
    <w:p>
      <w:pPr>
        <w:spacing w:line="240" w:lineRule="auto" w:before="1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92"/>
        <w:gridCol w:w="1570"/>
        <w:gridCol w:w="991"/>
        <w:gridCol w:w="1412"/>
        <w:gridCol w:w="1495"/>
        <w:gridCol w:w="987"/>
        <w:gridCol w:w="1431"/>
      </w:tblGrid>
      <w:tr>
        <w:trPr>
          <w:trHeight w:val="341" w:hRule="exact"/>
        </w:trPr>
        <w:tc>
          <w:tcPr>
            <w:tcW w:w="1092" w:type="dxa"/>
            <w:vMerge w:val="restart"/>
            <w:tcBorders>
              <w:top w:val="single" w:sz="12" w:space="0" w:color="000000"/>
              <w:left w:val="single" w:sz="4" w:space="0" w:color="000000"/>
              <w:right w:val="single" w:sz="4" w:space="0" w:color="000000"/>
            </w:tcBorders>
          </w:tcPr>
          <w:p>
            <w:pPr>
              <w:pStyle w:val="TableParagraph"/>
              <w:tabs>
                <w:tab w:pos="647" w:val="left" w:leader="none"/>
              </w:tabs>
              <w:spacing w:line="270" w:lineRule="exact"/>
              <w:ind w:left="22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7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1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1092" w:type="dxa"/>
            <w:vMerge/>
            <w:tcBorders>
              <w:left w:val="single" w:sz="4" w:space="0" w:color="000000"/>
              <w:right w:val="single" w:sz="4" w:space="0" w:color="000000"/>
            </w:tcBorders>
          </w:tcPr>
          <w:p>
            <w:pP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2" w:type="dxa"/>
            <w:vMerge w:val="restart"/>
            <w:tcBorders>
              <w:top w:val="single" w:sz="4" w:space="0" w:color="000000"/>
              <w:left w:val="single" w:sz="4" w:space="0" w:color="000000"/>
              <w:right w:val="single" w:sz="4" w:space="0" w:color="000000"/>
            </w:tcBorders>
          </w:tcPr>
          <w:p>
            <w:pPr>
              <w:pStyle w:val="TableParagraph"/>
              <w:spacing w:line="270"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1" w:type="dxa"/>
            <w:vMerge w:val="restart"/>
            <w:tcBorders>
              <w:top w:val="single" w:sz="4" w:space="0" w:color="000000"/>
              <w:left w:val="single" w:sz="4" w:space="0" w:color="000000"/>
              <w:right w:val="single" w:sz="4" w:space="0" w:color="000000"/>
            </w:tcBorders>
          </w:tcPr>
          <w:p>
            <w:pPr>
              <w:pStyle w:val="TableParagraph"/>
              <w:spacing w:line="270" w:lineRule="exact"/>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0" w:hRule="exact"/>
        </w:trPr>
        <w:tc>
          <w:tcPr>
            <w:tcW w:w="1092"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2"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7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31" w:type="dxa"/>
            <w:vMerge/>
            <w:tcBorders>
              <w:left w:val="single" w:sz="4" w:space="0" w:color="000000"/>
              <w:bottom w:val="single" w:sz="4" w:space="0" w:color="000000"/>
              <w:right w:val="single" w:sz="4" w:space="0" w:color="000000"/>
            </w:tcBorders>
          </w:tcPr>
          <w:p>
            <w:pPr/>
          </w:p>
        </w:tc>
      </w:tr>
      <w:tr>
        <w:trPr>
          <w:trHeight w:val="319" w:hRule="exact"/>
        </w:trPr>
        <w:tc>
          <w:tcPr>
            <w:tcW w:w="109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91,347,181.21</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60.61%</w:t>
            </w:r>
          </w:p>
        </w:tc>
        <w:tc>
          <w:tcPr>
            <w:tcW w:w="14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913,471.81</w:t>
            </w:r>
          </w:p>
        </w:tc>
        <w:tc>
          <w:tcPr>
            <w:tcW w:w="149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82,880,078.06</w:t>
            </w:r>
          </w:p>
        </w:tc>
        <w:tc>
          <w:tcPr>
            <w:tcW w:w="98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69.44%</w:t>
            </w:r>
          </w:p>
        </w:tc>
        <w:tc>
          <w:tcPr>
            <w:tcW w:w="143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828,800.78</w:t>
            </w:r>
          </w:p>
        </w:tc>
      </w:tr>
      <w:tr>
        <w:trPr>
          <w:trHeight w:val="300" w:hRule="exact"/>
        </w:trPr>
        <w:tc>
          <w:tcPr>
            <w:tcW w:w="109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24,054,472.53</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15.96%</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1,202,723.63</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15,255,819.79</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12.78%</w:t>
            </w:r>
          </w:p>
        </w:tc>
        <w:tc>
          <w:tcPr>
            <w:tcW w:w="143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762,790.99</w:t>
            </w:r>
          </w:p>
        </w:tc>
      </w:tr>
      <w:tr>
        <w:trPr>
          <w:trHeight w:val="300" w:hRule="exact"/>
        </w:trPr>
        <w:tc>
          <w:tcPr>
            <w:tcW w:w="109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二至三年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10,768,325.34</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7.15%</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1,076,832.53</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17,787,434.41</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14.90%</w:t>
            </w:r>
          </w:p>
        </w:tc>
        <w:tc>
          <w:tcPr>
            <w:tcW w:w="143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1,778,743.44</w:t>
            </w:r>
          </w:p>
        </w:tc>
      </w:tr>
      <w:tr>
        <w:trPr>
          <w:trHeight w:val="300" w:hRule="exact"/>
        </w:trPr>
        <w:tc>
          <w:tcPr>
            <w:tcW w:w="109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三至四年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11,972,952.66</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7.94%</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3,591,885.80</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1,267,580.25</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1.06%</w:t>
            </w:r>
          </w:p>
        </w:tc>
        <w:tc>
          <w:tcPr>
            <w:tcW w:w="143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380,274.08</w:t>
            </w:r>
          </w:p>
        </w:tc>
      </w:tr>
      <w:tr>
        <w:trPr>
          <w:trHeight w:val="300" w:hRule="exact"/>
        </w:trPr>
        <w:tc>
          <w:tcPr>
            <w:tcW w:w="10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四至五年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9,346,333.76</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z w:val="21"/>
              </w:rPr>
              <w:t>6.20%</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2,803,900.13</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463,976.05</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5"/>
              <w:jc w:val="right"/>
              <w:rPr>
                <w:rFonts w:ascii="宋体" w:hAnsi="宋体" w:cs="宋体" w:eastAsia="宋体" w:hint="default"/>
                <w:sz w:val="21"/>
                <w:szCs w:val="21"/>
              </w:rPr>
            </w:pPr>
            <w:r>
              <w:rPr>
                <w:rFonts w:ascii="宋体"/>
                <w:sz w:val="21"/>
              </w:rPr>
              <w:t>0.39%</w:t>
            </w:r>
          </w:p>
        </w:tc>
        <w:tc>
          <w:tcPr>
            <w:tcW w:w="143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right"/>
              <w:rPr>
                <w:rFonts w:ascii="宋体" w:hAnsi="宋体" w:cs="宋体" w:eastAsia="宋体" w:hint="default"/>
                <w:sz w:val="21"/>
                <w:szCs w:val="21"/>
              </w:rPr>
            </w:pPr>
            <w:r>
              <w:rPr>
                <w:rFonts w:ascii="宋体"/>
                <w:spacing w:val="-1"/>
                <w:sz w:val="21"/>
              </w:rPr>
              <w:t>139,192.82</w:t>
            </w:r>
          </w:p>
        </w:tc>
      </w:tr>
      <w:tr>
        <w:trPr>
          <w:trHeight w:val="291" w:hRule="exact"/>
        </w:trPr>
        <w:tc>
          <w:tcPr>
            <w:tcW w:w="109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3,213,564.21</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2.14%</w:t>
            </w:r>
          </w:p>
        </w:tc>
        <w:tc>
          <w:tcPr>
            <w:tcW w:w="141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3,213,564.21</w:t>
            </w:r>
          </w:p>
        </w:tc>
        <w:tc>
          <w:tcPr>
            <w:tcW w:w="149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1,701,159.82</w:t>
            </w:r>
          </w:p>
        </w:tc>
        <w:tc>
          <w:tcPr>
            <w:tcW w:w="98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1.43%</w:t>
            </w:r>
          </w:p>
        </w:tc>
        <w:tc>
          <w:tcPr>
            <w:tcW w:w="143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1,701,159.82</w:t>
            </w:r>
          </w:p>
        </w:tc>
      </w:tr>
      <w:tr>
        <w:trPr>
          <w:trHeight w:val="319" w:hRule="exact"/>
        </w:trPr>
        <w:tc>
          <w:tcPr>
            <w:tcW w:w="109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22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150,702,829.71</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12,802,378.11</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119,356,048.38</w:t>
            </w:r>
          </w:p>
        </w:tc>
        <w:tc>
          <w:tcPr>
            <w:tcW w:w="98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100.00%</w:t>
            </w:r>
          </w:p>
        </w:tc>
        <w:tc>
          <w:tcPr>
            <w:tcW w:w="143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5,590,961.93</w:t>
            </w:r>
          </w:p>
        </w:tc>
      </w:tr>
    </w:tbl>
    <w:p>
      <w:pPr>
        <w:spacing w:before="4"/>
        <w:ind w:left="527"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）其他应收款期末余额中，应收持有公司</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z w:val="21"/>
          <w:szCs w:val="21"/>
        </w:rPr>
        <w:t>5%</w:t>
      </w:r>
      <w:r>
        <w:rPr>
          <w:rFonts w:ascii="宋体" w:hAnsi="宋体" w:cs="宋体" w:eastAsia="宋体" w:hint="default"/>
          <w:sz w:val="21"/>
          <w:szCs w:val="21"/>
        </w:rPr>
        <w:t>）股份的股东的往来款项如下：</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307"/>
        <w:gridCol w:w="1819"/>
        <w:gridCol w:w="1820"/>
        <w:gridCol w:w="1928"/>
      </w:tblGrid>
      <w:tr>
        <w:trPr>
          <w:trHeight w:val="324" w:hRule="exact"/>
        </w:trPr>
        <w:tc>
          <w:tcPr>
            <w:tcW w:w="4307"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19"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20"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28" w:type="dxa"/>
            <w:tcBorders>
              <w:top w:val="single" w:sz="12" w:space="0" w:color="000000"/>
              <w:left w:val="single" w:sz="4" w:space="0" w:color="000000"/>
              <w:bottom w:val="single" w:sz="8"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r>
      <w:tr>
        <w:trPr>
          <w:trHeight w:val="317" w:hRule="exact"/>
        </w:trPr>
        <w:tc>
          <w:tcPr>
            <w:tcW w:w="4307" w:type="dxa"/>
            <w:tcBorders>
              <w:top w:val="single" w:sz="8" w:space="0" w:color="000000"/>
              <w:left w:val="single" w:sz="4" w:space="0" w:color="000000"/>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819" w:type="dxa"/>
            <w:tcBorders>
              <w:top w:val="single" w:sz="8" w:space="0" w:color="000000"/>
              <w:left w:val="single" w:sz="4" w:space="0" w:color="000000"/>
              <w:bottom w:val="single" w:sz="4"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75,000.00</w:t>
            </w:r>
          </w:p>
        </w:tc>
        <w:tc>
          <w:tcPr>
            <w:tcW w:w="1820"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4" w:right="0"/>
              <w:jc w:val="center"/>
              <w:rPr>
                <w:rFonts w:ascii="宋体" w:hAnsi="宋体" w:cs="宋体" w:eastAsia="宋体" w:hint="default"/>
                <w:sz w:val="21"/>
                <w:szCs w:val="21"/>
              </w:rPr>
            </w:pPr>
            <w:r>
              <w:rPr>
                <w:rFonts w:ascii="宋体"/>
                <w:w w:val="100"/>
                <w:sz w:val="21"/>
              </w:rPr>
              <w:t>*</w:t>
            </w:r>
          </w:p>
        </w:tc>
        <w:tc>
          <w:tcPr>
            <w:tcW w:w="1928"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6"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317" w:hRule="exact"/>
        </w:trPr>
        <w:tc>
          <w:tcPr>
            <w:tcW w:w="4307" w:type="dxa"/>
            <w:tcBorders>
              <w:top w:val="single" w:sz="4" w:space="0" w:color="000000"/>
              <w:left w:val="single" w:sz="4" w:space="0" w:color="000000"/>
              <w:bottom w:val="single" w:sz="12" w:space="0" w:color="000000"/>
              <w:right w:val="single" w:sz="4" w:space="0" w:color="000000"/>
            </w:tcBorders>
          </w:tcPr>
          <w:p>
            <w:pPr>
              <w:pStyle w:val="TableParagraph"/>
              <w:tabs>
                <w:tab w:pos="441" w:val="left" w:leader="none"/>
              </w:tabs>
              <w:spacing w:line="270"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75,000.00</w:t>
            </w:r>
          </w:p>
        </w:tc>
        <w:tc>
          <w:tcPr>
            <w:tcW w:w="1820" w:type="dxa"/>
            <w:tcBorders>
              <w:top w:val="single" w:sz="4" w:space="0" w:color="000000"/>
              <w:left w:val="single" w:sz="4" w:space="0" w:color="000000"/>
              <w:bottom w:val="single" w:sz="12" w:space="0" w:color="000000"/>
              <w:right w:val="single" w:sz="4" w:space="0" w:color="000000"/>
            </w:tcBorders>
          </w:tcPr>
          <w:p>
            <w:pPr/>
          </w:p>
        </w:tc>
        <w:tc>
          <w:tcPr>
            <w:tcW w:w="1928" w:type="dxa"/>
            <w:tcBorders>
              <w:top w:val="single" w:sz="4" w:space="0" w:color="000000"/>
              <w:left w:val="single" w:sz="4" w:space="0" w:color="000000"/>
              <w:bottom w:val="single" w:sz="12" w:space="0" w:color="000000"/>
              <w:right w:val="single" w:sz="4" w:space="0" w:color="000000"/>
            </w:tcBorders>
          </w:tcPr>
          <w:p>
            <w:pPr/>
          </w:p>
        </w:tc>
      </w:tr>
    </w:tbl>
    <w:p>
      <w:pPr>
        <w:spacing w:before="6"/>
        <w:ind w:left="438" w:right="266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其中一年以内</w:t>
      </w:r>
      <w:r>
        <w:rPr>
          <w:rFonts w:ascii="宋体" w:hAnsi="宋体" w:cs="宋体" w:eastAsia="宋体" w:hint="default"/>
          <w:spacing w:val="-54"/>
          <w:sz w:val="21"/>
          <w:szCs w:val="21"/>
        </w:rPr>
        <w:t> </w:t>
      </w:r>
      <w:r>
        <w:rPr>
          <w:rFonts w:ascii="宋体" w:hAnsi="宋体" w:cs="宋体" w:eastAsia="宋体" w:hint="default"/>
          <w:sz w:val="21"/>
          <w:szCs w:val="21"/>
        </w:rPr>
        <w:t>6,540.00</w:t>
      </w:r>
      <w:r>
        <w:rPr>
          <w:rFonts w:ascii="宋体" w:hAnsi="宋体" w:cs="宋体" w:eastAsia="宋体" w:hint="default"/>
          <w:spacing w:val="-54"/>
          <w:sz w:val="21"/>
          <w:szCs w:val="21"/>
        </w:rPr>
        <w:t> </w:t>
      </w:r>
      <w:r>
        <w:rPr>
          <w:rFonts w:ascii="宋体" w:hAnsi="宋体" w:cs="宋体" w:eastAsia="宋体" w:hint="default"/>
          <w:sz w:val="21"/>
          <w:szCs w:val="21"/>
        </w:rPr>
        <w:t>元、一至二年</w:t>
      </w:r>
      <w:r>
        <w:rPr>
          <w:rFonts w:ascii="宋体" w:hAnsi="宋体" w:cs="宋体" w:eastAsia="宋体" w:hint="default"/>
          <w:spacing w:val="-52"/>
          <w:sz w:val="21"/>
          <w:szCs w:val="21"/>
        </w:rPr>
        <w:t> </w:t>
      </w:r>
      <w:r>
        <w:rPr>
          <w:rFonts w:ascii="宋体" w:hAnsi="宋体" w:cs="宋体" w:eastAsia="宋体" w:hint="default"/>
          <w:sz w:val="21"/>
          <w:szCs w:val="21"/>
        </w:rPr>
        <w:t>32,500.00</w:t>
      </w:r>
      <w:r>
        <w:rPr>
          <w:rFonts w:ascii="宋体" w:hAnsi="宋体" w:cs="宋体" w:eastAsia="宋体" w:hint="default"/>
          <w:spacing w:val="-54"/>
          <w:sz w:val="21"/>
          <w:szCs w:val="21"/>
        </w:rPr>
        <w:t> </w:t>
      </w:r>
      <w:r>
        <w:rPr>
          <w:rFonts w:ascii="宋体" w:hAnsi="宋体" w:cs="宋体" w:eastAsia="宋体" w:hint="default"/>
          <w:sz w:val="21"/>
          <w:szCs w:val="21"/>
        </w:rPr>
        <w:t>元、二至三年</w:t>
      </w:r>
      <w:r>
        <w:rPr>
          <w:rFonts w:ascii="宋体" w:hAnsi="宋体" w:cs="宋体" w:eastAsia="宋体" w:hint="default"/>
          <w:spacing w:val="-52"/>
          <w:sz w:val="21"/>
          <w:szCs w:val="21"/>
        </w:rPr>
        <w:t> </w:t>
      </w:r>
      <w:r>
        <w:rPr>
          <w:rFonts w:ascii="宋体" w:hAnsi="宋体" w:cs="宋体" w:eastAsia="宋体" w:hint="default"/>
          <w:sz w:val="21"/>
          <w:szCs w:val="21"/>
        </w:rPr>
        <w:t>35,960.00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footerReference w:type="even" r:id="rId82"/>
          <w:footerReference w:type="default" r:id="rId83"/>
          <w:pgSz w:w="12240" w:h="15840"/>
          <w:pgMar w:footer="956" w:header="850" w:top="1360" w:bottom="1140" w:left="1520" w:right="0"/>
          <w:pgNumType w:start="122"/>
        </w:sectPr>
      </w:pPr>
    </w:p>
    <w:p>
      <w:pPr>
        <w:spacing w:before="17"/>
        <w:ind w:left="644" w:right="1575" w:firstLine="0"/>
        <w:jc w:val="left"/>
        <w:rPr>
          <w:rFonts w:ascii="宋体" w:hAnsi="宋体" w:cs="宋体" w:eastAsia="宋体" w:hint="default"/>
          <w:sz w:val="21"/>
          <w:szCs w:val="21"/>
        </w:rPr>
      </w:pPr>
      <w:r>
        <w:rPr/>
        <w:pict>
          <v:group style="position:absolute;margin-left:80.783997pt;margin-top:1.833696pt;width:450.6pt;height:.1pt;mso-position-horizontal-relative:page;mso-position-vertical-relative:paragraph;z-index:-862504" coordorigin="1616,37" coordsize="9012,2">
            <v:shape style="position:absolute;left:1616;top:37;width:9012;height:2" coordorigin="1616,37" coordsize="9012,0" path="m1616,37l10627,37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）其他应收款金额前五名单位情况如下：</w:t>
      </w:r>
    </w:p>
    <w:p>
      <w:pPr>
        <w:spacing w:line="240" w:lineRule="auto" w:before="9"/>
        <w:rPr>
          <w:rFonts w:ascii="宋体" w:hAnsi="宋体" w:cs="宋体" w:eastAsia="宋体" w:hint="default"/>
          <w:sz w:val="7"/>
          <w:szCs w:val="7"/>
        </w:rPr>
      </w:pPr>
    </w:p>
    <w:tbl>
      <w:tblPr>
        <w:tblW w:w="0" w:type="auto"/>
        <w:jc w:val="left"/>
        <w:tblInd w:w="219" w:type="dxa"/>
        <w:tblLayout w:type="fixed"/>
        <w:tblCellMar>
          <w:top w:w="0" w:type="dxa"/>
          <w:left w:w="0" w:type="dxa"/>
          <w:bottom w:w="0" w:type="dxa"/>
          <w:right w:w="0" w:type="dxa"/>
        </w:tblCellMar>
        <w:tblLook w:val="01E0"/>
      </w:tblPr>
      <w:tblGrid>
        <w:gridCol w:w="2506"/>
        <w:gridCol w:w="1334"/>
        <w:gridCol w:w="1503"/>
        <w:gridCol w:w="1335"/>
        <w:gridCol w:w="2275"/>
      </w:tblGrid>
      <w:tr>
        <w:trPr>
          <w:trHeight w:val="619" w:hRule="exact"/>
        </w:trPr>
        <w:tc>
          <w:tcPr>
            <w:tcW w:w="250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82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0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275"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1027" w:right="79" w:hanging="946"/>
              <w:jc w:val="left"/>
              <w:rPr>
                <w:rFonts w:ascii="宋体" w:hAnsi="宋体" w:cs="宋体" w:eastAsia="宋体" w:hint="default"/>
                <w:sz w:val="21"/>
                <w:szCs w:val="21"/>
              </w:rPr>
            </w:pPr>
            <w:r>
              <w:rPr>
                <w:rFonts w:ascii="宋体" w:hAnsi="宋体" w:cs="宋体" w:eastAsia="宋体" w:hint="default"/>
                <w:spacing w:val="-2"/>
                <w:sz w:val="21"/>
                <w:szCs w:val="21"/>
              </w:rPr>
              <w:t>占其他应收款总额的比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例</w:t>
            </w:r>
          </w:p>
        </w:tc>
      </w:tr>
      <w:tr>
        <w:trPr>
          <w:trHeight w:val="305" w:hRule="exact"/>
        </w:trPr>
        <w:tc>
          <w:tcPr>
            <w:tcW w:w="250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北京地坛医院</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7,529,217.40</w:t>
            </w: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22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5.00%</w:t>
            </w:r>
          </w:p>
        </w:tc>
      </w:tr>
      <w:tr>
        <w:trPr>
          <w:trHeight w:val="300" w:hRule="exact"/>
        </w:trPr>
        <w:tc>
          <w:tcPr>
            <w:tcW w:w="250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内蒙古自治区审计厅</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4,676,496.00</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3.10%</w:t>
            </w:r>
          </w:p>
        </w:tc>
      </w:tr>
      <w:tr>
        <w:trPr>
          <w:trHeight w:val="300" w:hRule="exact"/>
        </w:trPr>
        <w:tc>
          <w:tcPr>
            <w:tcW w:w="250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北京友谊医院</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3,555,409.20</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2.36%</w:t>
            </w:r>
          </w:p>
        </w:tc>
      </w:tr>
      <w:tr>
        <w:trPr>
          <w:trHeight w:val="300" w:hRule="exact"/>
        </w:trPr>
        <w:tc>
          <w:tcPr>
            <w:tcW w:w="250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中国人民银行</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2,592,993.67</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1.72%</w:t>
            </w:r>
          </w:p>
        </w:tc>
      </w:tr>
      <w:tr>
        <w:trPr>
          <w:trHeight w:val="605" w:hRule="exact"/>
        </w:trPr>
        <w:tc>
          <w:tcPr>
            <w:tcW w:w="2506" w:type="dxa"/>
            <w:tcBorders>
              <w:top w:val="nil" w:sz="6" w:space="0" w:color="auto"/>
              <w:left w:val="single" w:sz="4" w:space="0" w:color="000000"/>
              <w:bottom w:val="single" w:sz="4" w:space="0" w:color="000000"/>
              <w:right w:val="single" w:sz="4" w:space="0" w:color="000000"/>
            </w:tcBorders>
          </w:tcPr>
          <w:p>
            <w:pPr>
              <w:pStyle w:val="TableParagraph"/>
              <w:spacing w:line="261" w:lineRule="auto"/>
              <w:ind w:left="7" w:right="173"/>
              <w:jc w:val="left"/>
              <w:rPr>
                <w:rFonts w:ascii="宋体" w:hAnsi="宋体" w:cs="宋体" w:eastAsia="宋体" w:hint="default"/>
                <w:sz w:val="21"/>
                <w:szCs w:val="21"/>
              </w:rPr>
            </w:pPr>
            <w:r>
              <w:rPr>
                <w:rFonts w:ascii="宋体" w:hAnsi="宋体" w:cs="宋体" w:eastAsia="宋体" w:hint="default"/>
                <w:spacing w:val="-2"/>
                <w:sz w:val="21"/>
                <w:szCs w:val="21"/>
              </w:rPr>
              <w:t>杭州中房信息科技有限公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1,656,256.00</w:t>
            </w: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2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1.10%</w:t>
            </w:r>
          </w:p>
        </w:tc>
      </w:tr>
      <w:tr>
        <w:trPr>
          <w:trHeight w:val="319" w:hRule="exact"/>
        </w:trPr>
        <w:tc>
          <w:tcPr>
            <w:tcW w:w="250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34" w:type="dxa"/>
            <w:tcBorders>
              <w:top w:val="single" w:sz="4" w:space="0" w:color="000000"/>
              <w:left w:val="single" w:sz="4" w:space="0" w:color="000000"/>
              <w:bottom w:val="single" w:sz="12" w:space="0" w:color="000000"/>
              <w:right w:val="single" w:sz="4" w:space="0" w:color="000000"/>
            </w:tcBorders>
          </w:tcPr>
          <w:p>
            <w:pP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20,010,372.27</w:t>
            </w:r>
          </w:p>
        </w:tc>
        <w:tc>
          <w:tcPr>
            <w:tcW w:w="1335" w:type="dxa"/>
            <w:tcBorders>
              <w:top w:val="single" w:sz="4" w:space="0" w:color="000000"/>
              <w:left w:val="single" w:sz="4" w:space="0" w:color="000000"/>
              <w:bottom w:val="single" w:sz="12" w:space="0" w:color="000000"/>
              <w:right w:val="single" w:sz="4" w:space="0" w:color="000000"/>
            </w:tcBorders>
          </w:tcPr>
          <w:p>
            <w:pPr/>
          </w:p>
        </w:tc>
        <w:tc>
          <w:tcPr>
            <w:tcW w:w="2275"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13.28%</w:t>
            </w:r>
          </w:p>
        </w:tc>
      </w:tr>
    </w:tbl>
    <w:p>
      <w:pPr>
        <w:spacing w:before="28"/>
        <w:ind w:left="644" w:right="1575" w:firstLine="0"/>
        <w:jc w:val="left"/>
        <w:rPr>
          <w:rFonts w:ascii="宋体" w:hAnsi="宋体" w:cs="宋体" w:eastAsia="宋体" w:hint="default"/>
          <w:sz w:val="21"/>
          <w:szCs w:val="21"/>
        </w:rPr>
      </w:pPr>
      <w:r>
        <w:rPr>
          <w:rFonts w:ascii="宋体" w:hAnsi="宋体" w:cs="宋体" w:eastAsia="宋体" w:hint="default"/>
          <w:sz w:val="21"/>
          <w:szCs w:val="21"/>
        </w:rPr>
        <w:t>注：一年以内</w:t>
      </w:r>
      <w:r>
        <w:rPr>
          <w:rFonts w:ascii="宋体" w:hAnsi="宋体" w:cs="宋体" w:eastAsia="宋体" w:hint="default"/>
          <w:spacing w:val="-55"/>
          <w:sz w:val="21"/>
          <w:szCs w:val="21"/>
        </w:rPr>
        <w:t> </w:t>
      </w:r>
      <w:r>
        <w:rPr>
          <w:rFonts w:ascii="宋体" w:hAnsi="宋体" w:cs="宋体" w:eastAsia="宋体" w:hint="default"/>
          <w:sz w:val="21"/>
          <w:szCs w:val="21"/>
        </w:rPr>
        <w:t>1,486,593.67</w:t>
      </w:r>
      <w:r>
        <w:rPr>
          <w:rFonts w:ascii="宋体" w:hAnsi="宋体" w:cs="宋体" w:eastAsia="宋体" w:hint="default"/>
          <w:spacing w:val="-54"/>
          <w:sz w:val="21"/>
          <w:szCs w:val="21"/>
        </w:rPr>
        <w:t> </w:t>
      </w:r>
      <w:r>
        <w:rPr>
          <w:rFonts w:ascii="宋体" w:hAnsi="宋体" w:cs="宋体" w:eastAsia="宋体" w:hint="default"/>
          <w:sz w:val="21"/>
          <w:szCs w:val="21"/>
        </w:rPr>
        <w:t>元、一至二年</w:t>
      </w:r>
      <w:r>
        <w:rPr>
          <w:rFonts w:ascii="宋体" w:hAnsi="宋体" w:cs="宋体" w:eastAsia="宋体" w:hint="default"/>
          <w:spacing w:val="-55"/>
          <w:sz w:val="21"/>
          <w:szCs w:val="21"/>
        </w:rPr>
        <w:t> </w:t>
      </w:r>
      <w:r>
        <w:rPr>
          <w:rFonts w:ascii="宋体" w:hAnsi="宋体" w:cs="宋体" w:eastAsia="宋体" w:hint="default"/>
          <w:sz w:val="21"/>
          <w:szCs w:val="21"/>
        </w:rPr>
        <w:t>1,106,400.00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124"/>
        <w:ind w:left="627"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）金额较大的其他应收款的性质或内容</w:t>
      </w:r>
    </w:p>
    <w:p>
      <w:pPr>
        <w:spacing w:line="240" w:lineRule="auto" w:before="10"/>
        <w:rPr>
          <w:rFonts w:ascii="宋体" w:hAnsi="宋体" w:cs="宋体" w:eastAsia="宋体" w:hint="default"/>
          <w:sz w:val="8"/>
          <w:szCs w:val="8"/>
        </w:rPr>
      </w:pPr>
    </w:p>
    <w:tbl>
      <w:tblPr>
        <w:tblW w:w="0" w:type="auto"/>
        <w:jc w:val="left"/>
        <w:tblInd w:w="219" w:type="dxa"/>
        <w:tblLayout w:type="fixed"/>
        <w:tblCellMar>
          <w:top w:w="0" w:type="dxa"/>
          <w:left w:w="0" w:type="dxa"/>
          <w:bottom w:w="0" w:type="dxa"/>
          <w:right w:w="0" w:type="dxa"/>
        </w:tblCellMar>
        <w:tblLook w:val="01E0"/>
      </w:tblPr>
      <w:tblGrid>
        <w:gridCol w:w="2840"/>
        <w:gridCol w:w="1671"/>
        <w:gridCol w:w="4443"/>
      </w:tblGrid>
      <w:tr>
        <w:trPr>
          <w:trHeight w:val="302" w:hRule="exact"/>
        </w:trPr>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71"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4443"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right="20"/>
              <w:jc w:val="center"/>
              <w:rPr>
                <w:rFonts w:ascii="宋体" w:hAnsi="宋体" w:cs="宋体" w:eastAsia="宋体" w:hint="default"/>
                <w:sz w:val="21"/>
                <w:szCs w:val="21"/>
              </w:rPr>
            </w:pPr>
            <w:r>
              <w:rPr>
                <w:rFonts w:ascii="宋体" w:hAnsi="宋体" w:cs="宋体" w:eastAsia="宋体" w:hint="default"/>
                <w:sz w:val="21"/>
                <w:szCs w:val="21"/>
              </w:rPr>
              <w:t>应收性质或内容</w:t>
            </w:r>
          </w:p>
        </w:tc>
      </w:tr>
      <w:tr>
        <w:trPr>
          <w:trHeight w:val="319" w:hRule="exact"/>
        </w:trPr>
        <w:tc>
          <w:tcPr>
            <w:tcW w:w="284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北京地坛医院</w:t>
            </w:r>
          </w:p>
        </w:tc>
        <w:tc>
          <w:tcPr>
            <w:tcW w:w="167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7,529,217.40</w:t>
            </w:r>
          </w:p>
        </w:tc>
        <w:tc>
          <w:tcPr>
            <w:tcW w:w="444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内蒙古自治区审计厅</w:t>
            </w: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4,676,496.00</w:t>
            </w:r>
          </w:p>
        </w:tc>
        <w:tc>
          <w:tcPr>
            <w:tcW w:w="44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北京友谊医院</w:t>
            </w: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3,555,409.20</w:t>
            </w:r>
          </w:p>
        </w:tc>
        <w:tc>
          <w:tcPr>
            <w:tcW w:w="44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中国人民银行</w:t>
            </w: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2,592,993.67</w:t>
            </w:r>
          </w:p>
        </w:tc>
        <w:tc>
          <w:tcPr>
            <w:tcW w:w="44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杭州中房信息科技有限公司</w:t>
            </w:r>
          </w:p>
        </w:tc>
        <w:tc>
          <w:tcPr>
            <w:tcW w:w="1671"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1,656,256.00</w:t>
            </w:r>
          </w:p>
        </w:tc>
        <w:tc>
          <w:tcPr>
            <w:tcW w:w="4443"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bl>
    <w:p>
      <w:pPr>
        <w:spacing w:before="26"/>
        <w:ind w:left="644"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）坏账准备</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88"/>
        <w:gridCol w:w="1102"/>
        <w:gridCol w:w="1238"/>
        <w:gridCol w:w="1047"/>
        <w:gridCol w:w="845"/>
        <w:gridCol w:w="1121"/>
        <w:gridCol w:w="1160"/>
        <w:gridCol w:w="1448"/>
      </w:tblGrid>
      <w:tr>
        <w:trPr>
          <w:trHeight w:val="319" w:hRule="exact"/>
        </w:trPr>
        <w:tc>
          <w:tcPr>
            <w:tcW w:w="1188" w:type="dxa"/>
            <w:vMerge w:val="restart"/>
            <w:tcBorders>
              <w:top w:val="single" w:sz="12" w:space="0" w:color="000000"/>
              <w:left w:val="single" w:sz="4" w:space="0" w:color="000000"/>
              <w:right w:val="single" w:sz="4" w:space="0" w:color="000000"/>
            </w:tcBorders>
          </w:tcPr>
          <w:p>
            <w:pPr>
              <w:pStyle w:val="TableParagraph"/>
              <w:spacing w:line="240" w:lineRule="auto" w:before="129"/>
              <w:ind w:left="1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02" w:type="dxa"/>
            <w:vMerge w:val="restart"/>
            <w:tcBorders>
              <w:top w:val="single" w:sz="12" w:space="0" w:color="000000"/>
              <w:left w:val="single" w:sz="4" w:space="0" w:color="000000"/>
              <w:right w:val="single" w:sz="4" w:space="0" w:color="000000"/>
            </w:tcBorders>
          </w:tcPr>
          <w:p>
            <w:pPr>
              <w:pStyle w:val="TableParagraph"/>
              <w:spacing w:line="240" w:lineRule="auto" w:before="129"/>
              <w:ind w:left="124"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238" w:type="dxa"/>
            <w:vMerge w:val="restart"/>
            <w:tcBorders>
              <w:top w:val="single" w:sz="12" w:space="0" w:color="000000"/>
              <w:left w:val="single" w:sz="4" w:space="0" w:color="000000"/>
              <w:right w:val="single" w:sz="4" w:space="0" w:color="000000"/>
            </w:tcBorders>
          </w:tcPr>
          <w:p>
            <w:pPr>
              <w:pStyle w:val="TableParagraph"/>
              <w:spacing w:line="240" w:lineRule="auto" w:before="129"/>
              <w:ind w:left="19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047" w:type="dxa"/>
            <w:vMerge w:val="restart"/>
            <w:tcBorders>
              <w:top w:val="single" w:sz="12" w:space="0" w:color="000000"/>
              <w:left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其他增</w:t>
            </w:r>
          </w:p>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312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48" w:type="dxa"/>
            <w:vMerge w:val="restart"/>
            <w:tcBorders>
              <w:top w:val="single" w:sz="12" w:space="0" w:color="000000"/>
              <w:left w:val="single" w:sz="4" w:space="0" w:color="000000"/>
              <w:right w:val="single" w:sz="4" w:space="0" w:color="000000"/>
            </w:tcBorders>
          </w:tcPr>
          <w:p>
            <w:pPr>
              <w:pStyle w:val="TableParagraph"/>
              <w:spacing w:line="240" w:lineRule="auto" w:before="129"/>
              <w:ind w:left="29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188"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4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3"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448" w:type="dxa"/>
            <w:vMerge/>
            <w:tcBorders>
              <w:left w:val="single" w:sz="4" w:space="0" w:color="000000"/>
              <w:bottom w:val="single" w:sz="4" w:space="0" w:color="000000"/>
              <w:right w:val="single" w:sz="4" w:space="0" w:color="000000"/>
            </w:tcBorders>
          </w:tcPr>
          <w:p>
            <w:pPr/>
          </w:p>
        </w:tc>
      </w:tr>
      <w:tr>
        <w:trPr>
          <w:trHeight w:val="620" w:hRule="exact"/>
        </w:trPr>
        <w:tc>
          <w:tcPr>
            <w:tcW w:w="1188"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5,590,961.9</w:t>
            </w:r>
          </w:p>
          <w:p>
            <w:pPr>
              <w:pStyle w:val="TableParagraph"/>
              <w:spacing w:line="240" w:lineRule="auto" w:before="25"/>
              <w:ind w:right="5"/>
              <w:jc w:val="right"/>
              <w:rPr>
                <w:rFonts w:ascii="宋体" w:hAnsi="宋体" w:cs="宋体" w:eastAsia="宋体" w:hint="default"/>
                <w:sz w:val="21"/>
                <w:szCs w:val="21"/>
              </w:rPr>
            </w:pPr>
            <w:r>
              <w:rPr>
                <w:rFonts w:ascii="宋体"/>
                <w:w w:val="100"/>
                <w:sz w:val="21"/>
              </w:rPr>
              <w:t>3</w:t>
            </w: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6"/>
              <w:ind w:left="33" w:right="0"/>
              <w:jc w:val="left"/>
              <w:rPr>
                <w:rFonts w:ascii="宋体" w:hAnsi="宋体" w:cs="宋体" w:eastAsia="宋体" w:hint="default"/>
                <w:sz w:val="21"/>
                <w:szCs w:val="21"/>
              </w:rPr>
            </w:pPr>
            <w:r>
              <w:rPr>
                <w:rFonts w:ascii="宋体"/>
                <w:sz w:val="21"/>
              </w:rPr>
              <w:t>644,923.31</w:t>
            </w: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6,617,481.5</w:t>
            </w:r>
          </w:p>
          <w:p>
            <w:pPr>
              <w:pStyle w:val="TableParagraph"/>
              <w:spacing w:line="240" w:lineRule="auto" w:before="25"/>
              <w:ind w:right="5"/>
              <w:jc w:val="right"/>
              <w:rPr>
                <w:rFonts w:ascii="宋体" w:hAnsi="宋体" w:cs="宋体" w:eastAsia="宋体" w:hint="default"/>
                <w:sz w:val="21"/>
                <w:szCs w:val="21"/>
              </w:rPr>
            </w:pPr>
            <w:r>
              <w:rPr>
                <w:rFonts w:ascii="宋体"/>
                <w:w w:val="100"/>
                <w:sz w:val="21"/>
              </w:rPr>
              <w:t>1</w:t>
            </w: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6"/>
              <w:ind w:left="86" w:right="0"/>
              <w:jc w:val="left"/>
              <w:rPr>
                <w:rFonts w:ascii="宋体" w:hAnsi="宋体" w:cs="宋体" w:eastAsia="宋体" w:hint="default"/>
                <w:sz w:val="21"/>
                <w:szCs w:val="21"/>
              </w:rPr>
            </w:pPr>
            <w:r>
              <w:rPr>
                <w:rFonts w:ascii="宋体"/>
                <w:sz w:val="21"/>
              </w:rPr>
              <w:t>-1,519.77</w:t>
            </w:r>
          </w:p>
        </w:tc>
        <w:tc>
          <w:tcPr>
            <w:tcW w:w="845" w:type="dxa"/>
            <w:tcBorders>
              <w:top w:val="single" w:sz="4" w:space="0" w:color="000000"/>
              <w:left w:val="single" w:sz="4" w:space="0" w:color="000000"/>
              <w:bottom w:val="single" w:sz="12" w:space="0" w:color="000000"/>
              <w:right w:val="single" w:sz="4" w:space="0" w:color="000000"/>
            </w:tcBorders>
          </w:tcPr>
          <w:p>
            <w:pPr/>
          </w:p>
        </w:tc>
        <w:tc>
          <w:tcPr>
            <w:tcW w:w="1121" w:type="dxa"/>
            <w:tcBorders>
              <w:top w:val="single" w:sz="4" w:space="0" w:color="000000"/>
              <w:left w:val="single" w:sz="4" w:space="0" w:color="000000"/>
              <w:bottom w:val="single" w:sz="12" w:space="0" w:color="000000"/>
              <w:right w:val="single" w:sz="4" w:space="0" w:color="000000"/>
            </w:tcBorders>
          </w:tcPr>
          <w:p>
            <w:pP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before="24"/>
              <w:ind w:right="98"/>
              <w:jc w:val="right"/>
              <w:rPr>
                <w:rFonts w:ascii="宋体" w:hAnsi="宋体" w:cs="宋体" w:eastAsia="宋体" w:hint="default"/>
                <w:sz w:val="21"/>
                <w:szCs w:val="21"/>
              </w:rPr>
            </w:pPr>
            <w:r>
              <w:rPr>
                <w:rFonts w:ascii="宋体"/>
                <w:spacing w:val="-1"/>
                <w:sz w:val="21"/>
              </w:rPr>
              <w:t>49,468.8</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left="64" w:right="0"/>
              <w:jc w:val="left"/>
              <w:rPr>
                <w:rFonts w:ascii="宋体" w:hAnsi="宋体" w:cs="宋体" w:eastAsia="宋体" w:hint="default"/>
                <w:sz w:val="21"/>
                <w:szCs w:val="21"/>
              </w:rPr>
            </w:pPr>
            <w:r>
              <w:rPr>
                <w:rFonts w:ascii="宋体"/>
                <w:sz w:val="21"/>
              </w:rPr>
              <w:t>12,802,378.11</w:t>
            </w:r>
          </w:p>
        </w:tc>
      </w:tr>
    </w:tbl>
    <w:p>
      <w:pPr>
        <w:spacing w:line="297" w:lineRule="auto" w:before="9"/>
        <w:ind w:left="224" w:right="1635" w:firstLine="419"/>
        <w:jc w:val="both"/>
        <w:rPr>
          <w:rFonts w:ascii="宋体" w:hAnsi="宋体" w:cs="宋体" w:eastAsia="宋体" w:hint="default"/>
          <w:sz w:val="21"/>
          <w:szCs w:val="21"/>
        </w:rPr>
      </w:pPr>
      <w:r>
        <w:rPr>
          <w:rFonts w:ascii="宋体" w:hAnsi="宋体" w:cs="宋体" w:eastAsia="宋体" w:hint="default"/>
          <w:spacing w:val="-4"/>
          <w:sz w:val="21"/>
          <w:szCs w:val="21"/>
        </w:rPr>
        <w:t>注：本期转入系公司收购北京神州新桥科技有限公司、北京东方易维软件有限公司的股权，转</w:t>
      </w:r>
      <w:r>
        <w:rPr>
          <w:rFonts w:ascii="宋体" w:hAnsi="宋体" w:cs="宋体" w:eastAsia="宋体" w:hint="default"/>
          <w:w w:val="100"/>
          <w:sz w:val="21"/>
          <w:szCs w:val="21"/>
        </w:rPr>
        <w:t> </w:t>
      </w:r>
      <w:r>
        <w:rPr>
          <w:rFonts w:ascii="宋体" w:hAnsi="宋体" w:cs="宋体" w:eastAsia="宋体" w:hint="default"/>
          <w:spacing w:val="-2"/>
          <w:sz w:val="21"/>
          <w:szCs w:val="21"/>
        </w:rPr>
        <w:t>入截止购买日已计提的坏账准备；其他增减的原因系公司所属海外子公司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北京东华合创香港有限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公司外币汇率折算差额产生；其他减少的原因系公司转让内蒙古合创信息技术有限公司的股权，转</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出截止转让时点已计提的坏账准备。</w:t>
      </w:r>
    </w:p>
    <w:p>
      <w:pPr>
        <w:spacing w:before="75"/>
        <w:ind w:left="646" w:right="1575"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、存货及存货跌价准备</w:t>
      </w:r>
      <w:r>
        <w:rPr>
          <w:rFonts w:ascii="宋体" w:hAnsi="宋体" w:cs="宋体" w:eastAsia="宋体" w:hint="default"/>
          <w:sz w:val="21"/>
          <w:szCs w:val="21"/>
        </w:rPr>
      </w:r>
    </w:p>
    <w:p>
      <w:pPr>
        <w:spacing w:before="126"/>
        <w:ind w:left="644" w:right="1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）存货的分类</w:t>
      </w:r>
      <w:r>
        <w:rPr>
          <w:rFonts w:ascii="宋体" w:hAnsi="宋体" w:cs="宋体" w:eastAsia="宋体" w:hint="default"/>
          <w:sz w:val="21"/>
          <w:szCs w:val="21"/>
        </w:rPr>
        <w:t>:</w:t>
      </w:r>
    </w:p>
    <w:p>
      <w:pPr>
        <w:spacing w:line="240" w:lineRule="auto" w:before="7"/>
        <w:rPr>
          <w:rFonts w:ascii="宋体" w:hAnsi="宋体" w:cs="宋体" w:eastAsia="宋体" w:hint="default"/>
          <w:sz w:val="6"/>
          <w:szCs w:val="6"/>
        </w:rPr>
      </w:pPr>
    </w:p>
    <w:tbl>
      <w:tblPr>
        <w:tblW w:w="0" w:type="auto"/>
        <w:jc w:val="left"/>
        <w:tblInd w:w="219" w:type="dxa"/>
        <w:tblLayout w:type="fixed"/>
        <w:tblCellMar>
          <w:top w:w="0" w:type="dxa"/>
          <w:left w:w="0" w:type="dxa"/>
          <w:bottom w:w="0" w:type="dxa"/>
          <w:right w:w="0" w:type="dxa"/>
        </w:tblCellMar>
        <w:tblLook w:val="01E0"/>
      </w:tblPr>
      <w:tblGrid>
        <w:gridCol w:w="1068"/>
        <w:gridCol w:w="1918"/>
        <w:gridCol w:w="1049"/>
        <w:gridCol w:w="1846"/>
        <w:gridCol w:w="1541"/>
        <w:gridCol w:w="874"/>
        <w:gridCol w:w="1680"/>
      </w:tblGrid>
      <w:tr>
        <w:trPr>
          <w:trHeight w:val="324" w:hRule="exact"/>
        </w:trPr>
        <w:tc>
          <w:tcPr>
            <w:tcW w:w="1068" w:type="dxa"/>
            <w:vMerge w:val="restart"/>
            <w:tcBorders>
              <w:top w:val="single" w:sz="12" w:space="0" w:color="000000"/>
              <w:left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4813" w:type="dxa"/>
            <w:gridSpan w:val="3"/>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3"/>
            <w:tcBorders>
              <w:top w:val="single" w:sz="12" w:space="0" w:color="000000"/>
              <w:left w:val="single" w:sz="4" w:space="0" w:color="000000"/>
              <w:bottom w:val="single" w:sz="6"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5" w:hRule="exact"/>
        </w:trPr>
        <w:tc>
          <w:tcPr>
            <w:tcW w:w="1068" w:type="dxa"/>
            <w:vMerge/>
            <w:tcBorders>
              <w:left w:val="single" w:sz="4" w:space="0" w:color="000000"/>
              <w:bottom w:val="single" w:sz="6" w:space="0" w:color="000000"/>
              <w:right w:val="single" w:sz="4" w:space="0" w:color="000000"/>
            </w:tcBorders>
          </w:tcPr>
          <w:p>
            <w:pPr/>
          </w:p>
        </w:tc>
        <w:tc>
          <w:tcPr>
            <w:tcW w:w="1918"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9"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46"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净值</w:t>
            </w:r>
          </w:p>
        </w:tc>
        <w:tc>
          <w:tcPr>
            <w:tcW w:w="1541"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4"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0"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净值</w:t>
            </w:r>
          </w:p>
        </w:tc>
      </w:tr>
      <w:tr>
        <w:trPr>
          <w:trHeight w:val="322" w:hRule="exact"/>
        </w:trPr>
        <w:tc>
          <w:tcPr>
            <w:tcW w:w="1068"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18" w:type="dxa"/>
            <w:tcBorders>
              <w:top w:val="single" w:sz="6" w:space="0" w:color="000000"/>
              <w:left w:val="single" w:sz="4" w:space="0" w:color="000000"/>
              <w:bottom w:val="nil" w:sz="6" w:space="0" w:color="auto"/>
              <w:right w:val="single" w:sz="6"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20,781,440.53</w:t>
            </w:r>
          </w:p>
        </w:tc>
        <w:tc>
          <w:tcPr>
            <w:tcW w:w="1049" w:type="dxa"/>
            <w:vMerge w:val="restart"/>
            <w:tcBorders>
              <w:top w:val="single" w:sz="6" w:space="0" w:color="000000"/>
              <w:left w:val="single" w:sz="6" w:space="0" w:color="000000"/>
              <w:right w:val="single" w:sz="4" w:space="0" w:color="000000"/>
            </w:tcBorders>
          </w:tcPr>
          <w:p>
            <w:pPr/>
          </w:p>
        </w:tc>
        <w:tc>
          <w:tcPr>
            <w:tcW w:w="1846"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20,781,440.53</w:t>
            </w:r>
          </w:p>
        </w:tc>
        <w:tc>
          <w:tcPr>
            <w:tcW w:w="1541" w:type="dxa"/>
            <w:tcBorders>
              <w:top w:val="single" w:sz="6" w:space="0" w:color="000000"/>
              <w:left w:val="single" w:sz="4" w:space="0" w:color="000000"/>
              <w:bottom w:val="nil" w:sz="6" w:space="0" w:color="auto"/>
              <w:right w:val="single" w:sz="6" w:space="0" w:color="000000"/>
            </w:tcBorders>
          </w:tcPr>
          <w:p>
            <w:pPr>
              <w:pStyle w:val="TableParagraph"/>
              <w:spacing w:line="270" w:lineRule="exact"/>
              <w:ind w:left="102" w:right="0"/>
              <w:jc w:val="center"/>
              <w:rPr>
                <w:rFonts w:ascii="宋体" w:hAnsi="宋体" w:cs="宋体" w:eastAsia="宋体" w:hint="default"/>
                <w:sz w:val="21"/>
                <w:szCs w:val="21"/>
              </w:rPr>
            </w:pPr>
            <w:r>
              <w:rPr>
                <w:rFonts w:ascii="宋体"/>
                <w:sz w:val="21"/>
              </w:rPr>
              <w:t>15,408,073.30</w:t>
            </w:r>
          </w:p>
        </w:tc>
        <w:tc>
          <w:tcPr>
            <w:tcW w:w="874" w:type="dxa"/>
            <w:vMerge w:val="restart"/>
            <w:tcBorders>
              <w:top w:val="single" w:sz="6" w:space="0" w:color="000000"/>
              <w:left w:val="single" w:sz="6" w:space="0" w:color="000000"/>
              <w:right w:val="single" w:sz="4" w:space="0" w:color="000000"/>
            </w:tcBorders>
          </w:tcPr>
          <w:p>
            <w:pPr/>
          </w:p>
        </w:tc>
        <w:tc>
          <w:tcPr>
            <w:tcW w:w="1680"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15,408,073.30</w:t>
            </w:r>
          </w:p>
        </w:tc>
      </w:tr>
      <w:tr>
        <w:trPr>
          <w:trHeight w:val="300" w:hRule="exact"/>
        </w:trPr>
        <w:tc>
          <w:tcPr>
            <w:tcW w:w="10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18"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1,102,169,296.41</w:t>
            </w:r>
          </w:p>
        </w:tc>
        <w:tc>
          <w:tcPr>
            <w:tcW w:w="1049" w:type="dxa"/>
            <w:vMerge/>
            <w:tcBorders>
              <w:left w:val="single" w:sz="6" w:space="0" w:color="000000"/>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1,102,169,296.41</w:t>
            </w:r>
          </w:p>
        </w:tc>
        <w:tc>
          <w:tcPr>
            <w:tcW w:w="1541"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709,496,328.06</w:t>
            </w:r>
          </w:p>
        </w:tc>
        <w:tc>
          <w:tcPr>
            <w:tcW w:w="874" w:type="dxa"/>
            <w:vMerge/>
            <w:tcBorders>
              <w:left w:val="single" w:sz="6" w:space="0" w:color="000000"/>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709,496,328.06</w:t>
            </w:r>
          </w:p>
        </w:tc>
      </w:tr>
      <w:tr>
        <w:trPr>
          <w:trHeight w:val="300" w:hRule="exact"/>
        </w:trPr>
        <w:tc>
          <w:tcPr>
            <w:tcW w:w="10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18"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76,173,306.44</w:t>
            </w:r>
          </w:p>
        </w:tc>
        <w:tc>
          <w:tcPr>
            <w:tcW w:w="1049" w:type="dxa"/>
            <w:vMerge/>
            <w:tcBorders>
              <w:left w:val="single" w:sz="6" w:space="0" w:color="000000"/>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76,173,306.44</w:t>
            </w:r>
          </w:p>
        </w:tc>
        <w:tc>
          <w:tcPr>
            <w:tcW w:w="1541" w:type="dxa"/>
            <w:tcBorders>
              <w:top w:val="nil" w:sz="6" w:space="0" w:color="auto"/>
              <w:left w:val="single" w:sz="4" w:space="0" w:color="000000"/>
              <w:bottom w:val="nil" w:sz="6" w:space="0" w:color="auto"/>
              <w:right w:val="single" w:sz="6" w:space="0" w:color="000000"/>
            </w:tcBorders>
          </w:tcPr>
          <w:p>
            <w:pPr>
              <w:pStyle w:val="TableParagraph"/>
              <w:spacing w:line="255" w:lineRule="exact"/>
              <w:ind w:left="102" w:right="0"/>
              <w:jc w:val="center"/>
              <w:rPr>
                <w:rFonts w:ascii="宋体" w:hAnsi="宋体" w:cs="宋体" w:eastAsia="宋体" w:hint="default"/>
                <w:sz w:val="21"/>
                <w:szCs w:val="21"/>
              </w:rPr>
            </w:pPr>
            <w:r>
              <w:rPr>
                <w:rFonts w:ascii="宋体"/>
                <w:sz w:val="21"/>
              </w:rPr>
              <w:t>63,881,604.66</w:t>
            </w:r>
          </w:p>
        </w:tc>
        <w:tc>
          <w:tcPr>
            <w:tcW w:w="874" w:type="dxa"/>
            <w:vMerge/>
            <w:tcBorders>
              <w:left w:val="single" w:sz="6" w:space="0" w:color="000000"/>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63,881,604.66</w:t>
            </w:r>
          </w:p>
        </w:tc>
      </w:tr>
      <w:tr>
        <w:trPr>
          <w:trHeight w:val="293" w:hRule="exact"/>
        </w:trPr>
        <w:tc>
          <w:tcPr>
            <w:tcW w:w="1068" w:type="dxa"/>
            <w:tcBorders>
              <w:top w:val="nil" w:sz="6" w:space="0" w:color="auto"/>
              <w:left w:val="single" w:sz="4" w:space="0" w:color="000000"/>
              <w:bottom w:val="single" w:sz="6"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918" w:type="dxa"/>
            <w:tcBorders>
              <w:top w:val="nil" w:sz="6" w:space="0" w:color="auto"/>
              <w:left w:val="single" w:sz="4" w:space="0" w:color="000000"/>
              <w:bottom w:val="single" w:sz="6" w:space="0" w:color="000000"/>
              <w:right w:val="single" w:sz="6"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2,891,287.93</w:t>
            </w:r>
          </w:p>
        </w:tc>
        <w:tc>
          <w:tcPr>
            <w:tcW w:w="1049" w:type="dxa"/>
            <w:vMerge/>
            <w:tcBorders>
              <w:left w:val="single" w:sz="6" w:space="0" w:color="000000"/>
              <w:bottom w:val="single" w:sz="6" w:space="0" w:color="000000"/>
              <w:right w:val="single" w:sz="4" w:space="0" w:color="000000"/>
            </w:tcBorders>
          </w:tcPr>
          <w:p>
            <w:pPr/>
          </w:p>
        </w:tc>
        <w:tc>
          <w:tcPr>
            <w:tcW w:w="1846" w:type="dxa"/>
            <w:tcBorders>
              <w:top w:val="nil" w:sz="6" w:space="0" w:color="auto"/>
              <w:left w:val="single" w:sz="4" w:space="0" w:color="000000"/>
              <w:bottom w:val="single" w:sz="6"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2,891,287.93</w:t>
            </w:r>
          </w:p>
        </w:tc>
        <w:tc>
          <w:tcPr>
            <w:tcW w:w="1541" w:type="dxa"/>
            <w:tcBorders>
              <w:top w:val="nil" w:sz="6" w:space="0" w:color="auto"/>
              <w:left w:val="single" w:sz="4" w:space="0" w:color="000000"/>
              <w:bottom w:val="single" w:sz="6" w:space="0" w:color="000000"/>
              <w:right w:val="single" w:sz="6" w:space="0" w:color="000000"/>
            </w:tcBorders>
          </w:tcPr>
          <w:p>
            <w:pPr/>
          </w:p>
        </w:tc>
        <w:tc>
          <w:tcPr>
            <w:tcW w:w="874" w:type="dxa"/>
            <w:vMerge/>
            <w:tcBorders>
              <w:left w:val="single" w:sz="6" w:space="0" w:color="000000"/>
              <w:bottom w:val="single" w:sz="6" w:space="0" w:color="000000"/>
              <w:right w:val="single" w:sz="4" w:space="0" w:color="000000"/>
            </w:tcBorders>
          </w:tcPr>
          <w:p>
            <w:pPr/>
          </w:p>
        </w:tc>
        <w:tc>
          <w:tcPr>
            <w:tcW w:w="1680" w:type="dxa"/>
            <w:tcBorders>
              <w:top w:val="nil" w:sz="6" w:space="0" w:color="auto"/>
              <w:left w:val="single" w:sz="4" w:space="0" w:color="000000"/>
              <w:bottom w:val="single" w:sz="6" w:space="0" w:color="000000"/>
              <w:right w:val="single" w:sz="4" w:space="0" w:color="000000"/>
            </w:tcBorders>
          </w:tcPr>
          <w:p>
            <w:pPr/>
          </w:p>
        </w:tc>
      </w:tr>
      <w:tr>
        <w:trPr>
          <w:trHeight w:val="324" w:hRule="exact"/>
        </w:trPr>
        <w:tc>
          <w:tcPr>
            <w:tcW w:w="1068" w:type="dxa"/>
            <w:tcBorders>
              <w:top w:val="single" w:sz="6" w:space="0" w:color="000000"/>
              <w:left w:val="single" w:sz="4" w:space="0" w:color="000000"/>
              <w:bottom w:val="single" w:sz="12" w:space="0" w:color="000000"/>
              <w:right w:val="single" w:sz="4" w:space="0" w:color="000000"/>
            </w:tcBorders>
          </w:tcPr>
          <w:p>
            <w:pPr>
              <w:pStyle w:val="TableParagraph"/>
              <w:tabs>
                <w:tab w:pos="635" w:val="left" w:leader="none"/>
              </w:tabs>
              <w:spacing w:line="270" w:lineRule="exact"/>
              <w:ind w:left="2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1,202,015,331.31</w:t>
            </w:r>
          </w:p>
        </w:tc>
        <w:tc>
          <w:tcPr>
            <w:tcW w:w="1049" w:type="dxa"/>
            <w:tcBorders>
              <w:top w:val="single" w:sz="6" w:space="0" w:color="000000"/>
              <w:left w:val="single" w:sz="6" w:space="0" w:color="000000"/>
              <w:bottom w:val="single" w:sz="12" w:space="0" w:color="000000"/>
              <w:right w:val="single" w:sz="4" w:space="0" w:color="000000"/>
            </w:tcBorders>
          </w:tcPr>
          <w:p>
            <w:pPr/>
          </w:p>
        </w:tc>
        <w:tc>
          <w:tcPr>
            <w:tcW w:w="1846" w:type="dxa"/>
            <w:tcBorders>
              <w:top w:val="single" w:sz="6"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1,202,015,331.31</w:t>
            </w:r>
          </w:p>
        </w:tc>
        <w:tc>
          <w:tcPr>
            <w:tcW w:w="1541"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788,786,006.02</w:t>
            </w:r>
          </w:p>
        </w:tc>
        <w:tc>
          <w:tcPr>
            <w:tcW w:w="874" w:type="dxa"/>
            <w:tcBorders>
              <w:top w:val="single" w:sz="6" w:space="0" w:color="000000"/>
              <w:left w:val="single" w:sz="6" w:space="0" w:color="000000"/>
              <w:bottom w:val="single" w:sz="12" w:space="0" w:color="000000"/>
              <w:right w:val="single" w:sz="4" w:space="0" w:color="000000"/>
            </w:tcBorders>
          </w:tcPr>
          <w:p>
            <w:pPr/>
          </w:p>
        </w:tc>
        <w:tc>
          <w:tcPr>
            <w:tcW w:w="1680" w:type="dxa"/>
            <w:tcBorders>
              <w:top w:val="single" w:sz="6"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788,786,006.02</w:t>
            </w:r>
          </w:p>
        </w:tc>
      </w:tr>
    </w:tbl>
    <w:p>
      <w:pPr>
        <w:spacing w:line="350" w:lineRule="auto" w:before="26"/>
        <w:ind w:left="646" w:right="1575"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）截至本资产负债表日，公司的存货未发现有跌价情况，故未计提存货跌价准备。</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after="0" w:line="350" w:lineRule="auto"/>
        <w:jc w:val="left"/>
        <w:rPr>
          <w:rFonts w:ascii="宋体" w:hAnsi="宋体" w:cs="宋体" w:eastAsia="宋体" w:hint="default"/>
          <w:sz w:val="21"/>
          <w:szCs w:val="21"/>
        </w:rPr>
        <w:sectPr>
          <w:pgSz w:w="12240" w:h="15840"/>
          <w:pgMar w:header="850" w:footer="956" w:top="1360" w:bottom="1140" w:left="1420" w:right="0"/>
        </w:sectPr>
      </w:pPr>
    </w:p>
    <w:p>
      <w:pPr>
        <w:spacing w:before="15"/>
        <w:ind w:left="564" w:right="1697" w:firstLine="0"/>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480"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）长期股权投资组成情况：</w:t>
      </w:r>
    </w:p>
    <w:p>
      <w:pPr>
        <w:spacing w:line="240" w:lineRule="auto" w:before="9"/>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971"/>
        <w:gridCol w:w="1330"/>
        <w:gridCol w:w="1332"/>
        <w:gridCol w:w="1330"/>
        <w:gridCol w:w="1469"/>
        <w:gridCol w:w="1190"/>
        <w:gridCol w:w="1354"/>
      </w:tblGrid>
      <w:tr>
        <w:trPr>
          <w:trHeight w:val="324" w:hRule="exact"/>
        </w:trPr>
        <w:tc>
          <w:tcPr>
            <w:tcW w:w="1971"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455"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992"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14"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1971" w:type="dxa"/>
            <w:vMerge/>
            <w:tcBorders>
              <w:left w:val="single" w:sz="4" w:space="0" w:color="000000"/>
              <w:bottom w:val="single" w:sz="4" w:space="0" w:color="000000"/>
              <w:right w:val="single" w:sz="4" w:space="0" w:color="000000"/>
            </w:tcBorders>
          </w:tcPr>
          <w:p>
            <w:pPr/>
          </w:p>
        </w:tc>
        <w:tc>
          <w:tcPr>
            <w:tcW w:w="13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299"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4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312"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10"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 w:right="0"/>
              <w:jc w:val="left"/>
              <w:rPr>
                <w:rFonts w:ascii="宋体" w:hAnsi="宋体" w:cs="宋体" w:eastAsia="宋体" w:hint="default"/>
                <w:sz w:val="18"/>
                <w:szCs w:val="18"/>
              </w:rPr>
            </w:pPr>
            <w:r>
              <w:rPr>
                <w:rFonts w:ascii="宋体" w:hAnsi="宋体" w:cs="宋体" w:eastAsia="宋体" w:hint="default"/>
                <w:sz w:val="18"/>
                <w:szCs w:val="18"/>
              </w:rPr>
              <w:t>成本法核算的投资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4" w:right="0"/>
              <w:jc w:val="center"/>
              <w:rPr>
                <w:rFonts w:ascii="宋体" w:hAnsi="宋体" w:cs="宋体" w:eastAsia="宋体" w:hint="default"/>
                <w:sz w:val="18"/>
                <w:szCs w:val="18"/>
              </w:rPr>
            </w:pPr>
            <w:r>
              <w:rPr>
                <w:rFonts w:ascii="宋体"/>
                <w:sz w:val="18"/>
              </w:rPr>
              <w:t>40,717,000.00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
              <w:jc w:val="right"/>
              <w:rPr>
                <w:rFonts w:ascii="宋体" w:hAnsi="宋体" w:cs="宋体" w:eastAsia="宋体" w:hint="default"/>
                <w:sz w:val="18"/>
                <w:szCs w:val="18"/>
              </w:rPr>
            </w:pPr>
            <w:r>
              <w:rPr>
                <w:rFonts w:ascii="宋体"/>
                <w:spacing w:val="-1"/>
                <w:sz w:val="18"/>
              </w:rPr>
              <w:t>40,717,000.00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宋体" w:hAnsi="宋体" w:cs="宋体" w:eastAsia="宋体" w:hint="default"/>
                <w:sz w:val="18"/>
                <w:szCs w:val="18"/>
              </w:rPr>
            </w:pPr>
            <w:r>
              <w:rPr>
                <w:rFonts w:ascii="宋体"/>
                <w:spacing w:val="-1"/>
                <w:sz w:val="18"/>
              </w:rPr>
              <w:t>40,717,000.00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40,717,000.00</w:t>
            </w:r>
          </w:p>
        </w:tc>
      </w:tr>
      <w:tr>
        <w:trPr>
          <w:trHeight w:val="310"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 w:right="0"/>
              <w:jc w:val="left"/>
              <w:rPr>
                <w:rFonts w:ascii="宋体" w:hAnsi="宋体" w:cs="宋体" w:eastAsia="宋体" w:hint="default"/>
                <w:sz w:val="18"/>
                <w:szCs w:val="18"/>
              </w:rPr>
            </w:pPr>
            <w:r>
              <w:rPr>
                <w:rFonts w:ascii="宋体" w:hAnsi="宋体" w:cs="宋体" w:eastAsia="宋体" w:hint="default"/>
                <w:sz w:val="18"/>
                <w:szCs w:val="18"/>
              </w:rPr>
              <w:t>其中：对其他企业投资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4" w:right="0"/>
              <w:jc w:val="center"/>
              <w:rPr>
                <w:rFonts w:ascii="宋体" w:hAnsi="宋体" w:cs="宋体" w:eastAsia="宋体" w:hint="default"/>
                <w:sz w:val="18"/>
                <w:szCs w:val="18"/>
              </w:rPr>
            </w:pPr>
            <w:r>
              <w:rPr>
                <w:rFonts w:ascii="宋体"/>
                <w:sz w:val="18"/>
              </w:rPr>
              <w:t>40,717,000.00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40,717,000.00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宋体" w:hAnsi="宋体" w:cs="宋体" w:eastAsia="宋体" w:hint="default"/>
                <w:sz w:val="18"/>
                <w:szCs w:val="18"/>
              </w:rPr>
            </w:pPr>
            <w:r>
              <w:rPr>
                <w:rFonts w:ascii="宋体"/>
                <w:spacing w:val="-1"/>
                <w:sz w:val="18"/>
              </w:rPr>
              <w:t>40,717,000.00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40,717,000.00</w:t>
            </w:r>
          </w:p>
        </w:tc>
      </w:tr>
      <w:tr>
        <w:trPr>
          <w:trHeight w:val="319" w:hRule="exact"/>
        </w:trPr>
        <w:tc>
          <w:tcPr>
            <w:tcW w:w="1971" w:type="dxa"/>
            <w:tcBorders>
              <w:top w:val="single" w:sz="4" w:space="0" w:color="000000"/>
              <w:left w:val="single" w:sz="4" w:space="0" w:color="000000"/>
              <w:bottom w:val="single" w:sz="12" w:space="0" w:color="000000"/>
              <w:right w:val="single" w:sz="4" w:space="0" w:color="000000"/>
            </w:tcBorders>
          </w:tcPr>
          <w:p>
            <w:pPr>
              <w:pStyle w:val="TableParagraph"/>
              <w:tabs>
                <w:tab w:pos="455" w:val="left" w:leader="none"/>
              </w:tabs>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34" w:right="0"/>
              <w:jc w:val="center"/>
              <w:rPr>
                <w:rFonts w:ascii="宋体" w:hAnsi="宋体" w:cs="宋体" w:eastAsia="宋体" w:hint="default"/>
                <w:sz w:val="18"/>
                <w:szCs w:val="18"/>
              </w:rPr>
            </w:pPr>
            <w:r>
              <w:rPr>
                <w:rFonts w:ascii="宋体"/>
                <w:sz w:val="18"/>
              </w:rPr>
              <w:t>40,717,000.00</w:t>
            </w:r>
          </w:p>
        </w:tc>
        <w:tc>
          <w:tcPr>
            <w:tcW w:w="1332" w:type="dxa"/>
            <w:tcBorders>
              <w:top w:val="single" w:sz="4" w:space="0" w:color="000000"/>
              <w:left w:val="single" w:sz="4" w:space="0" w:color="000000"/>
              <w:bottom w:val="single" w:sz="12" w:space="0" w:color="000000"/>
              <w:right w:val="single" w:sz="4" w:space="0" w:color="000000"/>
            </w:tcBorders>
          </w:tcPr>
          <w:p>
            <w:pP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40,717,000.00</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3"/>
              <w:jc w:val="right"/>
              <w:rPr>
                <w:rFonts w:ascii="宋体" w:hAnsi="宋体" w:cs="宋体" w:eastAsia="宋体" w:hint="default"/>
                <w:sz w:val="18"/>
                <w:szCs w:val="18"/>
              </w:rPr>
            </w:pPr>
            <w:r>
              <w:rPr>
                <w:rFonts w:ascii="宋体"/>
                <w:spacing w:val="-1"/>
                <w:sz w:val="18"/>
              </w:rPr>
              <w:t>40,717,000.00</w:t>
            </w:r>
          </w:p>
        </w:tc>
        <w:tc>
          <w:tcPr>
            <w:tcW w:w="1190" w:type="dxa"/>
            <w:tcBorders>
              <w:top w:val="single" w:sz="4" w:space="0" w:color="000000"/>
              <w:left w:val="single" w:sz="4" w:space="0" w:color="000000"/>
              <w:bottom w:val="single" w:sz="12" w:space="0" w:color="000000"/>
              <w:right w:val="single" w:sz="4" w:space="0" w:color="000000"/>
            </w:tcBorders>
          </w:tcPr>
          <w:p>
            <w:pP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40,717,000.00</w:t>
            </w:r>
          </w:p>
        </w:tc>
      </w:tr>
    </w:tbl>
    <w:p>
      <w:pPr>
        <w:pStyle w:val="BodyText"/>
        <w:spacing w:line="240" w:lineRule="auto" w:before="24"/>
        <w:ind w:left="624" w:right="1697"/>
        <w:jc w:val="left"/>
      </w:pPr>
      <w:r>
        <w:rPr/>
        <w:t>（</w:t>
      </w:r>
      <w:r>
        <w:rPr>
          <w:rFonts w:ascii="宋体" w:hAnsi="宋体" w:cs="宋体" w:eastAsia="宋体" w:hint="default"/>
        </w:rPr>
        <w:t>2</w:t>
      </w:r>
      <w:r>
        <w:rPr/>
        <w:t>）按成本法核算的长期股权投资：</w:t>
      </w:r>
    </w:p>
    <w:p>
      <w:pPr>
        <w:spacing w:line="240" w:lineRule="auto" w:before="8"/>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2732"/>
        <w:gridCol w:w="734"/>
        <w:gridCol w:w="1155"/>
        <w:gridCol w:w="1154"/>
        <w:gridCol w:w="1157"/>
        <w:gridCol w:w="1154"/>
        <w:gridCol w:w="915"/>
        <w:gridCol w:w="974"/>
      </w:tblGrid>
      <w:tr>
        <w:trPr>
          <w:trHeight w:val="499" w:hRule="exact"/>
        </w:trPr>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72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3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80" w:right="182"/>
              <w:jc w:val="left"/>
              <w:rPr>
                <w:rFonts w:ascii="宋体" w:hAnsi="宋体" w:cs="宋体" w:eastAsia="宋体" w:hint="default"/>
                <w:sz w:val="18"/>
                <w:szCs w:val="18"/>
              </w:rPr>
            </w:pPr>
            <w:r>
              <w:rPr>
                <w:rFonts w:ascii="宋体" w:hAnsi="宋体" w:cs="宋体" w:eastAsia="宋体" w:hint="default"/>
                <w:sz w:val="18"/>
                <w:szCs w:val="18"/>
              </w:rPr>
              <w:t>投资 比例</w:t>
            </w:r>
          </w:p>
        </w:tc>
        <w:tc>
          <w:tcPr>
            <w:tcW w:w="1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302" w:right="212" w:hanging="89"/>
              <w:jc w:val="left"/>
              <w:rPr>
                <w:rFonts w:ascii="宋体" w:hAnsi="宋体" w:cs="宋体" w:eastAsia="宋体" w:hint="default"/>
                <w:sz w:val="18"/>
                <w:szCs w:val="18"/>
              </w:rPr>
            </w:pPr>
            <w:r>
              <w:rPr>
                <w:rFonts w:ascii="宋体" w:hAnsi="宋体" w:cs="宋体" w:eastAsia="宋体" w:hint="default"/>
                <w:sz w:val="18"/>
                <w:szCs w:val="18"/>
              </w:rPr>
              <w:t>本期投资 增减额</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15"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91" w:right="9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7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211" w:right="21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40" w:hRule="exact"/>
        </w:trPr>
        <w:tc>
          <w:tcPr>
            <w:tcW w:w="2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8"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91" w:right="0"/>
              <w:jc w:val="left"/>
              <w:rPr>
                <w:rFonts w:ascii="宋体" w:hAnsi="宋体" w:cs="宋体" w:eastAsia="宋体" w:hint="default"/>
                <w:sz w:val="18"/>
                <w:szCs w:val="18"/>
              </w:rPr>
            </w:pPr>
            <w:r>
              <w:rPr>
                <w:rFonts w:ascii="宋体"/>
                <w:sz w:val="18"/>
              </w:rPr>
              <w:t>10.00%</w:t>
            </w:r>
          </w:p>
        </w:tc>
        <w:tc>
          <w:tcPr>
            <w:tcW w:w="11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5"/>
              <w:jc w:val="right"/>
              <w:rPr>
                <w:rFonts w:ascii="Calibri" w:hAnsi="Calibri" w:cs="Calibri" w:eastAsia="Calibri" w:hint="default"/>
                <w:sz w:val="18"/>
                <w:szCs w:val="18"/>
              </w:rPr>
            </w:pPr>
            <w:r>
              <w:rPr>
                <w:rFonts w:ascii="Calibri"/>
                <w:sz w:val="18"/>
              </w:rPr>
              <w:t>150,000.00</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150,000.00</w:t>
            </w:r>
          </w:p>
        </w:tc>
        <w:tc>
          <w:tcPr>
            <w:tcW w:w="1157" w:type="dxa"/>
            <w:vMerge w:val="restart"/>
            <w:tcBorders>
              <w:top w:val="single" w:sz="4" w:space="0" w:color="000000"/>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150,000.00</w:t>
            </w:r>
          </w:p>
        </w:tc>
        <w:tc>
          <w:tcPr>
            <w:tcW w:w="91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r>
      <w:tr>
        <w:trPr>
          <w:trHeight w:val="30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 w:right="0"/>
              <w:jc w:val="left"/>
              <w:rPr>
                <w:rFonts w:ascii="宋体" w:hAnsi="宋体" w:cs="宋体" w:eastAsia="宋体" w:hint="default"/>
                <w:sz w:val="18"/>
                <w:szCs w:val="18"/>
              </w:rPr>
            </w:pPr>
            <w:r>
              <w:rPr>
                <w:rFonts w:ascii="宋体" w:hAnsi="宋体" w:cs="宋体" w:eastAsia="宋体" w:hint="default"/>
                <w:sz w:val="18"/>
                <w:szCs w:val="18"/>
              </w:rPr>
              <w:t>深圳市东华合创信息技术有限公司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91" w:right="0"/>
              <w:jc w:val="left"/>
              <w:rPr>
                <w:rFonts w:ascii="宋体" w:hAnsi="宋体" w:cs="宋体" w:eastAsia="宋体" w:hint="default"/>
                <w:sz w:val="18"/>
                <w:szCs w:val="18"/>
              </w:rPr>
            </w:pPr>
            <w:r>
              <w:rPr>
                <w:rFonts w:ascii="宋体"/>
                <w:sz w:val="18"/>
              </w:rPr>
              <w:t>10.00%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Calibri" w:hAnsi="Calibri" w:cs="Calibri" w:eastAsia="Calibri" w:hint="default"/>
                <w:sz w:val="18"/>
                <w:szCs w:val="18"/>
              </w:rPr>
            </w:pPr>
            <w:r>
              <w:rPr>
                <w:rFonts w:ascii="Calibri"/>
                <w:sz w:val="18"/>
              </w:rPr>
              <w:t>100,000.00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100,000.00</w:t>
            </w:r>
          </w:p>
        </w:tc>
        <w:tc>
          <w:tcPr>
            <w:tcW w:w="1157"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100,000.00</w:t>
            </w:r>
          </w:p>
        </w:tc>
        <w:tc>
          <w:tcPr>
            <w:tcW w:w="91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0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34" w:right="0"/>
              <w:jc w:val="left"/>
              <w:rPr>
                <w:rFonts w:ascii="宋体" w:hAnsi="宋体" w:cs="宋体" w:eastAsia="宋体" w:hint="default"/>
                <w:sz w:val="18"/>
                <w:szCs w:val="18"/>
              </w:rPr>
            </w:pPr>
            <w:r>
              <w:rPr>
                <w:rFonts w:ascii="宋体"/>
                <w:sz w:val="18"/>
              </w:rPr>
              <w:t>4.53%</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9,867,000.00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9,867,000.00</w:t>
            </w:r>
          </w:p>
        </w:tc>
        <w:tc>
          <w:tcPr>
            <w:tcW w:w="1157"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9,867,000.00</w:t>
            </w:r>
          </w:p>
        </w:tc>
        <w:tc>
          <w:tcPr>
            <w:tcW w:w="91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0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 w:right="0"/>
              <w:jc w:val="left"/>
              <w:rPr>
                <w:rFonts w:ascii="宋体" w:hAnsi="宋体" w:cs="宋体" w:eastAsia="宋体" w:hint="default"/>
                <w:sz w:val="18"/>
                <w:szCs w:val="18"/>
              </w:rPr>
            </w:pPr>
            <w:r>
              <w:rPr>
                <w:rFonts w:ascii="宋体" w:hAnsi="宋体" w:cs="宋体" w:eastAsia="宋体" w:hint="default"/>
                <w:sz w:val="18"/>
                <w:szCs w:val="18"/>
              </w:rPr>
              <w:t>北京东方通科技有限公司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sz w:val="18"/>
              </w:rPr>
              <w:t>11.50%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28,600,000.00</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28,600,000.00</w:t>
            </w:r>
          </w:p>
        </w:tc>
        <w:tc>
          <w:tcPr>
            <w:tcW w:w="1157"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28,600,000.00</w:t>
            </w:r>
          </w:p>
        </w:tc>
        <w:tc>
          <w:tcPr>
            <w:tcW w:w="91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270" w:hRule="exact"/>
        </w:trPr>
        <w:tc>
          <w:tcPr>
            <w:tcW w:w="273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8"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46" w:right="0"/>
              <w:jc w:val="left"/>
              <w:rPr>
                <w:rFonts w:ascii="宋体" w:hAnsi="宋体" w:cs="宋体" w:eastAsia="宋体" w:hint="default"/>
                <w:sz w:val="18"/>
                <w:szCs w:val="18"/>
              </w:rPr>
            </w:pPr>
            <w:r>
              <w:rPr>
                <w:rFonts w:ascii="宋体"/>
                <w:sz w:val="18"/>
              </w:rPr>
              <w:t>4.76%</w:t>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2,000,000.00</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2,000,000.00</w:t>
            </w:r>
          </w:p>
        </w:tc>
        <w:tc>
          <w:tcPr>
            <w:tcW w:w="1157"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2,000,000.00</w:t>
            </w:r>
          </w:p>
        </w:tc>
        <w:tc>
          <w:tcPr>
            <w:tcW w:w="91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r>
        <w:trPr>
          <w:trHeight w:val="319" w:hRule="exact"/>
        </w:trPr>
        <w:tc>
          <w:tcPr>
            <w:tcW w:w="2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3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12" w:space="0" w:color="000000"/>
              <w:right w:val="single" w:sz="4" w:space="0" w:color="000000"/>
            </w:tcBorders>
          </w:tcPr>
          <w:p>
            <w:pP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pacing w:val="-1"/>
                <w:sz w:val="18"/>
              </w:rPr>
              <w:t>40,717,000.00</w:t>
            </w:r>
            <w:r>
              <w:rPr>
                <w:rFonts w:ascii="Calibri"/>
                <w:sz w:val="18"/>
              </w:rPr>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pacing w:val="-1"/>
                <w:sz w:val="18"/>
              </w:rPr>
              <w:t>40,717,000.00</w:t>
            </w:r>
            <w:r>
              <w:rPr>
                <w:rFonts w:ascii="Calibri"/>
                <w:sz w:val="18"/>
              </w:rPr>
            </w:r>
          </w:p>
        </w:tc>
        <w:tc>
          <w:tcPr>
            <w:tcW w:w="1157" w:type="dxa"/>
            <w:tcBorders>
              <w:top w:val="single" w:sz="4" w:space="0" w:color="000000"/>
              <w:left w:val="single" w:sz="4" w:space="0" w:color="000000"/>
              <w:bottom w:val="single" w:sz="12" w:space="0" w:color="000000"/>
              <w:right w:val="single" w:sz="4" w:space="0" w:color="000000"/>
            </w:tcBorders>
          </w:tcPr>
          <w:p>
            <w:pP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pacing w:val="-1"/>
                <w:sz w:val="18"/>
              </w:rPr>
              <w:t>40,717,000.00</w:t>
            </w:r>
            <w:r>
              <w:rPr>
                <w:rFonts w:ascii="Calibri"/>
                <w:sz w:val="18"/>
              </w:rPr>
            </w:r>
          </w:p>
        </w:tc>
        <w:tc>
          <w:tcPr>
            <w:tcW w:w="915" w:type="dxa"/>
            <w:tcBorders>
              <w:top w:val="single" w:sz="4" w:space="0" w:color="000000"/>
              <w:left w:val="single" w:sz="4" w:space="0" w:color="000000"/>
              <w:bottom w:val="single" w:sz="12" w:space="0" w:color="000000"/>
              <w:right w:val="single" w:sz="4" w:space="0" w:color="000000"/>
            </w:tcBorders>
          </w:tcPr>
          <w:p>
            <w:pPr/>
          </w:p>
        </w:tc>
        <w:tc>
          <w:tcPr>
            <w:tcW w:w="974" w:type="dxa"/>
            <w:tcBorders>
              <w:top w:val="single" w:sz="4" w:space="0" w:color="000000"/>
              <w:left w:val="single" w:sz="4" w:space="0" w:color="000000"/>
              <w:bottom w:val="single" w:sz="12" w:space="0" w:color="000000"/>
              <w:right w:val="single" w:sz="4" w:space="0" w:color="000000"/>
            </w:tcBorders>
          </w:tcPr>
          <w:p>
            <w:pPr/>
          </w:p>
        </w:tc>
      </w:tr>
    </w:tbl>
    <w:p>
      <w:pPr>
        <w:pStyle w:val="BodyText"/>
        <w:spacing w:line="240" w:lineRule="auto" w:before="3"/>
        <w:ind w:left="624" w:right="1697"/>
        <w:jc w:val="left"/>
      </w:pPr>
      <w:r>
        <w:rPr/>
        <w:t>（</w:t>
      </w:r>
      <w:r>
        <w:rPr>
          <w:rFonts w:ascii="宋体" w:hAnsi="宋体" w:cs="宋体" w:eastAsia="宋体" w:hint="default"/>
        </w:rPr>
        <w:t>3</w:t>
      </w:r>
      <w:r>
        <w:rPr/>
        <w:t>）被投资单位主要信息如下：</w:t>
      </w:r>
    </w:p>
    <w:p>
      <w:pPr>
        <w:spacing w:line="240" w:lineRule="auto" w:before="7"/>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732"/>
        <w:gridCol w:w="629"/>
        <w:gridCol w:w="2732"/>
        <w:gridCol w:w="1364"/>
        <w:gridCol w:w="1181"/>
        <w:gridCol w:w="1340"/>
      </w:tblGrid>
      <w:tr>
        <w:trPr>
          <w:trHeight w:val="502" w:hRule="exact"/>
        </w:trPr>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4"/>
              <w:ind w:right="2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right="2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01" w:lineRule="exact"/>
              <w:ind w:right="22"/>
              <w:jc w:val="center"/>
              <w:rPr>
                <w:rFonts w:ascii="宋体" w:hAnsi="宋体" w:cs="宋体" w:eastAsia="宋体" w:hint="default"/>
                <w:sz w:val="18"/>
                <w:szCs w:val="18"/>
              </w:rPr>
            </w:pPr>
            <w:r>
              <w:rPr>
                <w:rFonts w:ascii="宋体" w:hAnsi="宋体" w:cs="宋体" w:eastAsia="宋体" w:hint="default"/>
                <w:sz w:val="18"/>
                <w:szCs w:val="18"/>
              </w:rPr>
              <w:t>本公司合计持</w:t>
            </w:r>
          </w:p>
          <w:p>
            <w:pPr>
              <w:pStyle w:val="TableParagraph"/>
              <w:spacing w:line="240" w:lineRule="auto" w:before="4"/>
              <w:ind w:right="24"/>
              <w:jc w:val="center"/>
              <w:rPr>
                <w:rFonts w:ascii="宋体" w:hAnsi="宋体" w:cs="宋体" w:eastAsia="宋体" w:hint="default"/>
                <w:sz w:val="18"/>
                <w:szCs w:val="18"/>
              </w:rPr>
            </w:pPr>
            <w:r>
              <w:rPr>
                <w:rFonts w:ascii="宋体" w:hAnsi="宋体" w:cs="宋体" w:eastAsia="宋体" w:hint="default"/>
                <w:sz w:val="18"/>
                <w:szCs w:val="18"/>
              </w:rPr>
              <w:t>股比例</w:t>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01" w:lineRule="exact"/>
              <w:ind w:left="112" w:right="0" w:hanging="92"/>
              <w:jc w:val="left"/>
              <w:rPr>
                <w:rFonts w:ascii="宋体" w:hAnsi="宋体" w:cs="宋体" w:eastAsia="宋体" w:hint="default"/>
                <w:sz w:val="18"/>
                <w:szCs w:val="18"/>
              </w:rPr>
            </w:pPr>
            <w:r>
              <w:rPr>
                <w:rFonts w:ascii="宋体" w:hAnsi="宋体" w:cs="宋体" w:eastAsia="宋体" w:hint="default"/>
                <w:sz w:val="18"/>
                <w:szCs w:val="18"/>
              </w:rPr>
              <w:t>本公司合计享有</w:t>
            </w:r>
          </w:p>
          <w:p>
            <w:pPr>
              <w:pStyle w:val="TableParagraph"/>
              <w:spacing w:line="240" w:lineRule="auto" w:before="4"/>
              <w:ind w:left="112" w:right="0"/>
              <w:jc w:val="left"/>
              <w:rPr>
                <w:rFonts w:ascii="宋体" w:hAnsi="宋体" w:cs="宋体" w:eastAsia="宋体" w:hint="default"/>
                <w:sz w:val="18"/>
                <w:szCs w:val="18"/>
              </w:rPr>
            </w:pPr>
            <w:r>
              <w:rPr>
                <w:rFonts w:ascii="宋体" w:hAnsi="宋体" w:cs="宋体" w:eastAsia="宋体" w:hint="default"/>
                <w:sz w:val="18"/>
                <w:szCs w:val="18"/>
              </w:rPr>
              <w:t>的表决权比例</w:t>
            </w:r>
          </w:p>
        </w:tc>
      </w:tr>
      <w:tr>
        <w:trPr>
          <w:trHeight w:val="597" w:hRule="exact"/>
        </w:trPr>
        <w:tc>
          <w:tcPr>
            <w:tcW w:w="2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6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2732" w:type="dxa"/>
            <w:tcBorders>
              <w:top w:val="single" w:sz="4" w:space="0" w:color="000000"/>
              <w:left w:val="single" w:sz="4" w:space="0" w:color="000000"/>
              <w:bottom w:val="nil" w:sz="6" w:space="0" w:color="auto"/>
              <w:right w:val="single" w:sz="4" w:space="0" w:color="000000"/>
            </w:tcBorders>
          </w:tcPr>
          <w:p>
            <w:pPr>
              <w:pStyle w:val="TableParagraph"/>
              <w:spacing w:line="295" w:lineRule="auto" w:before="20"/>
              <w:ind w:left="79" w:right="120"/>
              <w:jc w:val="left"/>
              <w:rPr>
                <w:rFonts w:ascii="宋体" w:hAnsi="宋体" w:cs="宋体" w:eastAsia="宋体" w:hint="default"/>
                <w:sz w:val="18"/>
                <w:szCs w:val="18"/>
              </w:rPr>
            </w:pPr>
            <w:r>
              <w:rPr>
                <w:rFonts w:ascii="宋体" w:hAnsi="宋体" w:cs="宋体" w:eastAsia="宋体" w:hint="default"/>
                <w:sz w:val="18"/>
                <w:szCs w:val="18"/>
              </w:rPr>
              <w:t>计算机技术开发、转让、咨询； 销售计算机软硬件及外围设备。</w:t>
            </w:r>
          </w:p>
        </w:tc>
        <w:tc>
          <w:tcPr>
            <w:tcW w:w="13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2"/>
              <w:jc w:val="right"/>
              <w:rPr>
                <w:rFonts w:ascii="宋体" w:hAnsi="宋体" w:cs="宋体" w:eastAsia="宋体" w:hint="default"/>
                <w:sz w:val="18"/>
                <w:szCs w:val="18"/>
              </w:rPr>
            </w:pPr>
            <w:r>
              <w:rPr>
                <w:rFonts w:ascii="宋体" w:hAnsi="宋体" w:cs="宋体" w:eastAsia="宋体" w:hint="default"/>
                <w:sz w:val="18"/>
                <w:szCs w:val="18"/>
              </w:rPr>
              <w:t>RMB150</w:t>
            </w:r>
            <w:r>
              <w:rPr>
                <w:rFonts w:ascii="宋体" w:hAnsi="宋体" w:cs="宋体" w:eastAsia="宋体" w:hint="default"/>
                <w:sz w:val="18"/>
                <w:szCs w:val="18"/>
              </w:rPr>
              <w:t>万元</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340" w:right="0"/>
              <w:jc w:val="left"/>
              <w:rPr>
                <w:rFonts w:ascii="宋体" w:hAnsi="宋体" w:cs="宋体" w:eastAsia="宋体" w:hint="default"/>
                <w:sz w:val="18"/>
                <w:szCs w:val="18"/>
              </w:rPr>
            </w:pPr>
            <w:r>
              <w:rPr>
                <w:rFonts w:ascii="宋体"/>
                <w:sz w:val="18"/>
              </w:rPr>
              <w:t>10.00%</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81" w:right="0"/>
              <w:jc w:val="left"/>
              <w:rPr>
                <w:rFonts w:ascii="宋体" w:hAnsi="宋体" w:cs="宋体" w:eastAsia="宋体" w:hint="default"/>
                <w:sz w:val="18"/>
                <w:szCs w:val="18"/>
              </w:rPr>
            </w:pPr>
            <w:r>
              <w:rPr>
                <w:rFonts w:ascii="宋体"/>
                <w:sz w:val="18"/>
              </w:rPr>
              <w:t>10.00%</w:t>
            </w:r>
          </w:p>
        </w:tc>
      </w:tr>
      <w:tr>
        <w:trPr>
          <w:trHeight w:val="86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sz w:val="18"/>
                <w:szCs w:val="18"/>
              </w:rPr>
              <w:t>深圳市东华合创信息技术有限公司</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95" w:lineRule="auto" w:before="9"/>
              <w:ind w:left="79" w:right="120"/>
              <w:jc w:val="both"/>
              <w:rPr>
                <w:rFonts w:ascii="宋体" w:hAnsi="宋体" w:cs="宋体" w:eastAsia="宋体" w:hint="default"/>
                <w:sz w:val="18"/>
                <w:szCs w:val="18"/>
              </w:rPr>
            </w:pPr>
            <w:r>
              <w:rPr>
                <w:rFonts w:ascii="宋体" w:hAnsi="宋体" w:cs="宋体" w:eastAsia="宋体" w:hint="default"/>
                <w:sz w:val="18"/>
                <w:szCs w:val="18"/>
              </w:rPr>
              <w:t>计算机软硬件的开发、咨询、技 术服务（不含限制项目）；系统 集成。</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hAnsi="宋体" w:cs="宋体" w:eastAsia="宋体" w:hint="default"/>
                <w:sz w:val="18"/>
                <w:szCs w:val="18"/>
              </w:rPr>
              <w:t>RMB100</w:t>
            </w:r>
            <w:r>
              <w:rPr>
                <w:rFonts w:ascii="宋体" w:hAnsi="宋体" w:cs="宋体" w:eastAsia="宋体" w:hint="default"/>
                <w:sz w:val="18"/>
                <w:szCs w:val="18"/>
              </w:rPr>
              <w:t>万元</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340" w:right="0"/>
              <w:jc w:val="left"/>
              <w:rPr>
                <w:rFonts w:ascii="宋体" w:hAnsi="宋体" w:cs="宋体" w:eastAsia="宋体" w:hint="default"/>
                <w:sz w:val="18"/>
                <w:szCs w:val="18"/>
              </w:rPr>
            </w:pPr>
            <w:r>
              <w:rPr>
                <w:rFonts w:ascii="宋体"/>
                <w:sz w:val="18"/>
              </w:rPr>
              <w:t>10.00%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81" w:right="0"/>
              <w:jc w:val="left"/>
              <w:rPr>
                <w:rFonts w:ascii="宋体" w:hAnsi="宋体" w:cs="宋体" w:eastAsia="宋体" w:hint="default"/>
                <w:sz w:val="18"/>
                <w:szCs w:val="18"/>
              </w:rPr>
            </w:pPr>
            <w:r>
              <w:rPr>
                <w:rFonts w:ascii="宋体"/>
                <w:sz w:val="18"/>
              </w:rPr>
              <w:t>10.00%</w:t>
            </w:r>
          </w:p>
        </w:tc>
      </w:tr>
      <w:tr>
        <w:trPr>
          <w:trHeight w:val="871"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宁国市</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95" w:lineRule="auto" w:before="9"/>
              <w:ind w:left="79" w:right="120"/>
              <w:jc w:val="both"/>
              <w:rPr>
                <w:rFonts w:ascii="宋体" w:hAnsi="宋体" w:cs="宋体" w:eastAsia="宋体" w:hint="default"/>
                <w:sz w:val="18"/>
                <w:szCs w:val="18"/>
              </w:rPr>
            </w:pPr>
            <w:r>
              <w:rPr>
                <w:rFonts w:ascii="宋体" w:hAnsi="宋体" w:cs="宋体" w:eastAsia="宋体" w:hint="default"/>
                <w:sz w:val="18"/>
                <w:szCs w:val="18"/>
              </w:rPr>
              <w:t>家禽家畜育种、养殖、加工、收 购、销售；饲料加工、销售；粮 食收购；养殖技术咨询。</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hAnsi="宋体" w:cs="宋体" w:eastAsia="宋体" w:hint="default"/>
                <w:sz w:val="18"/>
                <w:szCs w:val="18"/>
              </w:rPr>
              <w:t>RMB6,000</w:t>
            </w:r>
            <w:r>
              <w:rPr>
                <w:rFonts w:ascii="宋体" w:hAnsi="宋体" w:cs="宋体" w:eastAsia="宋体" w:hint="default"/>
                <w:sz w:val="18"/>
                <w:szCs w:val="18"/>
              </w:rPr>
              <w:t>万元</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386" w:right="0"/>
              <w:jc w:val="left"/>
              <w:rPr>
                <w:rFonts w:ascii="宋体" w:hAnsi="宋体" w:cs="宋体" w:eastAsia="宋体" w:hint="default"/>
                <w:sz w:val="18"/>
                <w:szCs w:val="18"/>
              </w:rPr>
            </w:pPr>
            <w:r>
              <w:rPr>
                <w:rFonts w:ascii="宋体"/>
                <w:sz w:val="18"/>
              </w:rPr>
              <w:t>4.98%</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427" w:right="0"/>
              <w:jc w:val="left"/>
              <w:rPr>
                <w:rFonts w:ascii="宋体" w:hAnsi="宋体" w:cs="宋体" w:eastAsia="宋体" w:hint="default"/>
                <w:sz w:val="18"/>
                <w:szCs w:val="18"/>
              </w:rPr>
            </w:pPr>
            <w:r>
              <w:rPr>
                <w:rFonts w:ascii="宋体"/>
                <w:sz w:val="18"/>
              </w:rPr>
              <w:t>4.98%</w:t>
            </w:r>
          </w:p>
        </w:tc>
      </w:tr>
      <w:tr>
        <w:trPr>
          <w:trHeight w:val="2308"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5" w:right="0"/>
              <w:jc w:val="left"/>
              <w:rPr>
                <w:rFonts w:ascii="宋体" w:hAnsi="宋体" w:cs="宋体" w:eastAsia="宋体" w:hint="default"/>
                <w:sz w:val="18"/>
                <w:szCs w:val="18"/>
              </w:rPr>
            </w:pPr>
            <w:r>
              <w:rPr>
                <w:rFonts w:ascii="宋体" w:hAnsi="宋体" w:cs="宋体" w:eastAsia="宋体" w:hint="default"/>
                <w:sz w:val="18"/>
                <w:szCs w:val="18"/>
              </w:rPr>
              <w:t>北京东方通科技有限公司</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95" w:lineRule="auto" w:before="9"/>
              <w:ind w:left="79" w:right="-7"/>
              <w:jc w:val="left"/>
              <w:rPr>
                <w:rFonts w:ascii="宋体" w:hAnsi="宋体" w:cs="宋体" w:eastAsia="宋体" w:hint="default"/>
                <w:sz w:val="18"/>
                <w:szCs w:val="18"/>
              </w:rPr>
            </w:pPr>
            <w:r>
              <w:rPr>
                <w:rFonts w:ascii="宋体" w:hAnsi="宋体" w:cs="宋体" w:eastAsia="宋体" w:hint="default"/>
                <w:sz w:val="18"/>
                <w:szCs w:val="18"/>
              </w:rPr>
              <w:t>法律、行政法规、国务院决定禁 止的，不得经营；法律、行政法 </w:t>
            </w:r>
            <w:r>
              <w:rPr>
                <w:rFonts w:ascii="宋体" w:hAnsi="宋体" w:cs="宋体" w:eastAsia="宋体" w:hint="default"/>
                <w:spacing w:val="-4"/>
                <w:sz w:val="18"/>
                <w:szCs w:val="18"/>
              </w:rPr>
              <w:t>规、国务院决定规定应经许可的，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经审批机关批准并经工商行政管 理机关登记注册后方可经营；法 律、行政法规、国务院决定未规 定许可的，自主选择经营项目开 展经营活动。</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hAnsi="宋体" w:cs="宋体" w:eastAsia="宋体" w:hint="default"/>
                <w:sz w:val="18"/>
                <w:szCs w:val="18"/>
              </w:rPr>
              <w:t>RMB4,500</w:t>
            </w:r>
            <w:r>
              <w:rPr>
                <w:rFonts w:ascii="宋体" w:hAnsi="宋体" w:cs="宋体" w:eastAsia="宋体" w:hint="default"/>
                <w:sz w:val="18"/>
                <w:szCs w:val="18"/>
              </w:rPr>
              <w:t>万元</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340" w:right="0"/>
              <w:jc w:val="left"/>
              <w:rPr>
                <w:rFonts w:ascii="宋体" w:hAnsi="宋体" w:cs="宋体" w:eastAsia="宋体" w:hint="default"/>
                <w:sz w:val="18"/>
                <w:szCs w:val="18"/>
              </w:rPr>
            </w:pPr>
            <w:r>
              <w:rPr>
                <w:rFonts w:ascii="宋体"/>
                <w:sz w:val="18"/>
              </w:rPr>
              <w:t>11.50%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81" w:right="0"/>
              <w:jc w:val="left"/>
              <w:rPr>
                <w:rFonts w:ascii="宋体" w:hAnsi="宋体" w:cs="宋体" w:eastAsia="宋体" w:hint="default"/>
                <w:sz w:val="18"/>
                <w:szCs w:val="18"/>
              </w:rPr>
            </w:pPr>
            <w:r>
              <w:rPr>
                <w:rFonts w:ascii="宋体"/>
                <w:sz w:val="18"/>
              </w:rPr>
              <w:t>11.50%</w:t>
            </w:r>
          </w:p>
        </w:tc>
      </w:tr>
    </w:tbl>
    <w:p>
      <w:pPr>
        <w:spacing w:after="0" w:line="240" w:lineRule="auto"/>
        <w:jc w:val="left"/>
        <w:rPr>
          <w:rFonts w:ascii="宋体" w:hAnsi="宋体" w:cs="宋体" w:eastAsia="宋体" w:hint="default"/>
          <w:sz w:val="18"/>
          <w:szCs w:val="18"/>
        </w:rPr>
        <w:sectPr>
          <w:pgSz w:w="12240" w:h="15840"/>
          <w:pgMar w:header="850" w:footer="956" w:top="1360" w:bottom="1140" w:left="1500" w:right="0"/>
        </w:sectPr>
      </w:pPr>
    </w:p>
    <w:tbl>
      <w:tblPr>
        <w:tblW w:w="0" w:type="auto"/>
        <w:jc w:val="left"/>
        <w:tblInd w:w="119" w:type="dxa"/>
        <w:tblLayout w:type="fixed"/>
        <w:tblCellMar>
          <w:top w:w="0" w:type="dxa"/>
          <w:left w:w="0" w:type="dxa"/>
          <w:bottom w:w="0" w:type="dxa"/>
          <w:right w:w="0" w:type="dxa"/>
        </w:tblCellMar>
        <w:tblLook w:val="01E0"/>
      </w:tblPr>
      <w:tblGrid>
        <w:gridCol w:w="2732"/>
        <w:gridCol w:w="629"/>
        <w:gridCol w:w="2732"/>
        <w:gridCol w:w="1364"/>
        <w:gridCol w:w="1181"/>
        <w:gridCol w:w="346"/>
        <w:gridCol w:w="994"/>
      </w:tblGrid>
      <w:tr>
        <w:trPr>
          <w:trHeight w:val="2931" w:hRule="exact"/>
        </w:trPr>
        <w:tc>
          <w:tcPr>
            <w:tcW w:w="2732"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27"/>
              <w:ind w:left="-5"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629"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2732" w:type="dxa"/>
            <w:tcBorders>
              <w:top w:val="single" w:sz="6" w:space="0" w:color="000000"/>
              <w:left w:val="single" w:sz="4" w:space="0" w:color="000000"/>
              <w:bottom w:val="single" w:sz="12" w:space="0" w:color="000000"/>
              <w:right w:val="single" w:sz="4" w:space="0" w:color="000000"/>
            </w:tcBorders>
          </w:tcPr>
          <w:p>
            <w:pPr>
              <w:pStyle w:val="TableParagraph"/>
              <w:spacing w:line="295" w:lineRule="auto" w:before="27"/>
              <w:ind w:left="79" w:right="120"/>
              <w:jc w:val="both"/>
              <w:rPr>
                <w:rFonts w:ascii="宋体" w:hAnsi="宋体" w:cs="宋体" w:eastAsia="宋体" w:hint="default"/>
                <w:sz w:val="18"/>
                <w:szCs w:val="18"/>
              </w:rPr>
            </w:pPr>
            <w:r>
              <w:rPr>
                <w:rFonts w:ascii="宋体" w:hAnsi="宋体" w:cs="宋体" w:eastAsia="宋体" w:hint="default"/>
                <w:sz w:val="18"/>
                <w:szCs w:val="18"/>
              </w:rPr>
              <w:t>计算机软、硬件研发、测试、销 售及租赁服务、提供电子政务和 电子商务软件的全面解决方案； 提供家电讯、家电、医药等应用 软件的解决方案；提供机械制造 信息化管理和客户服务管理等的 全面解决方案；承接网络工程、 系统集成、汽车零部件及化工产 品的销售；货物进出口、技术进 出口。</w:t>
            </w:r>
          </w:p>
        </w:tc>
        <w:tc>
          <w:tcPr>
            <w:tcW w:w="1364"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RMB1,050</w:t>
            </w:r>
            <w:r>
              <w:rPr>
                <w:rFonts w:ascii="宋体" w:hAnsi="宋体" w:cs="宋体" w:eastAsia="宋体" w:hint="default"/>
                <w:sz w:val="18"/>
                <w:szCs w:val="18"/>
              </w:rPr>
              <w:t>万元</w:t>
            </w:r>
          </w:p>
        </w:tc>
        <w:tc>
          <w:tcPr>
            <w:tcW w:w="1181"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sz w:val="18"/>
              </w:rPr>
              <w:t>4.76%</w:t>
            </w:r>
          </w:p>
        </w:tc>
        <w:tc>
          <w:tcPr>
            <w:tcW w:w="346" w:type="dxa"/>
            <w:tcBorders>
              <w:top w:val="single" w:sz="6" w:space="0" w:color="000000"/>
              <w:left w:val="single" w:sz="4" w:space="0" w:color="000000"/>
              <w:bottom w:val="single" w:sz="12" w:space="0" w:color="000000"/>
              <w:right w:val="nil" w:sz="6" w:space="0" w:color="auto"/>
            </w:tcBorders>
          </w:tcPr>
          <w:p>
            <w:pPr/>
          </w:p>
        </w:tc>
        <w:tc>
          <w:tcPr>
            <w:tcW w:w="994" w:type="dxa"/>
            <w:tcBorders>
              <w:top w:val="nil" w:sz="6" w:space="0" w:color="auto"/>
              <w:left w:val="nil" w:sz="6" w:space="0" w:color="auto"/>
              <w:bottom w:val="single" w:sz="12" w:space="0" w:color="000000"/>
              <w:right w:val="single" w:sz="4" w:space="0" w:color="000000"/>
            </w:tcBorders>
          </w:tcPr>
          <w:p>
            <w:pPr>
              <w:pStyle w:val="TableParagraph"/>
              <w:spacing w:line="240" w:lineRule="auto" w:before="34"/>
              <w:ind w:left="86" w:right="0"/>
              <w:jc w:val="left"/>
              <w:rPr>
                <w:rFonts w:ascii="宋体" w:hAnsi="宋体" w:cs="宋体" w:eastAsia="宋体" w:hint="default"/>
                <w:sz w:val="18"/>
                <w:szCs w:val="18"/>
              </w:rPr>
            </w:pPr>
            <w:r>
              <w:rPr>
                <w:rFonts w:ascii="宋体"/>
                <w:sz w:val="18"/>
              </w:rPr>
              <w:t>4.76%</w:t>
            </w:r>
          </w:p>
        </w:tc>
      </w:tr>
    </w:tbl>
    <w:p>
      <w:pPr>
        <w:spacing w:before="4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before="10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）采用成本模式进行后续计量的投资性房地产情况如下</w:t>
      </w:r>
      <w:r>
        <w:rPr>
          <w:rFonts w:ascii="宋体" w:hAnsi="宋体" w:cs="宋体" w:eastAsia="宋体" w:hint="default"/>
          <w:sz w:val="21"/>
          <w:szCs w:val="21"/>
        </w:rPr>
        <w:t>:</w:t>
      </w:r>
    </w:p>
    <w:p>
      <w:pPr>
        <w:spacing w:line="240" w:lineRule="auto" w:before="8"/>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152"/>
        <w:gridCol w:w="1652"/>
        <w:gridCol w:w="1654"/>
        <w:gridCol w:w="1657"/>
        <w:gridCol w:w="1863"/>
      </w:tblGrid>
      <w:tr>
        <w:trPr>
          <w:trHeight w:val="322" w:hRule="exact"/>
        </w:trPr>
        <w:tc>
          <w:tcPr>
            <w:tcW w:w="315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5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3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19,189,415.00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
              <w:jc w:val="right"/>
              <w:rPr>
                <w:rFonts w:ascii="宋体" w:hAnsi="宋体" w:cs="宋体" w:eastAsia="宋体" w:hint="default"/>
                <w:sz w:val="21"/>
                <w:szCs w:val="21"/>
              </w:rPr>
            </w:pPr>
            <w:r>
              <w:rPr>
                <w:rFonts w:ascii="宋体"/>
                <w:spacing w:val="-1"/>
                <w:sz w:val="21"/>
              </w:rPr>
              <w:t>12,268,021.00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6,921,394.00</w:t>
            </w:r>
          </w:p>
        </w:tc>
      </w:tr>
      <w:tr>
        <w:trPr>
          <w:trHeight w:val="319" w:hRule="exact"/>
        </w:trPr>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52" w:type="dxa"/>
            <w:vMerge w:val="restart"/>
            <w:tcBorders>
              <w:top w:val="single" w:sz="4" w:space="0" w:color="000000"/>
              <w:left w:val="single" w:sz="4" w:space="0" w:color="000000"/>
              <w:right w:val="single" w:sz="4" w:space="0" w:color="000000"/>
            </w:tcBorders>
          </w:tcPr>
          <w:p>
            <w:pPr>
              <w:pStyle w:val="TableParagraph"/>
              <w:spacing w:line="270" w:lineRule="exact"/>
              <w:ind w:left="266" w:right="0"/>
              <w:jc w:val="left"/>
              <w:rPr>
                <w:rFonts w:ascii="宋体" w:hAnsi="宋体" w:cs="宋体" w:eastAsia="宋体" w:hint="default"/>
                <w:sz w:val="21"/>
                <w:szCs w:val="21"/>
              </w:rPr>
            </w:pPr>
            <w:r>
              <w:rPr>
                <w:rFonts w:ascii="宋体"/>
                <w:sz w:val="21"/>
              </w:rPr>
              <w:t>19,189,415.00</w:t>
            </w:r>
          </w:p>
        </w:tc>
        <w:tc>
          <w:tcPr>
            <w:tcW w:w="1654"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70" w:lineRule="exact"/>
              <w:ind w:left="269" w:right="0"/>
              <w:jc w:val="left"/>
              <w:rPr>
                <w:rFonts w:ascii="宋体" w:hAnsi="宋体" w:cs="宋体" w:eastAsia="宋体" w:hint="default"/>
                <w:sz w:val="21"/>
                <w:szCs w:val="21"/>
              </w:rPr>
            </w:pPr>
            <w:r>
              <w:rPr>
                <w:rFonts w:ascii="宋体"/>
                <w:sz w:val="21"/>
              </w:rPr>
              <w:t>12,268,021.00</w:t>
            </w:r>
          </w:p>
        </w:tc>
        <w:tc>
          <w:tcPr>
            <w:tcW w:w="1863" w:type="dxa"/>
            <w:vMerge w:val="restart"/>
            <w:tcBorders>
              <w:top w:val="single" w:sz="4" w:space="0" w:color="000000"/>
              <w:left w:val="single" w:sz="4" w:space="0" w:color="000000"/>
              <w:right w:val="single" w:sz="4" w:space="0" w:color="000000"/>
            </w:tcBorders>
          </w:tcPr>
          <w:p>
            <w:pPr>
              <w:pStyle w:val="TableParagraph"/>
              <w:spacing w:line="270" w:lineRule="exact"/>
              <w:ind w:left="585" w:right="0"/>
              <w:jc w:val="left"/>
              <w:rPr>
                <w:rFonts w:ascii="宋体" w:hAnsi="宋体" w:cs="宋体" w:eastAsia="宋体" w:hint="default"/>
                <w:sz w:val="21"/>
                <w:szCs w:val="21"/>
              </w:rPr>
            </w:pPr>
            <w:r>
              <w:rPr>
                <w:rFonts w:ascii="宋体"/>
                <w:sz w:val="21"/>
              </w:rPr>
              <w:t>6,921,394.00</w:t>
            </w:r>
          </w:p>
        </w:tc>
      </w:tr>
      <w:tr>
        <w:trPr>
          <w:trHeight w:val="291" w:hRule="exact"/>
        </w:trPr>
        <w:tc>
          <w:tcPr>
            <w:tcW w:w="31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652"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r>
      <w:tr>
        <w:trPr>
          <w:trHeight w:val="31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2,488,809.44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5" w:right="0"/>
              <w:jc w:val="left"/>
              <w:rPr>
                <w:rFonts w:ascii="宋体" w:hAnsi="宋体" w:cs="宋体" w:eastAsia="宋体" w:hint="default"/>
                <w:sz w:val="21"/>
                <w:szCs w:val="21"/>
              </w:rPr>
            </w:pPr>
            <w:r>
              <w:rPr>
                <w:rFonts w:ascii="宋体"/>
                <w:sz w:val="21"/>
              </w:rPr>
              <w:t>862,936.28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
              <w:jc w:val="right"/>
              <w:rPr>
                <w:rFonts w:ascii="宋体" w:hAnsi="宋体" w:cs="宋体" w:eastAsia="宋体" w:hint="default"/>
                <w:sz w:val="21"/>
                <w:szCs w:val="21"/>
              </w:rPr>
            </w:pPr>
            <w:r>
              <w:rPr>
                <w:rFonts w:ascii="宋体"/>
                <w:spacing w:val="-1"/>
                <w:sz w:val="21"/>
              </w:rPr>
              <w:t>2,255,858.36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1,095,887.36</w:t>
            </w:r>
          </w:p>
        </w:tc>
      </w:tr>
      <w:tr>
        <w:trPr>
          <w:trHeight w:val="321" w:hRule="exact"/>
        </w:trPr>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52" w:type="dxa"/>
            <w:vMerge w:val="restart"/>
            <w:tcBorders>
              <w:top w:val="single" w:sz="4" w:space="0" w:color="000000"/>
              <w:left w:val="single" w:sz="4" w:space="0" w:color="000000"/>
              <w:right w:val="single" w:sz="4" w:space="0" w:color="000000"/>
            </w:tcBorders>
          </w:tcPr>
          <w:p>
            <w:pPr>
              <w:pStyle w:val="TableParagraph"/>
              <w:spacing w:line="272" w:lineRule="exact"/>
              <w:ind w:left="371" w:right="0"/>
              <w:jc w:val="left"/>
              <w:rPr>
                <w:rFonts w:ascii="宋体" w:hAnsi="宋体" w:cs="宋体" w:eastAsia="宋体" w:hint="default"/>
                <w:sz w:val="21"/>
                <w:szCs w:val="21"/>
              </w:rPr>
            </w:pPr>
            <w:r>
              <w:rPr>
                <w:rFonts w:ascii="宋体"/>
                <w:sz w:val="21"/>
              </w:rPr>
              <w:t>2,488,809.44</w:t>
            </w:r>
          </w:p>
        </w:tc>
        <w:tc>
          <w:tcPr>
            <w:tcW w:w="1654" w:type="dxa"/>
            <w:vMerge w:val="restart"/>
            <w:tcBorders>
              <w:top w:val="single" w:sz="4" w:space="0" w:color="000000"/>
              <w:left w:val="single" w:sz="4" w:space="0" w:color="000000"/>
              <w:right w:val="single" w:sz="4" w:space="0" w:color="000000"/>
            </w:tcBorders>
          </w:tcPr>
          <w:p>
            <w:pPr>
              <w:pStyle w:val="TableParagraph"/>
              <w:spacing w:line="272" w:lineRule="exact"/>
              <w:ind w:left="585" w:right="0"/>
              <w:jc w:val="left"/>
              <w:rPr>
                <w:rFonts w:ascii="宋体" w:hAnsi="宋体" w:cs="宋体" w:eastAsia="宋体" w:hint="default"/>
                <w:sz w:val="21"/>
                <w:szCs w:val="21"/>
              </w:rPr>
            </w:pPr>
            <w:r>
              <w:rPr>
                <w:rFonts w:ascii="宋体"/>
                <w:sz w:val="21"/>
              </w:rPr>
              <w:t>862,936.28</w:t>
            </w:r>
          </w:p>
        </w:tc>
        <w:tc>
          <w:tcPr>
            <w:tcW w:w="1657" w:type="dxa"/>
            <w:vMerge w:val="restart"/>
            <w:tcBorders>
              <w:top w:val="single" w:sz="4" w:space="0" w:color="000000"/>
              <w:left w:val="single" w:sz="4" w:space="0" w:color="000000"/>
              <w:right w:val="single" w:sz="4" w:space="0" w:color="000000"/>
            </w:tcBorders>
          </w:tcPr>
          <w:p>
            <w:pPr>
              <w:pStyle w:val="TableParagraph"/>
              <w:spacing w:line="272" w:lineRule="exact"/>
              <w:ind w:left="374" w:right="0"/>
              <w:jc w:val="left"/>
              <w:rPr>
                <w:rFonts w:ascii="宋体" w:hAnsi="宋体" w:cs="宋体" w:eastAsia="宋体" w:hint="default"/>
                <w:sz w:val="21"/>
                <w:szCs w:val="21"/>
              </w:rPr>
            </w:pPr>
            <w:r>
              <w:rPr>
                <w:rFonts w:ascii="宋体"/>
                <w:sz w:val="21"/>
              </w:rPr>
              <w:t>2,255,858.36</w:t>
            </w:r>
          </w:p>
        </w:tc>
        <w:tc>
          <w:tcPr>
            <w:tcW w:w="1863" w:type="dxa"/>
            <w:vMerge w:val="restart"/>
            <w:tcBorders>
              <w:top w:val="single" w:sz="4" w:space="0" w:color="000000"/>
              <w:left w:val="single" w:sz="4" w:space="0" w:color="000000"/>
              <w:right w:val="single" w:sz="4" w:space="0" w:color="000000"/>
            </w:tcBorders>
          </w:tcPr>
          <w:p>
            <w:pPr>
              <w:pStyle w:val="TableParagraph"/>
              <w:spacing w:line="272" w:lineRule="exact"/>
              <w:ind w:left="585" w:right="0"/>
              <w:jc w:val="left"/>
              <w:rPr>
                <w:rFonts w:ascii="宋体" w:hAnsi="宋体" w:cs="宋体" w:eastAsia="宋体" w:hint="default"/>
                <w:sz w:val="21"/>
                <w:szCs w:val="21"/>
              </w:rPr>
            </w:pPr>
            <w:r>
              <w:rPr>
                <w:rFonts w:ascii="宋体"/>
                <w:sz w:val="21"/>
              </w:rPr>
              <w:t>1,095,887.36</w:t>
            </w:r>
          </w:p>
        </w:tc>
      </w:tr>
      <w:tr>
        <w:trPr>
          <w:trHeight w:val="291" w:hRule="exact"/>
        </w:trPr>
        <w:tc>
          <w:tcPr>
            <w:tcW w:w="31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652"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r>
      <w:tr>
        <w:trPr>
          <w:trHeight w:val="31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三、投资性房地产账面净值合计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16,700,605.56</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10,875,098.92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5,825,506.64</w:t>
            </w:r>
          </w:p>
        </w:tc>
      </w:tr>
      <w:tr>
        <w:trPr>
          <w:trHeight w:val="319" w:hRule="exact"/>
        </w:trPr>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52" w:type="dxa"/>
            <w:vMerge w:val="restart"/>
            <w:tcBorders>
              <w:top w:val="single" w:sz="4" w:space="0" w:color="000000"/>
              <w:left w:val="single" w:sz="4" w:space="0" w:color="000000"/>
              <w:right w:val="single" w:sz="4" w:space="0" w:color="000000"/>
            </w:tcBorders>
          </w:tcPr>
          <w:p>
            <w:pPr>
              <w:pStyle w:val="TableParagraph"/>
              <w:spacing w:line="270" w:lineRule="exact"/>
              <w:ind w:left="266" w:right="0"/>
              <w:jc w:val="left"/>
              <w:rPr>
                <w:rFonts w:ascii="宋体" w:hAnsi="宋体" w:cs="宋体" w:eastAsia="宋体" w:hint="default"/>
                <w:sz w:val="21"/>
                <w:szCs w:val="21"/>
              </w:rPr>
            </w:pPr>
            <w:r>
              <w:rPr>
                <w:rFonts w:ascii="宋体"/>
                <w:sz w:val="21"/>
              </w:rPr>
              <w:t>16,700,605.56</w:t>
            </w:r>
          </w:p>
        </w:tc>
        <w:tc>
          <w:tcPr>
            <w:tcW w:w="1654"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70" w:lineRule="exact"/>
              <w:ind w:left="271" w:right="0"/>
              <w:jc w:val="left"/>
              <w:rPr>
                <w:rFonts w:ascii="宋体" w:hAnsi="宋体" w:cs="宋体" w:eastAsia="宋体" w:hint="default"/>
                <w:sz w:val="21"/>
                <w:szCs w:val="21"/>
              </w:rPr>
            </w:pPr>
            <w:r>
              <w:rPr>
                <w:rFonts w:ascii="宋体"/>
                <w:sz w:val="21"/>
              </w:rPr>
              <w:t>10,875,098.92</w:t>
            </w:r>
          </w:p>
        </w:tc>
        <w:tc>
          <w:tcPr>
            <w:tcW w:w="1863" w:type="dxa"/>
            <w:vMerge w:val="restart"/>
            <w:tcBorders>
              <w:top w:val="single" w:sz="4" w:space="0" w:color="000000"/>
              <w:left w:val="single" w:sz="4" w:space="0" w:color="000000"/>
              <w:right w:val="single" w:sz="4" w:space="0" w:color="000000"/>
            </w:tcBorders>
          </w:tcPr>
          <w:p>
            <w:pPr>
              <w:pStyle w:val="TableParagraph"/>
              <w:spacing w:line="267" w:lineRule="exact"/>
              <w:ind w:left="489" w:right="0"/>
              <w:jc w:val="left"/>
              <w:rPr>
                <w:rFonts w:ascii="宋体" w:hAnsi="宋体" w:cs="宋体" w:eastAsia="宋体" w:hint="default"/>
                <w:sz w:val="21"/>
                <w:szCs w:val="21"/>
              </w:rPr>
            </w:pPr>
            <w:r>
              <w:rPr>
                <w:rFonts w:ascii="宋体"/>
                <w:sz w:val="21"/>
              </w:rPr>
              <w:t>5,825,506.64</w:t>
            </w:r>
          </w:p>
        </w:tc>
      </w:tr>
      <w:tr>
        <w:trPr>
          <w:trHeight w:val="291" w:hRule="exact"/>
        </w:trPr>
        <w:tc>
          <w:tcPr>
            <w:tcW w:w="31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652"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r>
      <w:tr>
        <w:trPr>
          <w:trHeight w:val="31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 w:right="0"/>
              <w:jc w:val="left"/>
              <w:rPr>
                <w:rFonts w:ascii="宋体" w:hAnsi="宋体" w:cs="宋体" w:eastAsia="宋体" w:hint="default"/>
                <w:sz w:val="21"/>
                <w:szCs w:val="21"/>
              </w:rPr>
            </w:pPr>
            <w:r>
              <w:rPr>
                <w:rFonts w:ascii="宋体" w:hAnsi="宋体" w:cs="宋体" w:eastAsia="宋体" w:hint="default"/>
                <w:sz w:val="21"/>
                <w:szCs w:val="21"/>
              </w:rPr>
              <w:t>四、减值准备和累计金额合计</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52" w:type="dxa"/>
            <w:vMerge w:val="restart"/>
            <w:tcBorders>
              <w:top w:val="single" w:sz="4" w:space="0" w:color="000000"/>
              <w:left w:val="single" w:sz="4" w:space="0" w:color="000000"/>
              <w:right w:val="single" w:sz="4" w:space="0" w:color="000000"/>
            </w:tcBorders>
          </w:tcPr>
          <w:p>
            <w:pPr/>
          </w:p>
        </w:tc>
        <w:tc>
          <w:tcPr>
            <w:tcW w:w="1654"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
        </w:tc>
        <w:tc>
          <w:tcPr>
            <w:tcW w:w="1863" w:type="dxa"/>
            <w:vMerge w:val="restart"/>
            <w:tcBorders>
              <w:top w:val="single" w:sz="4" w:space="0" w:color="000000"/>
              <w:left w:val="single" w:sz="4" w:space="0" w:color="000000"/>
              <w:right w:val="single" w:sz="4" w:space="0" w:color="000000"/>
            </w:tcBorders>
          </w:tcPr>
          <w:p>
            <w:pPr/>
          </w:p>
        </w:tc>
      </w:tr>
      <w:tr>
        <w:trPr>
          <w:trHeight w:val="291" w:hRule="exact"/>
        </w:trPr>
        <w:tc>
          <w:tcPr>
            <w:tcW w:w="31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652"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r>
      <w:tr>
        <w:trPr>
          <w:trHeight w:val="31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 w:right="0"/>
              <w:jc w:val="left"/>
              <w:rPr>
                <w:rFonts w:ascii="宋体" w:hAnsi="宋体" w:cs="宋体" w:eastAsia="宋体" w:hint="default"/>
                <w:sz w:val="21"/>
                <w:szCs w:val="21"/>
              </w:rPr>
            </w:pPr>
            <w:r>
              <w:rPr>
                <w:rFonts w:ascii="宋体" w:hAnsi="宋体" w:cs="宋体" w:eastAsia="宋体" w:hint="default"/>
                <w:sz w:val="21"/>
                <w:szCs w:val="21"/>
              </w:rPr>
              <w:t>五、投资性房地产账面价值合计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16,700,605.56</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10,875,098.92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5,825,506.64</w:t>
            </w:r>
          </w:p>
        </w:tc>
      </w:tr>
      <w:tr>
        <w:trPr>
          <w:trHeight w:val="321" w:hRule="exact"/>
        </w:trPr>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52" w:type="dxa"/>
            <w:vMerge w:val="restart"/>
            <w:tcBorders>
              <w:top w:val="single" w:sz="4" w:space="0" w:color="000000"/>
              <w:left w:val="single" w:sz="4" w:space="0" w:color="000000"/>
              <w:right w:val="single" w:sz="4" w:space="0" w:color="000000"/>
            </w:tcBorders>
          </w:tcPr>
          <w:p>
            <w:pPr>
              <w:pStyle w:val="TableParagraph"/>
              <w:spacing w:line="272" w:lineRule="exact"/>
              <w:ind w:left="266" w:right="0"/>
              <w:jc w:val="left"/>
              <w:rPr>
                <w:rFonts w:ascii="宋体" w:hAnsi="宋体" w:cs="宋体" w:eastAsia="宋体" w:hint="default"/>
                <w:sz w:val="21"/>
                <w:szCs w:val="21"/>
              </w:rPr>
            </w:pPr>
            <w:r>
              <w:rPr>
                <w:rFonts w:ascii="宋体"/>
                <w:sz w:val="21"/>
              </w:rPr>
              <w:t>16,700,605.56</w:t>
            </w:r>
          </w:p>
        </w:tc>
        <w:tc>
          <w:tcPr>
            <w:tcW w:w="1654"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72" w:lineRule="exact"/>
              <w:ind w:left="271" w:right="0"/>
              <w:jc w:val="left"/>
              <w:rPr>
                <w:rFonts w:ascii="宋体" w:hAnsi="宋体" w:cs="宋体" w:eastAsia="宋体" w:hint="default"/>
                <w:sz w:val="21"/>
                <w:szCs w:val="21"/>
              </w:rPr>
            </w:pPr>
            <w:r>
              <w:rPr>
                <w:rFonts w:ascii="宋体"/>
                <w:sz w:val="21"/>
              </w:rPr>
              <w:t>10,875,098.92</w:t>
            </w:r>
          </w:p>
        </w:tc>
        <w:tc>
          <w:tcPr>
            <w:tcW w:w="1863" w:type="dxa"/>
            <w:vMerge w:val="restart"/>
            <w:tcBorders>
              <w:top w:val="single" w:sz="4" w:space="0" w:color="000000"/>
              <w:left w:val="single" w:sz="4" w:space="0" w:color="000000"/>
              <w:right w:val="single" w:sz="4" w:space="0" w:color="000000"/>
            </w:tcBorders>
          </w:tcPr>
          <w:p>
            <w:pPr>
              <w:pStyle w:val="TableParagraph"/>
              <w:spacing w:line="270" w:lineRule="exact"/>
              <w:ind w:left="489" w:right="0"/>
              <w:jc w:val="left"/>
              <w:rPr>
                <w:rFonts w:ascii="宋体" w:hAnsi="宋体" w:cs="宋体" w:eastAsia="宋体" w:hint="default"/>
                <w:sz w:val="21"/>
                <w:szCs w:val="21"/>
              </w:rPr>
            </w:pPr>
            <w:r>
              <w:rPr>
                <w:rFonts w:ascii="宋体"/>
                <w:sz w:val="21"/>
              </w:rPr>
              <w:t>5,825,506.64</w:t>
            </w:r>
          </w:p>
        </w:tc>
      </w:tr>
      <w:tr>
        <w:trPr>
          <w:trHeight w:val="300" w:hRule="exact"/>
        </w:trPr>
        <w:tc>
          <w:tcPr>
            <w:tcW w:w="315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652" w:type="dxa"/>
            <w:vMerge/>
            <w:tcBorders>
              <w:left w:val="single" w:sz="4" w:space="0" w:color="000000"/>
              <w:bottom w:val="single" w:sz="12" w:space="0" w:color="000000"/>
              <w:right w:val="single" w:sz="4" w:space="0" w:color="000000"/>
            </w:tcBorders>
          </w:tcPr>
          <w:p>
            <w:pPr/>
          </w:p>
        </w:tc>
        <w:tc>
          <w:tcPr>
            <w:tcW w:w="1654" w:type="dxa"/>
            <w:vMerge/>
            <w:tcBorders>
              <w:left w:val="single" w:sz="4" w:space="0" w:color="000000"/>
              <w:bottom w:val="single" w:sz="12" w:space="0" w:color="000000"/>
              <w:right w:val="single" w:sz="4" w:space="0" w:color="000000"/>
            </w:tcBorders>
          </w:tcPr>
          <w:p>
            <w:pPr/>
          </w:p>
        </w:tc>
        <w:tc>
          <w:tcPr>
            <w:tcW w:w="1657" w:type="dxa"/>
            <w:vMerge/>
            <w:tcBorders>
              <w:left w:val="single" w:sz="4" w:space="0" w:color="000000"/>
              <w:bottom w:val="single" w:sz="12" w:space="0" w:color="000000"/>
              <w:right w:val="single" w:sz="4" w:space="0" w:color="000000"/>
            </w:tcBorders>
          </w:tcPr>
          <w:p>
            <w:pPr/>
          </w:p>
        </w:tc>
        <w:tc>
          <w:tcPr>
            <w:tcW w:w="1863" w:type="dxa"/>
            <w:vMerge/>
            <w:tcBorders>
              <w:left w:val="single" w:sz="4" w:space="0" w:color="000000"/>
              <w:bottom w:val="single" w:sz="12" w:space="0" w:color="000000"/>
              <w:right w:val="single" w:sz="4" w:space="0" w:color="000000"/>
            </w:tcBorders>
          </w:tcPr>
          <w:p>
            <w:pPr/>
          </w:p>
        </w:tc>
      </w:tr>
    </w:tbl>
    <w:p>
      <w:pPr>
        <w:spacing w:line="321" w:lineRule="auto" w:before="4"/>
        <w:ind w:left="544" w:right="1265" w:firstLine="0"/>
        <w:jc w:val="left"/>
        <w:rPr>
          <w:rFonts w:ascii="宋体" w:hAnsi="宋体" w:cs="宋体" w:eastAsia="宋体" w:hint="default"/>
          <w:sz w:val="21"/>
          <w:szCs w:val="21"/>
        </w:rPr>
      </w:pPr>
      <w:r>
        <w:rPr>
          <w:rFonts w:ascii="宋体" w:hAnsi="宋体" w:cs="宋体" w:eastAsia="宋体" w:hint="default"/>
          <w:sz w:val="21"/>
          <w:szCs w:val="21"/>
        </w:rPr>
        <w:t>投资性房地产本期折旧额为</w:t>
      </w:r>
      <w:r>
        <w:rPr>
          <w:rFonts w:ascii="宋体" w:hAnsi="宋体" w:cs="宋体" w:eastAsia="宋体" w:hint="default"/>
          <w:spacing w:val="-52"/>
          <w:sz w:val="21"/>
          <w:szCs w:val="21"/>
        </w:rPr>
        <w:t> </w:t>
      </w:r>
      <w:r>
        <w:rPr>
          <w:rFonts w:ascii="宋体" w:hAnsi="宋体" w:cs="宋体" w:eastAsia="宋体" w:hint="default"/>
          <w:sz w:val="21"/>
          <w:szCs w:val="21"/>
        </w:rPr>
        <w:t>862,936.28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4"/>
          <w:sz w:val="21"/>
          <w:szCs w:val="21"/>
        </w:rPr>
        <w:t>投资性房地产本期减少的原因系部分投资性房地产转为自用，原值及累计折旧转回固定资产核</w:t>
      </w:r>
    </w:p>
    <w:p>
      <w:pPr>
        <w:spacing w:line="257" w:lineRule="exact" w:before="0"/>
        <w:ind w:left="124" w:right="4204" w:firstLine="0"/>
        <w:jc w:val="left"/>
        <w:rPr>
          <w:rFonts w:ascii="宋体" w:hAnsi="宋体" w:cs="宋体" w:eastAsia="宋体" w:hint="default"/>
          <w:sz w:val="21"/>
          <w:szCs w:val="21"/>
        </w:rPr>
      </w:pPr>
      <w:r>
        <w:rPr>
          <w:rFonts w:ascii="宋体" w:hAnsi="宋体" w:cs="宋体" w:eastAsia="宋体" w:hint="default"/>
          <w:sz w:val="21"/>
          <w:szCs w:val="21"/>
        </w:rPr>
        <w:t>算。</w:t>
      </w:r>
    </w:p>
    <w:p>
      <w:pPr>
        <w:spacing w:line="288" w:lineRule="auto" w:before="90"/>
        <w:ind w:left="124" w:right="1265"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）截止本资产负债表日，公司投资性房地产未发现有减值事项发生，故未计提相应的资产</w:t>
      </w:r>
      <w:r>
        <w:rPr>
          <w:rFonts w:ascii="宋体" w:hAnsi="宋体" w:cs="宋体" w:eastAsia="宋体" w:hint="default"/>
          <w:w w:val="100"/>
          <w:sz w:val="21"/>
          <w:szCs w:val="21"/>
        </w:rPr>
        <w:t> </w:t>
      </w:r>
      <w:r>
        <w:rPr>
          <w:rFonts w:ascii="宋体" w:hAnsi="宋体" w:cs="宋体" w:eastAsia="宋体" w:hint="default"/>
          <w:sz w:val="21"/>
          <w:szCs w:val="21"/>
        </w:rPr>
        <w:t>减值准备。</w:t>
      </w:r>
    </w:p>
    <w:p>
      <w:pPr>
        <w:spacing w:before="70"/>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、固定资产及累计折旧</w:t>
      </w:r>
      <w:r>
        <w:rPr>
          <w:rFonts w:ascii="宋体" w:hAnsi="宋体" w:cs="宋体" w:eastAsia="宋体" w:hint="default"/>
          <w:sz w:val="21"/>
          <w:szCs w:val="21"/>
        </w:rPr>
      </w:r>
    </w:p>
    <w:p>
      <w:pPr>
        <w:spacing w:before="10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）固定资产及累计折旧增减变动情况如下：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466"/>
        <w:gridCol w:w="1575"/>
        <w:gridCol w:w="1575"/>
        <w:gridCol w:w="1649"/>
        <w:gridCol w:w="1712"/>
      </w:tblGrid>
      <w:tr>
        <w:trPr>
          <w:trHeight w:val="319" w:hRule="exact"/>
        </w:trPr>
        <w:tc>
          <w:tcPr>
            <w:tcW w:w="3466"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8" w:lineRule="exact"/>
              <w:ind w:right="4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5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215,160,663.50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110,690,932.46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60" w:right="0"/>
              <w:jc w:val="left"/>
              <w:rPr>
                <w:rFonts w:ascii="宋体" w:hAnsi="宋体" w:cs="宋体" w:eastAsia="宋体" w:hint="default"/>
                <w:sz w:val="21"/>
                <w:szCs w:val="21"/>
              </w:rPr>
            </w:pPr>
            <w:r>
              <w:rPr>
                <w:rFonts w:ascii="宋体"/>
                <w:sz w:val="21"/>
              </w:rPr>
              <w:t>14,150.00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325,837,445.96</w:t>
            </w:r>
          </w:p>
        </w:tc>
      </w:tr>
      <w:tr>
        <w:trPr>
          <w:trHeight w:val="319"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1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85,891,408.06</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26,550,024.85</w:t>
            </w:r>
          </w:p>
        </w:tc>
        <w:tc>
          <w:tcPr>
            <w:tcW w:w="1649" w:type="dxa"/>
            <w:vMerge w:val="restart"/>
            <w:tcBorders>
              <w:top w:val="single" w:sz="4" w:space="0" w:color="000000"/>
              <w:left w:val="single" w:sz="4" w:space="0" w:color="000000"/>
              <w:right w:val="single" w:sz="4" w:space="0" w:color="000000"/>
            </w:tcBorders>
          </w:tcPr>
          <w:p>
            <w:pPr/>
          </w:p>
        </w:tc>
        <w:tc>
          <w:tcPr>
            <w:tcW w:w="17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112,441,432.91</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4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7,547,503.19</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12,786.33</w:t>
            </w: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7,560,289.52</w:t>
            </w:r>
          </w:p>
        </w:tc>
      </w:tr>
      <w:tr>
        <w:trPr>
          <w:trHeight w:val="286"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4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6,901,994.03</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4,824,497.08</w:t>
            </w:r>
          </w:p>
        </w:tc>
        <w:tc>
          <w:tcPr>
            <w:tcW w:w="1649" w:type="dxa"/>
            <w:vMerge/>
            <w:tcBorders>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11,726,491.11</w:t>
            </w:r>
          </w:p>
        </w:tc>
      </w:tr>
    </w:tbl>
    <w:p>
      <w:pPr>
        <w:spacing w:after="0" w:line="255" w:lineRule="exact"/>
        <w:jc w:val="right"/>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66"/>
        <w:gridCol w:w="1575"/>
        <w:gridCol w:w="1575"/>
        <w:gridCol w:w="1649"/>
        <w:gridCol w:w="1712"/>
      </w:tblGrid>
      <w:tr>
        <w:trPr>
          <w:trHeight w:val="320" w:hRule="exact"/>
        </w:trPr>
        <w:tc>
          <w:tcPr>
            <w:tcW w:w="34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left="1046"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57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7"/>
              <w:jc w:val="right"/>
              <w:rPr>
                <w:rFonts w:ascii="宋体" w:hAnsi="宋体" w:cs="宋体" w:eastAsia="宋体" w:hint="default"/>
                <w:sz w:val="21"/>
                <w:szCs w:val="21"/>
              </w:rPr>
            </w:pPr>
            <w:r>
              <w:rPr>
                <w:rFonts w:ascii="宋体"/>
                <w:spacing w:val="-1"/>
                <w:sz w:val="21"/>
              </w:rPr>
              <w:t>114,819,758.22</w:t>
            </w:r>
          </w:p>
        </w:tc>
        <w:tc>
          <w:tcPr>
            <w:tcW w:w="157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宋体"/>
                <w:spacing w:val="-1"/>
                <w:sz w:val="21"/>
              </w:rPr>
              <w:t>79,303,624.20</w:t>
            </w:r>
          </w:p>
        </w:tc>
        <w:tc>
          <w:tcPr>
            <w:tcW w:w="16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宋体"/>
                <w:spacing w:val="-1"/>
                <w:sz w:val="21"/>
              </w:rPr>
              <w:t>14,150.00</w:t>
            </w:r>
          </w:p>
        </w:tc>
        <w:tc>
          <w:tcPr>
            <w:tcW w:w="17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7"/>
              <w:jc w:val="right"/>
              <w:rPr>
                <w:rFonts w:ascii="宋体" w:hAnsi="宋体" w:cs="宋体" w:eastAsia="宋体" w:hint="default"/>
                <w:sz w:val="21"/>
                <w:szCs w:val="21"/>
              </w:rPr>
            </w:pPr>
            <w:r>
              <w:rPr>
                <w:rFonts w:ascii="宋体"/>
                <w:spacing w:val="-1"/>
                <w:sz w:val="21"/>
              </w:rPr>
              <w:t>194,109,232.42</w:t>
            </w:r>
          </w:p>
        </w:tc>
      </w:tr>
      <w:tr>
        <w:trPr>
          <w:trHeight w:val="3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74,433,963.14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37,099,249.38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9,938.68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111,523,273.84</w:t>
            </w:r>
          </w:p>
        </w:tc>
      </w:tr>
      <w:tr>
        <w:trPr>
          <w:trHeight w:val="319"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12,794,800.71</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6,385,457.75</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765" w:right="0"/>
              <w:jc w:val="left"/>
              <w:rPr>
                <w:rFonts w:ascii="宋体" w:hAnsi="宋体" w:cs="宋体" w:eastAsia="宋体" w:hint="default"/>
                <w:sz w:val="21"/>
                <w:szCs w:val="21"/>
              </w:rPr>
            </w:pPr>
            <w:r>
              <w:rPr>
                <w:rFonts w:ascii="宋体"/>
                <w:sz w:val="21"/>
              </w:rPr>
              <w:t>9,938.68</w:t>
            </w:r>
          </w:p>
        </w:tc>
        <w:tc>
          <w:tcPr>
            <w:tcW w:w="17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19,180,258.46</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900,665.20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100,729.29</w:t>
            </w: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1,001,394.49</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5,224,662.30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3,306,564.76</w:t>
            </w: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8,531,227.06</w:t>
            </w:r>
          </w:p>
        </w:tc>
      </w:tr>
      <w:tr>
        <w:trPr>
          <w:trHeight w:val="291" w:hRule="exact"/>
        </w:trPr>
        <w:tc>
          <w:tcPr>
            <w:tcW w:w="346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55,513,834.93</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27,306,497.58</w:t>
            </w:r>
          </w:p>
        </w:tc>
        <w:tc>
          <w:tcPr>
            <w:tcW w:w="1649" w:type="dxa"/>
            <w:vMerge/>
            <w:tcBorders>
              <w:left w:val="single" w:sz="4" w:space="0" w:color="000000"/>
              <w:bottom w:val="single" w:sz="4" w:space="0" w:color="000000"/>
              <w:right w:val="single" w:sz="4" w:space="0" w:color="000000"/>
            </w:tcBorders>
          </w:tcPr>
          <w:p>
            <w:pPr/>
          </w:p>
        </w:tc>
        <w:tc>
          <w:tcPr>
            <w:tcW w:w="171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82,810,393.83</w:t>
            </w:r>
          </w:p>
        </w:tc>
      </w:tr>
      <w:tr>
        <w:trPr>
          <w:trHeight w:val="3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140,726,700.36</w:t>
            </w:r>
          </w:p>
        </w:tc>
        <w:tc>
          <w:tcPr>
            <w:tcW w:w="157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7" w:right="0"/>
              <w:jc w:val="left"/>
              <w:rPr>
                <w:rFonts w:ascii="宋体" w:hAnsi="宋体" w:cs="宋体" w:eastAsia="宋体" w:hint="default"/>
                <w:sz w:val="21"/>
                <w:szCs w:val="21"/>
              </w:rPr>
            </w:pPr>
            <w:r>
              <w:rPr>
                <w:rFonts w:ascii="宋体"/>
                <w:sz w:val="21"/>
              </w:rPr>
              <w:t>214,314,172.12</w:t>
            </w:r>
          </w:p>
        </w:tc>
      </w:tr>
      <w:tr>
        <w:trPr>
          <w:trHeight w:val="319"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73,096,607.35</w:t>
            </w:r>
          </w:p>
        </w:tc>
        <w:tc>
          <w:tcPr>
            <w:tcW w:w="1575" w:type="dxa"/>
            <w:vMerge w:val="restart"/>
            <w:tcBorders>
              <w:top w:val="single" w:sz="4" w:space="0" w:color="000000"/>
              <w:left w:val="single" w:sz="4" w:space="0" w:color="000000"/>
              <w:right w:val="single" w:sz="4" w:space="0" w:color="000000"/>
            </w:tcBorders>
          </w:tcPr>
          <w:p>
            <w:pPr/>
          </w:p>
        </w:tc>
        <w:tc>
          <w:tcPr>
            <w:tcW w:w="1649" w:type="dxa"/>
            <w:vMerge w:val="restart"/>
            <w:tcBorders>
              <w:top w:val="single" w:sz="4" w:space="0" w:color="000000"/>
              <w:left w:val="single" w:sz="4" w:space="0" w:color="000000"/>
              <w:right w:val="single" w:sz="4" w:space="0" w:color="000000"/>
            </w:tcBorders>
          </w:tcPr>
          <w:p>
            <w:pPr/>
          </w:p>
        </w:tc>
        <w:tc>
          <w:tcPr>
            <w:tcW w:w="17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30" w:right="0"/>
              <w:jc w:val="left"/>
              <w:rPr>
                <w:rFonts w:ascii="宋体" w:hAnsi="宋体" w:cs="宋体" w:eastAsia="宋体" w:hint="default"/>
                <w:sz w:val="21"/>
                <w:szCs w:val="21"/>
              </w:rPr>
            </w:pPr>
            <w:r>
              <w:rPr>
                <w:rFonts w:ascii="宋体"/>
                <w:sz w:val="21"/>
              </w:rPr>
              <w:t>93,261,174.45</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6,646,837.99</w:t>
            </w: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35" w:right="0"/>
              <w:jc w:val="left"/>
              <w:rPr>
                <w:rFonts w:ascii="宋体" w:hAnsi="宋体" w:cs="宋体" w:eastAsia="宋体" w:hint="default"/>
                <w:sz w:val="21"/>
                <w:szCs w:val="21"/>
              </w:rPr>
            </w:pPr>
            <w:r>
              <w:rPr>
                <w:rFonts w:ascii="宋体"/>
                <w:sz w:val="21"/>
              </w:rPr>
              <w:t>6,636,091.99</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1,677,331.73</w:t>
            </w: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35" w:right="0"/>
              <w:jc w:val="left"/>
              <w:rPr>
                <w:rFonts w:ascii="宋体" w:hAnsi="宋体" w:cs="宋体" w:eastAsia="宋体" w:hint="default"/>
                <w:sz w:val="21"/>
                <w:szCs w:val="21"/>
              </w:rPr>
            </w:pPr>
            <w:r>
              <w:rPr>
                <w:rFonts w:ascii="宋体"/>
                <w:sz w:val="21"/>
              </w:rPr>
              <w:t>3,488,750.69</w:t>
            </w:r>
          </w:p>
        </w:tc>
      </w:tr>
      <w:tr>
        <w:trPr>
          <w:trHeight w:val="291" w:hRule="exact"/>
        </w:trPr>
        <w:tc>
          <w:tcPr>
            <w:tcW w:w="346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59,305,923.29</w:t>
            </w:r>
          </w:p>
        </w:tc>
        <w:tc>
          <w:tcPr>
            <w:tcW w:w="1575"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171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27" w:right="0"/>
              <w:jc w:val="left"/>
              <w:rPr>
                <w:rFonts w:ascii="宋体" w:hAnsi="宋体" w:cs="宋体" w:eastAsia="宋体" w:hint="default"/>
                <w:sz w:val="21"/>
                <w:szCs w:val="21"/>
              </w:rPr>
            </w:pPr>
            <w:r>
              <w:rPr>
                <w:rFonts w:ascii="宋体"/>
                <w:sz w:val="21"/>
              </w:rPr>
              <w:t>110,928,154.99</w:t>
            </w:r>
          </w:p>
        </w:tc>
      </w:tr>
      <w:tr>
        <w:trPr>
          <w:trHeight w:val="31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 w:right="0"/>
              <w:jc w:val="left"/>
              <w:rPr>
                <w:rFonts w:ascii="宋体" w:hAnsi="宋体" w:cs="宋体" w:eastAsia="宋体" w:hint="default"/>
                <w:sz w:val="21"/>
                <w:szCs w:val="21"/>
              </w:rPr>
            </w:pPr>
            <w:r>
              <w:rPr>
                <w:rFonts w:ascii="宋体" w:hAnsi="宋体" w:cs="宋体" w:eastAsia="宋体" w:hint="default"/>
                <w:sz w:val="21"/>
                <w:szCs w:val="21"/>
              </w:rPr>
              <w:t>四、固定资产减值准备累计金额合计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5" w:type="dxa"/>
            <w:vMerge w:val="restart"/>
            <w:tcBorders>
              <w:top w:val="single" w:sz="4" w:space="0" w:color="000000"/>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
        </w:tc>
        <w:tc>
          <w:tcPr>
            <w:tcW w:w="1649" w:type="dxa"/>
            <w:vMerge w:val="restart"/>
            <w:tcBorders>
              <w:top w:val="single" w:sz="4" w:space="0" w:color="000000"/>
              <w:left w:val="single" w:sz="4" w:space="0" w:color="000000"/>
              <w:right w:val="single" w:sz="4" w:space="0" w:color="000000"/>
            </w:tcBorders>
          </w:tcPr>
          <w:p>
            <w:pPr/>
          </w:p>
        </w:tc>
        <w:tc>
          <w:tcPr>
            <w:tcW w:w="1712" w:type="dxa"/>
            <w:vMerge w:val="restart"/>
            <w:tcBorders>
              <w:top w:val="single" w:sz="4" w:space="0" w:color="000000"/>
              <w:left w:val="single" w:sz="4" w:space="0" w:color="000000"/>
              <w:right w:val="single" w:sz="4" w:space="0" w:color="000000"/>
            </w:tcBorders>
          </w:tcPr>
          <w:p>
            <w:pP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7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291" w:hRule="exact"/>
        </w:trPr>
        <w:tc>
          <w:tcPr>
            <w:tcW w:w="346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1"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575"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310"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140,726,700.36</w:t>
            </w:r>
          </w:p>
        </w:tc>
        <w:tc>
          <w:tcPr>
            <w:tcW w:w="1575"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214,314,172.12</w:t>
            </w:r>
          </w:p>
        </w:tc>
      </w:tr>
      <w:tr>
        <w:trPr>
          <w:trHeight w:val="319"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40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73,096,607.35</w:t>
            </w:r>
          </w:p>
        </w:tc>
        <w:tc>
          <w:tcPr>
            <w:tcW w:w="1575" w:type="dxa"/>
            <w:vMerge w:val="restart"/>
            <w:tcBorders>
              <w:top w:val="single" w:sz="4" w:space="0" w:color="000000"/>
              <w:left w:val="single" w:sz="4" w:space="0" w:color="000000"/>
              <w:right w:val="single" w:sz="4" w:space="0" w:color="000000"/>
            </w:tcBorders>
          </w:tcPr>
          <w:p>
            <w:pPr/>
          </w:p>
        </w:tc>
        <w:tc>
          <w:tcPr>
            <w:tcW w:w="1649" w:type="dxa"/>
            <w:vMerge w:val="restart"/>
            <w:tcBorders>
              <w:top w:val="single" w:sz="4" w:space="0" w:color="000000"/>
              <w:left w:val="single" w:sz="4" w:space="0" w:color="000000"/>
              <w:right w:val="single" w:sz="4" w:space="0" w:color="000000"/>
            </w:tcBorders>
          </w:tcPr>
          <w:p>
            <w:pPr/>
          </w:p>
        </w:tc>
        <w:tc>
          <w:tcPr>
            <w:tcW w:w="17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93,261,174.45</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6,646,837.99</w:t>
            </w: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6,558,895.03</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1,677,331.73</w:t>
            </w:r>
          </w:p>
        </w:tc>
        <w:tc>
          <w:tcPr>
            <w:tcW w:w="1575"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3,195,264.05</w:t>
            </w:r>
          </w:p>
        </w:tc>
      </w:tr>
      <w:tr>
        <w:trPr>
          <w:trHeight w:val="303" w:hRule="exact"/>
        </w:trPr>
        <w:tc>
          <w:tcPr>
            <w:tcW w:w="3466"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1034"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575"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59,305,923.29</w:t>
            </w:r>
          </w:p>
        </w:tc>
        <w:tc>
          <w:tcPr>
            <w:tcW w:w="1575" w:type="dxa"/>
            <w:vMerge/>
            <w:tcBorders>
              <w:left w:val="single" w:sz="4" w:space="0" w:color="000000"/>
              <w:bottom w:val="single" w:sz="12" w:space="0" w:color="000000"/>
              <w:right w:val="single" w:sz="4" w:space="0" w:color="000000"/>
            </w:tcBorders>
          </w:tcPr>
          <w:p>
            <w:pPr/>
          </w:p>
        </w:tc>
        <w:tc>
          <w:tcPr>
            <w:tcW w:w="1649" w:type="dxa"/>
            <w:vMerge/>
            <w:tcBorders>
              <w:left w:val="single" w:sz="4" w:space="0" w:color="000000"/>
              <w:bottom w:val="single" w:sz="12" w:space="0" w:color="000000"/>
              <w:right w:val="single" w:sz="4" w:space="0" w:color="000000"/>
            </w:tcBorders>
          </w:tcPr>
          <w:p>
            <w:pPr/>
          </w:p>
        </w:tc>
        <w:tc>
          <w:tcPr>
            <w:tcW w:w="171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111,298,838.59</w:t>
            </w:r>
          </w:p>
        </w:tc>
      </w:tr>
    </w:tbl>
    <w:p>
      <w:pPr>
        <w:spacing w:line="285" w:lineRule="auto" w:before="4"/>
        <w:ind w:left="144" w:right="1534" w:firstLine="419"/>
        <w:jc w:val="both"/>
        <w:rPr>
          <w:rFonts w:ascii="宋体" w:hAnsi="宋体" w:cs="宋体" w:eastAsia="宋体" w:hint="default"/>
          <w:sz w:val="21"/>
          <w:szCs w:val="21"/>
        </w:rPr>
      </w:pPr>
      <w:r>
        <w:rPr>
          <w:rFonts w:ascii="宋体" w:hAnsi="宋体" w:cs="宋体" w:eastAsia="宋体" w:hint="default"/>
          <w:sz w:val="21"/>
          <w:szCs w:val="21"/>
        </w:rPr>
        <w:t>固定资产折旧本期增加</w:t>
      </w:r>
      <w:r>
        <w:rPr>
          <w:rFonts w:ascii="宋体" w:hAnsi="宋体" w:cs="宋体" w:eastAsia="宋体" w:hint="default"/>
          <w:spacing w:val="-53"/>
          <w:sz w:val="21"/>
          <w:szCs w:val="21"/>
        </w:rPr>
        <w:t> </w:t>
      </w:r>
      <w:r>
        <w:rPr>
          <w:rFonts w:ascii="宋体" w:hAnsi="宋体" w:cs="宋体" w:eastAsia="宋体" w:hint="default"/>
          <w:sz w:val="21"/>
          <w:szCs w:val="21"/>
        </w:rPr>
        <w:t>37,099,249.38</w:t>
      </w:r>
      <w:r>
        <w:rPr>
          <w:rFonts w:ascii="宋体" w:hAnsi="宋体" w:cs="宋体" w:eastAsia="宋体" w:hint="default"/>
          <w:spacing w:val="-2"/>
          <w:sz w:val="21"/>
          <w:szCs w:val="21"/>
        </w:rPr>
        <w:t> </w:t>
      </w:r>
      <w:r>
        <w:rPr>
          <w:rFonts w:ascii="宋体" w:hAnsi="宋体" w:cs="宋体" w:eastAsia="宋体" w:hint="default"/>
          <w:sz w:val="21"/>
          <w:szCs w:val="21"/>
        </w:rPr>
        <w:t>元，其中固定资产本期折旧额为</w:t>
      </w:r>
      <w:r>
        <w:rPr>
          <w:rFonts w:ascii="宋体" w:hAnsi="宋体" w:cs="宋体" w:eastAsia="宋体" w:hint="default"/>
          <w:spacing w:val="-53"/>
          <w:sz w:val="21"/>
          <w:szCs w:val="21"/>
        </w:rPr>
        <w:t> </w:t>
      </w:r>
      <w:r>
        <w:rPr>
          <w:rFonts w:ascii="宋体" w:hAnsi="宋体" w:cs="宋体" w:eastAsia="宋体" w:hint="default"/>
          <w:sz w:val="21"/>
          <w:szCs w:val="21"/>
        </w:rPr>
        <w:t>27,982,567.12</w:t>
      </w:r>
      <w:r>
        <w:rPr>
          <w:rFonts w:ascii="宋体" w:hAnsi="宋体" w:cs="宋体" w:eastAsia="宋体" w:hint="default"/>
          <w:spacing w:val="-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4"/>
          <w:sz w:val="21"/>
          <w:szCs w:val="21"/>
        </w:rPr>
        <w:t>公司本期收购北京神州新桥科技有限公司、北京东方易维软件有限公司股权，转入其截止购买日已</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w w:val="100"/>
          <w:sz w:val="21"/>
          <w:szCs w:val="21"/>
        </w:rPr>
        <w:t>计提累计折旧</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6,860,823.90</w:t>
      </w:r>
      <w:r>
        <w:rPr>
          <w:rFonts w:ascii="宋体" w:hAnsi="宋体" w:cs="宋体" w:eastAsia="宋体" w:hint="default"/>
          <w:spacing w:val="-72"/>
          <w:w w:val="100"/>
          <w:sz w:val="21"/>
          <w:szCs w:val="21"/>
        </w:rPr>
        <w:t> </w:t>
      </w:r>
      <w:r>
        <w:rPr>
          <w:rFonts w:ascii="宋体" w:hAnsi="宋体" w:cs="宋体" w:eastAsia="宋体" w:hint="default"/>
          <w:spacing w:val="-6"/>
          <w:w w:val="100"/>
          <w:sz w:val="21"/>
          <w:szCs w:val="21"/>
        </w:rPr>
        <w:t>元；部分投资性房地产转为自用转入已计提累计折旧</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2,255,858.36</w:t>
      </w:r>
      <w:r>
        <w:rPr>
          <w:rFonts w:ascii="宋体" w:hAnsi="宋体" w:cs="宋体" w:eastAsia="宋体" w:hint="default"/>
          <w:spacing w:val="-72"/>
          <w:w w:val="100"/>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p>
      <w:pPr>
        <w:spacing w:before="69"/>
        <w:ind w:left="547" w:right="1697" w:firstLine="0"/>
        <w:jc w:val="left"/>
        <w:rPr>
          <w:rFonts w:ascii="宋体" w:hAnsi="宋体" w:cs="宋体" w:eastAsia="宋体" w:hint="default"/>
          <w:sz w:val="21"/>
          <w:szCs w:val="21"/>
        </w:rPr>
      </w:pPr>
      <w:r>
        <w:rPr>
          <w:rFonts w:ascii="宋体" w:hAnsi="宋体" w:cs="宋体" w:eastAsia="宋体" w:hint="default"/>
          <w:sz w:val="21"/>
          <w:szCs w:val="21"/>
        </w:rPr>
        <w:t>本期由在建工程转入固定资产原价为</w:t>
      </w:r>
      <w:r>
        <w:rPr>
          <w:rFonts w:ascii="宋体" w:hAnsi="宋体" w:cs="宋体" w:eastAsia="宋体" w:hint="default"/>
          <w:sz w:val="21"/>
          <w:szCs w:val="21"/>
        </w:rPr>
        <w:t>14,786,841.45</w:t>
      </w:r>
      <w:r>
        <w:rPr>
          <w:rFonts w:ascii="宋体" w:hAnsi="宋体" w:cs="宋体" w:eastAsia="宋体" w:hint="default"/>
          <w:sz w:val="21"/>
          <w:szCs w:val="21"/>
        </w:rPr>
        <w:t>元。</w:t>
      </w:r>
    </w:p>
    <w:p>
      <w:pPr>
        <w:spacing w:before="10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）截至本资产负债表日，公司无使用权受到限制的固定资产。</w:t>
      </w:r>
    </w:p>
    <w:p>
      <w:pPr>
        <w:spacing w:before="92"/>
        <w:ind w:left="564" w:right="1557"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）截至本资产负债表日，公司的固定资产未发现有减值迹象，故未计提固定资产减值准备。</w:t>
      </w:r>
    </w:p>
    <w:p>
      <w:pPr>
        <w:spacing w:before="111"/>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）未办妥产权证书的固定资产</w:t>
      </w:r>
    </w:p>
    <w:p>
      <w:pPr>
        <w:spacing w:line="240" w:lineRule="auto" w:before="11"/>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103"/>
        <w:gridCol w:w="1248"/>
        <w:gridCol w:w="1246"/>
        <w:gridCol w:w="658"/>
        <w:gridCol w:w="1166"/>
        <w:gridCol w:w="1414"/>
        <w:gridCol w:w="1215"/>
      </w:tblGrid>
      <w:tr>
        <w:trPr>
          <w:trHeight w:val="499" w:hRule="exact"/>
        </w:trPr>
        <w:tc>
          <w:tcPr>
            <w:tcW w:w="21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原 </w:t>
            </w:r>
            <w:r>
              <w:rPr>
                <w:rFonts w:ascii="宋体" w:hAnsi="宋体" w:cs="宋体" w:eastAsia="宋体" w:hint="default"/>
                <w:spacing w:val="2"/>
                <w:sz w:val="18"/>
                <w:szCs w:val="18"/>
              </w:rPr>
              <w:t> </w:t>
            </w:r>
            <w:r>
              <w:rPr>
                <w:rFonts w:ascii="宋体" w:hAnsi="宋体" w:cs="宋体" w:eastAsia="宋体" w:hint="default"/>
                <w:sz w:val="18"/>
                <w:szCs w:val="18"/>
              </w:rPr>
              <w:t>值</w:t>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65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232" w:right="53"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341" w:right="251" w:hanging="89"/>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215"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242" w:right="60" w:hanging="180"/>
              <w:jc w:val="left"/>
              <w:rPr>
                <w:rFonts w:ascii="宋体" w:hAnsi="宋体" w:cs="宋体" w:eastAsia="宋体" w:hint="default"/>
                <w:sz w:val="18"/>
                <w:szCs w:val="18"/>
              </w:rPr>
            </w:pPr>
            <w:r>
              <w:rPr>
                <w:rFonts w:ascii="宋体" w:hAnsi="宋体" w:cs="宋体" w:eastAsia="宋体" w:hint="default"/>
                <w:sz w:val="18"/>
                <w:szCs w:val="18"/>
              </w:rPr>
              <w:t>预计办结产权 证书时间</w:t>
            </w:r>
          </w:p>
        </w:tc>
      </w:tr>
      <w:tr>
        <w:trPr>
          <w:trHeight w:val="490"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泰安东华</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sz w:val="18"/>
              </w:rPr>
              <w:t>16,992,354.09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277,465.90</w:t>
            </w:r>
          </w:p>
        </w:tc>
        <w:tc>
          <w:tcPr>
            <w:tcW w:w="65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16,714,888.1</w:t>
            </w:r>
          </w:p>
          <w:p>
            <w:pPr>
              <w:pStyle w:val="TableParagraph"/>
              <w:spacing w:line="240" w:lineRule="auto" w:before="4"/>
              <w:ind w:right="1"/>
              <w:jc w:val="center"/>
              <w:rPr>
                <w:rFonts w:ascii="宋体" w:hAnsi="宋体" w:cs="宋体" w:eastAsia="宋体" w:hint="default"/>
                <w:sz w:val="18"/>
                <w:szCs w:val="18"/>
              </w:rPr>
            </w:pPr>
            <w:r>
              <w:rPr>
                <w:rFonts w:ascii="宋体"/>
                <w:sz w:val="18"/>
              </w:rPr>
              <w:t>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00" w:hRule="exact"/>
        </w:trPr>
        <w:tc>
          <w:tcPr>
            <w:tcW w:w="2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sz w:val="18"/>
              </w:rPr>
              <w:t>16,992,354.09</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277,465.90</w:t>
            </w:r>
          </w:p>
        </w:tc>
        <w:tc>
          <w:tcPr>
            <w:tcW w:w="658" w:type="dxa"/>
            <w:tcBorders>
              <w:top w:val="single" w:sz="4" w:space="0" w:color="000000"/>
              <w:left w:val="single" w:sz="4" w:space="0" w:color="000000"/>
              <w:bottom w:val="single" w:sz="12" w:space="0" w:color="000000"/>
              <w:right w:val="single" w:sz="4" w:space="0" w:color="000000"/>
            </w:tcBorders>
          </w:tcPr>
          <w:p>
            <w:pP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16,714,888.1</w:t>
            </w:r>
          </w:p>
          <w:p>
            <w:pPr>
              <w:pStyle w:val="TableParagraph"/>
              <w:spacing w:line="240" w:lineRule="auto" w:before="5"/>
              <w:ind w:right="1"/>
              <w:jc w:val="center"/>
              <w:rPr>
                <w:rFonts w:ascii="宋体" w:hAnsi="宋体" w:cs="宋体" w:eastAsia="宋体" w:hint="default"/>
                <w:sz w:val="18"/>
                <w:szCs w:val="18"/>
              </w:rPr>
            </w:pPr>
            <w:r>
              <w:rPr>
                <w:rFonts w:ascii="宋体"/>
                <w:sz w:val="18"/>
              </w:rPr>
              <w:t>9</w:t>
            </w:r>
          </w:p>
        </w:tc>
        <w:tc>
          <w:tcPr>
            <w:tcW w:w="1414" w:type="dxa"/>
            <w:tcBorders>
              <w:top w:val="single" w:sz="4" w:space="0" w:color="000000"/>
              <w:left w:val="single" w:sz="4" w:space="0" w:color="000000"/>
              <w:bottom w:val="single" w:sz="12" w:space="0" w:color="000000"/>
              <w:right w:val="single" w:sz="4" w:space="0" w:color="000000"/>
            </w:tcBorders>
          </w:tcPr>
          <w:p>
            <w:pPr/>
          </w:p>
        </w:tc>
        <w:tc>
          <w:tcPr>
            <w:tcW w:w="1215" w:type="dxa"/>
            <w:tcBorders>
              <w:top w:val="single" w:sz="4" w:space="0" w:color="000000"/>
              <w:left w:val="single" w:sz="4" w:space="0" w:color="000000"/>
              <w:bottom w:val="single" w:sz="12" w:space="0" w:color="000000"/>
              <w:right w:val="single" w:sz="4" w:space="0" w:color="000000"/>
            </w:tcBorders>
          </w:tcPr>
          <w:p>
            <w:pPr/>
          </w:p>
        </w:tc>
      </w:tr>
    </w:tbl>
    <w:p>
      <w:pPr>
        <w:spacing w:line="240" w:lineRule="auto" w:before="7"/>
        <w:rPr>
          <w:rFonts w:ascii="宋体" w:hAnsi="宋体" w:cs="宋体" w:eastAsia="宋体" w:hint="default"/>
          <w:sz w:val="8"/>
          <w:szCs w:val="8"/>
        </w:rPr>
      </w:pPr>
    </w:p>
    <w:p>
      <w:pPr>
        <w:spacing w:before="36"/>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）在建工程项目：</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891"/>
        <w:gridCol w:w="1249"/>
        <w:gridCol w:w="910"/>
        <w:gridCol w:w="1251"/>
        <w:gridCol w:w="1356"/>
        <w:gridCol w:w="886"/>
        <w:gridCol w:w="1474"/>
      </w:tblGrid>
      <w:tr>
        <w:trPr>
          <w:trHeight w:val="341" w:hRule="exact"/>
        </w:trPr>
        <w:tc>
          <w:tcPr>
            <w:tcW w:w="1891" w:type="dxa"/>
            <w:vMerge w:val="restart"/>
            <w:tcBorders>
              <w:top w:val="single" w:sz="12" w:space="0" w:color="000000"/>
              <w:left w:val="single" w:sz="6" w:space="0" w:color="000000"/>
              <w:right w:val="single" w:sz="6" w:space="0" w:color="000000"/>
            </w:tcBorders>
          </w:tcPr>
          <w:p>
            <w:pPr>
              <w:pStyle w:val="TableParagraph"/>
              <w:tabs>
                <w:tab w:pos="1007" w:val="left" w:leader="none"/>
              </w:tabs>
              <w:spacing w:line="270" w:lineRule="exact"/>
              <w:ind w:left="58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1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66"/>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1891" w:type="dxa"/>
            <w:vMerge/>
            <w:tcBorders>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7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7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69"/>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67"/>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38" w:hRule="exact"/>
        </w:trPr>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49" w:right="0"/>
              <w:jc w:val="left"/>
              <w:rPr>
                <w:rFonts w:ascii="宋体" w:hAnsi="宋体" w:cs="宋体" w:eastAsia="宋体" w:hint="default"/>
                <w:sz w:val="21"/>
                <w:szCs w:val="21"/>
              </w:rPr>
            </w:pPr>
            <w:r>
              <w:rPr>
                <w:rFonts w:ascii="宋体" w:hAnsi="宋体" w:cs="宋体" w:eastAsia="宋体" w:hint="default"/>
                <w:sz w:val="21"/>
                <w:szCs w:val="21"/>
              </w:rPr>
              <w:t>泰安东华软件园</w:t>
            </w:r>
          </w:p>
        </w:tc>
        <w:tc>
          <w:tcPr>
            <w:tcW w:w="1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51" w:right="19"/>
              <w:jc w:val="center"/>
              <w:rPr>
                <w:rFonts w:ascii="宋体" w:hAnsi="宋体" w:cs="宋体" w:eastAsia="宋体" w:hint="default"/>
                <w:sz w:val="21"/>
                <w:szCs w:val="21"/>
              </w:rPr>
            </w:pPr>
            <w:r>
              <w:rPr>
                <w:rFonts w:ascii="宋体"/>
                <w:sz w:val="21"/>
              </w:rPr>
              <w:t>8,916,239.49</w:t>
            </w:r>
          </w:p>
        </w:tc>
        <w:tc>
          <w:tcPr>
            <w:tcW w:w="910" w:type="dxa"/>
            <w:tcBorders>
              <w:top w:val="single" w:sz="6" w:space="0" w:color="000000"/>
              <w:left w:val="single" w:sz="6" w:space="0" w:color="000000"/>
              <w:bottom w:val="single" w:sz="12" w:space="0" w:color="000000"/>
              <w:right w:val="single" w:sz="6" w:space="0" w:color="000000"/>
            </w:tcBorders>
          </w:tcPr>
          <w:p>
            <w:pP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49" w:right="19"/>
              <w:jc w:val="center"/>
              <w:rPr>
                <w:rFonts w:ascii="宋体" w:hAnsi="宋体" w:cs="宋体" w:eastAsia="宋体" w:hint="default"/>
                <w:sz w:val="21"/>
                <w:szCs w:val="21"/>
              </w:rPr>
            </w:pPr>
            <w:r>
              <w:rPr>
                <w:rFonts w:ascii="宋体"/>
                <w:sz w:val="21"/>
              </w:rPr>
              <w:t>8,916,239.49</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49" w:right="19"/>
              <w:jc w:val="center"/>
              <w:rPr>
                <w:rFonts w:ascii="宋体" w:hAnsi="宋体" w:cs="宋体" w:eastAsia="宋体" w:hint="default"/>
                <w:sz w:val="21"/>
                <w:szCs w:val="21"/>
              </w:rPr>
            </w:pPr>
            <w:r>
              <w:rPr>
                <w:rFonts w:ascii="宋体"/>
                <w:sz w:val="21"/>
              </w:rPr>
              <w:t>13,777,846.28</w:t>
            </w:r>
          </w:p>
        </w:tc>
        <w:tc>
          <w:tcPr>
            <w:tcW w:w="886"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43" w:right="0"/>
              <w:jc w:val="center"/>
              <w:rPr>
                <w:rFonts w:ascii="宋体" w:hAnsi="宋体" w:cs="宋体" w:eastAsia="宋体" w:hint="default"/>
                <w:sz w:val="21"/>
                <w:szCs w:val="21"/>
              </w:rPr>
            </w:pPr>
            <w:r>
              <w:rPr>
                <w:rFonts w:ascii="宋体"/>
                <w:sz w:val="21"/>
              </w:rPr>
              <w:t>13,777,846.28</w:t>
            </w:r>
          </w:p>
        </w:tc>
      </w:tr>
    </w:tbl>
    <w:p>
      <w:pPr>
        <w:spacing w:before="28"/>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）在建工程变动情况：</w:t>
      </w:r>
    </w:p>
    <w:p>
      <w:pPr>
        <w:spacing w:after="0"/>
        <w:jc w:val="left"/>
        <w:rPr>
          <w:rFonts w:ascii="宋体" w:hAnsi="宋体" w:cs="宋体" w:eastAsia="宋体" w:hint="default"/>
          <w:sz w:val="21"/>
          <w:szCs w:val="21"/>
        </w:rPr>
        <w:sectPr>
          <w:pgSz w:w="12240" w:h="15840"/>
          <w:pgMar w:header="850" w:footer="956" w:top="1360" w:bottom="1140" w:left="1500" w:right="0"/>
        </w:sectPr>
      </w:pPr>
    </w:p>
    <w:p>
      <w:pPr>
        <w:spacing w:line="240" w:lineRule="auto" w:before="9"/>
        <w:rPr>
          <w:rFonts w:ascii="宋体" w:hAnsi="宋体" w:cs="宋体" w:eastAsia="宋体" w:hint="default"/>
          <w:sz w:val="26"/>
          <w:szCs w:val="26"/>
        </w:rPr>
      </w:pPr>
    </w:p>
    <w:p>
      <w:pPr>
        <w:spacing w:before="36"/>
        <w:ind w:left="112" w:right="384" w:firstLine="0"/>
        <w:jc w:val="left"/>
        <w:rPr>
          <w:rFonts w:ascii="宋体" w:hAnsi="宋体" w:cs="宋体" w:eastAsia="宋体" w:hint="default"/>
          <w:sz w:val="21"/>
          <w:szCs w:val="21"/>
        </w:rPr>
      </w:pPr>
      <w:r>
        <w:rPr/>
        <w:pict>
          <v:shape style="position:absolute;margin-left:81.744003pt;margin-top:-15.956304pt;width:494.65pt;height:49.9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5"/>
                    <w:gridCol w:w="1517"/>
                    <w:gridCol w:w="1517"/>
                    <w:gridCol w:w="1517"/>
                    <w:gridCol w:w="1517"/>
                    <w:gridCol w:w="1704"/>
                  </w:tblGrid>
                  <w:tr>
                    <w:trPr>
                      <w:trHeight w:val="330" w:hRule="exact"/>
                    </w:trPr>
                    <w:tc>
                      <w:tcPr>
                        <w:tcW w:w="2105"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工程名称</w:t>
                        </w:r>
                      </w:p>
                    </w:tc>
                    <w:tc>
                      <w:tcPr>
                        <w:tcW w:w="1517"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3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7"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3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7"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517"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16" w:right="0"/>
                          <w:jc w:val="left"/>
                          <w:rPr>
                            <w:rFonts w:ascii="宋体" w:hAnsi="宋体" w:cs="宋体" w:eastAsia="宋体" w:hint="default"/>
                            <w:sz w:val="21"/>
                            <w:szCs w:val="21"/>
                          </w:rPr>
                        </w:pPr>
                        <w:r>
                          <w:rPr>
                            <w:rFonts w:ascii="宋体" w:hAnsi="宋体" w:cs="宋体" w:eastAsia="宋体" w:hint="default"/>
                            <w:sz w:val="21"/>
                            <w:szCs w:val="21"/>
                          </w:rPr>
                          <w:t>本期其他减少数</w:t>
                        </w:r>
                      </w:p>
                    </w:tc>
                    <w:tc>
                      <w:tcPr>
                        <w:tcW w:w="1704"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691"/>
                          <w:jc w:val="right"/>
                          <w:rPr>
                            <w:rFonts w:ascii="宋体" w:hAnsi="宋体" w:cs="宋体" w:eastAsia="宋体" w:hint="default"/>
                            <w:sz w:val="21"/>
                            <w:szCs w:val="21"/>
                          </w:rPr>
                        </w:pPr>
                        <w:r>
                          <w:rPr>
                            <w:rFonts w:ascii="宋体" w:hAnsi="宋体" w:cs="宋体" w:eastAsia="宋体" w:hint="default"/>
                            <w:spacing w:val="-1"/>
                            <w:sz w:val="21"/>
                            <w:szCs w:val="21"/>
                          </w:rPr>
                          <w:t>安东华软件园</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13,777,846.28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9,925,234.66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2"/>
                          <w:jc w:val="left"/>
                          <w:rPr>
                            <w:rFonts w:ascii="宋体" w:hAnsi="宋体" w:cs="宋体" w:eastAsia="宋体" w:hint="default"/>
                            <w:sz w:val="21"/>
                            <w:szCs w:val="21"/>
                          </w:rPr>
                        </w:pPr>
                        <w:r>
                          <w:rPr>
                            <w:rFonts w:ascii="宋体"/>
                            <w:sz w:val="21"/>
                          </w:rPr>
                          <w:t>14,786,841.45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2" w:right="-1"/>
                          <w:jc w:val="left"/>
                          <w:rPr>
                            <w:rFonts w:ascii="宋体" w:hAnsi="宋体" w:cs="宋体" w:eastAsia="宋体" w:hint="default"/>
                            <w:sz w:val="21"/>
                            <w:szCs w:val="21"/>
                          </w:rPr>
                        </w:pPr>
                        <w:r>
                          <w:rPr>
                            <w:rFonts w:ascii="宋体"/>
                            <w:sz w:val="21"/>
                          </w:rPr>
                          <w:t>8,916,239.49</w:t>
                        </w:r>
                      </w:p>
                    </w:tc>
                  </w:tr>
                  <w:tr>
                    <w:trPr>
                      <w:trHeight w:val="319" w:hRule="exact"/>
                    </w:trPr>
                    <w:tc>
                      <w:tcPr>
                        <w:tcW w:w="2105"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2" w:lineRule="exact"/>
                          <w:ind w:right="7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13,777,846.28</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9,925,234.66</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left="141" w:right="-2"/>
                          <w:jc w:val="left"/>
                          <w:rPr>
                            <w:rFonts w:ascii="宋体" w:hAnsi="宋体" w:cs="宋体" w:eastAsia="宋体" w:hint="default"/>
                            <w:sz w:val="21"/>
                            <w:szCs w:val="21"/>
                          </w:rPr>
                        </w:pPr>
                        <w:r>
                          <w:rPr>
                            <w:rFonts w:ascii="宋体"/>
                            <w:sz w:val="21"/>
                          </w:rPr>
                          <w:t>14,786,841.45</w:t>
                        </w:r>
                      </w:p>
                    </w:tc>
                    <w:tc>
                      <w:tcPr>
                        <w:tcW w:w="1517"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left="432" w:right="-1"/>
                          <w:jc w:val="left"/>
                          <w:rPr>
                            <w:rFonts w:ascii="宋体" w:hAnsi="宋体" w:cs="宋体" w:eastAsia="宋体" w:hint="default"/>
                            <w:sz w:val="21"/>
                            <w:szCs w:val="21"/>
                          </w:rPr>
                        </w:pPr>
                        <w:r>
                          <w:rPr>
                            <w:rFonts w:ascii="宋体"/>
                            <w:sz w:val="21"/>
                          </w:rPr>
                          <w:t>8,916,239.49</w:t>
                        </w:r>
                      </w:p>
                    </w:tc>
                  </w:tr>
                </w:tbl>
                <w:p>
                  <w:pPr/>
                </w:p>
              </w:txbxContent>
            </v:textbox>
            <w10:wrap type="none"/>
          </v:shape>
        </w:pict>
      </w:r>
      <w:r>
        <w:rPr>
          <w:rFonts w:ascii="宋体" w:hAnsi="宋体" w:cs="宋体" w:eastAsia="宋体" w:hint="default"/>
          <w:w w:val="100"/>
          <w:sz w:val="21"/>
          <w:szCs w:val="21"/>
        </w:rPr>
        <w:t>泰</w:t>
      </w:r>
    </w:p>
    <w:p>
      <w:pPr>
        <w:spacing w:line="240" w:lineRule="auto" w:before="8"/>
        <w:rPr>
          <w:rFonts w:ascii="宋体" w:hAnsi="宋体" w:cs="宋体" w:eastAsia="宋体" w:hint="default"/>
          <w:sz w:val="27"/>
          <w:szCs w:val="27"/>
        </w:rPr>
      </w:pPr>
    </w:p>
    <w:p>
      <w:pPr>
        <w:spacing w:before="36"/>
        <w:ind w:left="604" w:right="384"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9"/>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1704"/>
        <w:gridCol w:w="819"/>
        <w:gridCol w:w="1111"/>
        <w:gridCol w:w="497"/>
        <w:gridCol w:w="1116"/>
        <w:gridCol w:w="1231"/>
        <w:gridCol w:w="982"/>
        <w:gridCol w:w="950"/>
        <w:gridCol w:w="1476"/>
      </w:tblGrid>
      <w:tr>
        <w:trPr>
          <w:trHeight w:val="922" w:hRule="exact"/>
        </w:trPr>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81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预算数</w:t>
            </w:r>
          </w:p>
          <w:p>
            <w:pPr>
              <w:pStyle w:val="TableParagraph"/>
              <w:spacing w:line="240" w:lineRule="auto" w:before="25"/>
              <w:ind w:left="129"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万元</w:t>
            </w:r>
            <w:r>
              <w:rPr>
                <w:rFonts w:ascii="Calibri" w:hAnsi="Calibri" w:cs="Calibri" w:eastAsia="Calibri" w:hint="default"/>
                <w:sz w:val="21"/>
                <w:szCs w:val="21"/>
              </w:rPr>
              <w:t>)</w:t>
            </w:r>
          </w:p>
        </w:tc>
        <w:tc>
          <w:tcPr>
            <w:tcW w:w="1111"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14" w:right="10" w:firstLine="9"/>
              <w:jc w:val="left"/>
              <w:rPr>
                <w:rFonts w:ascii="Calibri" w:hAnsi="Calibri" w:cs="Calibri" w:eastAsia="Calibri" w:hint="default"/>
                <w:sz w:val="21"/>
                <w:szCs w:val="21"/>
              </w:rPr>
            </w:pPr>
            <w:r>
              <w:rPr>
                <w:rFonts w:ascii="宋体" w:hAnsi="宋体" w:cs="宋体" w:eastAsia="宋体" w:hint="default"/>
                <w:sz w:val="21"/>
                <w:szCs w:val="21"/>
              </w:rPr>
              <w:t>工程投入占</w:t>
            </w:r>
            <w:r>
              <w:rPr>
                <w:rFonts w:ascii="宋体" w:hAnsi="宋体" w:cs="宋体" w:eastAsia="宋体" w:hint="default"/>
                <w:w w:val="100"/>
                <w:sz w:val="21"/>
                <w:szCs w:val="21"/>
              </w:rPr>
              <w:t> </w:t>
            </w:r>
            <w:r>
              <w:rPr>
                <w:rFonts w:ascii="宋体" w:hAnsi="宋体" w:cs="宋体" w:eastAsia="宋体" w:hint="default"/>
                <w:sz w:val="21"/>
                <w:szCs w:val="21"/>
              </w:rPr>
              <w:t>预算比例</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p>
        </w:tc>
        <w:tc>
          <w:tcPr>
            <w:tcW w:w="497"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33" w:right="29"/>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132" w:right="24"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7" w:right="2"/>
              <w:jc w:val="center"/>
              <w:rPr>
                <w:rFonts w:ascii="宋体" w:hAnsi="宋体" w:cs="宋体" w:eastAsia="宋体" w:hint="default"/>
                <w:sz w:val="21"/>
                <w:szCs w:val="21"/>
              </w:rPr>
            </w:pPr>
            <w:r>
              <w:rPr>
                <w:rFonts w:ascii="宋体" w:hAnsi="宋体" w:cs="宋体" w:eastAsia="宋体" w:hint="default"/>
                <w:spacing w:val="-10"/>
                <w:sz w:val="21"/>
                <w:szCs w:val="21"/>
              </w:rPr>
              <w:t>其中：本期利</w:t>
            </w:r>
            <w:r>
              <w:rPr>
                <w:rFonts w:ascii="宋体" w:hAnsi="宋体" w:cs="宋体" w:eastAsia="宋体" w:hint="default"/>
                <w:w w:val="100"/>
                <w:sz w:val="21"/>
                <w:szCs w:val="21"/>
              </w:rPr>
              <w:t> </w:t>
            </w:r>
            <w:r>
              <w:rPr>
                <w:rFonts w:ascii="宋体" w:hAnsi="宋体" w:cs="宋体" w:eastAsia="宋体" w:hint="default"/>
                <w:sz w:val="21"/>
                <w:szCs w:val="21"/>
              </w:rPr>
              <w:t>息资本化金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82"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62" w:right="65"/>
              <w:jc w:val="center"/>
              <w:rPr>
                <w:rFonts w:ascii="Calibri" w:hAnsi="Calibri" w:cs="Calibri" w:eastAsia="Calibri" w:hint="default"/>
                <w:sz w:val="21"/>
                <w:szCs w:val="21"/>
              </w:rPr>
            </w:pPr>
            <w:r>
              <w:rPr>
                <w:rFonts w:ascii="宋体" w:hAnsi="宋体" w:cs="宋体" w:eastAsia="宋体" w:hint="default"/>
                <w:sz w:val="21"/>
                <w:szCs w:val="21"/>
              </w:rPr>
              <w:t>本期利息</w:t>
            </w:r>
            <w:r>
              <w:rPr>
                <w:rFonts w:ascii="宋体" w:hAnsi="宋体" w:cs="宋体" w:eastAsia="宋体" w:hint="default"/>
                <w:w w:val="100"/>
                <w:sz w:val="21"/>
                <w:szCs w:val="21"/>
              </w:rPr>
              <w:t> </w:t>
            </w:r>
            <w:r>
              <w:rPr>
                <w:rFonts w:ascii="宋体" w:hAnsi="宋体" w:cs="宋体" w:eastAsia="宋体" w:hint="default"/>
                <w:sz w:val="21"/>
                <w:szCs w:val="21"/>
              </w:rPr>
              <w:t>资本化率</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5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8" w:hRule="exact"/>
        </w:trPr>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3" w:right="0"/>
              <w:jc w:val="left"/>
              <w:rPr>
                <w:rFonts w:ascii="宋体" w:hAnsi="宋体" w:cs="宋体" w:eastAsia="宋体" w:hint="default"/>
                <w:sz w:val="21"/>
                <w:szCs w:val="21"/>
              </w:rPr>
            </w:pPr>
            <w:r>
              <w:rPr>
                <w:rFonts w:ascii="宋体" w:hAnsi="宋体" w:cs="宋体" w:eastAsia="宋体" w:hint="default"/>
                <w:sz w:val="21"/>
                <w:szCs w:val="21"/>
              </w:rPr>
              <w:t>泰安东华软件园</w:t>
            </w:r>
          </w:p>
        </w:tc>
        <w:tc>
          <w:tcPr>
            <w:tcW w:w="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141" w:right="0"/>
              <w:jc w:val="left"/>
              <w:rPr>
                <w:rFonts w:ascii="宋体" w:hAnsi="宋体" w:cs="宋体" w:eastAsia="宋体" w:hint="default"/>
                <w:sz w:val="21"/>
                <w:szCs w:val="21"/>
              </w:rPr>
            </w:pPr>
            <w:r>
              <w:rPr>
                <w:rFonts w:ascii="宋体"/>
                <w:sz w:val="21"/>
              </w:rPr>
              <w:t>4,800</w:t>
            </w:r>
          </w:p>
        </w:tc>
        <w:tc>
          <w:tcPr>
            <w:tcW w:w="1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235" w:right="0"/>
              <w:jc w:val="left"/>
              <w:rPr>
                <w:rFonts w:ascii="宋体" w:hAnsi="宋体" w:cs="宋体" w:eastAsia="宋体" w:hint="default"/>
                <w:sz w:val="21"/>
                <w:szCs w:val="21"/>
              </w:rPr>
            </w:pPr>
            <w:r>
              <w:rPr>
                <w:rFonts w:ascii="宋体"/>
                <w:sz w:val="21"/>
              </w:rPr>
              <w:t>58.24%</w:t>
            </w:r>
          </w:p>
        </w:tc>
        <w:tc>
          <w:tcPr>
            <w:tcW w:w="4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left="86" w:right="0"/>
              <w:jc w:val="left"/>
              <w:rPr>
                <w:rFonts w:ascii="宋体" w:hAnsi="宋体" w:cs="宋体" w:eastAsia="宋体" w:hint="default"/>
                <w:sz w:val="21"/>
                <w:szCs w:val="21"/>
              </w:rPr>
            </w:pPr>
            <w:r>
              <w:rPr>
                <w:rFonts w:ascii="宋体"/>
                <w:sz w:val="21"/>
              </w:rPr>
              <w:t>66%</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w:t>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5"/>
              <w:jc w:val="center"/>
              <w:rPr>
                <w:rFonts w:ascii="宋体" w:hAnsi="宋体" w:cs="宋体" w:eastAsia="宋体" w:hint="default"/>
                <w:sz w:val="21"/>
                <w:szCs w:val="21"/>
              </w:rPr>
            </w:pPr>
            <w:r>
              <w:rPr>
                <w:rFonts w:ascii="宋体"/>
                <w:sz w:val="21"/>
              </w:rPr>
              <w:t>8,916,239.49</w:t>
            </w:r>
          </w:p>
        </w:tc>
      </w:tr>
    </w:tbl>
    <w:p>
      <w:pPr>
        <w:spacing w:line="388" w:lineRule="auto" w:before="28"/>
        <w:ind w:left="606" w:right="384" w:hanging="3"/>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）截至本资产负债表日，公司的在建工程未发现有减值迹象，故未计提在建工程减值准备。</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50" w:lineRule="exact" w:before="0"/>
        <w:ind w:left="604" w:right="3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）无形资产增减变动情况如下：</w:t>
      </w:r>
    </w:p>
    <w:p>
      <w:pPr>
        <w:spacing w:line="240" w:lineRule="auto" w:before="10"/>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5252"/>
        <w:gridCol w:w="1260"/>
        <w:gridCol w:w="1155"/>
        <w:gridCol w:w="946"/>
        <w:gridCol w:w="1260"/>
      </w:tblGrid>
      <w:tr>
        <w:trPr>
          <w:trHeight w:val="319" w:hRule="exact"/>
        </w:trPr>
        <w:tc>
          <w:tcPr>
            <w:tcW w:w="5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45"/>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2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7" w:hRule="exact"/>
        </w:trPr>
        <w:tc>
          <w:tcPr>
            <w:tcW w:w="52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29"/>
              <w:ind w:left="-5"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7,509,276.67</w:t>
            </w:r>
          </w:p>
        </w:tc>
        <w:tc>
          <w:tcPr>
            <w:tcW w:w="1155"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1,636,717.00</w:t>
            </w:r>
          </w:p>
        </w:tc>
        <w:tc>
          <w:tcPr>
            <w:tcW w:w="946" w:type="dxa"/>
            <w:tcBorders>
              <w:top w:val="single" w:sz="4" w:space="0" w:color="000000"/>
              <w:left w:val="single" w:sz="4" w:space="0" w:color="000000"/>
              <w:bottom w:val="single" w:sz="2" w:space="0" w:color="000000"/>
              <w:right w:val="single" w:sz="4" w:space="0" w:color="000000"/>
            </w:tcBorders>
          </w:tcPr>
          <w:p>
            <w:pP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8"/>
              <w:ind w:right="32"/>
              <w:jc w:val="right"/>
              <w:rPr>
                <w:rFonts w:ascii="Calibri" w:hAnsi="Calibri" w:cs="Calibri" w:eastAsia="Calibri" w:hint="default"/>
                <w:sz w:val="18"/>
                <w:szCs w:val="18"/>
              </w:rPr>
            </w:pPr>
            <w:r>
              <w:rPr>
                <w:rFonts w:ascii="Calibri"/>
                <w:sz w:val="18"/>
              </w:rPr>
              <w:t>9,145,993.67</w:t>
            </w:r>
          </w:p>
        </w:tc>
      </w:tr>
      <w:tr>
        <w:trPr>
          <w:trHeight w:val="338" w:hRule="exact"/>
        </w:trPr>
        <w:tc>
          <w:tcPr>
            <w:tcW w:w="525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3,508,276.67</w:t>
            </w:r>
          </w:p>
        </w:tc>
        <w:tc>
          <w:tcPr>
            <w:tcW w:w="1155" w:type="dxa"/>
            <w:tcBorders>
              <w:top w:val="single" w:sz="2" w:space="0" w:color="000000"/>
              <w:left w:val="single" w:sz="4" w:space="0" w:color="000000"/>
              <w:bottom w:val="nil" w:sz="6" w:space="0" w:color="auto"/>
              <w:right w:val="single" w:sz="4" w:space="0" w:color="000000"/>
            </w:tcBorders>
          </w:tcPr>
          <w:p>
            <w:pPr/>
          </w:p>
        </w:tc>
        <w:tc>
          <w:tcPr>
            <w:tcW w:w="946" w:type="dxa"/>
            <w:vMerge w:val="restart"/>
            <w:tcBorders>
              <w:top w:val="single" w:sz="2" w:space="0" w:color="000000"/>
              <w:left w:val="single" w:sz="4" w:space="0" w:color="000000"/>
              <w:right w:val="single" w:sz="4" w:space="0" w:color="000000"/>
            </w:tcBorders>
          </w:tcPr>
          <w:p>
            <w:pP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2"/>
              <w:jc w:val="right"/>
              <w:rPr>
                <w:rFonts w:ascii="Calibri" w:hAnsi="Calibri" w:cs="Calibri" w:eastAsia="Calibri" w:hint="default"/>
                <w:sz w:val="18"/>
                <w:szCs w:val="18"/>
              </w:rPr>
            </w:pPr>
            <w:r>
              <w:rPr>
                <w:rFonts w:ascii="Calibri"/>
                <w:sz w:val="18"/>
              </w:rPr>
              <w:t>3,508,276.67</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全面预算管理软件系统技术（厚盾科技）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2,000,000.00</w:t>
            </w:r>
          </w:p>
        </w:tc>
        <w:tc>
          <w:tcPr>
            <w:tcW w:w="1155"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2"/>
              <w:jc w:val="right"/>
              <w:rPr>
                <w:rFonts w:ascii="Calibri" w:hAnsi="Calibri" w:cs="Calibri" w:eastAsia="Calibri" w:hint="default"/>
                <w:sz w:val="18"/>
                <w:szCs w:val="18"/>
              </w:rPr>
            </w:pPr>
            <w:r>
              <w:rPr>
                <w:rFonts w:ascii="Calibri"/>
                <w:sz w:val="18"/>
              </w:rPr>
              <w:t>2,000,000.00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42"/>
              <w:jc w:val="righ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面向行业的隐含语义检索工具集系统技术</w:t>
            </w:r>
            <w:r>
              <w:rPr>
                <w:rFonts w:ascii="Calibri" w:hAnsi="Calibri" w:cs="Calibri" w:eastAsia="Calibri" w:hint="default"/>
                <w:sz w:val="18"/>
                <w:szCs w:val="18"/>
              </w:rPr>
              <w:t>(</w:t>
            </w:r>
            <w:r>
              <w:rPr>
                <w:rFonts w:ascii="宋体" w:hAnsi="宋体" w:cs="宋体" w:eastAsia="宋体" w:hint="default"/>
                <w:sz w:val="18"/>
                <w:szCs w:val="18"/>
              </w:rPr>
              <w:t>厚盾科技</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1,500,000.00</w:t>
            </w:r>
          </w:p>
        </w:tc>
        <w:tc>
          <w:tcPr>
            <w:tcW w:w="1155"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2"/>
              <w:jc w:val="right"/>
              <w:rPr>
                <w:rFonts w:ascii="Calibri" w:hAnsi="Calibri" w:cs="Calibri" w:eastAsia="Calibri" w:hint="default"/>
                <w:sz w:val="18"/>
                <w:szCs w:val="18"/>
              </w:rPr>
            </w:pPr>
            <w:r>
              <w:rPr>
                <w:rFonts w:ascii="Calibri"/>
                <w:sz w:val="18"/>
              </w:rPr>
              <w:t>1,500,000.00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1,000.00</w:t>
            </w:r>
          </w:p>
        </w:tc>
        <w:tc>
          <w:tcPr>
            <w:tcW w:w="1155"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1,000.00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500,000.00</w:t>
            </w:r>
          </w:p>
        </w:tc>
        <w:tc>
          <w:tcPr>
            <w:tcW w:w="1155" w:type="dxa"/>
            <w:tcBorders>
              <w:top w:val="nil" w:sz="6" w:space="0" w:color="auto"/>
              <w:left w:val="single" w:sz="4" w:space="0" w:color="000000"/>
              <w:bottom w:val="nil" w:sz="6" w:space="0" w:color="auto"/>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500,000.00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1260"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1,520,000.00</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2"/>
              <w:jc w:val="right"/>
              <w:rPr>
                <w:rFonts w:ascii="Calibri" w:hAnsi="Calibri" w:cs="Calibri" w:eastAsia="Calibri" w:hint="default"/>
                <w:sz w:val="18"/>
                <w:szCs w:val="18"/>
              </w:rPr>
            </w:pPr>
            <w:r>
              <w:rPr>
                <w:rFonts w:ascii="Calibri"/>
                <w:sz w:val="18"/>
              </w:rPr>
              <w:t>1,520,000.00</w:t>
            </w:r>
          </w:p>
        </w:tc>
      </w:tr>
      <w:tr>
        <w:trPr>
          <w:trHeight w:val="270" w:hRule="exact"/>
        </w:trPr>
        <w:tc>
          <w:tcPr>
            <w:tcW w:w="525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260"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116,717.00</w:t>
            </w:r>
          </w:p>
        </w:tc>
        <w:tc>
          <w:tcPr>
            <w:tcW w:w="946"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116,717.00</w:t>
            </w:r>
          </w:p>
        </w:tc>
      </w:tr>
      <w:tr>
        <w:trPr>
          <w:trHeight w:val="310" w:hRule="exact"/>
        </w:trPr>
        <w:tc>
          <w:tcPr>
            <w:tcW w:w="52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2"/>
              <w:ind w:left="-5"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71"/>
              <w:ind w:right="31"/>
              <w:jc w:val="right"/>
              <w:rPr>
                <w:rFonts w:ascii="Calibri" w:hAnsi="Calibri" w:cs="Calibri" w:eastAsia="Calibri" w:hint="default"/>
                <w:sz w:val="18"/>
                <w:szCs w:val="18"/>
              </w:rPr>
            </w:pPr>
            <w:r>
              <w:rPr>
                <w:rFonts w:ascii="Calibri"/>
                <w:sz w:val="18"/>
              </w:rPr>
              <w:t>1,932,374.74</w:t>
            </w:r>
          </w:p>
        </w:tc>
        <w:tc>
          <w:tcPr>
            <w:tcW w:w="1155"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71"/>
              <w:ind w:right="31"/>
              <w:jc w:val="right"/>
              <w:rPr>
                <w:rFonts w:ascii="Calibri" w:hAnsi="Calibri" w:cs="Calibri" w:eastAsia="Calibri" w:hint="default"/>
                <w:sz w:val="18"/>
                <w:szCs w:val="18"/>
              </w:rPr>
            </w:pPr>
            <w:r>
              <w:rPr>
                <w:rFonts w:ascii="Calibri"/>
                <w:sz w:val="18"/>
              </w:rPr>
              <w:t>1,207,695.51</w:t>
            </w:r>
          </w:p>
        </w:tc>
        <w:tc>
          <w:tcPr>
            <w:tcW w:w="946" w:type="dxa"/>
            <w:tcBorders>
              <w:top w:val="single" w:sz="4" w:space="0" w:color="000000"/>
              <w:left w:val="single" w:sz="4" w:space="0" w:color="000000"/>
              <w:bottom w:val="single" w:sz="2" w:space="0" w:color="000000"/>
              <w:right w:val="single" w:sz="4" w:space="0" w:color="000000"/>
            </w:tcBorders>
          </w:tcPr>
          <w:p>
            <w:pP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71"/>
              <w:ind w:right="32"/>
              <w:jc w:val="right"/>
              <w:rPr>
                <w:rFonts w:ascii="Calibri" w:hAnsi="Calibri" w:cs="Calibri" w:eastAsia="Calibri" w:hint="default"/>
                <w:sz w:val="18"/>
                <w:szCs w:val="18"/>
              </w:rPr>
            </w:pPr>
            <w:r>
              <w:rPr>
                <w:rFonts w:ascii="Calibri"/>
                <w:sz w:val="18"/>
              </w:rPr>
              <w:t>3,140,070.25</w:t>
            </w:r>
          </w:p>
        </w:tc>
      </w:tr>
      <w:tr>
        <w:trPr>
          <w:trHeight w:val="338" w:hRule="exact"/>
        </w:trPr>
        <w:tc>
          <w:tcPr>
            <w:tcW w:w="525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261,057.92</w:t>
            </w:r>
          </w:p>
        </w:tc>
        <w:tc>
          <w:tcPr>
            <w:tcW w:w="1155"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79,209.72</w:t>
            </w:r>
          </w:p>
        </w:tc>
        <w:tc>
          <w:tcPr>
            <w:tcW w:w="946" w:type="dxa"/>
            <w:vMerge w:val="restart"/>
            <w:tcBorders>
              <w:top w:val="single" w:sz="2" w:space="0" w:color="000000"/>
              <w:left w:val="single" w:sz="4" w:space="0" w:color="000000"/>
              <w:right w:val="single" w:sz="4" w:space="0" w:color="000000"/>
            </w:tcBorders>
          </w:tcPr>
          <w:p>
            <w:pP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340,267.64</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全面预算管理软件系统技术（厚盾科技）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933,333.52</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200,000.04</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2"/>
              <w:jc w:val="right"/>
              <w:rPr>
                <w:rFonts w:ascii="Calibri" w:hAnsi="Calibri" w:cs="Calibri" w:eastAsia="Calibri" w:hint="default"/>
                <w:sz w:val="18"/>
                <w:szCs w:val="18"/>
              </w:rPr>
            </w:pPr>
            <w:r>
              <w:rPr>
                <w:rFonts w:ascii="Calibri"/>
                <w:sz w:val="18"/>
              </w:rPr>
              <w:t>1,133,333.56</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42"/>
              <w:jc w:val="righ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面向行业的隐含语义检索工具集系统技术</w:t>
            </w:r>
            <w:r>
              <w:rPr>
                <w:rFonts w:ascii="Calibri" w:hAnsi="Calibri" w:cs="Calibri" w:eastAsia="Calibri" w:hint="default"/>
                <w:sz w:val="18"/>
                <w:szCs w:val="18"/>
              </w:rPr>
              <w:t>(</w:t>
            </w:r>
            <w:r>
              <w:rPr>
                <w:rFonts w:ascii="宋体" w:hAnsi="宋体" w:cs="宋体" w:eastAsia="宋体" w:hint="default"/>
                <w:sz w:val="18"/>
                <w:szCs w:val="18"/>
              </w:rPr>
              <w:t>厚盾科技</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537,500.00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150,000.00</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687,500.00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483.14</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99.96</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583.10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200,000.16</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50,000.04</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250,000.20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1260"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pacing w:val="-1"/>
                <w:sz w:val="18"/>
              </w:rPr>
              <w:t>709,333.33</w:t>
            </w: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pacing w:val="-1"/>
                <w:sz w:val="18"/>
              </w:rPr>
              <w:t>709,333.33</w:t>
            </w:r>
          </w:p>
        </w:tc>
      </w:tr>
      <w:tr>
        <w:trPr>
          <w:trHeight w:val="270" w:hRule="exact"/>
        </w:trPr>
        <w:tc>
          <w:tcPr>
            <w:tcW w:w="525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260"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19,052.42</w:t>
            </w:r>
          </w:p>
        </w:tc>
        <w:tc>
          <w:tcPr>
            <w:tcW w:w="946"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19,052.42</w:t>
            </w:r>
          </w:p>
        </w:tc>
      </w:tr>
      <w:tr>
        <w:trPr>
          <w:trHeight w:val="307" w:hRule="exact"/>
        </w:trPr>
        <w:tc>
          <w:tcPr>
            <w:tcW w:w="52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29"/>
              <w:ind w:left="-20"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5,576,901.93</w:t>
            </w:r>
          </w:p>
        </w:tc>
        <w:tc>
          <w:tcPr>
            <w:tcW w:w="1155" w:type="dxa"/>
            <w:tcBorders>
              <w:top w:val="single" w:sz="4" w:space="0" w:color="000000"/>
              <w:left w:val="single" w:sz="4" w:space="0" w:color="000000"/>
              <w:bottom w:val="single" w:sz="2" w:space="0" w:color="000000"/>
              <w:right w:val="single" w:sz="4" w:space="0" w:color="000000"/>
            </w:tcBorders>
          </w:tcPr>
          <w:p>
            <w:pPr/>
          </w:p>
        </w:tc>
        <w:tc>
          <w:tcPr>
            <w:tcW w:w="946" w:type="dxa"/>
            <w:tcBorders>
              <w:top w:val="single" w:sz="4" w:space="0" w:color="000000"/>
              <w:left w:val="single" w:sz="4" w:space="0" w:color="000000"/>
              <w:bottom w:val="single" w:sz="2" w:space="0" w:color="000000"/>
              <w:right w:val="single" w:sz="4" w:space="0" w:color="000000"/>
            </w:tcBorders>
          </w:tcPr>
          <w:p>
            <w:pPr/>
          </w:p>
        </w:tc>
        <w:tc>
          <w:tcPr>
            <w:tcW w:w="12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6,005,923.42</w:t>
            </w:r>
          </w:p>
        </w:tc>
      </w:tr>
      <w:tr>
        <w:trPr>
          <w:trHeight w:val="338" w:hRule="exact"/>
        </w:trPr>
        <w:tc>
          <w:tcPr>
            <w:tcW w:w="525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3,247,218.75</w:t>
            </w:r>
          </w:p>
        </w:tc>
        <w:tc>
          <w:tcPr>
            <w:tcW w:w="1155" w:type="dxa"/>
            <w:vMerge w:val="restart"/>
            <w:tcBorders>
              <w:top w:val="single" w:sz="2" w:space="0" w:color="000000"/>
              <w:left w:val="single" w:sz="4" w:space="0" w:color="000000"/>
              <w:right w:val="single" w:sz="4" w:space="0" w:color="000000"/>
            </w:tcBorders>
          </w:tcPr>
          <w:p>
            <w:pPr/>
          </w:p>
        </w:tc>
        <w:tc>
          <w:tcPr>
            <w:tcW w:w="946" w:type="dxa"/>
            <w:vMerge w:val="restart"/>
            <w:tcBorders>
              <w:top w:val="single" w:sz="2" w:space="0" w:color="000000"/>
              <w:left w:val="single" w:sz="4" w:space="0" w:color="000000"/>
              <w:right w:val="single" w:sz="4" w:space="0" w:color="000000"/>
            </w:tcBorders>
          </w:tcPr>
          <w:p>
            <w:pPr/>
          </w:p>
        </w:tc>
        <w:tc>
          <w:tcPr>
            <w:tcW w:w="12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8"/>
              <w:ind w:right="32"/>
              <w:jc w:val="right"/>
              <w:rPr>
                <w:rFonts w:ascii="Calibri" w:hAnsi="Calibri" w:cs="Calibri" w:eastAsia="Calibri" w:hint="default"/>
                <w:sz w:val="18"/>
                <w:szCs w:val="18"/>
              </w:rPr>
            </w:pPr>
            <w:r>
              <w:rPr>
                <w:rFonts w:ascii="Calibri"/>
                <w:sz w:val="18"/>
              </w:rPr>
              <w:t>3,168,009.03</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全面预算管理软件系统技术（厚盾科技）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1,066,666.48</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866,666.44</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42"/>
              <w:jc w:val="righ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面向行业的隐含语义检索工具集系统技术</w:t>
            </w:r>
            <w:r>
              <w:rPr>
                <w:rFonts w:ascii="Calibri" w:hAnsi="Calibri" w:cs="Calibri" w:eastAsia="Calibri" w:hint="default"/>
                <w:sz w:val="18"/>
                <w:szCs w:val="18"/>
              </w:rPr>
              <w:t>(</w:t>
            </w:r>
            <w:r>
              <w:rPr>
                <w:rFonts w:ascii="宋体" w:hAnsi="宋体" w:cs="宋体" w:eastAsia="宋体" w:hint="default"/>
                <w:sz w:val="18"/>
                <w:szCs w:val="18"/>
              </w:rPr>
              <w:t>厚盾科技</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962,500.00</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812,500.00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516.86</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416.90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299,999.84</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249,999.80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1260" w:type="dxa"/>
            <w:tcBorders>
              <w:top w:val="nil" w:sz="6" w:space="0" w:color="auto"/>
              <w:left w:val="single" w:sz="4" w:space="0" w:color="000000"/>
              <w:bottom w:val="nil" w:sz="6" w:space="0" w:color="auto"/>
              <w:right w:val="single" w:sz="4" w:space="0" w:color="000000"/>
            </w:tcBorders>
          </w:tcPr>
          <w:p>
            <w:pP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810,666.67</w:t>
            </w:r>
          </w:p>
        </w:tc>
      </w:tr>
      <w:tr>
        <w:trPr>
          <w:trHeight w:val="267" w:hRule="exact"/>
        </w:trPr>
        <w:tc>
          <w:tcPr>
            <w:tcW w:w="5252" w:type="dxa"/>
            <w:tcBorders>
              <w:top w:val="nil" w:sz="6" w:space="0" w:color="auto"/>
              <w:left w:val="single" w:sz="4" w:space="0" w:color="000000"/>
              <w:bottom w:val="single" w:sz="2"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260" w:type="dxa"/>
            <w:tcBorders>
              <w:top w:val="nil" w:sz="6" w:space="0" w:color="auto"/>
              <w:left w:val="single" w:sz="4" w:space="0" w:color="000000"/>
              <w:bottom w:val="single" w:sz="2" w:space="0" w:color="000000"/>
              <w:right w:val="single" w:sz="4" w:space="0" w:color="000000"/>
            </w:tcBorders>
          </w:tcPr>
          <w:p>
            <w:pPr/>
          </w:p>
        </w:tc>
        <w:tc>
          <w:tcPr>
            <w:tcW w:w="1155" w:type="dxa"/>
            <w:vMerge/>
            <w:tcBorders>
              <w:left w:val="single" w:sz="4" w:space="0" w:color="000000"/>
              <w:bottom w:val="single" w:sz="2" w:space="0" w:color="000000"/>
              <w:right w:val="single" w:sz="4" w:space="0" w:color="000000"/>
            </w:tcBorders>
          </w:tcPr>
          <w:p>
            <w:pPr/>
          </w:p>
        </w:tc>
        <w:tc>
          <w:tcPr>
            <w:tcW w:w="946" w:type="dxa"/>
            <w:vMerge/>
            <w:tcBorders>
              <w:left w:val="single" w:sz="4" w:space="0" w:color="000000"/>
              <w:bottom w:val="single" w:sz="2" w:space="0" w:color="000000"/>
              <w:right w:val="single" w:sz="4" w:space="0" w:color="000000"/>
            </w:tcBorders>
          </w:tcPr>
          <w:p>
            <w:pPr/>
          </w:p>
        </w:tc>
        <w:tc>
          <w:tcPr>
            <w:tcW w:w="1260"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97,664.58</w:t>
            </w:r>
          </w:p>
        </w:tc>
      </w:tr>
      <w:tr>
        <w:trPr>
          <w:trHeight w:val="305" w:hRule="exact"/>
        </w:trPr>
        <w:tc>
          <w:tcPr>
            <w:tcW w:w="5252"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29"/>
              <w:ind w:left="-20"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60" w:type="dxa"/>
            <w:tcBorders>
              <w:top w:val="single" w:sz="2" w:space="0" w:color="000000"/>
              <w:left w:val="single" w:sz="4" w:space="0" w:color="000000"/>
              <w:bottom w:val="single" w:sz="2" w:space="0" w:color="000000"/>
              <w:right w:val="single" w:sz="4" w:space="0" w:color="000000"/>
            </w:tcBorders>
          </w:tcPr>
          <w:p>
            <w:pPr/>
          </w:p>
        </w:tc>
        <w:tc>
          <w:tcPr>
            <w:tcW w:w="1155" w:type="dxa"/>
            <w:tcBorders>
              <w:top w:val="single" w:sz="2" w:space="0" w:color="000000"/>
              <w:left w:val="single" w:sz="4" w:space="0" w:color="000000"/>
              <w:bottom w:val="single" w:sz="2" w:space="0" w:color="000000"/>
              <w:right w:val="single" w:sz="4" w:space="0" w:color="000000"/>
            </w:tcBorders>
          </w:tcPr>
          <w:p>
            <w:pPr/>
          </w:p>
        </w:tc>
        <w:tc>
          <w:tcPr>
            <w:tcW w:w="946" w:type="dxa"/>
            <w:tcBorders>
              <w:top w:val="single" w:sz="2" w:space="0" w:color="000000"/>
              <w:left w:val="single" w:sz="4" w:space="0" w:color="000000"/>
              <w:bottom w:val="single" w:sz="2" w:space="0" w:color="000000"/>
              <w:right w:val="single" w:sz="4" w:space="0" w:color="000000"/>
            </w:tcBorders>
          </w:tcPr>
          <w:p>
            <w:pPr/>
          </w:p>
        </w:tc>
        <w:tc>
          <w:tcPr>
            <w:tcW w:w="1260" w:type="dxa"/>
            <w:tcBorders>
              <w:top w:val="single" w:sz="2" w:space="0" w:color="000000"/>
              <w:left w:val="single" w:sz="4" w:space="0" w:color="000000"/>
              <w:bottom w:val="single" w:sz="2" w:space="0" w:color="000000"/>
              <w:right w:val="single" w:sz="4" w:space="0" w:color="000000"/>
            </w:tcBorders>
          </w:tcPr>
          <w:p>
            <w:pPr/>
          </w:p>
        </w:tc>
      </w:tr>
      <w:tr>
        <w:trPr>
          <w:trHeight w:val="328" w:hRule="exact"/>
        </w:trPr>
        <w:tc>
          <w:tcPr>
            <w:tcW w:w="525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260" w:type="dxa"/>
            <w:vMerge w:val="restart"/>
            <w:tcBorders>
              <w:top w:val="single" w:sz="2" w:space="0" w:color="000000"/>
              <w:left w:val="single" w:sz="4" w:space="0" w:color="000000"/>
              <w:right w:val="single" w:sz="4" w:space="0" w:color="000000"/>
            </w:tcBorders>
          </w:tcPr>
          <w:p>
            <w:pPr/>
          </w:p>
        </w:tc>
        <w:tc>
          <w:tcPr>
            <w:tcW w:w="1155" w:type="dxa"/>
            <w:vMerge w:val="restart"/>
            <w:tcBorders>
              <w:top w:val="single" w:sz="2" w:space="0" w:color="000000"/>
              <w:left w:val="single" w:sz="4" w:space="0" w:color="000000"/>
              <w:right w:val="single" w:sz="4" w:space="0" w:color="000000"/>
            </w:tcBorders>
          </w:tcPr>
          <w:p>
            <w:pPr/>
          </w:p>
        </w:tc>
        <w:tc>
          <w:tcPr>
            <w:tcW w:w="946" w:type="dxa"/>
            <w:vMerge w:val="restart"/>
            <w:tcBorders>
              <w:top w:val="single" w:sz="2" w:space="0" w:color="000000"/>
              <w:left w:val="single" w:sz="4" w:space="0" w:color="000000"/>
              <w:right w:val="single" w:sz="4" w:space="0" w:color="000000"/>
            </w:tcBorders>
          </w:tcPr>
          <w:p>
            <w:pPr/>
          </w:p>
        </w:tc>
        <w:tc>
          <w:tcPr>
            <w:tcW w:w="1260" w:type="dxa"/>
            <w:vMerge w:val="restart"/>
            <w:tcBorders>
              <w:top w:val="single" w:sz="2" w:space="0" w:color="000000"/>
              <w:left w:val="single" w:sz="4" w:space="0" w:color="000000"/>
              <w:right w:val="single" w:sz="4" w:space="0" w:color="000000"/>
            </w:tcBorders>
          </w:tcPr>
          <w:p>
            <w:pPr/>
          </w:p>
        </w:tc>
      </w:tr>
      <w:tr>
        <w:trPr>
          <w:trHeight w:val="31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全面预算管理软件系统技术（厚盾科技）</w:t>
            </w:r>
          </w:p>
        </w:tc>
        <w:tc>
          <w:tcPr>
            <w:tcW w:w="1260"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42"/>
              <w:jc w:val="righ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面向行业的隐含语义检索工具集系统技术</w:t>
            </w:r>
            <w:r>
              <w:rPr>
                <w:rFonts w:ascii="Calibri" w:hAnsi="Calibri" w:cs="Calibri" w:eastAsia="Calibri" w:hint="default"/>
                <w:sz w:val="18"/>
                <w:szCs w:val="18"/>
              </w:rPr>
              <w:t>(</w:t>
            </w:r>
            <w:r>
              <w:rPr>
                <w:rFonts w:ascii="宋体" w:hAnsi="宋体" w:cs="宋体" w:eastAsia="宋体" w:hint="default"/>
                <w:sz w:val="18"/>
                <w:szCs w:val="18"/>
              </w:rPr>
              <w:t>厚盾科技</w:t>
            </w:r>
            <w:r>
              <w:rPr>
                <w:rFonts w:ascii="Calibri" w:hAnsi="Calibri" w:cs="Calibri" w:eastAsia="Calibri" w:hint="default"/>
                <w:sz w:val="18"/>
                <w:szCs w:val="18"/>
              </w:rPr>
              <w:t>)</w:t>
            </w:r>
          </w:p>
        </w:tc>
        <w:tc>
          <w:tcPr>
            <w:tcW w:w="1260"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265"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1260" w:type="dxa"/>
            <w:vMerge/>
            <w:tcBorders>
              <w:left w:val="single" w:sz="4" w:space="0" w:color="000000"/>
              <w:bottom w:val="nil" w:sz="6" w:space="0" w:color="auto"/>
              <w:right w:val="single" w:sz="4" w:space="0" w:color="000000"/>
            </w:tcBorders>
          </w:tcPr>
          <w:p>
            <w:pPr/>
          </w:p>
        </w:tc>
        <w:tc>
          <w:tcPr>
            <w:tcW w:w="1155" w:type="dxa"/>
            <w:vMerge/>
            <w:tcBorders>
              <w:left w:val="single" w:sz="4" w:space="0" w:color="000000"/>
              <w:bottom w:val="nil" w:sz="6" w:space="0" w:color="auto"/>
              <w:right w:val="single" w:sz="4" w:space="0" w:color="000000"/>
            </w:tcBorders>
          </w:tcPr>
          <w:p>
            <w:pPr/>
          </w:p>
        </w:tc>
        <w:tc>
          <w:tcPr>
            <w:tcW w:w="946"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r>
    </w:tbl>
    <w:p>
      <w:pPr>
        <w:spacing w:after="0"/>
        <w:sectPr>
          <w:pgSz w:w="12240" w:h="15840"/>
          <w:pgMar w:header="850" w:footer="956" w:top="1360" w:bottom="1140" w:left="146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252"/>
        <w:gridCol w:w="1260"/>
        <w:gridCol w:w="1155"/>
        <w:gridCol w:w="946"/>
        <w:gridCol w:w="370"/>
        <w:gridCol w:w="890"/>
      </w:tblGrid>
      <w:tr>
        <w:trPr>
          <w:trHeight w:val="350" w:hRule="exact"/>
        </w:trPr>
        <w:tc>
          <w:tcPr>
            <w:tcW w:w="525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1260" w:type="dxa"/>
            <w:vMerge w:val="restart"/>
            <w:tcBorders>
              <w:top w:val="single" w:sz="6" w:space="0" w:color="000000"/>
              <w:left w:val="single" w:sz="4" w:space="0" w:color="000000"/>
              <w:right w:val="single" w:sz="4" w:space="0" w:color="000000"/>
            </w:tcBorders>
          </w:tcPr>
          <w:p>
            <w:pPr/>
          </w:p>
        </w:tc>
        <w:tc>
          <w:tcPr>
            <w:tcW w:w="1155" w:type="dxa"/>
            <w:vMerge w:val="restart"/>
            <w:tcBorders>
              <w:top w:val="single" w:sz="6" w:space="0" w:color="000000"/>
              <w:left w:val="single" w:sz="4" w:space="0" w:color="000000"/>
              <w:right w:val="single" w:sz="4" w:space="0" w:color="000000"/>
            </w:tcBorders>
          </w:tcPr>
          <w:p>
            <w:pPr/>
          </w:p>
        </w:tc>
        <w:tc>
          <w:tcPr>
            <w:tcW w:w="946" w:type="dxa"/>
            <w:vMerge w:val="restart"/>
            <w:tcBorders>
              <w:top w:val="single" w:sz="6" w:space="0" w:color="000000"/>
              <w:left w:val="single" w:sz="4" w:space="0" w:color="000000"/>
              <w:right w:val="single" w:sz="4" w:space="0" w:color="000000"/>
            </w:tcBorders>
          </w:tcPr>
          <w:p>
            <w:pPr/>
          </w:p>
        </w:tc>
        <w:tc>
          <w:tcPr>
            <w:tcW w:w="370" w:type="dxa"/>
            <w:vMerge w:val="restart"/>
            <w:tcBorders>
              <w:top w:val="single" w:sz="6" w:space="0" w:color="000000"/>
              <w:left w:val="single" w:sz="4" w:space="0" w:color="000000"/>
              <w:right w:val="nil" w:sz="6" w:space="0" w:color="auto"/>
            </w:tcBorders>
          </w:tcPr>
          <w:p>
            <w:pPr/>
          </w:p>
        </w:tc>
        <w:tc>
          <w:tcPr>
            <w:tcW w:w="890" w:type="dxa"/>
            <w:vMerge w:val="restart"/>
            <w:tcBorders>
              <w:top w:val="nil" w:sz="6" w:space="0" w:color="auto"/>
              <w:left w:val="nil" w:sz="6" w:space="0" w:color="auto"/>
              <w:right w:val="single" w:sz="4" w:space="0" w:color="000000"/>
            </w:tcBorders>
          </w:tcPr>
          <w:p>
            <w:pP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1260"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vMerge/>
            <w:tcBorders>
              <w:left w:val="single" w:sz="4" w:space="0" w:color="000000"/>
              <w:right w:val="nil" w:sz="6" w:space="0" w:color="auto"/>
            </w:tcBorders>
          </w:tcPr>
          <w:p>
            <w:pPr/>
          </w:p>
        </w:tc>
        <w:tc>
          <w:tcPr>
            <w:tcW w:w="890" w:type="dxa"/>
            <w:vMerge/>
            <w:tcBorders>
              <w:left w:val="nil" w:sz="6" w:space="0" w:color="auto"/>
              <w:right w:val="single" w:sz="4" w:space="0" w:color="000000"/>
            </w:tcBorders>
          </w:tcPr>
          <w:p>
            <w:pPr/>
          </w:p>
        </w:tc>
      </w:tr>
      <w:tr>
        <w:trPr>
          <w:trHeight w:val="270" w:hRule="exact"/>
        </w:trPr>
        <w:tc>
          <w:tcPr>
            <w:tcW w:w="525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260"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370" w:type="dxa"/>
            <w:vMerge/>
            <w:tcBorders>
              <w:left w:val="single" w:sz="4" w:space="0" w:color="000000"/>
              <w:bottom w:val="single" w:sz="4" w:space="0" w:color="000000"/>
              <w:right w:val="nil" w:sz="6" w:space="0" w:color="auto"/>
            </w:tcBorders>
          </w:tcPr>
          <w:p>
            <w:pPr/>
          </w:p>
        </w:tc>
        <w:tc>
          <w:tcPr>
            <w:tcW w:w="890" w:type="dxa"/>
            <w:vMerge/>
            <w:tcBorders>
              <w:left w:val="nil" w:sz="6" w:space="0" w:color="auto"/>
              <w:bottom w:val="single" w:sz="4" w:space="0" w:color="000000"/>
              <w:right w:val="single" w:sz="4" w:space="0" w:color="000000"/>
            </w:tcBorders>
          </w:tcPr>
          <w:p>
            <w:pPr/>
          </w:p>
        </w:tc>
      </w:tr>
      <w:tr>
        <w:trPr>
          <w:trHeight w:val="310" w:hRule="exact"/>
        </w:trPr>
        <w:tc>
          <w:tcPr>
            <w:tcW w:w="5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5,576,901.93</w:t>
            </w:r>
          </w:p>
        </w:tc>
        <w:tc>
          <w:tcPr>
            <w:tcW w:w="115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9" w:right="0"/>
              <w:jc w:val="left"/>
              <w:rPr>
                <w:rFonts w:ascii="Calibri" w:hAnsi="Calibri" w:cs="Calibri" w:eastAsia="Calibri" w:hint="default"/>
                <w:sz w:val="18"/>
                <w:szCs w:val="18"/>
              </w:rPr>
            </w:pPr>
            <w:r>
              <w:rPr>
                <w:rFonts w:ascii="Calibri"/>
                <w:sz w:val="18"/>
              </w:rPr>
              <w:t>6,005,923.42</w:t>
            </w:r>
          </w:p>
        </w:tc>
      </w:tr>
      <w:tr>
        <w:trPr>
          <w:trHeight w:val="340" w:hRule="exact"/>
        </w:trPr>
        <w:tc>
          <w:tcPr>
            <w:tcW w:w="5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31"/>
              <w:jc w:val="right"/>
              <w:rPr>
                <w:rFonts w:ascii="Calibri" w:hAnsi="Calibri" w:cs="Calibri" w:eastAsia="Calibri" w:hint="default"/>
                <w:sz w:val="18"/>
                <w:szCs w:val="18"/>
              </w:rPr>
            </w:pPr>
            <w:r>
              <w:rPr>
                <w:rFonts w:ascii="Calibri"/>
                <w:sz w:val="18"/>
              </w:rPr>
              <w:t>3,247,218.75</w:t>
            </w:r>
          </w:p>
        </w:tc>
        <w:tc>
          <w:tcPr>
            <w:tcW w:w="1155"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126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59" w:right="0"/>
              <w:jc w:val="left"/>
              <w:rPr>
                <w:rFonts w:ascii="Calibri" w:hAnsi="Calibri" w:cs="Calibri" w:eastAsia="Calibri" w:hint="default"/>
                <w:sz w:val="18"/>
                <w:szCs w:val="18"/>
              </w:rPr>
            </w:pPr>
            <w:r>
              <w:rPr>
                <w:rFonts w:ascii="Calibri"/>
                <w:sz w:val="18"/>
              </w:rPr>
              <w:t>3,168,009.03</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全面预算管理软件系统技术（厚盾科技）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1,066,666.48</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tcBorders>
              <w:top w:val="nil" w:sz="6" w:space="0" w:color="auto"/>
              <w:left w:val="single" w:sz="4" w:space="0" w:color="000000"/>
              <w:bottom w:val="nil" w:sz="6" w:space="0" w:color="auto"/>
              <w:right w:val="nil" w:sz="6" w:space="0" w:color="auto"/>
            </w:tcBorders>
          </w:tcPr>
          <w:p>
            <w:pPr/>
          </w:p>
        </w:tc>
        <w:tc>
          <w:tcPr>
            <w:tcW w:w="89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866,666.44</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71"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面向行业的隐含语义检索工具集系统技术</w:t>
            </w:r>
            <w:r>
              <w:rPr>
                <w:rFonts w:ascii="Calibri" w:hAnsi="Calibri" w:cs="Calibri" w:eastAsia="Calibri" w:hint="default"/>
                <w:sz w:val="18"/>
                <w:szCs w:val="18"/>
              </w:rPr>
              <w:t>(</w:t>
            </w:r>
            <w:r>
              <w:rPr>
                <w:rFonts w:ascii="宋体" w:hAnsi="宋体" w:cs="宋体" w:eastAsia="宋体" w:hint="default"/>
                <w:sz w:val="18"/>
                <w:szCs w:val="18"/>
              </w:rPr>
              <w:t>厚盾科技</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962,500.00</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tcBorders>
              <w:top w:val="nil" w:sz="6" w:space="0" w:color="auto"/>
              <w:left w:val="single" w:sz="4" w:space="0" w:color="000000"/>
              <w:bottom w:val="nil" w:sz="6" w:space="0" w:color="auto"/>
              <w:right w:val="nil" w:sz="6" w:space="0" w:color="auto"/>
            </w:tcBorders>
          </w:tcPr>
          <w:p>
            <w:pPr/>
          </w:p>
        </w:tc>
        <w:tc>
          <w:tcPr>
            <w:tcW w:w="89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812,500.00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516.86</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tcBorders>
              <w:top w:val="nil" w:sz="6" w:space="0" w:color="auto"/>
              <w:left w:val="single" w:sz="4" w:space="0" w:color="000000"/>
              <w:bottom w:val="nil" w:sz="6" w:space="0" w:color="auto"/>
              <w:right w:val="nil" w:sz="6" w:space="0" w:color="auto"/>
            </w:tcBorders>
          </w:tcPr>
          <w:p>
            <w:pPr/>
          </w:p>
        </w:tc>
        <w:tc>
          <w:tcPr>
            <w:tcW w:w="89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416.90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Calibri" w:hAnsi="Calibri" w:cs="Calibri" w:eastAsia="Calibri" w:hint="default"/>
                <w:sz w:val="18"/>
                <w:szCs w:val="18"/>
              </w:rPr>
            </w:pPr>
            <w:r>
              <w:rPr>
                <w:rFonts w:ascii="宋体" w:hAnsi="宋体" w:cs="宋体" w:eastAsia="宋体" w:hint="default"/>
                <w:sz w:val="18"/>
                <w:szCs w:val="18"/>
              </w:rPr>
              <w:t>非专利技术</w:t>
            </w:r>
            <w:r>
              <w:rPr>
                <w:rFonts w:ascii="Calibri" w:hAnsi="Calibri" w:cs="Calibri" w:eastAsia="Calibri" w:hint="default"/>
                <w:sz w:val="18"/>
                <w:szCs w:val="18"/>
              </w:rPr>
              <w:t>-</w:t>
            </w: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299,999.84</w:t>
            </w: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tcBorders>
              <w:top w:val="nil" w:sz="6" w:space="0" w:color="auto"/>
              <w:left w:val="single" w:sz="4" w:space="0" w:color="000000"/>
              <w:bottom w:val="nil" w:sz="6" w:space="0" w:color="auto"/>
              <w:right w:val="nil" w:sz="6" w:space="0" w:color="auto"/>
            </w:tcBorders>
          </w:tcPr>
          <w:p>
            <w:pPr/>
          </w:p>
        </w:tc>
        <w:tc>
          <w:tcPr>
            <w:tcW w:w="89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249,999.80</w:t>
            </w: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1260" w:type="dxa"/>
            <w:tcBorders>
              <w:top w:val="nil" w:sz="6" w:space="0" w:color="auto"/>
              <w:left w:val="single" w:sz="4" w:space="0" w:color="000000"/>
              <w:bottom w:val="nil" w:sz="6" w:space="0" w:color="auto"/>
              <w:right w:val="single" w:sz="4" w:space="0" w:color="000000"/>
            </w:tcBorders>
          </w:tcPr>
          <w:p>
            <w:pPr/>
          </w:p>
        </w:tc>
        <w:tc>
          <w:tcPr>
            <w:tcW w:w="1155"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370" w:type="dxa"/>
            <w:tcBorders>
              <w:top w:val="nil" w:sz="6" w:space="0" w:color="auto"/>
              <w:left w:val="single" w:sz="4" w:space="0" w:color="000000"/>
              <w:bottom w:val="nil" w:sz="6" w:space="0" w:color="auto"/>
              <w:right w:val="nil" w:sz="6" w:space="0" w:color="auto"/>
            </w:tcBorders>
          </w:tcPr>
          <w:p>
            <w:pPr/>
          </w:p>
        </w:tc>
        <w:tc>
          <w:tcPr>
            <w:tcW w:w="89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810,666.67</w:t>
            </w:r>
          </w:p>
        </w:tc>
      </w:tr>
      <w:tr>
        <w:trPr>
          <w:trHeight w:val="282" w:hRule="exact"/>
        </w:trPr>
        <w:tc>
          <w:tcPr>
            <w:tcW w:w="5252"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1260" w:type="dxa"/>
            <w:tcBorders>
              <w:top w:val="nil" w:sz="6" w:space="0" w:color="auto"/>
              <w:left w:val="single" w:sz="4" w:space="0" w:color="000000"/>
              <w:bottom w:val="single" w:sz="12" w:space="0" w:color="000000"/>
              <w:right w:val="single" w:sz="4" w:space="0" w:color="000000"/>
            </w:tcBorders>
          </w:tcPr>
          <w:p>
            <w:pPr/>
          </w:p>
        </w:tc>
        <w:tc>
          <w:tcPr>
            <w:tcW w:w="1155" w:type="dxa"/>
            <w:vMerge/>
            <w:tcBorders>
              <w:left w:val="single" w:sz="4" w:space="0" w:color="000000"/>
              <w:bottom w:val="single" w:sz="12" w:space="0" w:color="000000"/>
              <w:right w:val="single" w:sz="4" w:space="0" w:color="000000"/>
            </w:tcBorders>
          </w:tcPr>
          <w:p>
            <w:pPr/>
          </w:p>
        </w:tc>
        <w:tc>
          <w:tcPr>
            <w:tcW w:w="946" w:type="dxa"/>
            <w:vMerge/>
            <w:tcBorders>
              <w:left w:val="single" w:sz="4" w:space="0" w:color="000000"/>
              <w:bottom w:val="single" w:sz="12" w:space="0" w:color="000000"/>
              <w:right w:val="single" w:sz="4" w:space="0" w:color="000000"/>
            </w:tcBorders>
          </w:tcPr>
          <w:p>
            <w:pPr/>
          </w:p>
        </w:tc>
        <w:tc>
          <w:tcPr>
            <w:tcW w:w="370" w:type="dxa"/>
            <w:tcBorders>
              <w:top w:val="nil" w:sz="6" w:space="0" w:color="auto"/>
              <w:left w:val="single" w:sz="4" w:space="0" w:color="000000"/>
              <w:bottom w:val="single" w:sz="12" w:space="0" w:color="000000"/>
              <w:right w:val="nil" w:sz="6" w:space="0" w:color="auto"/>
            </w:tcBorders>
          </w:tcPr>
          <w:p>
            <w:pPr/>
          </w:p>
        </w:tc>
        <w:tc>
          <w:tcPr>
            <w:tcW w:w="890" w:type="dxa"/>
            <w:tcBorders>
              <w:top w:val="nil" w:sz="6" w:space="0" w:color="auto"/>
              <w:left w:val="nil" w:sz="6" w:space="0" w:color="auto"/>
              <w:bottom w:val="single" w:sz="12" w:space="0" w:color="000000"/>
              <w:right w:val="single" w:sz="4" w:space="0" w:color="000000"/>
            </w:tcBorders>
          </w:tcPr>
          <w:p>
            <w:pPr>
              <w:pStyle w:val="TableParagraph"/>
              <w:spacing w:line="240" w:lineRule="auto" w:before="33"/>
              <w:ind w:right="31"/>
              <w:jc w:val="right"/>
              <w:rPr>
                <w:rFonts w:ascii="Calibri" w:hAnsi="Calibri" w:cs="Calibri" w:eastAsia="Calibri" w:hint="default"/>
                <w:sz w:val="18"/>
                <w:szCs w:val="18"/>
              </w:rPr>
            </w:pPr>
            <w:r>
              <w:rPr>
                <w:rFonts w:ascii="Calibri"/>
                <w:sz w:val="18"/>
              </w:rPr>
              <w:t>97,664.58</w:t>
            </w:r>
          </w:p>
        </w:tc>
      </w:tr>
    </w:tbl>
    <w:p>
      <w:pPr>
        <w:spacing w:before="4"/>
        <w:ind w:left="544" w:right="1265" w:firstLine="0"/>
        <w:jc w:val="left"/>
        <w:rPr>
          <w:rFonts w:ascii="宋体" w:hAnsi="宋体" w:cs="宋体" w:eastAsia="宋体" w:hint="default"/>
          <w:sz w:val="21"/>
          <w:szCs w:val="21"/>
        </w:rPr>
      </w:pPr>
      <w:r>
        <w:rPr>
          <w:rFonts w:ascii="宋体" w:hAnsi="宋体" w:cs="宋体" w:eastAsia="宋体" w:hint="default"/>
          <w:sz w:val="21"/>
          <w:szCs w:val="21"/>
        </w:rPr>
        <w:t>无形资产累计摊销额本期增加</w:t>
      </w:r>
      <w:r>
        <w:rPr>
          <w:rFonts w:ascii="宋体" w:hAnsi="宋体" w:cs="宋体" w:eastAsia="宋体" w:hint="default"/>
          <w:spacing w:val="-49"/>
          <w:sz w:val="21"/>
          <w:szCs w:val="21"/>
        </w:rPr>
        <w:t> </w:t>
      </w:r>
      <w:r>
        <w:rPr>
          <w:rFonts w:ascii="宋体" w:hAnsi="宋体" w:cs="宋体" w:eastAsia="宋体" w:hint="default"/>
          <w:sz w:val="21"/>
          <w:szCs w:val="21"/>
        </w:rPr>
        <w:t>1,207,695.51</w:t>
      </w:r>
      <w:r>
        <w:rPr>
          <w:rFonts w:ascii="宋体" w:hAnsi="宋体" w:cs="宋体" w:eastAsia="宋体" w:hint="default"/>
          <w:spacing w:val="5"/>
          <w:sz w:val="21"/>
          <w:szCs w:val="21"/>
        </w:rPr>
        <w:t> </w:t>
      </w:r>
      <w:r>
        <w:rPr>
          <w:rFonts w:ascii="宋体" w:hAnsi="宋体" w:cs="宋体" w:eastAsia="宋体" w:hint="default"/>
          <w:spacing w:val="-7"/>
          <w:sz w:val="21"/>
          <w:szCs w:val="21"/>
        </w:rPr>
        <w:t>元，其中无形资产本期摊销额为</w:t>
      </w:r>
      <w:r>
        <w:rPr>
          <w:rFonts w:ascii="宋体" w:hAnsi="宋体" w:cs="宋体" w:eastAsia="宋体" w:hint="default"/>
          <w:spacing w:val="-52"/>
          <w:sz w:val="21"/>
          <w:szCs w:val="21"/>
        </w:rPr>
        <w:t> </w:t>
      </w:r>
      <w:r>
        <w:rPr>
          <w:rFonts w:ascii="宋体" w:hAnsi="宋体" w:cs="宋体" w:eastAsia="宋体" w:hint="default"/>
          <w:sz w:val="21"/>
          <w:szCs w:val="21"/>
        </w:rPr>
        <w:t>549,862.18</w:t>
      </w:r>
      <w:r>
        <w:rPr>
          <w:rFonts w:ascii="宋体" w:hAnsi="宋体" w:cs="宋体" w:eastAsia="宋体" w:hint="default"/>
          <w:spacing w:val="5"/>
          <w:sz w:val="21"/>
          <w:szCs w:val="21"/>
        </w:rPr>
        <w:t> </w:t>
      </w:r>
      <w:r>
        <w:rPr>
          <w:rFonts w:ascii="宋体" w:hAnsi="宋体" w:cs="宋体" w:eastAsia="宋体" w:hint="default"/>
          <w:sz w:val="21"/>
          <w:szCs w:val="21"/>
        </w:rPr>
        <w:t>元；</w:t>
      </w:r>
    </w:p>
    <w:p>
      <w:pPr>
        <w:spacing w:line="285" w:lineRule="auto" w:before="54"/>
        <w:ind w:left="124" w:right="1265" w:firstLine="0"/>
        <w:jc w:val="left"/>
        <w:rPr>
          <w:rFonts w:ascii="宋体" w:hAnsi="宋体" w:cs="宋体" w:eastAsia="宋体" w:hint="default"/>
          <w:sz w:val="21"/>
          <w:szCs w:val="21"/>
        </w:rPr>
      </w:pPr>
      <w:r>
        <w:rPr>
          <w:rFonts w:ascii="宋体" w:hAnsi="宋体" w:cs="宋体" w:eastAsia="宋体" w:hint="default"/>
          <w:spacing w:val="-5"/>
          <w:w w:val="100"/>
          <w:sz w:val="21"/>
          <w:szCs w:val="21"/>
        </w:rPr>
        <w:t>公司本期收购北京东方易维软件有限公司股权，转入其截止购买日无形资产累计摊销额</w:t>
      </w:r>
      <w:r>
        <w:rPr>
          <w:rFonts w:ascii="宋体" w:hAnsi="宋体" w:cs="宋体" w:eastAsia="宋体" w:hint="default"/>
          <w:spacing w:val="-57"/>
          <w:w w:val="100"/>
          <w:sz w:val="21"/>
          <w:szCs w:val="21"/>
        </w:rPr>
        <w:t> </w:t>
      </w:r>
      <w:r>
        <w:rPr>
          <w:rFonts w:ascii="宋体" w:hAnsi="宋体" w:cs="宋体" w:eastAsia="宋体" w:hint="default"/>
          <w:spacing w:val="-1"/>
          <w:w w:val="100"/>
          <w:sz w:val="21"/>
          <w:szCs w:val="21"/>
        </w:rPr>
        <w:t>657,833.33</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元。</w:t>
      </w:r>
    </w:p>
    <w:p>
      <w:pPr>
        <w:spacing w:before="5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）无形资产相关资料如下：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675"/>
        <w:gridCol w:w="862"/>
        <w:gridCol w:w="994"/>
        <w:gridCol w:w="1133"/>
        <w:gridCol w:w="1003"/>
        <w:gridCol w:w="1025"/>
        <w:gridCol w:w="1260"/>
      </w:tblGrid>
      <w:tr>
        <w:trPr>
          <w:trHeight w:val="420" w:hRule="exact"/>
        </w:trPr>
        <w:tc>
          <w:tcPr>
            <w:tcW w:w="36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8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摊销期限</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003" w:type="dxa"/>
            <w:tcBorders>
              <w:top w:val="single" w:sz="12" w:space="0" w:color="000000"/>
              <w:left w:val="single" w:sz="4" w:space="0" w:color="000000"/>
              <w:bottom w:val="single" w:sz="4" w:space="0" w:color="000000"/>
              <w:right w:val="single" w:sz="4" w:space="0" w:color="000000"/>
            </w:tcBorders>
          </w:tcPr>
          <w:p>
            <w:pPr>
              <w:pStyle w:val="TableParagraph"/>
              <w:spacing w:line="169" w:lineRule="exact"/>
              <w:ind w:right="26"/>
              <w:jc w:val="center"/>
              <w:rPr>
                <w:rFonts w:ascii="宋体" w:hAnsi="宋体" w:cs="宋体" w:eastAsia="宋体" w:hint="default"/>
                <w:sz w:val="18"/>
                <w:szCs w:val="18"/>
              </w:rPr>
            </w:pPr>
            <w:r>
              <w:rPr>
                <w:rFonts w:ascii="宋体" w:hAnsi="宋体" w:cs="宋体" w:eastAsia="宋体" w:hint="default"/>
                <w:sz w:val="18"/>
                <w:szCs w:val="18"/>
              </w:rPr>
              <w:t>累计摊销</w:t>
            </w:r>
          </w:p>
          <w:p>
            <w:pPr>
              <w:pStyle w:val="TableParagraph"/>
              <w:spacing w:line="219" w:lineRule="exact"/>
              <w:ind w:right="26"/>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剩余摊销年限</w:t>
            </w:r>
          </w:p>
        </w:tc>
      </w:tr>
      <w:tr>
        <w:trPr>
          <w:trHeight w:val="340" w:hRule="exact"/>
        </w:trPr>
        <w:tc>
          <w:tcPr>
            <w:tcW w:w="36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土地使用权（泰安东华）</w:t>
            </w: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Calibri" w:hAnsi="Calibri" w:cs="Calibri" w:eastAsia="Calibri" w:hint="default"/>
                <w:sz w:val="18"/>
                <w:szCs w:val="18"/>
              </w:rPr>
              <w:t>49</w:t>
            </w:r>
            <w:r>
              <w:rPr>
                <w:rFonts w:ascii="宋体" w:hAnsi="宋体" w:cs="宋体" w:eastAsia="宋体" w:hint="default"/>
                <w:sz w:val="18"/>
                <w:szCs w:val="18"/>
              </w:rPr>
              <w:t>年</w:t>
            </w:r>
            <w:r>
              <w:rPr>
                <w:rFonts w:ascii="Calibri" w:hAnsi="Calibri" w:cs="Calibri" w:eastAsia="Calibri" w:hint="default"/>
                <w:sz w:val="18"/>
                <w:szCs w:val="18"/>
              </w:rPr>
              <w:t>10</w:t>
            </w:r>
            <w:r>
              <w:rPr>
                <w:rFonts w:ascii="宋体" w:hAnsi="宋体" w:cs="宋体" w:eastAsia="宋体" w:hint="default"/>
                <w:sz w:val="18"/>
                <w:szCs w:val="18"/>
              </w:rPr>
              <w:t>个月</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5"/>
              <w:jc w:val="right"/>
              <w:rPr>
                <w:rFonts w:ascii="Calibri" w:hAnsi="Calibri" w:cs="Calibri" w:eastAsia="Calibri" w:hint="default"/>
                <w:sz w:val="18"/>
                <w:szCs w:val="18"/>
              </w:rPr>
            </w:pPr>
            <w:r>
              <w:rPr>
                <w:rFonts w:ascii="Calibri"/>
                <w:sz w:val="18"/>
              </w:rPr>
              <w:t>3,508,276.67</w:t>
            </w:r>
          </w:p>
        </w:tc>
        <w:tc>
          <w:tcPr>
            <w:tcW w:w="10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Calibri" w:hAnsi="Calibri" w:cs="Calibri" w:eastAsia="Calibri" w:hint="default"/>
                <w:sz w:val="18"/>
                <w:szCs w:val="18"/>
              </w:rPr>
            </w:pPr>
            <w:r>
              <w:rPr>
                <w:rFonts w:ascii="Calibri"/>
                <w:sz w:val="18"/>
              </w:rPr>
              <w:t>340,267.64</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3,168,009.03</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Calibri" w:hAnsi="Calibri" w:cs="Calibri" w:eastAsia="Calibri" w:hint="default"/>
                <w:sz w:val="18"/>
                <w:szCs w:val="18"/>
              </w:rPr>
              <w:t>45</w:t>
            </w:r>
            <w:r>
              <w:rPr>
                <w:rFonts w:ascii="宋体" w:hAnsi="宋体" w:cs="宋体" w:eastAsia="宋体" w:hint="default"/>
                <w:sz w:val="18"/>
                <w:szCs w:val="18"/>
              </w:rPr>
              <w:t>年</w:t>
            </w:r>
          </w:p>
        </w:tc>
      </w:tr>
      <w:tr>
        <w:trPr>
          <w:trHeight w:val="300" w:hRule="exact"/>
        </w:trPr>
        <w:tc>
          <w:tcPr>
            <w:tcW w:w="3675"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Supporter </w:t>
            </w:r>
            <w:r>
              <w:rPr>
                <w:rFonts w:ascii="宋体" w:hAnsi="宋体" w:cs="宋体" w:eastAsia="宋体" w:hint="default"/>
                <w:sz w:val="18"/>
                <w:szCs w:val="18"/>
              </w:rPr>
              <w:t>商标（厚盾科技）</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自创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 w:right="0"/>
              <w:jc w:val="center"/>
              <w:rPr>
                <w:rFonts w:ascii="宋体" w:hAnsi="宋体" w:cs="宋体" w:eastAsia="宋体"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年</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Calibri" w:hAnsi="Calibri" w:cs="Calibri" w:eastAsia="Calibri" w:hint="default"/>
                <w:sz w:val="18"/>
                <w:szCs w:val="18"/>
              </w:rPr>
            </w:pPr>
            <w:r>
              <w:rPr>
                <w:rFonts w:ascii="Calibri"/>
                <w:sz w:val="18"/>
              </w:rPr>
              <w:t>1,000.00</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1"/>
              <w:jc w:val="right"/>
              <w:rPr>
                <w:rFonts w:ascii="Calibri" w:hAnsi="Calibri" w:cs="Calibri" w:eastAsia="Calibri" w:hint="default"/>
                <w:sz w:val="18"/>
                <w:szCs w:val="18"/>
              </w:rPr>
            </w:pPr>
            <w:r>
              <w:rPr>
                <w:rFonts w:ascii="Calibri"/>
                <w:sz w:val="18"/>
              </w:rPr>
              <w:t>583.10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416.90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2"/>
              <w:jc w:val="center"/>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w:t>
            </w:r>
          </w:p>
        </w:tc>
      </w:tr>
      <w:tr>
        <w:trPr>
          <w:trHeight w:val="270" w:hRule="exact"/>
        </w:trPr>
        <w:tc>
          <w:tcPr>
            <w:tcW w:w="3675"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86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003"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40" w:hRule="exact"/>
        </w:trPr>
        <w:tc>
          <w:tcPr>
            <w:tcW w:w="36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全面预算管理软件系统技术（厚盾科技）</w:t>
            </w: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年</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2,000,000.00</w:t>
            </w:r>
          </w:p>
        </w:tc>
        <w:tc>
          <w:tcPr>
            <w:tcW w:w="10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Calibri" w:hAnsi="Calibri" w:cs="Calibri" w:eastAsia="Calibri" w:hint="default"/>
                <w:sz w:val="18"/>
                <w:szCs w:val="18"/>
              </w:rPr>
            </w:pPr>
            <w:r>
              <w:rPr>
                <w:rFonts w:ascii="Calibri"/>
                <w:sz w:val="18"/>
              </w:rPr>
              <w:t>1,133,333.56</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866,666.44</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年</w:t>
            </w:r>
            <w:r>
              <w:rPr>
                <w:rFonts w:ascii="Calibri" w:hAnsi="Calibri" w:cs="Calibri" w:eastAsia="Calibri" w:hint="default"/>
                <w:sz w:val="18"/>
                <w:szCs w:val="18"/>
              </w:rPr>
              <w:t>2</w:t>
            </w:r>
            <w:r>
              <w:rPr>
                <w:rFonts w:ascii="宋体" w:hAnsi="宋体" w:cs="宋体" w:eastAsia="宋体" w:hint="default"/>
                <w:sz w:val="18"/>
                <w:szCs w:val="18"/>
              </w:rPr>
              <w:t>个月</w:t>
            </w:r>
          </w:p>
        </w:tc>
      </w:tr>
      <w:tr>
        <w:trPr>
          <w:trHeight w:val="300" w:hRule="exact"/>
        </w:trPr>
        <w:tc>
          <w:tcPr>
            <w:tcW w:w="367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3"/>
              <w:jc w:val="right"/>
              <w:rPr>
                <w:rFonts w:ascii="Calibri" w:hAnsi="Calibri" w:cs="Calibri" w:eastAsia="Calibri" w:hint="default"/>
                <w:sz w:val="15"/>
                <w:szCs w:val="15"/>
              </w:rPr>
            </w:pPr>
            <w:r>
              <w:rPr>
                <w:rFonts w:ascii="宋体" w:hAnsi="宋体" w:cs="宋体" w:eastAsia="宋体" w:hint="default"/>
                <w:spacing w:val="-2"/>
                <w:sz w:val="15"/>
                <w:szCs w:val="15"/>
              </w:rPr>
              <w:t>面向行业的隐含语义检索工具集系统技术</w:t>
            </w:r>
            <w:r>
              <w:rPr>
                <w:rFonts w:ascii="Calibri" w:hAnsi="Calibri" w:cs="Calibri" w:eastAsia="Calibri" w:hint="default"/>
                <w:spacing w:val="-2"/>
                <w:sz w:val="15"/>
                <w:szCs w:val="15"/>
              </w:rPr>
              <w:t>(</w:t>
            </w:r>
            <w:r>
              <w:rPr>
                <w:rFonts w:ascii="宋体" w:hAnsi="宋体" w:cs="宋体" w:eastAsia="宋体" w:hint="default"/>
                <w:spacing w:val="-2"/>
                <w:sz w:val="15"/>
                <w:szCs w:val="15"/>
              </w:rPr>
              <w:t>厚盾科技</w:t>
            </w:r>
            <w:r>
              <w:rPr>
                <w:rFonts w:ascii="Calibri" w:hAnsi="Calibri" w:cs="Calibri" w:eastAsia="Calibri" w:hint="default"/>
                <w:spacing w:val="-2"/>
                <w:sz w:val="15"/>
                <w:szCs w:val="15"/>
              </w:rPr>
              <w:t>)</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 w:right="0"/>
              <w:jc w:val="center"/>
              <w:rPr>
                <w:rFonts w:ascii="宋体" w:hAnsi="宋体" w:cs="宋体" w:eastAsia="宋体"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年</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1,500,000.00</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2"/>
              <w:jc w:val="right"/>
              <w:rPr>
                <w:rFonts w:ascii="Calibri" w:hAnsi="Calibri" w:cs="Calibri" w:eastAsia="Calibri" w:hint="default"/>
                <w:sz w:val="18"/>
                <w:szCs w:val="18"/>
              </w:rPr>
            </w:pPr>
            <w:r>
              <w:rPr>
                <w:rFonts w:ascii="Calibri"/>
                <w:sz w:val="18"/>
              </w:rPr>
              <w:t>687,500.00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812,500.00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2"/>
              <w:jc w:val="center"/>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年</w:t>
            </w:r>
            <w:r>
              <w:rPr>
                <w:rFonts w:ascii="Calibri" w:hAnsi="Calibri" w:cs="Calibri" w:eastAsia="Calibri" w:hint="default"/>
                <w:sz w:val="18"/>
                <w:szCs w:val="18"/>
              </w:rPr>
              <w:t>3</w:t>
            </w:r>
            <w:r>
              <w:rPr>
                <w:rFonts w:ascii="宋体" w:hAnsi="宋体" w:cs="宋体" w:eastAsia="宋体" w:hint="default"/>
                <w:sz w:val="18"/>
                <w:szCs w:val="18"/>
              </w:rPr>
              <w:t>个月</w:t>
            </w:r>
          </w:p>
        </w:tc>
      </w:tr>
      <w:tr>
        <w:trPr>
          <w:trHeight w:val="300" w:hRule="exact"/>
        </w:trPr>
        <w:tc>
          <w:tcPr>
            <w:tcW w:w="3675"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04" w:right="0"/>
              <w:jc w:val="left"/>
              <w:rPr>
                <w:rFonts w:ascii="Calibri" w:hAnsi="Calibri" w:cs="Calibri" w:eastAsia="Calibri" w:hint="default"/>
                <w:sz w:val="18"/>
                <w:szCs w:val="18"/>
              </w:rPr>
            </w:pPr>
            <w:r>
              <w:rPr>
                <w:rFonts w:ascii="宋体" w:hAnsi="宋体" w:cs="宋体" w:eastAsia="宋体" w:hint="default"/>
                <w:sz w:val="18"/>
                <w:szCs w:val="18"/>
              </w:rPr>
              <w:t>项目报备管理系统技术</w:t>
            </w:r>
            <w:r>
              <w:rPr>
                <w:rFonts w:ascii="Calibri" w:hAnsi="Calibri" w:cs="Calibri" w:eastAsia="Calibri" w:hint="default"/>
                <w:sz w:val="18"/>
                <w:szCs w:val="18"/>
              </w:rPr>
              <w:t>(</w:t>
            </w:r>
            <w:r>
              <w:rPr>
                <w:rFonts w:ascii="宋体" w:hAnsi="宋体" w:cs="宋体" w:eastAsia="宋体" w:hint="default"/>
                <w:sz w:val="18"/>
                <w:szCs w:val="18"/>
              </w:rPr>
              <w:t>厚盾鸿远</w:t>
            </w:r>
            <w:r>
              <w:rPr>
                <w:rFonts w:ascii="Calibri" w:hAnsi="Calibri" w:cs="Calibri" w:eastAsia="Calibri" w:hint="default"/>
                <w:sz w:val="18"/>
                <w:szCs w:val="18"/>
              </w:rPr>
              <w:t>)</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 w:right="0"/>
              <w:jc w:val="center"/>
              <w:rPr>
                <w:rFonts w:ascii="宋体" w:hAnsi="宋体" w:cs="宋体" w:eastAsia="宋体" w:hint="default"/>
                <w:sz w:val="18"/>
                <w:szCs w:val="18"/>
              </w:rPr>
            </w:pPr>
            <w:r>
              <w:rPr>
                <w:rFonts w:ascii="Calibri" w:hAnsi="Calibri" w:cs="Calibri" w:eastAsia="Calibri" w:hint="default"/>
                <w:sz w:val="18"/>
                <w:szCs w:val="18"/>
              </w:rPr>
              <w:t>10</w:t>
            </w:r>
            <w:r>
              <w:rPr>
                <w:rFonts w:ascii="宋体" w:hAnsi="宋体" w:cs="宋体" w:eastAsia="宋体" w:hint="default"/>
                <w:sz w:val="18"/>
                <w:szCs w:val="18"/>
              </w:rPr>
              <w:t>年</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Calibri" w:hAnsi="Calibri" w:cs="Calibri" w:eastAsia="Calibri" w:hint="default"/>
                <w:sz w:val="18"/>
                <w:szCs w:val="18"/>
              </w:rPr>
            </w:pPr>
            <w:r>
              <w:rPr>
                <w:rFonts w:ascii="Calibri"/>
                <w:sz w:val="18"/>
              </w:rPr>
              <w:t>500,000.00</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2"/>
              <w:jc w:val="right"/>
              <w:rPr>
                <w:rFonts w:ascii="Calibri" w:hAnsi="Calibri" w:cs="Calibri" w:eastAsia="Calibri" w:hint="default"/>
                <w:sz w:val="18"/>
                <w:szCs w:val="18"/>
              </w:rPr>
            </w:pPr>
            <w:r>
              <w:rPr>
                <w:rFonts w:ascii="Calibri"/>
                <w:sz w:val="18"/>
              </w:rPr>
              <w:t>250,000.20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249,999.80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2"/>
              <w:jc w:val="center"/>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年</w:t>
            </w:r>
          </w:p>
        </w:tc>
      </w:tr>
      <w:tr>
        <w:trPr>
          <w:trHeight w:val="300" w:hRule="exact"/>
        </w:trPr>
        <w:tc>
          <w:tcPr>
            <w:tcW w:w="3675"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49"/>
              <w:jc w:val="right"/>
              <w:rPr>
                <w:rFonts w:ascii="宋体" w:hAnsi="宋体" w:cs="宋体" w:eastAsia="宋体" w:hint="default"/>
                <w:sz w:val="18"/>
                <w:szCs w:val="18"/>
              </w:rPr>
            </w:pPr>
            <w:r>
              <w:rPr>
                <w:rFonts w:ascii="Calibri" w:hAnsi="Calibri" w:cs="Calibri" w:eastAsia="Calibri" w:hint="default"/>
                <w:sz w:val="18"/>
                <w:szCs w:val="18"/>
              </w:rPr>
              <w:t>3G</w:t>
            </w:r>
            <w:r>
              <w:rPr>
                <w:rFonts w:ascii="Calibri" w:hAnsi="Calibri" w:cs="Calibri" w:eastAsia="Calibri" w:hint="default"/>
                <w:spacing w:val="3"/>
                <w:sz w:val="18"/>
                <w:szCs w:val="18"/>
              </w:rPr>
              <w:t> </w:t>
            </w:r>
            <w:r>
              <w:rPr>
                <w:rFonts w:ascii="宋体" w:hAnsi="宋体" w:cs="宋体" w:eastAsia="宋体" w:hint="default"/>
                <w:sz w:val="18"/>
                <w:szCs w:val="18"/>
              </w:rPr>
              <w:t>移动信息化无线整合平台（东方易维）</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 w:right="0"/>
              <w:jc w:val="center"/>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年</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Calibri" w:hAnsi="Calibri" w:cs="Calibri" w:eastAsia="Calibri" w:hint="default"/>
                <w:sz w:val="18"/>
                <w:szCs w:val="18"/>
              </w:rPr>
            </w:pPr>
            <w:r>
              <w:rPr>
                <w:rFonts w:ascii="Calibri"/>
                <w:sz w:val="18"/>
              </w:rPr>
              <w:t>1,520,000.00</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1"/>
              <w:jc w:val="right"/>
              <w:rPr>
                <w:rFonts w:ascii="Calibri" w:hAnsi="Calibri" w:cs="Calibri" w:eastAsia="Calibri" w:hint="default"/>
                <w:sz w:val="18"/>
                <w:szCs w:val="18"/>
              </w:rPr>
            </w:pPr>
            <w:r>
              <w:rPr>
                <w:rFonts w:ascii="Calibri"/>
                <w:spacing w:val="-1"/>
                <w:sz w:val="18"/>
              </w:rPr>
              <w:t>709,333.33</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810,666.67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2"/>
              <w:jc w:val="center"/>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年</w:t>
            </w:r>
            <w:r>
              <w:rPr>
                <w:rFonts w:ascii="Calibri" w:hAnsi="Calibri" w:cs="Calibri" w:eastAsia="Calibri" w:hint="default"/>
                <w:sz w:val="18"/>
                <w:szCs w:val="18"/>
              </w:rPr>
              <w:t>9</w:t>
            </w:r>
            <w:r>
              <w:rPr>
                <w:rFonts w:ascii="宋体" w:hAnsi="宋体" w:cs="宋体" w:eastAsia="宋体" w:hint="default"/>
                <w:sz w:val="18"/>
                <w:szCs w:val="18"/>
              </w:rPr>
              <w:t>个月</w:t>
            </w:r>
          </w:p>
        </w:tc>
      </w:tr>
      <w:tr>
        <w:trPr>
          <w:trHeight w:val="267" w:hRule="exact"/>
        </w:trPr>
        <w:tc>
          <w:tcPr>
            <w:tcW w:w="3675" w:type="dxa"/>
            <w:tcBorders>
              <w:top w:val="nil" w:sz="6" w:space="0" w:color="auto"/>
              <w:left w:val="single" w:sz="4" w:space="0" w:color="000000"/>
              <w:bottom w:val="single" w:sz="2" w:space="0" w:color="000000"/>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软件（神州新桥）</w:t>
            </w:r>
          </w:p>
        </w:tc>
        <w:tc>
          <w:tcPr>
            <w:tcW w:w="862" w:type="dxa"/>
            <w:tcBorders>
              <w:top w:val="nil" w:sz="6" w:space="0" w:color="auto"/>
              <w:left w:val="single" w:sz="4" w:space="0" w:color="000000"/>
              <w:bottom w:val="single" w:sz="2" w:space="0" w:color="000000"/>
              <w:right w:val="single" w:sz="4" w:space="0" w:color="000000"/>
            </w:tcBorders>
          </w:tcPr>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994" w:type="dxa"/>
            <w:tcBorders>
              <w:top w:val="nil" w:sz="6" w:space="0" w:color="auto"/>
              <w:left w:val="single" w:sz="4" w:space="0" w:color="000000"/>
              <w:bottom w:val="single" w:sz="2" w:space="0" w:color="000000"/>
              <w:right w:val="single" w:sz="4" w:space="0" w:color="000000"/>
            </w:tcBorders>
          </w:tcPr>
          <w:p>
            <w:pPr>
              <w:pStyle w:val="TableParagraph"/>
              <w:spacing w:line="253" w:lineRule="exact"/>
              <w:ind w:left="2" w:right="0"/>
              <w:jc w:val="center"/>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年</w:t>
            </w:r>
          </w:p>
        </w:tc>
        <w:tc>
          <w:tcPr>
            <w:tcW w:w="1133"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right="25"/>
              <w:jc w:val="right"/>
              <w:rPr>
                <w:rFonts w:ascii="Calibri" w:hAnsi="Calibri" w:cs="Calibri" w:eastAsia="Calibri" w:hint="default"/>
                <w:sz w:val="18"/>
                <w:szCs w:val="18"/>
              </w:rPr>
            </w:pPr>
            <w:r>
              <w:rPr>
                <w:rFonts w:ascii="Calibri"/>
                <w:sz w:val="18"/>
              </w:rPr>
              <w:t>116,717.00</w:t>
            </w:r>
          </w:p>
        </w:tc>
        <w:tc>
          <w:tcPr>
            <w:tcW w:w="1003"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right="22"/>
              <w:jc w:val="right"/>
              <w:rPr>
                <w:rFonts w:ascii="Calibri" w:hAnsi="Calibri" w:cs="Calibri" w:eastAsia="Calibri" w:hint="default"/>
                <w:sz w:val="18"/>
                <w:szCs w:val="18"/>
              </w:rPr>
            </w:pPr>
            <w:r>
              <w:rPr>
                <w:rFonts w:ascii="Calibri"/>
                <w:sz w:val="18"/>
              </w:rPr>
              <w:t>19,052.42</w:t>
            </w:r>
          </w:p>
        </w:tc>
        <w:tc>
          <w:tcPr>
            <w:tcW w:w="1025"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97,664.58</w:t>
            </w:r>
          </w:p>
        </w:tc>
        <w:tc>
          <w:tcPr>
            <w:tcW w:w="1260" w:type="dxa"/>
            <w:tcBorders>
              <w:top w:val="nil" w:sz="6" w:space="0" w:color="auto"/>
              <w:left w:val="single" w:sz="4" w:space="0" w:color="000000"/>
              <w:bottom w:val="single" w:sz="2" w:space="0" w:color="000000"/>
              <w:right w:val="single" w:sz="4" w:space="0" w:color="000000"/>
            </w:tcBorders>
          </w:tcPr>
          <w:p>
            <w:pPr/>
          </w:p>
        </w:tc>
      </w:tr>
      <w:tr>
        <w:trPr>
          <w:trHeight w:val="317" w:hRule="exact"/>
        </w:trPr>
        <w:tc>
          <w:tcPr>
            <w:tcW w:w="3675"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862" w:type="dxa"/>
            <w:tcBorders>
              <w:top w:val="single" w:sz="2" w:space="0" w:color="000000"/>
              <w:left w:val="single" w:sz="4" w:space="0" w:color="000000"/>
              <w:bottom w:val="single" w:sz="12" w:space="0" w:color="000000"/>
              <w:right w:val="single" w:sz="4" w:space="0" w:color="000000"/>
            </w:tcBorders>
          </w:tcPr>
          <w:p>
            <w:pPr/>
          </w:p>
        </w:tc>
        <w:tc>
          <w:tcPr>
            <w:tcW w:w="994" w:type="dxa"/>
            <w:tcBorders>
              <w:top w:val="single" w:sz="2" w:space="0" w:color="000000"/>
              <w:left w:val="single" w:sz="4" w:space="0" w:color="000000"/>
              <w:bottom w:val="single" w:sz="12" w:space="0" w:color="000000"/>
              <w:right w:val="single" w:sz="4" w:space="0" w:color="000000"/>
            </w:tcBorders>
          </w:tcPr>
          <w:p>
            <w:pPr/>
          </w:p>
        </w:tc>
        <w:tc>
          <w:tcPr>
            <w:tcW w:w="1133"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8"/>
              <w:ind w:right="25"/>
              <w:jc w:val="right"/>
              <w:rPr>
                <w:rFonts w:ascii="Calibri" w:hAnsi="Calibri" w:cs="Calibri" w:eastAsia="Calibri" w:hint="default"/>
                <w:sz w:val="18"/>
                <w:szCs w:val="18"/>
              </w:rPr>
            </w:pPr>
            <w:r>
              <w:rPr>
                <w:rFonts w:ascii="Calibri"/>
                <w:sz w:val="18"/>
              </w:rPr>
              <w:t>9,145,993.67</w:t>
            </w:r>
          </w:p>
        </w:tc>
        <w:tc>
          <w:tcPr>
            <w:tcW w:w="1003"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8"/>
              <w:ind w:right="22"/>
              <w:jc w:val="right"/>
              <w:rPr>
                <w:rFonts w:ascii="Calibri" w:hAnsi="Calibri" w:cs="Calibri" w:eastAsia="Calibri" w:hint="default"/>
                <w:sz w:val="18"/>
                <w:szCs w:val="18"/>
              </w:rPr>
            </w:pPr>
            <w:r>
              <w:rPr>
                <w:rFonts w:ascii="Calibri"/>
                <w:sz w:val="18"/>
              </w:rPr>
              <w:t>3,140,070.25</w:t>
            </w:r>
          </w:p>
        </w:tc>
        <w:tc>
          <w:tcPr>
            <w:tcW w:w="1025"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6,005,923.42</w:t>
            </w:r>
          </w:p>
        </w:tc>
        <w:tc>
          <w:tcPr>
            <w:tcW w:w="1260" w:type="dxa"/>
            <w:tcBorders>
              <w:top w:val="single" w:sz="2" w:space="0" w:color="000000"/>
              <w:left w:val="single" w:sz="4" w:space="0" w:color="000000"/>
              <w:bottom w:val="single" w:sz="12" w:space="0" w:color="000000"/>
              <w:right w:val="single" w:sz="4" w:space="0" w:color="000000"/>
            </w:tcBorders>
          </w:tcPr>
          <w:p>
            <w:pPr/>
          </w:p>
        </w:tc>
      </w:tr>
    </w:tbl>
    <w:p>
      <w:pPr>
        <w:spacing w:before="6"/>
        <w:ind w:left="544" w:right="38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）截至本资产负债表日，公司无使用权受到限制的无形资产。</w:t>
      </w:r>
    </w:p>
    <w:p>
      <w:pPr>
        <w:spacing w:line="338" w:lineRule="auto" w:before="92"/>
        <w:ind w:left="546" w:right="1265" w:hanging="3"/>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）截至本资产负债表日，公司的无形资产未发现有减值迹象，故未计提无形资产减值准备。</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before="1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）商誉增减变动情况如下：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285"/>
        <w:gridCol w:w="2072"/>
        <w:gridCol w:w="1452"/>
        <w:gridCol w:w="1373"/>
        <w:gridCol w:w="1370"/>
        <w:gridCol w:w="1424"/>
      </w:tblGrid>
      <w:tr>
        <w:trPr>
          <w:trHeight w:val="322" w:hRule="exact"/>
        </w:trPr>
        <w:tc>
          <w:tcPr>
            <w:tcW w:w="2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产生原因</w:t>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2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非同一控制下的企业合并</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29"/>
              <w:ind w:left="155" w:right="0"/>
              <w:jc w:val="left"/>
              <w:rPr>
                <w:rFonts w:ascii="宋体" w:hAnsi="宋体" w:cs="宋体" w:eastAsia="宋体" w:hint="default"/>
                <w:sz w:val="18"/>
                <w:szCs w:val="18"/>
              </w:rPr>
            </w:pPr>
            <w:r>
              <w:rPr>
                <w:rFonts w:ascii="宋体"/>
                <w:sz w:val="18"/>
              </w:rPr>
              <w:t>247,618,632.50</w:t>
            </w:r>
          </w:p>
        </w:tc>
        <w:tc>
          <w:tcPr>
            <w:tcW w:w="1373"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2"/>
              <w:jc w:val="right"/>
              <w:rPr>
                <w:rFonts w:ascii="宋体" w:hAnsi="宋体" w:cs="宋体" w:eastAsia="宋体" w:hint="default"/>
                <w:sz w:val="18"/>
                <w:szCs w:val="18"/>
              </w:rPr>
            </w:pPr>
            <w:r>
              <w:rPr>
                <w:rFonts w:ascii="宋体"/>
                <w:spacing w:val="-1"/>
                <w:sz w:val="18"/>
              </w:rPr>
              <w:t>247,618,632.50</w:t>
            </w:r>
          </w:p>
        </w:tc>
      </w:tr>
      <w:tr>
        <w:trPr>
          <w:trHeight w:val="300" w:hRule="exact"/>
        </w:trPr>
        <w:tc>
          <w:tcPr>
            <w:tcW w:w="228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20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非同一控制下的企业合并</w:t>
            </w:r>
          </w:p>
        </w:tc>
        <w:tc>
          <w:tcPr>
            <w:tcW w:w="1452"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7"/>
              <w:jc w:val="right"/>
              <w:rPr>
                <w:rFonts w:ascii="宋体" w:hAnsi="宋体" w:cs="宋体" w:eastAsia="宋体" w:hint="default"/>
                <w:sz w:val="18"/>
                <w:szCs w:val="18"/>
              </w:rPr>
            </w:pPr>
            <w:r>
              <w:rPr>
                <w:rFonts w:ascii="宋体"/>
                <w:spacing w:val="-1"/>
                <w:sz w:val="18"/>
              </w:rPr>
              <w:t>225,266,979.44</w:t>
            </w:r>
          </w:p>
        </w:tc>
        <w:tc>
          <w:tcPr>
            <w:tcW w:w="1370" w:type="dxa"/>
            <w:vMerge/>
            <w:tcBorders>
              <w:left w:val="single" w:sz="4" w:space="0" w:color="000000"/>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
              <w:jc w:val="right"/>
              <w:rPr>
                <w:rFonts w:ascii="宋体" w:hAnsi="宋体" w:cs="宋体" w:eastAsia="宋体" w:hint="default"/>
                <w:sz w:val="18"/>
                <w:szCs w:val="18"/>
              </w:rPr>
            </w:pPr>
            <w:r>
              <w:rPr>
                <w:rFonts w:ascii="宋体"/>
                <w:spacing w:val="-1"/>
                <w:sz w:val="18"/>
              </w:rPr>
              <w:t>225,266,979.44</w:t>
            </w:r>
          </w:p>
        </w:tc>
      </w:tr>
      <w:tr>
        <w:trPr>
          <w:trHeight w:val="280" w:hRule="exact"/>
        </w:trPr>
        <w:tc>
          <w:tcPr>
            <w:tcW w:w="22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20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非同一控制下的企业合并</w:t>
            </w:r>
          </w:p>
        </w:tc>
        <w:tc>
          <w:tcPr>
            <w:tcW w:w="1452"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27"/>
              <w:jc w:val="right"/>
              <w:rPr>
                <w:rFonts w:ascii="宋体" w:hAnsi="宋体" w:cs="宋体" w:eastAsia="宋体" w:hint="default"/>
                <w:sz w:val="18"/>
                <w:szCs w:val="18"/>
              </w:rPr>
            </w:pPr>
            <w:r>
              <w:rPr>
                <w:rFonts w:ascii="宋体"/>
                <w:spacing w:val="-1"/>
                <w:sz w:val="18"/>
              </w:rPr>
              <w:t>1,942,851.06</w:t>
            </w:r>
          </w:p>
        </w:tc>
        <w:tc>
          <w:tcPr>
            <w:tcW w:w="1370" w:type="dxa"/>
            <w:vMerge/>
            <w:tcBorders>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24"/>
              <w:jc w:val="right"/>
              <w:rPr>
                <w:rFonts w:ascii="宋体" w:hAnsi="宋体" w:cs="宋体" w:eastAsia="宋体" w:hint="default"/>
                <w:sz w:val="18"/>
                <w:szCs w:val="18"/>
              </w:rPr>
            </w:pPr>
            <w:r>
              <w:rPr>
                <w:rFonts w:ascii="宋体"/>
                <w:spacing w:val="-1"/>
                <w:sz w:val="18"/>
              </w:rPr>
              <w:t>1,942,851.06</w:t>
            </w:r>
          </w:p>
        </w:tc>
      </w:tr>
      <w:tr>
        <w:trPr>
          <w:trHeight w:val="317" w:hRule="exact"/>
        </w:trPr>
        <w:tc>
          <w:tcPr>
            <w:tcW w:w="2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72" w:type="dxa"/>
            <w:tcBorders>
              <w:top w:val="single" w:sz="4" w:space="0" w:color="000000"/>
              <w:left w:val="single" w:sz="4" w:space="0" w:color="000000"/>
              <w:bottom w:val="single" w:sz="12" w:space="0" w:color="000000"/>
              <w:right w:val="single" w:sz="4" w:space="0" w:color="000000"/>
            </w:tcBorders>
          </w:tcPr>
          <w:p>
            <w:pP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30" w:right="0"/>
              <w:jc w:val="center"/>
              <w:rPr>
                <w:rFonts w:ascii="宋体" w:hAnsi="宋体" w:cs="宋体" w:eastAsia="宋体" w:hint="default"/>
                <w:sz w:val="18"/>
                <w:szCs w:val="18"/>
              </w:rPr>
            </w:pPr>
            <w:r>
              <w:rPr>
                <w:rFonts w:ascii="宋体"/>
                <w:sz w:val="18"/>
              </w:rPr>
              <w:t>247,618,632.50</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pacing w:val="-1"/>
                <w:sz w:val="18"/>
              </w:rPr>
              <w:t>227,209,830.50</w:t>
            </w:r>
          </w:p>
        </w:tc>
        <w:tc>
          <w:tcPr>
            <w:tcW w:w="1370" w:type="dxa"/>
            <w:tcBorders>
              <w:top w:val="single" w:sz="4" w:space="0" w:color="000000"/>
              <w:left w:val="single" w:sz="4" w:space="0" w:color="000000"/>
              <w:bottom w:val="single" w:sz="12" w:space="0" w:color="000000"/>
              <w:right w:val="single" w:sz="4" w:space="0" w:color="000000"/>
            </w:tcBorders>
          </w:tcPr>
          <w:p>
            <w:pP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20"/>
              <w:jc w:val="right"/>
              <w:rPr>
                <w:rFonts w:ascii="宋体" w:hAnsi="宋体" w:cs="宋体" w:eastAsia="宋体" w:hint="default"/>
                <w:sz w:val="18"/>
                <w:szCs w:val="18"/>
              </w:rPr>
            </w:pPr>
            <w:r>
              <w:rPr>
                <w:rFonts w:ascii="宋体"/>
                <w:spacing w:val="-1"/>
                <w:sz w:val="18"/>
              </w:rPr>
              <w:t>474,828,463.00</w:t>
            </w:r>
          </w:p>
        </w:tc>
      </w:tr>
    </w:tbl>
    <w:p>
      <w:pPr>
        <w:spacing w:line="285" w:lineRule="auto" w:before="6"/>
        <w:ind w:left="124" w:right="1541" w:firstLine="419"/>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年月，公司定向增发发行股票收购北京联银通科技有限公司的股权</w:t>
      </w:r>
      <w:r>
        <w:rPr>
          <w:rFonts w:ascii="宋体" w:hAnsi="宋体" w:cs="宋体" w:eastAsia="宋体" w:hint="default"/>
          <w:sz w:val="21"/>
          <w:szCs w:val="21"/>
        </w:rPr>
        <w:t>,</w:t>
      </w:r>
      <w:r>
        <w:rPr>
          <w:rFonts w:ascii="宋体" w:hAnsi="宋体" w:cs="宋体" w:eastAsia="宋体" w:hint="default"/>
          <w:sz w:val="21"/>
          <w:szCs w:val="21"/>
        </w:rPr>
        <w:t>定向增发发行股票公</w:t>
      </w:r>
      <w:r>
        <w:rPr>
          <w:rFonts w:ascii="宋体" w:hAnsi="宋体" w:cs="宋体" w:eastAsia="宋体" w:hint="default"/>
          <w:w w:val="100"/>
          <w:sz w:val="21"/>
          <w:szCs w:val="21"/>
        </w:rPr>
        <w:t> </w:t>
      </w:r>
      <w:r>
        <w:rPr>
          <w:rFonts w:ascii="宋体" w:hAnsi="宋体" w:cs="宋体" w:eastAsia="宋体" w:hint="default"/>
          <w:spacing w:val="-2"/>
          <w:sz w:val="21"/>
          <w:szCs w:val="21"/>
        </w:rPr>
        <w:t>允价值高于所取得的北京联银通科技有限公司可辨认净资产公允价值份额的差额确认为商誉。公司</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w w:val="100"/>
          <w:sz w:val="21"/>
          <w:szCs w:val="21"/>
        </w:rPr>
        <w:t>收购北京联银通科技有限公司的合并成本为</w:t>
      </w:r>
      <w:r>
        <w:rPr>
          <w:rFonts w:ascii="宋体" w:hAnsi="宋体" w:cs="宋体" w:eastAsia="宋体" w:hint="default"/>
          <w:w w:val="100"/>
          <w:sz w:val="21"/>
          <w:szCs w:val="21"/>
        </w:rPr>
        <w:t> </w:t>
      </w:r>
      <w:r>
        <w:rPr>
          <w:rFonts w:ascii="宋体" w:hAnsi="宋体" w:cs="宋体" w:eastAsia="宋体" w:hint="default"/>
          <w:spacing w:val="-1"/>
          <w:w w:val="100"/>
          <w:sz w:val="21"/>
          <w:szCs w:val="21"/>
        </w:rPr>
        <w:t>292,675,400.00</w:t>
      </w:r>
      <w:r>
        <w:rPr>
          <w:rFonts w:ascii="宋体" w:hAnsi="宋体" w:cs="宋体" w:eastAsia="宋体" w:hint="default"/>
          <w:spacing w:val="-84"/>
          <w:w w:val="100"/>
          <w:sz w:val="21"/>
          <w:szCs w:val="21"/>
        </w:rPr>
        <w:t> </w:t>
      </w:r>
      <w:r>
        <w:rPr>
          <w:rFonts w:ascii="宋体" w:hAnsi="宋体" w:cs="宋体" w:eastAsia="宋体" w:hint="default"/>
          <w:spacing w:val="-7"/>
          <w:w w:val="100"/>
          <w:sz w:val="21"/>
          <w:szCs w:val="21"/>
        </w:rPr>
        <w:t>元，收购日北京联银通科技有限公司可</w:t>
      </w:r>
    </w:p>
    <w:p>
      <w:pPr>
        <w:spacing w:before="14"/>
        <w:ind w:left="124" w:right="1265" w:firstLine="0"/>
        <w:jc w:val="left"/>
        <w:rPr>
          <w:rFonts w:ascii="宋体" w:hAnsi="宋体" w:cs="宋体" w:eastAsia="宋体" w:hint="default"/>
          <w:sz w:val="21"/>
          <w:szCs w:val="21"/>
        </w:rPr>
      </w:pPr>
      <w:r>
        <w:rPr>
          <w:rFonts w:ascii="宋体" w:hAnsi="宋体" w:cs="宋体" w:eastAsia="宋体" w:hint="default"/>
          <w:sz w:val="21"/>
          <w:szCs w:val="21"/>
        </w:rPr>
        <w:t>辨认净资产为</w:t>
      </w:r>
      <w:r>
        <w:rPr>
          <w:rFonts w:ascii="宋体" w:hAnsi="宋体" w:cs="宋体" w:eastAsia="宋体" w:hint="default"/>
          <w:spacing w:val="-58"/>
          <w:sz w:val="21"/>
          <w:szCs w:val="21"/>
        </w:rPr>
        <w:t> </w:t>
      </w:r>
      <w:r>
        <w:rPr>
          <w:rFonts w:ascii="宋体" w:hAnsi="宋体" w:cs="宋体" w:eastAsia="宋体" w:hint="default"/>
          <w:sz w:val="21"/>
          <w:szCs w:val="21"/>
        </w:rPr>
        <w:t>45,056,767.50</w:t>
      </w:r>
      <w:r>
        <w:rPr>
          <w:rFonts w:ascii="宋体" w:hAnsi="宋体" w:cs="宋体" w:eastAsia="宋体" w:hint="default"/>
          <w:spacing w:val="-57"/>
          <w:sz w:val="21"/>
          <w:szCs w:val="21"/>
        </w:rPr>
        <w:t> </w:t>
      </w:r>
      <w:r>
        <w:rPr>
          <w:rFonts w:ascii="宋体" w:hAnsi="宋体" w:cs="宋体" w:eastAsia="宋体" w:hint="default"/>
          <w:sz w:val="21"/>
          <w:szCs w:val="21"/>
        </w:rPr>
        <w:t>元，公司合并成本高于北京联银通科技有限公司可辨认净资产公允价</w:t>
      </w:r>
    </w:p>
    <w:p>
      <w:pPr>
        <w:spacing w:before="51"/>
        <w:ind w:left="124" w:right="4204" w:firstLine="0"/>
        <w:jc w:val="left"/>
        <w:rPr>
          <w:rFonts w:ascii="宋体" w:hAnsi="宋体" w:cs="宋体" w:eastAsia="宋体" w:hint="default"/>
          <w:sz w:val="21"/>
          <w:szCs w:val="21"/>
        </w:rPr>
      </w:pPr>
      <w:r>
        <w:rPr>
          <w:rFonts w:ascii="宋体" w:hAnsi="宋体" w:cs="宋体" w:eastAsia="宋体" w:hint="default"/>
          <w:sz w:val="21"/>
          <w:szCs w:val="21"/>
        </w:rPr>
        <w:t>值份额的差额，确认为商誉</w:t>
      </w:r>
      <w:r>
        <w:rPr>
          <w:rFonts w:ascii="宋体" w:hAnsi="宋体" w:cs="宋体" w:eastAsia="宋体" w:hint="default"/>
          <w:spacing w:val="-53"/>
          <w:sz w:val="21"/>
          <w:szCs w:val="21"/>
        </w:rPr>
        <w:t> </w:t>
      </w:r>
      <w:r>
        <w:rPr>
          <w:rFonts w:ascii="宋体" w:hAnsi="宋体" w:cs="宋体" w:eastAsia="宋体" w:hint="default"/>
          <w:sz w:val="21"/>
          <w:szCs w:val="21"/>
        </w:rPr>
        <w:t>247,618,632.50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2240" w:h="15840"/>
          <w:pgMar w:header="850" w:footer="956" w:top="1360" w:bottom="1140" w:left="1520" w:right="0"/>
        </w:sectPr>
      </w:pPr>
    </w:p>
    <w:p>
      <w:pPr>
        <w:spacing w:line="285" w:lineRule="auto" w:before="12"/>
        <w:ind w:left="144" w:right="1539" w:firstLine="419"/>
        <w:jc w:val="left"/>
        <w:rPr>
          <w:rFonts w:ascii="宋体" w:hAnsi="宋体" w:cs="宋体" w:eastAsia="宋体" w:hint="default"/>
          <w:sz w:val="21"/>
          <w:szCs w:val="21"/>
        </w:rPr>
      </w:pPr>
      <w:r>
        <w:rPr/>
        <w:pict>
          <v:group style="position:absolute;margin-left:80.783997pt;margin-top:1.703691pt;width:450.6pt;height:.1pt;mso-position-horizontal-relative:page;mso-position-vertical-relative:paragraph;z-index:-862432"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pacing w:val="-3"/>
          <w:sz w:val="21"/>
          <w:szCs w:val="21"/>
        </w:rPr>
        <w:t>月，公司定向增发发行股票收购北京神州新桥科技有限公司的股权，定向增发发行股</w:t>
      </w:r>
      <w:r>
        <w:rPr>
          <w:rFonts w:ascii="宋体" w:hAnsi="宋体" w:cs="宋体" w:eastAsia="宋体" w:hint="default"/>
          <w:w w:val="100"/>
          <w:sz w:val="21"/>
          <w:szCs w:val="21"/>
        </w:rPr>
        <w:t> </w:t>
      </w:r>
      <w:r>
        <w:rPr>
          <w:rFonts w:ascii="宋体" w:hAnsi="宋体" w:cs="宋体" w:eastAsia="宋体" w:hint="default"/>
          <w:sz w:val="21"/>
          <w:szCs w:val="21"/>
        </w:rPr>
        <w:t>票公允价值高于所取得的北京神州新桥科技有限公司可辨认净资产公允价值份额的差额确认为商</w:t>
      </w:r>
      <w:r>
        <w:rPr>
          <w:rFonts w:ascii="宋体" w:hAnsi="宋体" w:cs="宋体" w:eastAsia="宋体" w:hint="default"/>
          <w:w w:val="100"/>
          <w:sz w:val="21"/>
          <w:szCs w:val="21"/>
        </w:rPr>
        <w:t> </w:t>
      </w:r>
      <w:r>
        <w:rPr>
          <w:rFonts w:ascii="宋体" w:hAnsi="宋体" w:cs="宋体" w:eastAsia="宋体" w:hint="default"/>
          <w:spacing w:val="-4"/>
          <w:sz w:val="21"/>
          <w:szCs w:val="21"/>
        </w:rPr>
        <w:t>誉。公司收购北京神州新桥科技有限公司的合并成本为 </w:t>
      </w:r>
      <w:r>
        <w:rPr>
          <w:rFonts w:ascii="宋体" w:hAnsi="宋体" w:cs="宋体" w:eastAsia="宋体" w:hint="default"/>
          <w:sz w:val="21"/>
          <w:szCs w:val="21"/>
        </w:rPr>
        <w:t>320,000,000.00</w:t>
      </w:r>
      <w:r>
        <w:rPr>
          <w:rFonts w:ascii="宋体" w:hAnsi="宋体" w:cs="宋体" w:eastAsia="宋体" w:hint="default"/>
          <w:spacing w:val="-43"/>
          <w:sz w:val="21"/>
          <w:szCs w:val="21"/>
        </w:rPr>
        <w:t> </w:t>
      </w:r>
      <w:r>
        <w:rPr>
          <w:rFonts w:ascii="宋体" w:hAnsi="宋体" w:cs="宋体" w:eastAsia="宋体" w:hint="default"/>
          <w:spacing w:val="-5"/>
          <w:sz w:val="21"/>
          <w:szCs w:val="21"/>
        </w:rPr>
        <w:t>元，收购日北京神州新桥科</w:t>
      </w:r>
    </w:p>
    <w:p>
      <w:pPr>
        <w:spacing w:before="11"/>
        <w:ind w:left="144" w:right="1506" w:firstLine="0"/>
        <w:jc w:val="left"/>
        <w:rPr>
          <w:rFonts w:ascii="宋体" w:hAnsi="宋体" w:cs="宋体" w:eastAsia="宋体" w:hint="default"/>
          <w:sz w:val="21"/>
          <w:szCs w:val="21"/>
        </w:rPr>
      </w:pPr>
      <w:r>
        <w:rPr>
          <w:rFonts w:ascii="宋体" w:hAnsi="宋体" w:cs="宋体" w:eastAsia="宋体" w:hint="default"/>
          <w:sz w:val="21"/>
          <w:szCs w:val="21"/>
        </w:rPr>
        <w:t>技有限公司可辨认净资产为 </w:t>
      </w:r>
      <w:r>
        <w:rPr>
          <w:rFonts w:ascii="宋体" w:hAnsi="宋体" w:cs="宋体" w:eastAsia="宋体" w:hint="default"/>
          <w:sz w:val="21"/>
          <w:szCs w:val="21"/>
        </w:rPr>
        <w:t>94,733,020.56</w:t>
      </w:r>
      <w:r>
        <w:rPr>
          <w:rFonts w:ascii="宋体" w:hAnsi="宋体" w:cs="宋体" w:eastAsia="宋体" w:hint="default"/>
          <w:spacing w:val="-23"/>
          <w:sz w:val="21"/>
          <w:szCs w:val="21"/>
        </w:rPr>
        <w:t> </w:t>
      </w:r>
      <w:r>
        <w:rPr>
          <w:rFonts w:ascii="宋体" w:hAnsi="宋体" w:cs="宋体" w:eastAsia="宋体" w:hint="default"/>
          <w:spacing w:val="-3"/>
          <w:sz w:val="21"/>
          <w:szCs w:val="21"/>
        </w:rPr>
        <w:t>元，公司合并成本高于北京神州新桥科技有限公司可辨</w:t>
      </w:r>
    </w:p>
    <w:p>
      <w:pPr>
        <w:spacing w:before="54"/>
        <w:ind w:left="144" w:right="1697" w:firstLine="0"/>
        <w:jc w:val="left"/>
        <w:rPr>
          <w:rFonts w:ascii="宋体" w:hAnsi="宋体" w:cs="宋体" w:eastAsia="宋体" w:hint="default"/>
          <w:sz w:val="21"/>
          <w:szCs w:val="21"/>
        </w:rPr>
      </w:pPr>
      <w:r>
        <w:rPr>
          <w:rFonts w:ascii="宋体" w:hAnsi="宋体" w:cs="宋体" w:eastAsia="宋体" w:hint="default"/>
          <w:sz w:val="21"/>
          <w:szCs w:val="21"/>
        </w:rPr>
        <w:t>认净资产公允价值份额的差额，确认为商誉</w:t>
      </w:r>
      <w:r>
        <w:rPr>
          <w:rFonts w:ascii="宋体" w:hAnsi="宋体" w:cs="宋体" w:eastAsia="宋体" w:hint="default"/>
          <w:spacing w:val="-55"/>
          <w:sz w:val="21"/>
          <w:szCs w:val="21"/>
        </w:rPr>
        <w:t> </w:t>
      </w:r>
      <w:r>
        <w:rPr>
          <w:rFonts w:ascii="宋体" w:hAnsi="宋体" w:cs="宋体" w:eastAsia="宋体" w:hint="default"/>
          <w:sz w:val="21"/>
          <w:szCs w:val="21"/>
        </w:rPr>
        <w:t>225,266,979.44</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90"/>
        <w:ind w:left="564" w:right="1557"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11</w:t>
      </w:r>
      <w:r>
        <w:rPr>
          <w:rFonts w:ascii="宋体" w:hAnsi="宋体" w:cs="宋体" w:eastAsia="宋体" w:hint="default"/>
          <w:spacing w:val="-37"/>
          <w:sz w:val="21"/>
          <w:szCs w:val="21"/>
        </w:rPr>
        <w:t> </w:t>
      </w:r>
      <w:r>
        <w:rPr>
          <w:rFonts w:ascii="宋体" w:hAnsi="宋体" w:cs="宋体" w:eastAsia="宋体" w:hint="default"/>
          <w:spacing w:val="-3"/>
          <w:sz w:val="21"/>
          <w:szCs w:val="21"/>
        </w:rPr>
        <w:t>月，公司以货币资金收购北京东方易维软件有限公司的股权，合并成本高于北京东</w:t>
      </w:r>
    </w:p>
    <w:p>
      <w:pPr>
        <w:spacing w:before="54"/>
        <w:ind w:left="144" w:right="1697" w:firstLine="0"/>
        <w:jc w:val="left"/>
        <w:rPr>
          <w:rFonts w:ascii="宋体" w:hAnsi="宋体" w:cs="宋体" w:eastAsia="宋体" w:hint="default"/>
          <w:sz w:val="21"/>
          <w:szCs w:val="21"/>
        </w:rPr>
      </w:pPr>
      <w:r>
        <w:rPr>
          <w:rFonts w:ascii="宋体" w:hAnsi="宋体" w:cs="宋体" w:eastAsia="宋体" w:hint="default"/>
          <w:sz w:val="21"/>
          <w:szCs w:val="21"/>
        </w:rPr>
        <w:t>方易维软件有限公司的可辨认净资产公允价值份额的差额，确认为商誉</w:t>
      </w:r>
      <w:r>
        <w:rPr>
          <w:rFonts w:ascii="宋体" w:hAnsi="宋体" w:cs="宋体" w:eastAsia="宋体" w:hint="default"/>
          <w:spacing w:val="-56"/>
          <w:sz w:val="21"/>
          <w:szCs w:val="21"/>
        </w:rPr>
        <w:t> </w:t>
      </w:r>
      <w:r>
        <w:rPr>
          <w:rFonts w:ascii="宋体" w:hAnsi="宋体" w:cs="宋体" w:eastAsia="宋体" w:hint="default"/>
          <w:sz w:val="21"/>
          <w:szCs w:val="21"/>
        </w:rPr>
        <w:t>1,942,851.06</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88" w:lineRule="auto" w:before="90"/>
        <w:ind w:left="144" w:right="1697"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）截至本资产负债表日，公司对于企业合并产生的商誉进行减值测试，未发现存在减值的</w:t>
      </w:r>
      <w:r>
        <w:rPr>
          <w:rFonts w:ascii="宋体" w:hAnsi="宋体" w:cs="宋体" w:eastAsia="宋体" w:hint="default"/>
          <w:w w:val="100"/>
          <w:sz w:val="21"/>
          <w:szCs w:val="21"/>
        </w:rPr>
        <w:t> </w:t>
      </w:r>
      <w:r>
        <w:rPr>
          <w:rFonts w:ascii="宋体" w:hAnsi="宋体" w:cs="宋体" w:eastAsia="宋体" w:hint="default"/>
          <w:sz w:val="21"/>
          <w:szCs w:val="21"/>
        </w:rPr>
        <w:t>情况，故未计提相应的商誉减值准备。</w:t>
      </w:r>
    </w:p>
    <w:p>
      <w:pPr>
        <w:spacing w:before="69"/>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39" w:type="dxa"/>
        <w:tblLayout w:type="fixed"/>
        <w:tblCellMar>
          <w:top w:w="0" w:type="dxa"/>
          <w:left w:w="0" w:type="dxa"/>
          <w:bottom w:w="0" w:type="dxa"/>
          <w:right w:w="0" w:type="dxa"/>
        </w:tblCellMar>
        <w:tblLook w:val="01E0"/>
      </w:tblPr>
      <w:tblGrid>
        <w:gridCol w:w="1764"/>
        <w:gridCol w:w="1232"/>
        <w:gridCol w:w="1231"/>
        <w:gridCol w:w="1131"/>
        <w:gridCol w:w="1058"/>
        <w:gridCol w:w="1229"/>
        <w:gridCol w:w="1253"/>
        <w:gridCol w:w="1078"/>
      </w:tblGrid>
      <w:tr>
        <w:trPr>
          <w:trHeight w:val="320" w:hRule="exact"/>
        </w:trPr>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250"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199"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0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1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right="70"/>
              <w:jc w:val="right"/>
              <w:rPr>
                <w:rFonts w:ascii="宋体" w:hAnsi="宋体" w:cs="宋体" w:eastAsia="宋体" w:hint="default"/>
                <w:sz w:val="18"/>
                <w:szCs w:val="18"/>
              </w:rPr>
            </w:pPr>
            <w:r>
              <w:rPr>
                <w:rFonts w:ascii="宋体" w:hAnsi="宋体" w:cs="宋体" w:eastAsia="宋体" w:hint="default"/>
                <w:sz w:val="18"/>
                <w:szCs w:val="18"/>
              </w:rPr>
              <w:t>本期摊销金额</w:t>
            </w:r>
          </w:p>
        </w:tc>
        <w:tc>
          <w:tcPr>
            <w:tcW w:w="12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81" w:right="0"/>
              <w:jc w:val="left"/>
              <w:rPr>
                <w:rFonts w:ascii="宋体" w:hAnsi="宋体" w:cs="宋体" w:eastAsia="宋体" w:hint="default"/>
                <w:sz w:val="18"/>
                <w:szCs w:val="18"/>
              </w:rPr>
            </w:pPr>
            <w:r>
              <w:rPr>
                <w:rFonts w:ascii="宋体" w:hAnsi="宋体" w:cs="宋体" w:eastAsia="宋体" w:hint="default"/>
                <w:sz w:val="18"/>
                <w:szCs w:val="18"/>
              </w:rPr>
              <w:t>累计摊销金额</w:t>
            </w:r>
          </w:p>
        </w:tc>
        <w:tc>
          <w:tcPr>
            <w:tcW w:w="1078" w:type="dxa"/>
            <w:tcBorders>
              <w:top w:val="single" w:sz="12" w:space="0" w:color="000000"/>
              <w:left w:val="single" w:sz="4" w:space="0" w:color="000000"/>
              <w:bottom w:val="single" w:sz="4" w:space="0" w:color="000000"/>
              <w:right w:val="single" w:sz="2" w:space="0" w:color="000000"/>
            </w:tcBorders>
          </w:tcPr>
          <w:p>
            <w:pPr>
              <w:pStyle w:val="TableParagraph"/>
              <w:spacing w:line="240" w:lineRule="auto" w:before="30"/>
              <w:ind w:left="1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0" w:hRule="exact"/>
        </w:trPr>
        <w:tc>
          <w:tcPr>
            <w:tcW w:w="1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广州东华房屋装修费</w:t>
            </w:r>
          </w:p>
        </w:tc>
        <w:tc>
          <w:tcPr>
            <w:tcW w:w="12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z w:val="18"/>
              </w:rPr>
              <w:t>65,300.00</w:t>
            </w:r>
          </w:p>
        </w:tc>
        <w:tc>
          <w:tcPr>
            <w:tcW w:w="12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z w:val="18"/>
              </w:rPr>
              <w:t>34,826.69</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84" w:right="0"/>
              <w:jc w:val="left"/>
              <w:rPr>
                <w:rFonts w:ascii="Calibri" w:hAnsi="Calibri" w:cs="Calibri" w:eastAsia="Calibri" w:hint="default"/>
                <w:sz w:val="18"/>
                <w:szCs w:val="18"/>
              </w:rPr>
            </w:pPr>
            <w:r>
              <w:rPr>
                <w:rFonts w:ascii="Calibri"/>
                <w:sz w:val="18"/>
              </w:rPr>
              <w:t>15,384.40</w:t>
            </w:r>
          </w:p>
        </w:tc>
        <w:tc>
          <w:tcPr>
            <w:tcW w:w="1058"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7"/>
              <w:jc w:val="right"/>
              <w:rPr>
                <w:rFonts w:ascii="Calibri" w:hAnsi="Calibri" w:cs="Calibri" w:eastAsia="Calibri" w:hint="default"/>
                <w:sz w:val="18"/>
                <w:szCs w:val="18"/>
              </w:rPr>
            </w:pPr>
            <w:r>
              <w:rPr>
                <w:rFonts w:ascii="Calibri"/>
                <w:sz w:val="18"/>
              </w:rPr>
              <w:t>13,059.96</w:t>
            </w:r>
          </w:p>
        </w:tc>
        <w:tc>
          <w:tcPr>
            <w:tcW w:w="1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43,533.27</w:t>
            </w:r>
            <w:r>
              <w:rPr>
                <w:rFonts w:ascii="Calibri"/>
                <w:sz w:val="18"/>
              </w:rPr>
            </w:r>
          </w:p>
        </w:tc>
        <w:tc>
          <w:tcPr>
            <w:tcW w:w="1078" w:type="dxa"/>
            <w:tcBorders>
              <w:top w:val="single" w:sz="4" w:space="0" w:color="000000"/>
              <w:left w:val="single" w:sz="4" w:space="0" w:color="000000"/>
              <w:bottom w:val="nil" w:sz="6" w:space="0" w:color="auto"/>
              <w:right w:val="single" w:sz="2"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21,766.73</w:t>
            </w:r>
            <w:r>
              <w:rPr>
                <w:rFonts w:ascii="Calibri"/>
                <w:sz w:val="18"/>
              </w:rPr>
            </w:r>
          </w:p>
        </w:tc>
      </w:tr>
      <w:tr>
        <w:trPr>
          <w:trHeight w:val="300"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7" w:right="0"/>
              <w:jc w:val="left"/>
              <w:rPr>
                <w:rFonts w:ascii="宋体" w:hAnsi="宋体" w:cs="宋体" w:eastAsia="宋体" w:hint="default"/>
                <w:sz w:val="18"/>
                <w:szCs w:val="18"/>
              </w:rPr>
            </w:pPr>
            <w:r>
              <w:rPr>
                <w:rFonts w:ascii="宋体" w:hAnsi="宋体" w:cs="宋体" w:eastAsia="宋体" w:hint="default"/>
                <w:sz w:val="18"/>
                <w:szCs w:val="18"/>
              </w:rPr>
              <w:t>联银通房屋装修费</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pacing w:val="-1"/>
                <w:sz w:val="18"/>
              </w:rPr>
              <w:t>4,035,268.64</w:t>
            </w:r>
            <w:r>
              <w:rPr>
                <w:rFonts w:ascii="Calibri"/>
                <w:sz w:val="18"/>
              </w:rPr>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z w:val="18"/>
              </w:rPr>
              <w:t>2,070,792.79</w:t>
            </w:r>
          </w:p>
        </w:tc>
        <w:tc>
          <w:tcPr>
            <w:tcW w:w="1131" w:type="dxa"/>
            <w:vMerge/>
            <w:tcBorders>
              <w:left w:val="single" w:sz="4" w:space="0" w:color="000000"/>
              <w:right w:val="single" w:sz="4" w:space="0" w:color="000000"/>
            </w:tcBorders>
          </w:tcPr>
          <w:p>
            <w:pP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pacing w:val="-1"/>
                <w:sz w:val="18"/>
              </w:rPr>
              <w:t>708,159.47</w:t>
            </w:r>
            <w:r>
              <w:rPr>
                <w:rFonts w:ascii="Calibri"/>
                <w:sz w:val="18"/>
              </w:rPr>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7"/>
              <w:jc w:val="right"/>
              <w:rPr>
                <w:rFonts w:ascii="Calibri" w:hAnsi="Calibri" w:cs="Calibri" w:eastAsia="Calibri" w:hint="default"/>
                <w:sz w:val="18"/>
                <w:szCs w:val="18"/>
              </w:rPr>
            </w:pPr>
            <w:r>
              <w:rPr>
                <w:rFonts w:ascii="Calibri"/>
                <w:spacing w:val="-1"/>
                <w:sz w:val="18"/>
              </w:rPr>
              <w:t>722,111.06</w:t>
            </w:r>
            <w:r>
              <w:rPr>
                <w:rFonts w:ascii="Calibri"/>
                <w:sz w:val="18"/>
              </w:rPr>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pacing w:val="-1"/>
                <w:sz w:val="18"/>
              </w:rPr>
              <w:t>1,978,427.44</w:t>
            </w:r>
            <w:r>
              <w:rPr>
                <w:rFonts w:ascii="Calibri"/>
                <w:sz w:val="18"/>
              </w:rPr>
            </w:r>
          </w:p>
        </w:tc>
        <w:tc>
          <w:tcPr>
            <w:tcW w:w="1078" w:type="dxa"/>
            <w:tcBorders>
              <w:top w:val="nil" w:sz="6" w:space="0" w:color="auto"/>
              <w:left w:val="single" w:sz="4" w:space="0" w:color="000000"/>
              <w:bottom w:val="nil" w:sz="6" w:space="0" w:color="auto"/>
              <w:right w:val="single" w:sz="2"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pacing w:val="-1"/>
                <w:sz w:val="18"/>
              </w:rPr>
              <w:t>2,056,841.20</w:t>
            </w:r>
            <w:r>
              <w:rPr>
                <w:rFonts w:ascii="Calibri"/>
                <w:sz w:val="18"/>
              </w:rPr>
            </w:r>
          </w:p>
        </w:tc>
      </w:tr>
      <w:tr>
        <w:trPr>
          <w:trHeight w:val="270" w:hRule="exact"/>
        </w:trPr>
        <w:tc>
          <w:tcPr>
            <w:tcW w:w="176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7" w:right="0"/>
              <w:jc w:val="left"/>
              <w:rPr>
                <w:rFonts w:ascii="宋体" w:hAnsi="宋体" w:cs="宋体" w:eastAsia="宋体" w:hint="default"/>
                <w:sz w:val="18"/>
                <w:szCs w:val="18"/>
              </w:rPr>
            </w:pPr>
            <w:r>
              <w:rPr>
                <w:rFonts w:ascii="宋体" w:hAnsi="宋体" w:cs="宋体" w:eastAsia="宋体" w:hint="default"/>
                <w:sz w:val="18"/>
                <w:szCs w:val="18"/>
              </w:rPr>
              <w:t>神州新桥房屋装修费</w:t>
            </w:r>
          </w:p>
        </w:tc>
        <w:tc>
          <w:tcPr>
            <w:tcW w:w="12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z w:val="18"/>
              </w:rPr>
              <w:t>24,584.40</w:t>
            </w:r>
          </w:p>
        </w:tc>
        <w:tc>
          <w:tcPr>
            <w:tcW w:w="1231" w:type="dxa"/>
            <w:tcBorders>
              <w:top w:val="nil" w:sz="6" w:space="0" w:color="auto"/>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z w:val="18"/>
              </w:rPr>
              <w:t>9,200.00</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7"/>
              <w:jc w:val="right"/>
              <w:rPr>
                <w:rFonts w:ascii="Calibri" w:hAnsi="Calibri" w:cs="Calibri" w:eastAsia="Calibri" w:hint="default"/>
                <w:sz w:val="18"/>
                <w:szCs w:val="18"/>
              </w:rPr>
            </w:pPr>
            <w:r>
              <w:rPr>
                <w:rFonts w:ascii="Calibri"/>
                <w:sz w:val="18"/>
              </w:rPr>
              <w:t>9,020.65</w:t>
            </w:r>
          </w:p>
        </w:tc>
        <w:tc>
          <w:tcPr>
            <w:tcW w:w="1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z w:val="18"/>
              </w:rPr>
              <w:t>9,020.65</w:t>
            </w:r>
          </w:p>
        </w:tc>
        <w:tc>
          <w:tcPr>
            <w:tcW w:w="1078" w:type="dxa"/>
            <w:tcBorders>
              <w:top w:val="nil" w:sz="6" w:space="0" w:color="auto"/>
              <w:left w:val="single" w:sz="4" w:space="0" w:color="000000"/>
              <w:bottom w:val="single" w:sz="4" w:space="0" w:color="000000"/>
              <w:right w:val="single" w:sz="2" w:space="0" w:color="000000"/>
            </w:tcBorders>
          </w:tcPr>
          <w:p>
            <w:pPr>
              <w:pStyle w:val="TableParagraph"/>
              <w:spacing w:line="240" w:lineRule="auto" w:before="33"/>
              <w:ind w:right="5"/>
              <w:jc w:val="right"/>
              <w:rPr>
                <w:rFonts w:ascii="Calibri" w:hAnsi="Calibri" w:cs="Calibri" w:eastAsia="Calibri" w:hint="default"/>
                <w:sz w:val="18"/>
                <w:szCs w:val="18"/>
              </w:rPr>
            </w:pPr>
            <w:r>
              <w:rPr>
                <w:rFonts w:ascii="Calibri"/>
                <w:spacing w:val="-1"/>
                <w:sz w:val="18"/>
              </w:rPr>
              <w:t>15,563.75</w:t>
            </w:r>
            <w:r>
              <w:rPr>
                <w:rFonts w:ascii="Calibri"/>
                <w:sz w:val="18"/>
              </w:rPr>
            </w:r>
          </w:p>
        </w:tc>
      </w:tr>
      <w:tr>
        <w:trPr>
          <w:trHeight w:val="319" w:hRule="exact"/>
        </w:trPr>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4,125,153.04</w:t>
            </w:r>
            <w:r>
              <w:rPr>
                <w:rFonts w:ascii="Calibri"/>
                <w:sz w:val="18"/>
              </w:rPr>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2,105,619.48</w:t>
            </w:r>
            <w:r>
              <w:rPr>
                <w:rFonts w:ascii="Calibri"/>
                <w:sz w:val="18"/>
              </w:rPr>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384" w:right="0"/>
              <w:jc w:val="left"/>
              <w:rPr>
                <w:rFonts w:ascii="Calibri" w:hAnsi="Calibri" w:cs="Calibri" w:eastAsia="Calibri" w:hint="default"/>
                <w:sz w:val="18"/>
                <w:szCs w:val="18"/>
              </w:rPr>
            </w:pPr>
            <w:r>
              <w:rPr>
                <w:rFonts w:ascii="Calibri"/>
                <w:sz w:val="18"/>
              </w:rPr>
              <w:t>15,384.40</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717,359.47</w:t>
            </w:r>
            <w:r>
              <w:rPr>
                <w:rFonts w:ascii="Calibri"/>
                <w:sz w:val="18"/>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7"/>
              <w:jc w:val="right"/>
              <w:rPr>
                <w:rFonts w:ascii="Calibri" w:hAnsi="Calibri" w:cs="Calibri" w:eastAsia="Calibri" w:hint="default"/>
                <w:sz w:val="18"/>
                <w:szCs w:val="18"/>
              </w:rPr>
            </w:pPr>
            <w:r>
              <w:rPr>
                <w:rFonts w:ascii="Calibri"/>
                <w:spacing w:val="-1"/>
                <w:sz w:val="18"/>
              </w:rPr>
              <w:t>744,191.67</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2,030,981.36</w:t>
            </w:r>
            <w:r>
              <w:rPr>
                <w:rFonts w:ascii="Calibri"/>
                <w:sz w:val="18"/>
              </w:rPr>
            </w:r>
          </w:p>
        </w:tc>
        <w:tc>
          <w:tcPr>
            <w:tcW w:w="1078" w:type="dxa"/>
            <w:tcBorders>
              <w:top w:val="single" w:sz="4" w:space="0" w:color="000000"/>
              <w:left w:val="single" w:sz="4" w:space="0" w:color="000000"/>
              <w:bottom w:val="single" w:sz="12" w:space="0" w:color="000000"/>
              <w:right w:val="single" w:sz="2"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pacing w:val="-1"/>
                <w:sz w:val="18"/>
              </w:rPr>
              <w:t>2,094,171.68</w:t>
            </w:r>
            <w:r>
              <w:rPr>
                <w:rFonts w:ascii="Calibri"/>
                <w:sz w:val="18"/>
              </w:rPr>
            </w:r>
          </w:p>
        </w:tc>
      </w:tr>
    </w:tbl>
    <w:p>
      <w:pPr>
        <w:spacing w:line="321" w:lineRule="auto" w:before="28"/>
        <w:ind w:left="144" w:right="1557" w:firstLine="419"/>
        <w:jc w:val="left"/>
        <w:rPr>
          <w:rFonts w:ascii="宋体" w:hAnsi="宋体" w:cs="宋体" w:eastAsia="宋体" w:hint="default"/>
          <w:sz w:val="21"/>
          <w:szCs w:val="21"/>
        </w:rPr>
      </w:pPr>
      <w:r>
        <w:rPr>
          <w:rFonts w:ascii="宋体" w:hAnsi="宋体" w:cs="宋体" w:eastAsia="宋体" w:hint="default"/>
          <w:spacing w:val="-4"/>
          <w:sz w:val="21"/>
          <w:szCs w:val="21"/>
        </w:rPr>
        <w:t>注：本期转入系公司收购北京神州新桥科技有限公司的股权，转入其截止购买日长期待摊费用</w:t>
      </w:r>
      <w:r>
        <w:rPr>
          <w:rFonts w:ascii="宋体" w:hAnsi="宋体" w:cs="宋体" w:eastAsia="宋体" w:hint="default"/>
          <w:w w:val="100"/>
          <w:sz w:val="21"/>
          <w:szCs w:val="21"/>
        </w:rPr>
        <w:t> </w:t>
      </w:r>
      <w:r>
        <w:rPr>
          <w:rFonts w:ascii="宋体" w:hAnsi="宋体" w:cs="宋体" w:eastAsia="宋体" w:hint="default"/>
          <w:sz w:val="21"/>
          <w:szCs w:val="21"/>
        </w:rPr>
        <w:t>余额。</w:t>
      </w:r>
    </w:p>
    <w:p>
      <w:pPr>
        <w:spacing w:before="81"/>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before="104"/>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）已确认的递延所得税资产和递延所得税负债：</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5437"/>
        <w:gridCol w:w="2336"/>
        <w:gridCol w:w="2204"/>
      </w:tblGrid>
      <w:tr>
        <w:trPr>
          <w:trHeight w:val="319" w:hRule="exact"/>
        </w:trPr>
        <w:tc>
          <w:tcPr>
            <w:tcW w:w="5437"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3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0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67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36"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43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33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4,869,820.10</w:t>
            </w:r>
          </w:p>
        </w:tc>
        <w:tc>
          <w:tcPr>
            <w:tcW w:w="220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2,569,141.26</w:t>
            </w:r>
          </w:p>
        </w:tc>
      </w:tr>
      <w:tr>
        <w:trPr>
          <w:trHeight w:val="300" w:hRule="exact"/>
        </w:trPr>
        <w:tc>
          <w:tcPr>
            <w:tcW w:w="543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96,518.61</w:t>
            </w:r>
          </w:p>
        </w:tc>
        <w:tc>
          <w:tcPr>
            <w:tcW w:w="2204" w:type="dxa"/>
            <w:tcBorders>
              <w:top w:val="nil" w:sz="6" w:space="0" w:color="auto"/>
              <w:left w:val="single" w:sz="4" w:space="0" w:color="000000"/>
              <w:bottom w:val="nil" w:sz="6" w:space="0" w:color="auto"/>
              <w:right w:val="single" w:sz="4" w:space="0" w:color="000000"/>
            </w:tcBorders>
          </w:tcPr>
          <w:p>
            <w:pPr/>
          </w:p>
        </w:tc>
      </w:tr>
      <w:tr>
        <w:trPr>
          <w:trHeight w:val="291" w:hRule="exact"/>
        </w:trPr>
        <w:tc>
          <w:tcPr>
            <w:tcW w:w="543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165"/>
              <w:jc w:val="right"/>
              <w:rPr>
                <w:rFonts w:ascii="宋体" w:hAnsi="宋体" w:cs="宋体" w:eastAsia="宋体" w:hint="default"/>
                <w:sz w:val="21"/>
                <w:szCs w:val="21"/>
              </w:rPr>
            </w:pPr>
            <w:r>
              <w:rPr>
                <w:rFonts w:ascii="宋体" w:hAnsi="宋体" w:cs="宋体" w:eastAsia="宋体" w:hint="default"/>
                <w:spacing w:val="-2"/>
                <w:sz w:val="21"/>
                <w:szCs w:val="21"/>
              </w:rPr>
              <w:t>合并抵销固定资产内部交易产生</w:t>
            </w:r>
          </w:p>
        </w:tc>
        <w:tc>
          <w:tcPr>
            <w:tcW w:w="233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73,979.32</w:t>
            </w:r>
          </w:p>
        </w:tc>
        <w:tc>
          <w:tcPr>
            <w:tcW w:w="220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5,946.15</w:t>
            </w:r>
          </w:p>
        </w:tc>
      </w:tr>
      <w:tr>
        <w:trPr>
          <w:trHeight w:val="307" w:hRule="exact"/>
        </w:trPr>
        <w:tc>
          <w:tcPr>
            <w:tcW w:w="5437" w:type="dxa"/>
            <w:tcBorders>
              <w:top w:val="single" w:sz="4" w:space="0" w:color="000000"/>
              <w:left w:val="single" w:sz="4" w:space="0" w:color="000000"/>
              <w:bottom w:val="single" w:sz="2" w:space="0" w:color="000000"/>
              <w:right w:val="single" w:sz="4" w:space="0" w:color="000000"/>
            </w:tcBorders>
          </w:tcPr>
          <w:p>
            <w:pPr>
              <w:pStyle w:val="TableParagraph"/>
              <w:tabs>
                <w:tab w:pos="424"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6"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5,040,318.03</w:t>
            </w:r>
          </w:p>
        </w:tc>
        <w:tc>
          <w:tcPr>
            <w:tcW w:w="2204"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2,575,087.41</w:t>
            </w:r>
          </w:p>
        </w:tc>
      </w:tr>
      <w:tr>
        <w:trPr>
          <w:trHeight w:val="305" w:hRule="exact"/>
        </w:trPr>
        <w:tc>
          <w:tcPr>
            <w:tcW w:w="5437" w:type="dxa"/>
            <w:tcBorders>
              <w:top w:val="single" w:sz="2" w:space="0" w:color="000000"/>
              <w:left w:val="single" w:sz="4" w:space="0" w:color="000000"/>
              <w:bottom w:val="single" w:sz="2"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336" w:type="dxa"/>
            <w:tcBorders>
              <w:top w:val="single" w:sz="2" w:space="0" w:color="000000"/>
              <w:left w:val="single" w:sz="4" w:space="0" w:color="000000"/>
              <w:bottom w:val="single" w:sz="2" w:space="0" w:color="000000"/>
              <w:right w:val="single" w:sz="4" w:space="0" w:color="000000"/>
            </w:tcBorders>
          </w:tcPr>
          <w:p>
            <w:pPr/>
          </w:p>
        </w:tc>
        <w:tc>
          <w:tcPr>
            <w:tcW w:w="2204" w:type="dxa"/>
            <w:tcBorders>
              <w:top w:val="single" w:sz="2" w:space="0" w:color="000000"/>
              <w:left w:val="single" w:sz="4" w:space="0" w:color="000000"/>
              <w:bottom w:val="single" w:sz="2" w:space="0" w:color="000000"/>
              <w:right w:val="single" w:sz="4" w:space="0" w:color="000000"/>
            </w:tcBorders>
          </w:tcPr>
          <w:p>
            <w:pPr/>
          </w:p>
        </w:tc>
      </w:tr>
      <w:tr>
        <w:trPr>
          <w:trHeight w:val="305" w:hRule="exact"/>
        </w:trPr>
        <w:tc>
          <w:tcPr>
            <w:tcW w:w="5437" w:type="dxa"/>
            <w:tcBorders>
              <w:top w:val="single" w:sz="2" w:space="0" w:color="000000"/>
              <w:left w:val="single" w:sz="4" w:space="0" w:color="000000"/>
              <w:bottom w:val="single" w:sz="2" w:space="0" w:color="000000"/>
              <w:right w:val="single" w:sz="4" w:space="0" w:color="000000"/>
            </w:tcBorders>
          </w:tcPr>
          <w:p>
            <w:pPr>
              <w:pStyle w:val="TableParagraph"/>
              <w:spacing w:line="270" w:lineRule="exact"/>
              <w:ind w:right="2165"/>
              <w:jc w:val="right"/>
              <w:rPr>
                <w:rFonts w:ascii="宋体" w:hAnsi="宋体" w:cs="宋体" w:eastAsia="宋体" w:hint="default"/>
                <w:sz w:val="21"/>
                <w:szCs w:val="21"/>
              </w:rPr>
            </w:pPr>
            <w:r>
              <w:rPr>
                <w:rFonts w:ascii="宋体" w:hAnsi="宋体" w:cs="宋体" w:eastAsia="宋体" w:hint="default"/>
                <w:spacing w:val="-2"/>
                <w:sz w:val="21"/>
                <w:szCs w:val="21"/>
              </w:rPr>
              <w:t>收购少数股东股权形成资本公积</w:t>
            </w:r>
          </w:p>
        </w:tc>
        <w:tc>
          <w:tcPr>
            <w:tcW w:w="2336" w:type="dxa"/>
            <w:tcBorders>
              <w:top w:val="single" w:sz="2" w:space="0" w:color="000000"/>
              <w:left w:val="single" w:sz="4" w:space="0" w:color="000000"/>
              <w:bottom w:val="single" w:sz="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z w:val="21"/>
              </w:rPr>
              <w:t>135.81</w:t>
            </w:r>
          </w:p>
        </w:tc>
        <w:tc>
          <w:tcPr>
            <w:tcW w:w="2204" w:type="dxa"/>
            <w:tcBorders>
              <w:top w:val="single" w:sz="2" w:space="0" w:color="000000"/>
              <w:left w:val="single" w:sz="4" w:space="0" w:color="000000"/>
              <w:bottom w:val="single" w:sz="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z w:val="21"/>
              </w:rPr>
              <w:t>135.81</w:t>
            </w:r>
          </w:p>
        </w:tc>
      </w:tr>
      <w:tr>
        <w:trPr>
          <w:trHeight w:val="317" w:hRule="exact"/>
        </w:trPr>
        <w:tc>
          <w:tcPr>
            <w:tcW w:w="5437" w:type="dxa"/>
            <w:tcBorders>
              <w:top w:val="single" w:sz="2" w:space="0" w:color="000000"/>
              <w:left w:val="single" w:sz="4" w:space="0" w:color="000000"/>
              <w:bottom w:val="single" w:sz="12" w:space="0" w:color="000000"/>
              <w:right w:val="single" w:sz="4" w:space="0" w:color="000000"/>
            </w:tcBorders>
          </w:tcPr>
          <w:p>
            <w:pPr>
              <w:pStyle w:val="TableParagraph"/>
              <w:tabs>
                <w:tab w:pos="424"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6"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z w:val="21"/>
              </w:rPr>
              <w:t>135.81</w:t>
            </w:r>
          </w:p>
        </w:tc>
        <w:tc>
          <w:tcPr>
            <w:tcW w:w="2204"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z w:val="21"/>
              </w:rPr>
              <w:t>135.81</w:t>
            </w:r>
          </w:p>
        </w:tc>
      </w:tr>
    </w:tbl>
    <w:p>
      <w:pPr>
        <w:spacing w:before="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）引起暂时性差异的资产或负债项目对应的暂时性差异：</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5307"/>
        <w:gridCol w:w="4669"/>
      </w:tblGrid>
      <w:tr>
        <w:trPr>
          <w:trHeight w:val="319" w:hRule="exact"/>
        </w:trPr>
        <w:tc>
          <w:tcPr>
            <w:tcW w:w="5307"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66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310"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sz w:val="21"/>
                <w:szCs w:val="21"/>
              </w:rPr>
              <w:t>引起暂时性差异的资产对应的暂时性差异：</w:t>
            </w:r>
          </w:p>
        </w:tc>
        <w:tc>
          <w:tcPr>
            <w:tcW w:w="466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30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应收款项坏账准备</w:t>
            </w:r>
          </w:p>
        </w:tc>
        <w:tc>
          <w:tcPr>
            <w:tcW w:w="466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47,771,455.35</w:t>
            </w:r>
          </w:p>
        </w:tc>
      </w:tr>
      <w:tr>
        <w:trPr>
          <w:trHeight w:val="300" w:hRule="exact"/>
        </w:trPr>
        <w:tc>
          <w:tcPr>
            <w:tcW w:w="530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21"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66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643,457.38</w:t>
            </w:r>
          </w:p>
        </w:tc>
      </w:tr>
      <w:tr>
        <w:trPr>
          <w:trHeight w:val="291" w:hRule="exact"/>
        </w:trPr>
        <w:tc>
          <w:tcPr>
            <w:tcW w:w="530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321" w:right="0"/>
              <w:jc w:val="left"/>
              <w:rPr>
                <w:rFonts w:ascii="宋体" w:hAnsi="宋体" w:cs="宋体" w:eastAsia="宋体" w:hint="default"/>
                <w:sz w:val="21"/>
                <w:szCs w:val="21"/>
              </w:rPr>
            </w:pPr>
            <w:r>
              <w:rPr>
                <w:rFonts w:ascii="宋体" w:hAnsi="宋体" w:cs="宋体" w:eastAsia="宋体" w:hint="default"/>
                <w:sz w:val="21"/>
                <w:szCs w:val="21"/>
              </w:rPr>
              <w:t>合并抵销固定资产内部交易产生可抵扣暂时性差异</w:t>
            </w:r>
          </w:p>
        </w:tc>
        <w:tc>
          <w:tcPr>
            <w:tcW w:w="466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598,709.76</w:t>
            </w:r>
          </w:p>
        </w:tc>
      </w:tr>
      <w:tr>
        <w:trPr>
          <w:trHeight w:val="312"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tabs>
                <w:tab w:pos="520" w:val="left" w:leader="none"/>
              </w:tabs>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7"/>
              <w:jc w:val="right"/>
              <w:rPr>
                <w:rFonts w:ascii="宋体" w:hAnsi="宋体" w:cs="宋体" w:eastAsia="宋体" w:hint="default"/>
                <w:sz w:val="21"/>
                <w:szCs w:val="21"/>
              </w:rPr>
            </w:pPr>
            <w:r>
              <w:rPr>
                <w:rFonts w:ascii="宋体"/>
                <w:spacing w:val="-1"/>
                <w:sz w:val="21"/>
              </w:rPr>
              <w:t>49,013,622.49</w:t>
            </w:r>
          </w:p>
        </w:tc>
      </w:tr>
      <w:tr>
        <w:trPr>
          <w:trHeight w:val="310"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引起暂时性差异的资产对应的暂时性差异：</w:t>
            </w:r>
          </w:p>
        </w:tc>
        <w:tc>
          <w:tcPr>
            <w:tcW w:w="466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21" w:right="0"/>
              <w:jc w:val="left"/>
              <w:rPr>
                <w:rFonts w:ascii="宋体" w:hAnsi="宋体" w:cs="宋体" w:eastAsia="宋体" w:hint="default"/>
                <w:sz w:val="21"/>
                <w:szCs w:val="21"/>
              </w:rPr>
            </w:pPr>
            <w:r>
              <w:rPr>
                <w:rFonts w:ascii="宋体" w:hAnsi="宋体" w:cs="宋体" w:eastAsia="宋体" w:hint="default"/>
                <w:sz w:val="21"/>
                <w:szCs w:val="21"/>
              </w:rPr>
              <w:t>收购少数股东股权形成资本公积</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1,358.13</w:t>
            </w:r>
          </w:p>
        </w:tc>
      </w:tr>
      <w:tr>
        <w:trPr>
          <w:trHeight w:val="319" w:hRule="exact"/>
        </w:trPr>
        <w:tc>
          <w:tcPr>
            <w:tcW w:w="5307"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669" w:type="dxa"/>
            <w:tcBorders>
              <w:top w:val="single" w:sz="4" w:space="0" w:color="000000"/>
              <w:left w:val="single" w:sz="4" w:space="0" w:color="000000"/>
              <w:bottom w:val="single" w:sz="12" w:space="0" w:color="000000"/>
              <w:right w:val="single" w:sz="4" w:space="0" w:color="000000"/>
            </w:tcBorders>
          </w:tcPr>
          <w:p>
            <w:pPr>
              <w:pStyle w:val="TableParagraph"/>
              <w:spacing w:line="269" w:lineRule="exact"/>
              <w:ind w:right="26"/>
              <w:jc w:val="right"/>
              <w:rPr>
                <w:rFonts w:ascii="宋体" w:hAnsi="宋体" w:cs="宋体" w:eastAsia="宋体" w:hint="default"/>
                <w:sz w:val="21"/>
                <w:szCs w:val="21"/>
              </w:rPr>
            </w:pPr>
            <w:r>
              <w:rPr>
                <w:rFonts w:ascii="宋体"/>
                <w:spacing w:val="-1"/>
                <w:sz w:val="21"/>
              </w:rPr>
              <w:t>1,358.13</w:t>
            </w:r>
          </w:p>
        </w:tc>
      </w:tr>
    </w:tbl>
    <w:p>
      <w:pPr>
        <w:spacing w:before="8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84"/>
          <w:headerReference w:type="even" r:id="rId85"/>
          <w:pgSz w:w="12240" w:h="15840"/>
          <w:pgMar w:header="850" w:footer="956" w:top="1360" w:bottom="1140" w:left="1500" w:right="0"/>
        </w:sectPr>
      </w:pPr>
    </w:p>
    <w:p>
      <w:pPr>
        <w:spacing w:line="240" w:lineRule="auto" w:before="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754"/>
        <w:gridCol w:w="1196"/>
        <w:gridCol w:w="1104"/>
        <w:gridCol w:w="1215"/>
        <w:gridCol w:w="1154"/>
        <w:gridCol w:w="670"/>
        <w:gridCol w:w="649"/>
        <w:gridCol w:w="1027"/>
        <w:gridCol w:w="1306"/>
      </w:tblGrid>
      <w:tr>
        <w:trPr>
          <w:trHeight w:val="330" w:hRule="exact"/>
        </w:trPr>
        <w:tc>
          <w:tcPr>
            <w:tcW w:w="754" w:type="dxa"/>
            <w:vMerge w:val="restart"/>
            <w:tcBorders>
              <w:top w:val="single" w:sz="20" w:space="0" w:color="000000"/>
              <w:left w:val="single" w:sz="4" w:space="0" w:color="000000"/>
              <w:right w:val="single" w:sz="4" w:space="0" w:color="000000"/>
            </w:tcBorders>
          </w:tcPr>
          <w:p>
            <w:pPr>
              <w:pStyle w:val="TableParagraph"/>
              <w:spacing w:line="307" w:lineRule="auto" w:before="15"/>
              <w:ind w:left="280" w:right="281"/>
              <w:jc w:val="center"/>
              <w:rPr>
                <w:rFonts w:ascii="宋体" w:hAnsi="宋体" w:cs="宋体" w:eastAsia="宋体" w:hint="default"/>
                <w:sz w:val="18"/>
                <w:szCs w:val="18"/>
              </w:rPr>
            </w:pPr>
            <w:r>
              <w:rPr>
                <w:rFonts w:ascii="宋体" w:hAnsi="宋体" w:cs="宋体" w:eastAsia="宋体" w:hint="default"/>
                <w:sz w:val="18"/>
                <w:szCs w:val="18"/>
              </w:rPr>
              <w:t>项 目</w:t>
            </w:r>
          </w:p>
        </w:tc>
        <w:tc>
          <w:tcPr>
            <w:tcW w:w="1196" w:type="dxa"/>
            <w:vMerge w:val="restart"/>
            <w:tcBorders>
              <w:top w:val="single" w:sz="20"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4" w:type="dxa"/>
            <w:vMerge w:val="restart"/>
            <w:tcBorders>
              <w:top w:val="single" w:sz="20"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215" w:type="dxa"/>
            <w:vMerge w:val="restart"/>
            <w:tcBorders>
              <w:top w:val="single" w:sz="20"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54" w:type="dxa"/>
            <w:vMerge w:val="restart"/>
            <w:tcBorders>
              <w:top w:val="single" w:sz="20"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其他增减</w:t>
            </w:r>
          </w:p>
        </w:tc>
        <w:tc>
          <w:tcPr>
            <w:tcW w:w="2345" w:type="dxa"/>
            <w:gridSpan w:val="3"/>
            <w:tcBorders>
              <w:top w:val="single" w:sz="20"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06" w:type="dxa"/>
            <w:vMerge w:val="restart"/>
            <w:tcBorders>
              <w:top w:val="single" w:sz="20"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7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06" w:type="dxa"/>
            <w:vMerge/>
            <w:tcBorders>
              <w:left w:val="single" w:sz="4" w:space="0" w:color="000000"/>
              <w:bottom w:val="single" w:sz="4" w:space="0" w:color="000000"/>
              <w:right w:val="single" w:sz="4" w:space="0" w:color="000000"/>
            </w:tcBorders>
          </w:tcPr>
          <w:p>
            <w:pPr/>
          </w:p>
        </w:tc>
      </w:tr>
      <w:tr>
        <w:trPr>
          <w:trHeight w:val="31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0" w:right="4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26,071,945.68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3,558,128.52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sz w:val="18"/>
              </w:rPr>
              <w:t>18,254,157.95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pacing w:val="-1"/>
                <w:sz w:val="18"/>
              </w:rPr>
              <w:t>-1,519.77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49,468.87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
              <w:jc w:val="right"/>
              <w:rPr>
                <w:rFonts w:ascii="宋体" w:hAnsi="宋体" w:cs="宋体" w:eastAsia="宋体" w:hint="default"/>
                <w:sz w:val="18"/>
                <w:szCs w:val="18"/>
              </w:rPr>
            </w:pPr>
            <w:r>
              <w:rPr>
                <w:rFonts w:ascii="宋体"/>
                <w:spacing w:val="-1"/>
                <w:sz w:val="18"/>
              </w:rPr>
              <w:t>47,833,243.51</w:t>
            </w:r>
          </w:p>
        </w:tc>
      </w:tr>
      <w:tr>
        <w:trPr>
          <w:trHeight w:val="317" w:hRule="exact"/>
        </w:trPr>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26,071,945.68</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3,558,128.52</w:t>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3" w:right="0"/>
              <w:jc w:val="center"/>
              <w:rPr>
                <w:rFonts w:ascii="宋体" w:hAnsi="宋体" w:cs="宋体" w:eastAsia="宋体" w:hint="default"/>
                <w:sz w:val="18"/>
                <w:szCs w:val="18"/>
              </w:rPr>
            </w:pPr>
            <w:r>
              <w:rPr>
                <w:rFonts w:ascii="宋体"/>
                <w:sz w:val="18"/>
              </w:rPr>
              <w:t>18,254,157.95</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-1,519.77</w:t>
            </w:r>
          </w:p>
        </w:tc>
        <w:tc>
          <w:tcPr>
            <w:tcW w:w="670" w:type="dxa"/>
            <w:tcBorders>
              <w:top w:val="single" w:sz="4" w:space="0" w:color="000000"/>
              <w:left w:val="single" w:sz="4" w:space="0" w:color="000000"/>
              <w:bottom w:val="single" w:sz="12" w:space="0" w:color="000000"/>
              <w:right w:val="single" w:sz="4" w:space="0" w:color="000000"/>
            </w:tcBorders>
          </w:tcPr>
          <w:p>
            <w:pPr/>
          </w:p>
        </w:tc>
        <w:tc>
          <w:tcPr>
            <w:tcW w:w="649"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49,468.87</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pacing w:val="-1"/>
                <w:sz w:val="18"/>
              </w:rPr>
              <w:t>47,833,243.51</w:t>
            </w:r>
          </w:p>
        </w:tc>
      </w:tr>
    </w:tbl>
    <w:p>
      <w:pPr>
        <w:spacing w:line="297" w:lineRule="auto" w:before="9"/>
        <w:ind w:left="124" w:right="1635" w:firstLine="419"/>
        <w:jc w:val="both"/>
        <w:rPr>
          <w:rFonts w:ascii="宋体" w:hAnsi="宋体" w:cs="宋体" w:eastAsia="宋体" w:hint="default"/>
          <w:sz w:val="21"/>
          <w:szCs w:val="21"/>
        </w:rPr>
      </w:pPr>
      <w:r>
        <w:rPr>
          <w:rFonts w:ascii="宋体" w:hAnsi="宋体" w:cs="宋体" w:eastAsia="宋体" w:hint="default"/>
          <w:spacing w:val="-4"/>
          <w:sz w:val="21"/>
          <w:szCs w:val="21"/>
        </w:rPr>
        <w:t>注：本期转入系公司收购北京神州新桥科技有限公司、北京东方易维软件有限公司的股权，转</w:t>
      </w:r>
      <w:r>
        <w:rPr>
          <w:rFonts w:ascii="宋体" w:hAnsi="宋体" w:cs="宋体" w:eastAsia="宋体" w:hint="default"/>
          <w:w w:val="100"/>
          <w:sz w:val="21"/>
          <w:szCs w:val="21"/>
        </w:rPr>
        <w:t> </w:t>
      </w:r>
      <w:r>
        <w:rPr>
          <w:rFonts w:ascii="宋体" w:hAnsi="宋体" w:cs="宋体" w:eastAsia="宋体" w:hint="default"/>
          <w:spacing w:val="-2"/>
          <w:sz w:val="21"/>
          <w:szCs w:val="21"/>
        </w:rPr>
        <w:t>入截止购买日已计提的坏账准备；其他增减的原因系公司所属海外子公司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北京东华合创香港有限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公司外币汇率折算差额产生；其他减少的原因系公司转让内蒙古合创信息技术有限公司的股权，转</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出截止转让时点已计提的坏账准备。</w:t>
      </w:r>
    </w:p>
    <w:p>
      <w:pPr>
        <w:spacing w:before="133"/>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、所有权受到限制的资产</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3687"/>
        <w:gridCol w:w="1416"/>
        <w:gridCol w:w="1418"/>
        <w:gridCol w:w="1419"/>
        <w:gridCol w:w="2036"/>
      </w:tblGrid>
      <w:tr>
        <w:trPr>
          <w:trHeight w:val="319" w:hRule="exact"/>
        </w:trPr>
        <w:tc>
          <w:tcPr>
            <w:tcW w:w="36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34" w:right="0"/>
              <w:jc w:val="left"/>
              <w:rPr>
                <w:rFonts w:ascii="宋体" w:hAnsi="宋体" w:cs="宋体" w:eastAsia="宋体" w:hint="default"/>
                <w:sz w:val="18"/>
                <w:szCs w:val="18"/>
              </w:rPr>
            </w:pPr>
            <w:r>
              <w:rPr>
                <w:rFonts w:ascii="宋体" w:hAnsi="宋体" w:cs="宋体" w:eastAsia="宋体" w:hint="default"/>
                <w:sz w:val="18"/>
                <w:szCs w:val="18"/>
              </w:rPr>
              <w:t>使用权受到限制的资产类别</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268" w:right="0"/>
              <w:jc w:val="left"/>
              <w:rPr>
                <w:rFonts w:ascii="Calibri" w:hAnsi="Calibri" w:cs="Calibri" w:eastAsia="Calibri" w:hint="default"/>
                <w:sz w:val="18"/>
                <w:szCs w:val="18"/>
              </w:rPr>
            </w:pPr>
            <w:r>
              <w:rPr>
                <w:rFonts w:ascii="Calibri"/>
                <w:sz w:val="18"/>
              </w:rPr>
              <w:t>2011.12.31</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575" w:right="0"/>
              <w:jc w:val="left"/>
              <w:rPr>
                <w:rFonts w:ascii="Calibri" w:hAnsi="Calibri" w:cs="Calibri" w:eastAsia="Calibri" w:hint="default"/>
                <w:sz w:val="18"/>
                <w:szCs w:val="18"/>
              </w:rPr>
            </w:pPr>
            <w:r>
              <w:rPr>
                <w:rFonts w:ascii="Calibri"/>
                <w:sz w:val="18"/>
              </w:rPr>
              <w:t>2011.12.31</w:t>
            </w:r>
          </w:p>
        </w:tc>
      </w:tr>
      <w:tr>
        <w:trPr>
          <w:trHeight w:val="331" w:hRule="exact"/>
        </w:trPr>
        <w:tc>
          <w:tcPr>
            <w:tcW w:w="3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一、用于质押担保的资产</w:t>
            </w:r>
          </w:p>
        </w:tc>
        <w:tc>
          <w:tcPr>
            <w:tcW w:w="141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29"/>
              <w:jc w:val="right"/>
              <w:rPr>
                <w:rFonts w:ascii="Calibri" w:hAnsi="Calibri" w:cs="Calibri" w:eastAsia="Calibri" w:hint="default"/>
                <w:sz w:val="18"/>
                <w:szCs w:val="18"/>
              </w:rPr>
            </w:pPr>
            <w:r>
              <w:rPr>
                <w:rFonts w:ascii="Calibri"/>
                <w:sz w:val="18"/>
              </w:rPr>
              <w:t>29,065,615.40</w:t>
            </w:r>
          </w:p>
        </w:tc>
        <w:tc>
          <w:tcPr>
            <w:tcW w:w="1419" w:type="dxa"/>
            <w:vMerge w:val="restart"/>
            <w:tcBorders>
              <w:top w:val="single" w:sz="4" w:space="0" w:color="000000"/>
              <w:left w:val="single" w:sz="4" w:space="0" w:color="000000"/>
              <w:right w:val="single" w:sz="4" w:space="0" w:color="000000"/>
            </w:tcBorders>
          </w:tcPr>
          <w:p>
            <w:pPr/>
          </w:p>
        </w:tc>
        <w:tc>
          <w:tcPr>
            <w:tcW w:w="20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right="29"/>
              <w:jc w:val="right"/>
              <w:rPr>
                <w:rFonts w:ascii="Calibri" w:hAnsi="Calibri" w:cs="Calibri" w:eastAsia="Calibri" w:hint="default"/>
                <w:sz w:val="18"/>
                <w:szCs w:val="18"/>
              </w:rPr>
            </w:pPr>
            <w:r>
              <w:rPr>
                <w:rFonts w:ascii="Calibri"/>
                <w:sz w:val="18"/>
              </w:rPr>
              <w:t>29,065,615.40</w:t>
            </w:r>
          </w:p>
        </w:tc>
      </w:tr>
      <w:tr>
        <w:trPr>
          <w:trHeight w:val="300" w:hRule="exact"/>
        </w:trPr>
        <w:tc>
          <w:tcPr>
            <w:tcW w:w="3687" w:type="dxa"/>
            <w:tcBorders>
              <w:top w:val="nil" w:sz="6" w:space="0" w:color="auto"/>
              <w:left w:val="single" w:sz="4" w:space="0" w:color="000000"/>
              <w:bottom w:val="nil" w:sz="6" w:space="0" w:color="auto"/>
              <w:right w:val="single" w:sz="4" w:space="0" w:color="000000"/>
            </w:tcBorders>
          </w:tcPr>
          <w:p>
            <w:pPr>
              <w:pStyle w:val="TableParagraph"/>
              <w:tabs>
                <w:tab w:pos="1439" w:val="left" w:leader="none"/>
              </w:tabs>
              <w:spacing w:line="244" w:lineRule="exact"/>
              <w:ind w:left="446" w:right="0"/>
              <w:jc w:val="left"/>
              <w:rPr>
                <w:rFonts w:ascii="Calibri" w:hAnsi="Calibri" w:cs="Calibri" w:eastAsia="Calibri" w:hint="default"/>
                <w:sz w:val="18"/>
                <w:szCs w:val="18"/>
              </w:rPr>
            </w:pPr>
            <w:r>
              <w:rPr>
                <w:rFonts w:ascii="宋体" w:hAnsi="宋体" w:cs="宋体" w:eastAsia="宋体" w:hint="default"/>
                <w:sz w:val="18"/>
                <w:szCs w:val="18"/>
              </w:rPr>
              <w:t>应收账款</w:t>
              <w:tab/>
            </w:r>
            <w:r>
              <w:rPr>
                <w:rFonts w:ascii="Calibri" w:hAnsi="Calibri" w:cs="Calibri" w:eastAsia="Calibri" w:hint="default"/>
                <w:sz w:val="18"/>
                <w:szCs w:val="18"/>
              </w:rPr>
              <w:t>*1</w:t>
            </w:r>
          </w:p>
        </w:tc>
        <w:tc>
          <w:tcPr>
            <w:tcW w:w="141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9"/>
              <w:jc w:val="right"/>
              <w:rPr>
                <w:rFonts w:ascii="Calibri" w:hAnsi="Calibri" w:cs="Calibri" w:eastAsia="Calibri" w:hint="default"/>
                <w:sz w:val="18"/>
                <w:szCs w:val="18"/>
              </w:rPr>
            </w:pPr>
            <w:r>
              <w:rPr>
                <w:rFonts w:ascii="Calibri"/>
                <w:sz w:val="18"/>
              </w:rPr>
              <w:t>29,065,615.40</w:t>
            </w:r>
          </w:p>
        </w:tc>
        <w:tc>
          <w:tcPr>
            <w:tcW w:w="1419" w:type="dxa"/>
            <w:vMerge/>
            <w:tcBorders>
              <w:left w:val="single" w:sz="4" w:space="0" w:color="000000"/>
              <w:right w:val="single" w:sz="4" w:space="0" w:color="000000"/>
            </w:tcBorders>
          </w:tcPr>
          <w:p>
            <w:pPr/>
          </w:p>
        </w:tc>
        <w:tc>
          <w:tcPr>
            <w:tcW w:w="203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9"/>
              <w:jc w:val="right"/>
              <w:rPr>
                <w:rFonts w:ascii="Calibri" w:hAnsi="Calibri" w:cs="Calibri" w:eastAsia="Calibri" w:hint="default"/>
                <w:sz w:val="18"/>
                <w:szCs w:val="18"/>
              </w:rPr>
            </w:pPr>
            <w:r>
              <w:rPr>
                <w:rFonts w:ascii="Calibri"/>
                <w:sz w:val="18"/>
              </w:rPr>
              <w:t>29,065,615.40</w:t>
            </w:r>
          </w:p>
        </w:tc>
      </w:tr>
      <w:tr>
        <w:trPr>
          <w:trHeight w:val="281" w:hRule="exact"/>
        </w:trPr>
        <w:tc>
          <w:tcPr>
            <w:tcW w:w="3687"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0" w:right="0"/>
              <w:jc w:val="left"/>
              <w:rPr>
                <w:rFonts w:ascii="宋体" w:hAnsi="宋体" w:cs="宋体" w:eastAsia="宋体" w:hint="default"/>
                <w:sz w:val="18"/>
                <w:szCs w:val="18"/>
              </w:rPr>
            </w:pPr>
            <w:r>
              <w:rPr>
                <w:rFonts w:ascii="宋体" w:hAnsi="宋体" w:cs="宋体" w:eastAsia="宋体" w:hint="default"/>
                <w:sz w:val="18"/>
                <w:szCs w:val="18"/>
              </w:rPr>
              <w:t>二、其他原因造成所有权受到限制的资产</w:t>
            </w:r>
          </w:p>
        </w:tc>
        <w:tc>
          <w:tcPr>
            <w:tcW w:w="141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2036"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3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18"/>
                <w:szCs w:val="18"/>
              </w:rPr>
            </w:pPr>
            <w:r>
              <w:rPr>
                <w:rFonts w:ascii="宋体" w:hAnsi="宋体" w:cs="宋体" w:eastAsia="宋体" w:hint="default"/>
                <w:sz w:val="18"/>
                <w:szCs w:val="18"/>
              </w:rPr>
              <w:t>保函保证金</w:t>
            </w:r>
            <w:r>
              <w:rPr>
                <w:rFonts w:ascii="宋体" w:hAnsi="宋体" w:cs="宋体" w:eastAsia="宋体" w:hint="default"/>
                <w:spacing w:val="-4"/>
                <w:sz w:val="18"/>
                <w:szCs w:val="18"/>
              </w:rPr>
              <w:t> </w:t>
            </w:r>
            <w:r>
              <w:rPr>
                <w:rFonts w:ascii="Calibri" w:hAnsi="Calibri" w:cs="Calibri" w:eastAsia="Calibri" w:hint="default"/>
                <w:sz w:val="18"/>
                <w:szCs w:val="18"/>
              </w:rPr>
              <w:t>*2</w:t>
            </w:r>
          </w:p>
        </w:tc>
        <w:tc>
          <w:tcPr>
            <w:tcW w:w="141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29"/>
              <w:jc w:val="right"/>
              <w:rPr>
                <w:rFonts w:ascii="Calibri" w:hAnsi="Calibri" w:cs="Calibri" w:eastAsia="Calibri" w:hint="default"/>
                <w:sz w:val="18"/>
                <w:szCs w:val="18"/>
              </w:rPr>
            </w:pPr>
            <w:r>
              <w:rPr>
                <w:rFonts w:ascii="Calibri"/>
                <w:sz w:val="18"/>
              </w:rPr>
              <w:t>3,393,971.33</w:t>
            </w:r>
          </w:p>
        </w:tc>
        <w:tc>
          <w:tcPr>
            <w:tcW w:w="1419" w:type="dxa"/>
            <w:vMerge/>
            <w:tcBorders>
              <w:left w:val="single" w:sz="4" w:space="0" w:color="000000"/>
              <w:bottom w:val="single" w:sz="4" w:space="0" w:color="000000"/>
              <w:right w:val="single" w:sz="4" w:space="0" w:color="000000"/>
            </w:tcBorders>
          </w:tcPr>
          <w:p>
            <w:pPr/>
          </w:p>
        </w:tc>
        <w:tc>
          <w:tcPr>
            <w:tcW w:w="2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29"/>
              <w:jc w:val="right"/>
              <w:rPr>
                <w:rFonts w:ascii="Calibri" w:hAnsi="Calibri" w:cs="Calibri" w:eastAsia="Calibri" w:hint="default"/>
                <w:sz w:val="18"/>
                <w:szCs w:val="18"/>
              </w:rPr>
            </w:pPr>
            <w:r>
              <w:rPr>
                <w:rFonts w:ascii="Calibri"/>
                <w:sz w:val="18"/>
              </w:rPr>
              <w:t>3,393,971.33</w:t>
            </w:r>
          </w:p>
        </w:tc>
      </w:tr>
      <w:tr>
        <w:trPr>
          <w:trHeight w:val="319" w:hRule="exact"/>
        </w:trPr>
        <w:tc>
          <w:tcPr>
            <w:tcW w:w="3687" w:type="dxa"/>
            <w:tcBorders>
              <w:top w:val="single" w:sz="4" w:space="0" w:color="000000"/>
              <w:left w:val="single" w:sz="4" w:space="0" w:color="000000"/>
              <w:bottom w:val="single" w:sz="12" w:space="0" w:color="000000"/>
              <w:right w:val="single" w:sz="4" w:space="0" w:color="000000"/>
            </w:tcBorders>
          </w:tcPr>
          <w:p>
            <w:pPr>
              <w:pStyle w:val="TableParagraph"/>
              <w:tabs>
                <w:tab w:pos="1528" w:val="left" w:leader="none"/>
              </w:tabs>
              <w:spacing w:line="240" w:lineRule="auto" w:before="29"/>
              <w:ind w:left="107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9"/>
              <w:jc w:val="right"/>
              <w:rPr>
                <w:rFonts w:ascii="Calibri" w:hAnsi="Calibri" w:cs="Calibri" w:eastAsia="Calibri" w:hint="default"/>
                <w:sz w:val="18"/>
                <w:szCs w:val="18"/>
              </w:rPr>
            </w:pPr>
            <w:r>
              <w:rPr>
                <w:rFonts w:ascii="Calibri"/>
                <w:sz w:val="18"/>
              </w:rPr>
              <w:t>32,459,586.73</w:t>
            </w:r>
          </w:p>
        </w:tc>
        <w:tc>
          <w:tcPr>
            <w:tcW w:w="1419" w:type="dxa"/>
            <w:tcBorders>
              <w:top w:val="single" w:sz="4" w:space="0" w:color="000000"/>
              <w:left w:val="single" w:sz="4" w:space="0" w:color="000000"/>
              <w:bottom w:val="single" w:sz="12" w:space="0" w:color="000000"/>
              <w:right w:val="single" w:sz="4" w:space="0" w:color="000000"/>
            </w:tcBorders>
          </w:tcPr>
          <w:p>
            <w:pPr/>
          </w:p>
        </w:tc>
        <w:tc>
          <w:tcPr>
            <w:tcW w:w="2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9"/>
              <w:jc w:val="right"/>
              <w:rPr>
                <w:rFonts w:ascii="Calibri" w:hAnsi="Calibri" w:cs="Calibri" w:eastAsia="Calibri" w:hint="default"/>
                <w:sz w:val="18"/>
                <w:szCs w:val="18"/>
              </w:rPr>
            </w:pPr>
            <w:r>
              <w:rPr>
                <w:rFonts w:ascii="Calibri"/>
                <w:sz w:val="18"/>
              </w:rPr>
              <w:t>32,459,586.73</w:t>
            </w:r>
          </w:p>
        </w:tc>
      </w:tr>
    </w:tbl>
    <w:p>
      <w:pPr>
        <w:spacing w:line="297" w:lineRule="auto" w:before="9"/>
        <w:ind w:left="124" w:right="1265" w:firstLine="419"/>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日，公司的全资子公司</w:t>
      </w:r>
      <w:r>
        <w:rPr>
          <w:rFonts w:ascii="宋体" w:hAnsi="宋体" w:cs="宋体" w:eastAsia="宋体" w:hint="default"/>
          <w:sz w:val="21"/>
          <w:szCs w:val="21"/>
        </w:rPr>
        <w:t>-</w:t>
      </w:r>
      <w:r>
        <w:rPr>
          <w:rFonts w:ascii="宋体" w:hAnsi="宋体" w:cs="宋体" w:eastAsia="宋体" w:hint="default"/>
          <w:sz w:val="21"/>
          <w:szCs w:val="21"/>
        </w:rPr>
        <w:t>北京神州新桥科技有限公司与北京中关村科技担保</w:t>
      </w:r>
      <w:r>
        <w:rPr>
          <w:rFonts w:ascii="宋体" w:hAnsi="宋体" w:cs="宋体" w:eastAsia="宋体" w:hint="default"/>
          <w:w w:val="100"/>
          <w:sz w:val="21"/>
          <w:szCs w:val="21"/>
        </w:rPr>
        <w:t> </w:t>
      </w:r>
      <w:r>
        <w:rPr>
          <w:rFonts w:ascii="宋体" w:hAnsi="宋体" w:cs="宋体" w:eastAsia="宋体" w:hint="default"/>
          <w:spacing w:val="-3"/>
          <w:w w:val="100"/>
          <w:sz w:val="21"/>
          <w:szCs w:val="21"/>
        </w:rPr>
        <w:t>有限公司签订编号为“</w:t>
      </w:r>
      <w:r>
        <w:rPr>
          <w:rFonts w:ascii="宋体" w:hAnsi="宋体" w:cs="宋体" w:eastAsia="宋体" w:hint="default"/>
          <w:spacing w:val="-3"/>
          <w:w w:val="100"/>
          <w:sz w:val="21"/>
          <w:szCs w:val="21"/>
        </w:rPr>
        <w:t>2011</w:t>
      </w:r>
      <w:r>
        <w:rPr>
          <w:rFonts w:ascii="宋体" w:hAnsi="宋体" w:cs="宋体" w:eastAsia="宋体" w:hint="default"/>
          <w:spacing w:val="-49"/>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QZY0155</w:t>
      </w:r>
      <w:r>
        <w:rPr>
          <w:rFonts w:ascii="宋体" w:hAnsi="宋体" w:cs="宋体" w:eastAsia="宋体" w:hint="default"/>
          <w:spacing w:val="-49"/>
          <w:w w:val="100"/>
          <w:sz w:val="21"/>
          <w:szCs w:val="21"/>
        </w:rPr>
        <w:t> </w:t>
      </w:r>
      <w:r>
        <w:rPr>
          <w:rFonts w:ascii="宋体" w:hAnsi="宋体" w:cs="宋体" w:eastAsia="宋体" w:hint="default"/>
          <w:spacing w:val="-10"/>
          <w:w w:val="100"/>
          <w:sz w:val="21"/>
          <w:szCs w:val="21"/>
        </w:rPr>
        <w:t>号”的《最高额反担保（应收账款质押）合同》。合同规定：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北京神州新桥科技有限公司为中关村科技担保有限公司与北京银行股份有限公司大钟寺支行签订</w:t>
      </w:r>
      <w:r>
        <w:rPr>
          <w:rFonts w:ascii="宋体" w:hAnsi="宋体" w:cs="宋体" w:eastAsia="宋体" w:hint="default"/>
          <w:w w:val="100"/>
          <w:sz w:val="21"/>
          <w:szCs w:val="21"/>
        </w:rPr>
        <w:t> </w:t>
      </w:r>
      <w:r>
        <w:rPr>
          <w:rFonts w:ascii="宋体" w:hAnsi="宋体" w:cs="宋体" w:eastAsia="宋体" w:hint="default"/>
          <w:sz w:val="21"/>
          <w:szCs w:val="21"/>
        </w:rPr>
        <w:t>编号为“</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WT0155</w:t>
      </w:r>
      <w:r>
        <w:rPr>
          <w:rFonts w:ascii="宋体" w:hAnsi="宋体" w:cs="宋体" w:eastAsia="宋体" w:hint="default"/>
          <w:spacing w:val="-56"/>
          <w:sz w:val="21"/>
          <w:szCs w:val="21"/>
        </w:rPr>
        <w:t> </w:t>
      </w:r>
      <w:r>
        <w:rPr>
          <w:rFonts w:ascii="宋体" w:hAnsi="宋体" w:cs="宋体" w:eastAsia="宋体" w:hint="default"/>
          <w:sz w:val="21"/>
          <w:szCs w:val="21"/>
        </w:rPr>
        <w:t>号”的《最高额委托保证合同》提供反担保，质押资产为</w:t>
      </w:r>
      <w:r>
        <w:rPr>
          <w:rFonts w:ascii="宋体" w:hAnsi="宋体" w:cs="宋体" w:eastAsia="宋体" w:hint="default"/>
          <w:spacing w:val="-53"/>
          <w:sz w:val="21"/>
          <w:szCs w:val="21"/>
        </w:rPr>
        <w:t> </w:t>
      </w:r>
      <w:r>
        <w:rPr>
          <w:rFonts w:ascii="宋体" w:hAnsi="宋体" w:cs="宋体" w:eastAsia="宋体" w:hint="default"/>
          <w:sz w:val="21"/>
          <w:szCs w:val="21"/>
        </w:rPr>
        <w:t>29,065,615.40</w:t>
      </w:r>
      <w:r>
        <w:rPr>
          <w:rFonts w:ascii="宋体" w:hAnsi="宋体" w:cs="宋体" w:eastAsia="宋体" w:hint="default"/>
          <w:w w:val="100"/>
          <w:sz w:val="21"/>
          <w:szCs w:val="21"/>
        </w:rPr>
        <w:t> </w:t>
      </w:r>
      <w:r>
        <w:rPr>
          <w:rFonts w:ascii="宋体" w:hAnsi="宋体" w:cs="宋体" w:eastAsia="宋体" w:hint="default"/>
          <w:sz w:val="21"/>
          <w:szCs w:val="21"/>
        </w:rPr>
        <w:t>元应收账款，担保期限为</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w:t>
      </w:r>
    </w:p>
    <w:p>
      <w:pPr>
        <w:spacing w:line="295" w:lineRule="auto" w:before="56"/>
        <w:ind w:left="124" w:right="1265"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、其他原因造成所有权受到限制的资产系公司的全资子公司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北京神州新桥科技有限公司其</w:t>
      </w:r>
      <w:r>
        <w:rPr>
          <w:rFonts w:ascii="宋体" w:hAnsi="宋体" w:cs="宋体" w:eastAsia="宋体" w:hint="default"/>
          <w:w w:val="100"/>
          <w:sz w:val="21"/>
          <w:szCs w:val="21"/>
        </w:rPr>
        <w:t> </w:t>
      </w:r>
      <w:r>
        <w:rPr>
          <w:rFonts w:ascii="宋体" w:hAnsi="宋体" w:cs="宋体" w:eastAsia="宋体" w:hint="default"/>
          <w:sz w:val="21"/>
          <w:szCs w:val="21"/>
        </w:rPr>
        <w:t>他货币资金中在资产负债表日</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个月后不可以用于支付的保函保证金。</w:t>
      </w:r>
    </w:p>
    <w:p>
      <w:pPr>
        <w:spacing w:before="77"/>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before="123"/>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）短期借款分类：</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3781"/>
        <w:gridCol w:w="2994"/>
        <w:gridCol w:w="3202"/>
      </w:tblGrid>
      <w:tr>
        <w:trPr>
          <w:trHeight w:val="322" w:hRule="exact"/>
        </w:trPr>
        <w:tc>
          <w:tcPr>
            <w:tcW w:w="3781" w:type="dxa"/>
            <w:tcBorders>
              <w:top w:val="single" w:sz="12" w:space="0" w:color="000000"/>
              <w:left w:val="single" w:sz="4" w:space="0" w:color="000000"/>
              <w:bottom w:val="single" w:sz="4" w:space="0" w:color="000000"/>
              <w:right w:val="single" w:sz="4" w:space="0" w:color="000000"/>
            </w:tcBorders>
          </w:tcPr>
          <w:p>
            <w:pPr>
              <w:pStyle w:val="TableParagraph"/>
              <w:tabs>
                <w:tab w:pos="526" w:val="left" w:leader="none"/>
              </w:tabs>
              <w:spacing w:line="272" w:lineRule="exact"/>
              <w:ind w:right="151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99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78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90,000,000.00</w:t>
            </w:r>
          </w:p>
        </w:tc>
        <w:tc>
          <w:tcPr>
            <w:tcW w:w="320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50,000,000.00</w:t>
            </w:r>
          </w:p>
        </w:tc>
      </w:tr>
      <w:tr>
        <w:trPr>
          <w:trHeight w:val="291" w:hRule="exact"/>
        </w:trPr>
        <w:tc>
          <w:tcPr>
            <w:tcW w:w="378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113,900,000.00</w:t>
            </w:r>
          </w:p>
        </w:tc>
        <w:tc>
          <w:tcPr>
            <w:tcW w:w="320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90,000,000.00</w:t>
            </w:r>
          </w:p>
        </w:tc>
      </w:tr>
      <w:tr>
        <w:trPr>
          <w:trHeight w:val="319" w:hRule="exact"/>
        </w:trPr>
        <w:tc>
          <w:tcPr>
            <w:tcW w:w="3781" w:type="dxa"/>
            <w:tcBorders>
              <w:top w:val="single" w:sz="4" w:space="0" w:color="000000"/>
              <w:left w:val="single" w:sz="4" w:space="0" w:color="000000"/>
              <w:bottom w:val="single" w:sz="12" w:space="0" w:color="000000"/>
              <w:right w:val="single" w:sz="4" w:space="0" w:color="000000"/>
            </w:tcBorders>
          </w:tcPr>
          <w:p>
            <w:pPr>
              <w:pStyle w:val="TableParagraph"/>
              <w:tabs>
                <w:tab w:pos="526" w:val="left" w:leader="none"/>
              </w:tabs>
              <w:spacing w:line="270" w:lineRule="exact"/>
              <w:ind w:right="151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9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203,900,000.00</w:t>
            </w:r>
          </w:p>
        </w:tc>
        <w:tc>
          <w:tcPr>
            <w:tcW w:w="320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140,000,000.00</w:t>
            </w:r>
          </w:p>
        </w:tc>
      </w:tr>
    </w:tbl>
    <w:p>
      <w:pPr>
        <w:spacing w:line="321" w:lineRule="auto" w:before="26"/>
        <w:ind w:left="124" w:right="1637" w:firstLine="419"/>
        <w:jc w:val="both"/>
        <w:rPr>
          <w:rFonts w:ascii="宋体" w:hAnsi="宋体" w:cs="宋体" w:eastAsia="宋体" w:hint="default"/>
          <w:sz w:val="21"/>
          <w:szCs w:val="21"/>
        </w:rPr>
      </w:pPr>
      <w:r>
        <w:rPr>
          <w:rFonts w:ascii="宋体" w:hAnsi="宋体" w:cs="宋体" w:eastAsia="宋体" w:hint="default"/>
          <w:spacing w:val="-2"/>
          <w:sz w:val="21"/>
          <w:szCs w:val="21"/>
        </w:rPr>
        <w:t>公司的保证借款余额中，母公司和公司的全资子公司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北京东华合创科技有限公司发生的保证</w:t>
      </w:r>
      <w:r>
        <w:rPr>
          <w:rFonts w:ascii="宋体" w:hAnsi="宋体" w:cs="宋体" w:eastAsia="宋体" w:hint="default"/>
          <w:w w:val="100"/>
          <w:sz w:val="21"/>
          <w:szCs w:val="21"/>
        </w:rPr>
        <w:t> </w:t>
      </w:r>
      <w:r>
        <w:rPr>
          <w:rFonts w:ascii="宋体" w:hAnsi="宋体" w:cs="宋体" w:eastAsia="宋体" w:hint="default"/>
          <w:spacing w:val="-2"/>
          <w:sz w:val="21"/>
          <w:szCs w:val="21"/>
        </w:rPr>
        <w:t>借款分别为</w:t>
      </w:r>
      <w:r>
        <w:rPr>
          <w:rFonts w:ascii="宋体" w:hAnsi="宋体" w:cs="宋体" w:eastAsia="宋体" w:hint="default"/>
          <w:spacing w:val="-2"/>
          <w:sz w:val="21"/>
          <w:szCs w:val="21"/>
        </w:rPr>
        <w:t>6,500</w:t>
      </w:r>
      <w:r>
        <w:rPr>
          <w:rFonts w:ascii="宋体" w:hAnsi="宋体" w:cs="宋体" w:eastAsia="宋体" w:hint="default"/>
          <w:spacing w:val="-2"/>
          <w:sz w:val="21"/>
          <w:szCs w:val="21"/>
        </w:rPr>
        <w:t>万元和</w:t>
      </w:r>
      <w:r>
        <w:rPr>
          <w:rFonts w:ascii="宋体" w:hAnsi="宋体" w:cs="宋体" w:eastAsia="宋体" w:hint="default"/>
          <w:spacing w:val="-2"/>
          <w:sz w:val="21"/>
          <w:szCs w:val="21"/>
        </w:rPr>
        <w:t>900</w:t>
      </w:r>
      <w:r>
        <w:rPr>
          <w:rFonts w:ascii="宋体" w:hAnsi="宋体" w:cs="宋体" w:eastAsia="宋体" w:hint="default"/>
          <w:spacing w:val="-2"/>
          <w:sz w:val="21"/>
          <w:szCs w:val="21"/>
        </w:rPr>
        <w:t>万元，均由公司股东</w:t>
      </w:r>
      <w:r>
        <w:rPr>
          <w:rFonts w:ascii="宋体" w:hAnsi="宋体" w:cs="宋体" w:eastAsia="宋体" w:hint="default"/>
          <w:spacing w:val="-2"/>
          <w:sz w:val="21"/>
          <w:szCs w:val="21"/>
        </w:rPr>
        <w:t>-</w:t>
      </w:r>
      <w:r>
        <w:rPr>
          <w:rFonts w:ascii="宋体" w:hAnsi="宋体" w:cs="宋体" w:eastAsia="宋体" w:hint="default"/>
          <w:spacing w:val="-2"/>
          <w:sz w:val="21"/>
          <w:szCs w:val="21"/>
        </w:rPr>
        <w:t>北京东华诚信电脑科技发展有限公司、薛向东提</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6"/>
          <w:w w:val="100"/>
          <w:sz w:val="21"/>
          <w:szCs w:val="21"/>
        </w:rPr>
        <w:t>供连带责任保证；公司的全资子公司</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北京神州新桥科技有限公司的保证借款为</w:t>
      </w:r>
      <w:r>
        <w:rPr>
          <w:rFonts w:ascii="宋体" w:hAnsi="宋体" w:cs="宋体" w:eastAsia="宋体" w:hint="default"/>
          <w:spacing w:val="-6"/>
          <w:w w:val="100"/>
          <w:sz w:val="21"/>
          <w:szCs w:val="21"/>
        </w:rPr>
        <w:t>3,990</w:t>
      </w:r>
      <w:r>
        <w:rPr>
          <w:rFonts w:ascii="宋体" w:hAnsi="宋体" w:cs="宋体" w:eastAsia="宋体" w:hint="default"/>
          <w:spacing w:val="-6"/>
          <w:w w:val="100"/>
          <w:sz w:val="21"/>
          <w:szCs w:val="21"/>
        </w:rPr>
        <w:t>万元，其中</w:t>
      </w:r>
      <w:r>
        <w:rPr>
          <w:rFonts w:ascii="宋体" w:hAnsi="宋体" w:cs="宋体" w:eastAsia="宋体" w:hint="default"/>
          <w:spacing w:val="-6"/>
          <w:w w:val="100"/>
          <w:sz w:val="21"/>
          <w:szCs w:val="21"/>
        </w:rPr>
        <w:t>990</w:t>
      </w:r>
      <w:r>
        <w:rPr>
          <w:rFonts w:ascii="宋体" w:hAnsi="宋体" w:cs="宋体" w:eastAsia="宋体" w:hint="default"/>
          <w:spacing w:val="-65"/>
          <w:w w:val="100"/>
          <w:sz w:val="21"/>
          <w:szCs w:val="21"/>
        </w:rPr>
        <w:t> </w:t>
      </w:r>
      <w:r>
        <w:rPr>
          <w:rFonts w:ascii="宋体" w:hAnsi="宋体" w:cs="宋体" w:eastAsia="宋体" w:hint="default"/>
          <w:spacing w:val="-2"/>
          <w:sz w:val="21"/>
          <w:szCs w:val="21"/>
        </w:rPr>
        <w:t>万元由本公司提供连带责任保证，</w:t>
      </w:r>
      <w:r>
        <w:rPr>
          <w:rFonts w:ascii="宋体" w:hAnsi="宋体" w:cs="宋体" w:eastAsia="宋体" w:hint="default"/>
          <w:spacing w:val="-2"/>
          <w:sz w:val="21"/>
          <w:szCs w:val="21"/>
        </w:rPr>
        <w:t>3,000</w:t>
      </w:r>
      <w:r>
        <w:rPr>
          <w:rFonts w:ascii="宋体" w:hAnsi="宋体" w:cs="宋体" w:eastAsia="宋体" w:hint="default"/>
          <w:spacing w:val="-2"/>
          <w:sz w:val="21"/>
          <w:szCs w:val="21"/>
        </w:rPr>
        <w:t>万元由北京中关村科技担保有限公司提供连带责任保证。</w:t>
      </w:r>
    </w:p>
    <w:p>
      <w:pPr>
        <w:spacing w:before="81"/>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）公司无已到期未归还的短期借款。</w:t>
      </w:r>
    </w:p>
    <w:p>
      <w:pPr>
        <w:spacing w:before="152"/>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）资产负债表日后已偿还金额</w:t>
      </w:r>
      <w:r>
        <w:rPr>
          <w:rFonts w:ascii="宋体" w:hAnsi="宋体" w:cs="宋体" w:eastAsia="宋体" w:hint="default"/>
          <w:sz w:val="21"/>
          <w:szCs w:val="21"/>
        </w:rPr>
        <w:t>12,500</w:t>
      </w:r>
      <w:r>
        <w:rPr>
          <w:rFonts w:ascii="宋体" w:hAnsi="宋体" w:cs="宋体" w:eastAsia="宋体" w:hint="default"/>
          <w:sz w:val="21"/>
          <w:szCs w:val="21"/>
        </w:rPr>
        <w:t>万元。</w:t>
      </w:r>
    </w:p>
    <w:p>
      <w:pPr>
        <w:spacing w:before="135"/>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）短期借款的说明：</w:t>
      </w:r>
    </w:p>
    <w:p>
      <w:pPr>
        <w:spacing w:after="0"/>
        <w:jc w:val="left"/>
        <w:rPr>
          <w:rFonts w:ascii="宋体" w:hAnsi="宋体" w:cs="宋体" w:eastAsia="宋体" w:hint="default"/>
          <w:sz w:val="21"/>
          <w:szCs w:val="21"/>
        </w:rPr>
        <w:sectPr>
          <w:footerReference w:type="even" r:id="rId86"/>
          <w:footerReference w:type="default" r:id="rId87"/>
          <w:pgSz w:w="12240" w:h="15840"/>
          <w:pgMar w:footer="956" w:header="850" w:top="1360" w:bottom="1140" w:left="1520" w:right="0"/>
        </w:sectPr>
      </w:pPr>
    </w:p>
    <w:p>
      <w:pPr>
        <w:spacing w:line="321" w:lineRule="auto" w:before="12"/>
        <w:ind w:left="144" w:right="1697" w:firstLine="419"/>
        <w:jc w:val="left"/>
        <w:rPr>
          <w:rFonts w:ascii="宋体" w:hAnsi="宋体" w:cs="宋体" w:eastAsia="宋体" w:hint="default"/>
          <w:sz w:val="21"/>
          <w:szCs w:val="21"/>
        </w:rPr>
      </w:pPr>
      <w:r>
        <w:rPr/>
        <w:pict>
          <v:group style="position:absolute;margin-left:80.783997pt;margin-top:1.703691pt;width:450.6pt;height:.1pt;mso-position-horizontal-relative:page;mso-position-vertical-relative:paragraph;z-index:-862408" coordorigin="1616,34" coordsize="9012,2">
            <v:shape style="position:absolute;left:1616;top:34;width:9012;height:2" coordorigin="1616,34" coordsize="9012,0" path="m1616,34l10627,34e" filled="false" stroked="true" strokeweight=".71999pt" strokecolor="#000000">
              <v:path arrowok="t"/>
            </v:shape>
            <w10:wrap type="none"/>
          </v:group>
        </w:pict>
      </w:r>
      <w:r>
        <w:rPr>
          <w:rFonts w:ascii="宋体" w:hAnsi="宋体" w:cs="宋体" w:eastAsia="宋体" w:hint="default"/>
          <w:spacing w:val="-2"/>
          <w:sz w:val="21"/>
          <w:szCs w:val="21"/>
        </w:rPr>
        <w:t>短期借款本期增加</w:t>
      </w:r>
      <w:r>
        <w:rPr>
          <w:rFonts w:ascii="宋体" w:hAnsi="宋体" w:cs="宋体" w:eastAsia="宋体" w:hint="default"/>
          <w:spacing w:val="-2"/>
          <w:sz w:val="21"/>
          <w:szCs w:val="21"/>
        </w:rPr>
        <w:t>63,900,000.00</w:t>
      </w:r>
      <w:r>
        <w:rPr>
          <w:rFonts w:ascii="宋体" w:hAnsi="宋体" w:cs="宋体" w:eastAsia="宋体" w:hint="default"/>
          <w:spacing w:val="-2"/>
          <w:sz w:val="21"/>
          <w:szCs w:val="21"/>
        </w:rPr>
        <w:t>元，增加的比例为</w:t>
      </w:r>
      <w:r>
        <w:rPr>
          <w:rFonts w:ascii="宋体" w:hAnsi="宋体" w:cs="宋体" w:eastAsia="宋体" w:hint="default"/>
          <w:spacing w:val="-2"/>
          <w:sz w:val="21"/>
          <w:szCs w:val="21"/>
        </w:rPr>
        <w:t>45.64%</w:t>
      </w:r>
      <w:r>
        <w:rPr>
          <w:rFonts w:ascii="宋体" w:hAnsi="宋体" w:cs="宋体" w:eastAsia="宋体" w:hint="default"/>
          <w:spacing w:val="-2"/>
          <w:sz w:val="21"/>
          <w:szCs w:val="21"/>
        </w:rPr>
        <w:t>，增加的原因主要系公司为经营借</w:t>
      </w:r>
      <w:r>
        <w:rPr>
          <w:rFonts w:ascii="宋体" w:hAnsi="宋体" w:cs="宋体" w:eastAsia="宋体" w:hint="default"/>
          <w:w w:val="100"/>
          <w:sz w:val="21"/>
          <w:szCs w:val="21"/>
        </w:rPr>
        <w:t> </w:t>
      </w:r>
      <w:r>
        <w:rPr>
          <w:rFonts w:ascii="宋体" w:hAnsi="宋体" w:cs="宋体" w:eastAsia="宋体" w:hint="default"/>
          <w:sz w:val="21"/>
          <w:szCs w:val="21"/>
        </w:rPr>
        <w:t>入流动资金所致。</w:t>
      </w:r>
    </w:p>
    <w:p>
      <w:pPr>
        <w:spacing w:before="83"/>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104"/>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）应付票据组成情况如下：</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781"/>
        <w:gridCol w:w="2994"/>
        <w:gridCol w:w="3202"/>
      </w:tblGrid>
      <w:tr>
        <w:trPr>
          <w:trHeight w:val="322" w:hRule="exact"/>
        </w:trPr>
        <w:tc>
          <w:tcPr>
            <w:tcW w:w="3781" w:type="dxa"/>
            <w:tcBorders>
              <w:top w:val="single" w:sz="12" w:space="0" w:color="000000"/>
              <w:left w:val="single" w:sz="4" w:space="0" w:color="000000"/>
              <w:bottom w:val="single" w:sz="6" w:space="0" w:color="000000"/>
              <w:right w:val="single" w:sz="4" w:space="0" w:color="000000"/>
            </w:tcBorders>
          </w:tcPr>
          <w:p>
            <w:pPr>
              <w:pStyle w:val="TableParagraph"/>
              <w:tabs>
                <w:tab w:pos="422" w:val="left" w:leader="none"/>
              </w:tabs>
              <w:spacing w:line="270" w:lineRule="exact"/>
              <w:ind w:right="1567"/>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994"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2"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781"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94"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68,805,991.00</w:t>
            </w:r>
          </w:p>
        </w:tc>
        <w:tc>
          <w:tcPr>
            <w:tcW w:w="3202"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150,253,462.00</w:t>
            </w:r>
          </w:p>
        </w:tc>
      </w:tr>
      <w:tr>
        <w:trPr>
          <w:trHeight w:val="317" w:hRule="exact"/>
        </w:trPr>
        <w:tc>
          <w:tcPr>
            <w:tcW w:w="3781"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15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9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68,805,991.00</w:t>
            </w:r>
          </w:p>
        </w:tc>
        <w:tc>
          <w:tcPr>
            <w:tcW w:w="320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150,253,462.00</w:t>
            </w:r>
          </w:p>
        </w:tc>
      </w:tr>
    </w:tbl>
    <w:p>
      <w:pPr>
        <w:spacing w:before="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）应付票据期末余额中，无应付持有本公司</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z w:val="21"/>
          <w:szCs w:val="21"/>
        </w:rPr>
        <w:t>5%</w:t>
      </w:r>
      <w:r>
        <w:rPr>
          <w:rFonts w:ascii="宋体" w:hAnsi="宋体" w:cs="宋体" w:eastAsia="宋体" w:hint="default"/>
          <w:sz w:val="21"/>
          <w:szCs w:val="21"/>
        </w:rPr>
        <w:t>）以上股份的股东单位的款项。</w:t>
      </w:r>
    </w:p>
    <w:p>
      <w:pPr>
        <w:spacing w:before="154"/>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）应付票据的说明：</w:t>
      </w:r>
    </w:p>
    <w:p>
      <w:pPr>
        <w:spacing w:line="321" w:lineRule="auto" w:before="152"/>
        <w:ind w:left="144" w:right="1557" w:firstLine="419"/>
        <w:jc w:val="left"/>
        <w:rPr>
          <w:rFonts w:ascii="宋体" w:hAnsi="宋体" w:cs="宋体" w:eastAsia="宋体" w:hint="default"/>
          <w:sz w:val="21"/>
          <w:szCs w:val="21"/>
        </w:rPr>
      </w:pPr>
      <w:r>
        <w:rPr>
          <w:rFonts w:ascii="宋体" w:hAnsi="宋体" w:cs="宋体" w:eastAsia="宋体" w:hint="default"/>
          <w:sz w:val="21"/>
          <w:szCs w:val="21"/>
        </w:rPr>
        <w:t>应付票据本期减少</w:t>
      </w:r>
      <w:r>
        <w:rPr>
          <w:rFonts w:ascii="宋体" w:hAnsi="宋体" w:cs="宋体" w:eastAsia="宋体" w:hint="default"/>
          <w:sz w:val="21"/>
          <w:szCs w:val="21"/>
        </w:rPr>
        <w:t>81,447,471.00</w:t>
      </w:r>
      <w:r>
        <w:rPr>
          <w:rFonts w:ascii="宋体" w:hAnsi="宋体" w:cs="宋体" w:eastAsia="宋体" w:hint="default"/>
          <w:spacing w:val="23"/>
          <w:sz w:val="21"/>
          <w:szCs w:val="21"/>
        </w:rPr>
        <w:t> </w:t>
      </w:r>
      <w:r>
        <w:rPr>
          <w:rFonts w:ascii="宋体" w:hAnsi="宋体" w:cs="宋体" w:eastAsia="宋体" w:hint="default"/>
          <w:spacing w:val="-4"/>
          <w:sz w:val="21"/>
          <w:szCs w:val="21"/>
        </w:rPr>
        <w:t>元，减少的比例为</w:t>
      </w:r>
      <w:r>
        <w:rPr>
          <w:rFonts w:ascii="宋体" w:hAnsi="宋体" w:cs="宋体" w:eastAsia="宋体" w:hint="default"/>
          <w:spacing w:val="-4"/>
          <w:sz w:val="21"/>
          <w:szCs w:val="21"/>
        </w:rPr>
        <w:t>54.21%</w:t>
      </w:r>
      <w:r>
        <w:rPr>
          <w:rFonts w:ascii="宋体" w:hAnsi="宋体" w:cs="宋体" w:eastAsia="宋体" w:hint="default"/>
          <w:spacing w:val="-4"/>
          <w:sz w:val="21"/>
          <w:szCs w:val="21"/>
        </w:rPr>
        <w:t>，减少的主要原因系公司本期以银</w:t>
      </w:r>
      <w:r>
        <w:rPr>
          <w:rFonts w:ascii="宋体" w:hAnsi="宋体" w:cs="宋体" w:eastAsia="宋体" w:hint="default"/>
          <w:w w:val="100"/>
          <w:sz w:val="21"/>
          <w:szCs w:val="21"/>
        </w:rPr>
        <w:t> </w:t>
      </w:r>
      <w:r>
        <w:rPr>
          <w:rFonts w:ascii="宋体" w:hAnsi="宋体" w:cs="宋体" w:eastAsia="宋体" w:hint="default"/>
          <w:sz w:val="21"/>
          <w:szCs w:val="21"/>
        </w:rPr>
        <w:t>行承兑汇票方式结算的采购货款减少所致。</w:t>
      </w:r>
    </w:p>
    <w:p>
      <w:pPr>
        <w:spacing w:before="143"/>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04"/>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）应付账款账龄分析如下：</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101"/>
        <w:gridCol w:w="2415"/>
        <w:gridCol w:w="1418"/>
        <w:gridCol w:w="2468"/>
        <w:gridCol w:w="1575"/>
      </w:tblGrid>
      <w:tr>
        <w:trPr>
          <w:trHeight w:val="319" w:hRule="exact"/>
        </w:trPr>
        <w:tc>
          <w:tcPr>
            <w:tcW w:w="2101" w:type="dxa"/>
            <w:vMerge w:val="restart"/>
            <w:tcBorders>
              <w:top w:val="single" w:sz="12" w:space="0" w:color="000000"/>
              <w:left w:val="single" w:sz="4" w:space="0" w:color="000000"/>
              <w:right w:val="single" w:sz="4" w:space="0" w:color="000000"/>
            </w:tcBorders>
          </w:tcPr>
          <w:p>
            <w:pPr>
              <w:pStyle w:val="TableParagraph"/>
              <w:tabs>
                <w:tab w:pos="422" w:val="left" w:leader="none"/>
              </w:tabs>
              <w:spacing w:line="240" w:lineRule="auto" w:before="129"/>
              <w:ind w:right="29"/>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8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2101" w:type="dxa"/>
            <w:vMerge/>
            <w:tcBorders>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1449" w:val="left" w:leader="none"/>
              </w:tabs>
              <w:spacing w:line="248" w:lineRule="exact"/>
              <w:ind w:left="92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0"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2"/>
                <w:sz w:val="21"/>
                <w:szCs w:val="21"/>
              </w:rPr>
              <w:t> </w:t>
            </w:r>
            <w:r>
              <w:rPr>
                <w:rFonts w:ascii="宋体" w:hAnsi="宋体" w:cs="宋体" w:eastAsia="宋体" w:hint="default"/>
                <w:sz w:val="21"/>
                <w:szCs w:val="21"/>
              </w:rPr>
              <w:t>例</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1476" w:val="left" w:leader="none"/>
              </w:tabs>
              <w:spacing w:line="248" w:lineRule="exact"/>
              <w:ind w:left="95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6"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r>
      <w:tr>
        <w:trPr>
          <w:trHeight w:val="311" w:hRule="exact"/>
        </w:trPr>
        <w:tc>
          <w:tcPr>
            <w:tcW w:w="2101"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15"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148,198,108.99</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87.30%</w:t>
            </w:r>
          </w:p>
        </w:tc>
        <w:tc>
          <w:tcPr>
            <w:tcW w:w="2468"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98,628,793.82</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82.84%</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9,547,401.47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5.62%</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14,397,731.37</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12.09%</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7,383,670.18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4.35%</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3,575,347.32</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3.00%</w:t>
            </w:r>
          </w:p>
        </w:tc>
      </w:tr>
      <w:tr>
        <w:trPr>
          <w:trHeight w:val="301" w:hRule="exact"/>
        </w:trPr>
        <w:tc>
          <w:tcPr>
            <w:tcW w:w="2101"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1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pacing w:val="-1"/>
                <w:sz w:val="21"/>
              </w:rPr>
              <w:t>4,628,028.30</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2.73%</w:t>
            </w:r>
          </w:p>
        </w:tc>
        <w:tc>
          <w:tcPr>
            <w:tcW w:w="246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pacing w:val="-1"/>
                <w:sz w:val="21"/>
              </w:rPr>
              <w:t>2,451,776.87</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2.07%</w:t>
            </w:r>
          </w:p>
        </w:tc>
      </w:tr>
      <w:tr>
        <w:trPr>
          <w:trHeight w:val="317" w:hRule="exact"/>
        </w:trPr>
        <w:tc>
          <w:tcPr>
            <w:tcW w:w="2101"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2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169,757,208.94</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c>
          <w:tcPr>
            <w:tcW w:w="24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119,053,649.38</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r>
    </w:tbl>
    <w:p>
      <w:pPr>
        <w:spacing w:line="262" w:lineRule="exact" w:before="0"/>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）应付账款期末余额中，无应付持有本公司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）以上股份的股东单位的款项。</w:t>
      </w:r>
    </w:p>
    <w:p>
      <w:pPr>
        <w:spacing w:line="324" w:lineRule="auto" w:before="114"/>
        <w:ind w:left="564" w:right="15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）账龄超过一年的大额应付账款情况的说明：</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公司应付账款期末余额中，账龄超过一年的应付账款为</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21,559,099.95</w:t>
      </w:r>
      <w:r>
        <w:rPr>
          <w:rFonts w:ascii="宋体" w:hAnsi="宋体" w:cs="宋体" w:eastAsia="宋体" w:hint="default"/>
          <w:spacing w:val="-61"/>
          <w:w w:val="100"/>
          <w:sz w:val="21"/>
          <w:szCs w:val="21"/>
        </w:rPr>
        <w:t> </w:t>
      </w:r>
      <w:r>
        <w:rPr>
          <w:rFonts w:ascii="宋体" w:hAnsi="宋体" w:cs="宋体" w:eastAsia="宋体" w:hint="default"/>
          <w:spacing w:val="-16"/>
          <w:w w:val="100"/>
          <w:sz w:val="21"/>
          <w:szCs w:val="21"/>
        </w:rPr>
        <w:t>元，所占比例为</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12.70%</w:t>
      </w:r>
      <w:r>
        <w:rPr>
          <w:rFonts w:ascii="宋体" w:hAnsi="宋体" w:cs="宋体" w:eastAsia="宋体" w:hint="default"/>
          <w:spacing w:val="-1"/>
          <w:w w:val="100"/>
          <w:sz w:val="21"/>
          <w:szCs w:val="21"/>
        </w:rPr>
        <w:t>，</w:t>
      </w:r>
    </w:p>
    <w:p>
      <w:pPr>
        <w:spacing w:line="255" w:lineRule="exact" w:before="0"/>
        <w:ind w:left="144" w:right="1697" w:firstLine="0"/>
        <w:jc w:val="left"/>
        <w:rPr>
          <w:rFonts w:ascii="宋体" w:hAnsi="宋体" w:cs="宋体" w:eastAsia="宋体" w:hint="default"/>
          <w:sz w:val="21"/>
          <w:szCs w:val="21"/>
        </w:rPr>
      </w:pPr>
      <w:r>
        <w:rPr>
          <w:rFonts w:ascii="宋体" w:hAnsi="宋体" w:cs="宋体" w:eastAsia="宋体" w:hint="default"/>
          <w:sz w:val="21"/>
          <w:szCs w:val="21"/>
        </w:rPr>
        <w:t>账龄超过一年的大额应付账款如下：</w:t>
      </w:r>
    </w:p>
    <w:p>
      <w:pPr>
        <w:spacing w:line="240" w:lineRule="auto" w:before="7"/>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4136"/>
        <w:gridCol w:w="1632"/>
        <w:gridCol w:w="1630"/>
        <w:gridCol w:w="1652"/>
      </w:tblGrid>
      <w:tr>
        <w:trPr>
          <w:trHeight w:val="319" w:hRule="exact"/>
        </w:trPr>
        <w:tc>
          <w:tcPr>
            <w:tcW w:w="413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3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5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621" w:hRule="exact"/>
        </w:trPr>
        <w:tc>
          <w:tcPr>
            <w:tcW w:w="413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74" w:right="0"/>
              <w:jc w:val="left"/>
              <w:rPr>
                <w:rFonts w:ascii="宋体" w:hAnsi="宋体" w:cs="宋体" w:eastAsia="宋体" w:hint="default"/>
                <w:sz w:val="21"/>
                <w:szCs w:val="21"/>
              </w:rPr>
            </w:pPr>
            <w:r>
              <w:rPr>
                <w:rFonts w:ascii="宋体" w:hAnsi="宋体" w:cs="宋体" w:eastAsia="宋体" w:hint="default"/>
                <w:sz w:val="21"/>
                <w:szCs w:val="21"/>
              </w:rPr>
              <w:t>北京中电广通科技有限公司</w:t>
            </w:r>
          </w:p>
        </w:tc>
        <w:tc>
          <w:tcPr>
            <w:tcW w:w="1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1,387,292.99</w:t>
            </w:r>
          </w:p>
        </w:tc>
        <w:tc>
          <w:tcPr>
            <w:tcW w:w="1630"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应付购货款</w:t>
            </w:r>
          </w:p>
        </w:tc>
      </w:tr>
      <w:tr>
        <w:trPr>
          <w:trHeight w:val="589" w:hRule="exact"/>
        </w:trPr>
        <w:tc>
          <w:tcPr>
            <w:tcW w:w="4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74" w:right="0"/>
              <w:jc w:val="left"/>
              <w:rPr>
                <w:rFonts w:ascii="宋体" w:hAnsi="宋体" w:cs="宋体" w:eastAsia="宋体" w:hint="default"/>
                <w:sz w:val="21"/>
                <w:szCs w:val="21"/>
              </w:rPr>
            </w:pPr>
            <w:r>
              <w:rPr>
                <w:rFonts w:ascii="宋体" w:hAnsi="宋体" w:cs="宋体" w:eastAsia="宋体" w:hint="default"/>
                <w:sz w:val="21"/>
                <w:szCs w:val="21"/>
              </w:rPr>
              <w:t>深圳市金宏威技术股份有限公司</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2,106,801.20</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应付购货款</w:t>
            </w:r>
          </w:p>
        </w:tc>
      </w:tr>
      <w:tr>
        <w:trPr>
          <w:trHeight w:val="311" w:hRule="exact"/>
        </w:trPr>
        <w:tc>
          <w:tcPr>
            <w:tcW w:w="4136" w:type="dxa"/>
            <w:tcBorders>
              <w:top w:val="nil" w:sz="6" w:space="0" w:color="auto"/>
              <w:left w:val="single" w:sz="4" w:space="0" w:color="000000"/>
              <w:bottom w:val="single" w:sz="12" w:space="0" w:color="000000"/>
              <w:right w:val="single" w:sz="4" w:space="0" w:color="000000"/>
            </w:tcBorders>
          </w:tcPr>
          <w:p>
            <w:pPr>
              <w:pStyle w:val="TableParagraph"/>
              <w:spacing w:line="245" w:lineRule="exact"/>
              <w:ind w:left="74" w:right="0"/>
              <w:jc w:val="left"/>
              <w:rPr>
                <w:rFonts w:ascii="宋体" w:hAnsi="宋体" w:cs="宋体" w:eastAsia="宋体" w:hint="default"/>
                <w:sz w:val="21"/>
                <w:szCs w:val="21"/>
              </w:rPr>
            </w:pPr>
            <w:r>
              <w:rPr>
                <w:rFonts w:ascii="宋体" w:hAnsi="宋体" w:cs="宋体" w:eastAsia="宋体" w:hint="default"/>
                <w:sz w:val="21"/>
                <w:szCs w:val="21"/>
              </w:rPr>
              <w:t>淮南市矿用电子技术研究所</w:t>
            </w:r>
          </w:p>
        </w:tc>
        <w:tc>
          <w:tcPr>
            <w:tcW w:w="1632" w:type="dxa"/>
            <w:tcBorders>
              <w:top w:val="nil" w:sz="6" w:space="0" w:color="auto"/>
              <w:left w:val="single" w:sz="4" w:space="0" w:color="000000"/>
              <w:bottom w:val="single" w:sz="12"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1,172,999.99</w:t>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652" w:type="dxa"/>
            <w:tcBorders>
              <w:top w:val="nil" w:sz="6" w:space="0" w:color="auto"/>
              <w:left w:val="single" w:sz="4" w:space="0" w:color="000000"/>
              <w:bottom w:val="single" w:sz="12"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应付购货款</w:t>
            </w:r>
          </w:p>
        </w:tc>
      </w:tr>
    </w:tbl>
    <w:p>
      <w:pPr>
        <w:spacing w:before="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）应付账款期末余额前五名单位情况：</w:t>
      </w:r>
    </w:p>
    <w:p>
      <w:pPr>
        <w:spacing w:line="240" w:lineRule="auto" w:before="8"/>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687"/>
        <w:gridCol w:w="1450"/>
        <w:gridCol w:w="1580"/>
        <w:gridCol w:w="1054"/>
        <w:gridCol w:w="1280"/>
      </w:tblGrid>
      <w:tr>
        <w:trPr>
          <w:trHeight w:val="619" w:hRule="exact"/>
        </w:trPr>
        <w:tc>
          <w:tcPr>
            <w:tcW w:w="368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80"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107" w:right="106"/>
              <w:jc w:val="left"/>
              <w:rPr>
                <w:rFonts w:ascii="宋体" w:hAnsi="宋体" w:cs="宋体" w:eastAsia="宋体" w:hint="default"/>
                <w:sz w:val="21"/>
                <w:szCs w:val="21"/>
              </w:rPr>
            </w:pPr>
            <w:r>
              <w:rPr>
                <w:rFonts w:ascii="宋体" w:hAnsi="宋体" w:cs="宋体" w:eastAsia="宋体" w:hint="default"/>
                <w:sz w:val="21"/>
                <w:szCs w:val="21"/>
              </w:rPr>
              <w:t>占应付账款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总额的比例</w:t>
            </w:r>
          </w:p>
        </w:tc>
      </w:tr>
      <w:tr>
        <w:trPr>
          <w:trHeight w:val="307" w:hRule="exact"/>
        </w:trPr>
        <w:tc>
          <w:tcPr>
            <w:tcW w:w="3687"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74" w:right="0"/>
              <w:jc w:val="left"/>
              <w:rPr>
                <w:rFonts w:ascii="宋体" w:hAnsi="宋体" w:cs="宋体" w:eastAsia="宋体" w:hint="default"/>
                <w:sz w:val="21"/>
                <w:szCs w:val="21"/>
              </w:rPr>
            </w:pPr>
            <w:r>
              <w:rPr>
                <w:rFonts w:ascii="宋体" w:hAnsi="宋体" w:cs="宋体" w:eastAsia="宋体" w:hint="default"/>
                <w:sz w:val="21"/>
                <w:szCs w:val="21"/>
              </w:rPr>
              <w:t>神州数码</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80"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
                <w:sz w:val="21"/>
              </w:rPr>
              <w:t>31,042,589.99</w:t>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80"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sz w:val="21"/>
              </w:rPr>
              <w:t>18.29%</w:t>
            </w:r>
          </w:p>
        </w:tc>
      </w:tr>
      <w:tr>
        <w:trPr>
          <w:trHeight w:val="300" w:hRule="exact"/>
        </w:trPr>
        <w:tc>
          <w:tcPr>
            <w:tcW w:w="3687"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74" w:right="0"/>
              <w:jc w:val="left"/>
              <w:rPr>
                <w:rFonts w:ascii="宋体" w:hAnsi="宋体" w:cs="宋体" w:eastAsia="宋体" w:hint="default"/>
                <w:sz w:val="21"/>
                <w:szCs w:val="21"/>
              </w:rPr>
            </w:pPr>
            <w:r>
              <w:rPr>
                <w:rFonts w:ascii="宋体" w:hAnsi="宋体" w:cs="宋体" w:eastAsia="宋体" w:hint="default"/>
                <w:sz w:val="21"/>
                <w:szCs w:val="21"/>
              </w:rPr>
              <w:t>捷德太平洋有限公司</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13,703,127.44</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sz w:val="21"/>
              </w:rPr>
              <w:t>8.07%</w:t>
            </w:r>
          </w:p>
        </w:tc>
      </w:tr>
      <w:tr>
        <w:trPr>
          <w:trHeight w:val="300" w:hRule="exact"/>
        </w:trPr>
        <w:tc>
          <w:tcPr>
            <w:tcW w:w="3687"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74" w:right="0"/>
              <w:jc w:val="left"/>
              <w:rPr>
                <w:rFonts w:ascii="宋体" w:hAnsi="宋体" w:cs="宋体" w:eastAsia="宋体" w:hint="default"/>
                <w:sz w:val="21"/>
                <w:szCs w:val="21"/>
              </w:rPr>
            </w:pPr>
            <w:r>
              <w:rPr>
                <w:rFonts w:ascii="宋体" w:hAnsi="宋体" w:cs="宋体" w:eastAsia="宋体" w:hint="default"/>
                <w:spacing w:val="-6"/>
                <w:sz w:val="21"/>
                <w:szCs w:val="21"/>
              </w:rPr>
              <w:t>中铁信弘远（北京）软件科技有限公司</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10,000,000.00</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sz w:val="21"/>
              </w:rPr>
              <w:t>5.89%</w:t>
            </w:r>
          </w:p>
        </w:tc>
      </w:tr>
      <w:tr>
        <w:trPr>
          <w:trHeight w:val="300" w:hRule="exact"/>
        </w:trPr>
        <w:tc>
          <w:tcPr>
            <w:tcW w:w="3687"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74" w:right="0"/>
              <w:jc w:val="left"/>
              <w:rPr>
                <w:rFonts w:ascii="宋体" w:hAnsi="宋体" w:cs="宋体" w:eastAsia="宋体" w:hint="default"/>
                <w:sz w:val="21"/>
                <w:szCs w:val="21"/>
              </w:rPr>
            </w:pPr>
            <w:r>
              <w:rPr>
                <w:rFonts w:ascii="宋体" w:hAnsi="宋体" w:cs="宋体" w:eastAsia="宋体" w:hint="default"/>
                <w:sz w:val="21"/>
                <w:szCs w:val="21"/>
              </w:rPr>
              <w:t>商银融通北京投资咨询有限公司</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5,530,650.00</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sz w:val="21"/>
              </w:rPr>
              <w:t>3.26%</w:t>
            </w:r>
          </w:p>
        </w:tc>
      </w:tr>
      <w:tr>
        <w:trPr>
          <w:trHeight w:val="300" w:hRule="exact"/>
        </w:trPr>
        <w:tc>
          <w:tcPr>
            <w:tcW w:w="3687"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74" w:right="0"/>
              <w:jc w:val="left"/>
              <w:rPr>
                <w:rFonts w:ascii="宋体" w:hAnsi="宋体" w:cs="宋体" w:eastAsia="宋体" w:hint="default"/>
                <w:sz w:val="21"/>
                <w:szCs w:val="21"/>
              </w:rPr>
            </w:pPr>
            <w:r>
              <w:rPr>
                <w:rFonts w:ascii="宋体" w:hAnsi="宋体" w:cs="宋体" w:eastAsia="宋体" w:hint="default"/>
                <w:sz w:val="21"/>
                <w:szCs w:val="21"/>
              </w:rPr>
              <w:t>福建星网锐捷网络有限公司</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4,880,777.47</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sz w:val="21"/>
              </w:rPr>
              <w:t>2.88%</w:t>
            </w:r>
          </w:p>
        </w:tc>
      </w:tr>
    </w:tbl>
    <w:p>
      <w:pPr>
        <w:spacing w:after="0" w:line="248" w:lineRule="exact"/>
        <w:jc w:val="left"/>
        <w:rPr>
          <w:rFonts w:ascii="宋体" w:hAnsi="宋体" w:cs="宋体" w:eastAsia="宋体" w:hint="default"/>
          <w:sz w:val="21"/>
          <w:szCs w:val="21"/>
        </w:rPr>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87"/>
        <w:gridCol w:w="1450"/>
        <w:gridCol w:w="1580"/>
        <w:gridCol w:w="1054"/>
        <w:gridCol w:w="1280"/>
      </w:tblGrid>
      <w:tr>
        <w:trPr>
          <w:trHeight w:val="328" w:hRule="exact"/>
        </w:trPr>
        <w:tc>
          <w:tcPr>
            <w:tcW w:w="3687" w:type="dxa"/>
            <w:tcBorders>
              <w:top w:val="single" w:sz="12"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0" w:type="dxa"/>
            <w:tcBorders>
              <w:top w:val="single" w:sz="12" w:space="0" w:color="000000"/>
              <w:left w:val="single" w:sz="4" w:space="0" w:color="000000"/>
              <w:bottom w:val="single" w:sz="12" w:space="0" w:color="000000"/>
              <w:right w:val="single" w:sz="4" w:space="0" w:color="000000"/>
            </w:tcBorders>
          </w:tcPr>
          <w:p>
            <w:pPr/>
          </w:p>
        </w:tc>
        <w:tc>
          <w:tcPr>
            <w:tcW w:w="1580" w:type="dxa"/>
            <w:tcBorders>
              <w:top w:val="single" w:sz="12" w:space="0" w:color="000000"/>
              <w:left w:val="single" w:sz="4" w:space="0" w:color="000000"/>
              <w:bottom w:val="single" w:sz="12" w:space="0" w:color="000000"/>
              <w:right w:val="single" w:sz="4" w:space="0" w:color="000000"/>
            </w:tcBorders>
          </w:tcPr>
          <w:p>
            <w:pPr>
              <w:pStyle w:val="TableParagraph"/>
              <w:spacing w:line="248" w:lineRule="exact"/>
              <w:ind w:left="196" w:right="0"/>
              <w:jc w:val="left"/>
              <w:rPr>
                <w:rFonts w:ascii="宋体" w:hAnsi="宋体" w:cs="宋体" w:eastAsia="宋体" w:hint="default"/>
                <w:sz w:val="21"/>
                <w:szCs w:val="21"/>
              </w:rPr>
            </w:pPr>
            <w:r>
              <w:rPr>
                <w:rFonts w:ascii="宋体"/>
                <w:sz w:val="21"/>
              </w:rPr>
              <w:t>65,157,144.90</w:t>
            </w:r>
          </w:p>
        </w:tc>
        <w:tc>
          <w:tcPr>
            <w:tcW w:w="1054" w:type="dxa"/>
            <w:tcBorders>
              <w:top w:val="single" w:sz="12" w:space="0" w:color="000000"/>
              <w:left w:val="single" w:sz="4" w:space="0" w:color="000000"/>
              <w:bottom w:val="single" w:sz="12" w:space="0" w:color="000000"/>
              <w:right w:val="single" w:sz="4" w:space="0" w:color="000000"/>
            </w:tcBorders>
          </w:tcPr>
          <w:p>
            <w:pPr/>
          </w:p>
        </w:tc>
        <w:tc>
          <w:tcPr>
            <w:tcW w:w="1280" w:type="dxa"/>
            <w:tcBorders>
              <w:top w:val="single" w:sz="12" w:space="0" w:color="000000"/>
              <w:left w:val="single" w:sz="4" w:space="0" w:color="000000"/>
              <w:bottom w:val="single" w:sz="12" w:space="0" w:color="000000"/>
              <w:right w:val="single" w:sz="4"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sz w:val="21"/>
              </w:rPr>
              <w:t>38.39%</w:t>
            </w:r>
          </w:p>
        </w:tc>
      </w:tr>
    </w:tbl>
    <w:p>
      <w:pPr>
        <w:spacing w:line="262" w:lineRule="exact" w:before="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）应付账款说明：</w:t>
      </w:r>
    </w:p>
    <w:p>
      <w:pPr>
        <w:spacing w:line="288" w:lineRule="auto" w:before="73"/>
        <w:ind w:left="124" w:right="1714" w:firstLine="419"/>
        <w:jc w:val="left"/>
        <w:rPr>
          <w:rFonts w:ascii="宋体" w:hAnsi="宋体" w:cs="宋体" w:eastAsia="宋体" w:hint="default"/>
          <w:sz w:val="21"/>
          <w:szCs w:val="21"/>
        </w:rPr>
      </w:pPr>
      <w:r>
        <w:rPr>
          <w:rFonts w:ascii="宋体" w:hAnsi="宋体" w:cs="宋体" w:eastAsia="宋体" w:hint="default"/>
          <w:sz w:val="21"/>
          <w:szCs w:val="21"/>
        </w:rPr>
        <w:t>应付账款本期增加</w:t>
      </w:r>
      <w:r>
        <w:rPr>
          <w:rFonts w:ascii="宋体" w:hAnsi="宋体" w:cs="宋体" w:eastAsia="宋体" w:hint="default"/>
          <w:spacing w:val="-55"/>
          <w:sz w:val="21"/>
          <w:szCs w:val="21"/>
        </w:rPr>
        <w:t> </w:t>
      </w:r>
      <w:r>
        <w:rPr>
          <w:rFonts w:ascii="宋体" w:hAnsi="宋体" w:cs="宋体" w:eastAsia="宋体" w:hint="default"/>
          <w:sz w:val="21"/>
          <w:szCs w:val="21"/>
        </w:rPr>
        <w:t>50,703,559.56</w:t>
      </w:r>
      <w:r>
        <w:rPr>
          <w:rFonts w:ascii="宋体" w:hAnsi="宋体" w:cs="宋体" w:eastAsia="宋体" w:hint="default"/>
          <w:spacing w:val="-56"/>
          <w:sz w:val="21"/>
          <w:szCs w:val="21"/>
        </w:rPr>
        <w:t> </w:t>
      </w:r>
      <w:r>
        <w:rPr>
          <w:rFonts w:ascii="宋体" w:hAnsi="宋体" w:cs="宋体" w:eastAsia="宋体" w:hint="default"/>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42.59%</w:t>
      </w:r>
      <w:r>
        <w:rPr>
          <w:rFonts w:ascii="宋体" w:hAnsi="宋体" w:cs="宋体" w:eastAsia="宋体" w:hint="default"/>
          <w:sz w:val="21"/>
          <w:szCs w:val="21"/>
        </w:rPr>
        <w:t>，增加的主要原因系公司本期采</w:t>
      </w:r>
      <w:r>
        <w:rPr>
          <w:rFonts w:ascii="宋体" w:hAnsi="宋体" w:cs="宋体" w:eastAsia="宋体" w:hint="default"/>
          <w:w w:val="100"/>
          <w:sz w:val="21"/>
          <w:szCs w:val="21"/>
        </w:rPr>
        <w:t> </w:t>
      </w:r>
      <w:r>
        <w:rPr>
          <w:rFonts w:ascii="宋体" w:hAnsi="宋体" w:cs="宋体" w:eastAsia="宋体" w:hint="default"/>
          <w:sz w:val="21"/>
          <w:szCs w:val="21"/>
        </w:rPr>
        <w:t>购量增加，应付采购货款相应增加，以及合并新增子公司所致。</w:t>
      </w:r>
    </w:p>
    <w:p>
      <w:pPr>
        <w:spacing w:before="129"/>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0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）预收款项账龄分析如下：</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101"/>
        <w:gridCol w:w="2415"/>
        <w:gridCol w:w="1418"/>
        <w:gridCol w:w="2468"/>
        <w:gridCol w:w="1575"/>
      </w:tblGrid>
      <w:tr>
        <w:trPr>
          <w:trHeight w:val="322" w:hRule="exact"/>
        </w:trPr>
        <w:tc>
          <w:tcPr>
            <w:tcW w:w="2101" w:type="dxa"/>
            <w:vMerge w:val="restart"/>
            <w:tcBorders>
              <w:top w:val="single" w:sz="12" w:space="0" w:color="000000"/>
              <w:left w:val="single" w:sz="4" w:space="0" w:color="000000"/>
              <w:right w:val="single" w:sz="4" w:space="0" w:color="000000"/>
            </w:tcBorders>
          </w:tcPr>
          <w:p>
            <w:pPr>
              <w:pStyle w:val="TableParagraph"/>
              <w:spacing w:line="240" w:lineRule="auto" w:before="129"/>
              <w:ind w:right="29"/>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38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2101" w:type="dxa"/>
            <w:vMerge/>
            <w:tcBorders>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1449" w:val="left" w:leader="none"/>
              </w:tabs>
              <w:spacing w:line="248" w:lineRule="exact"/>
              <w:ind w:left="92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0"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2"/>
                <w:sz w:val="21"/>
                <w:szCs w:val="21"/>
              </w:rPr>
              <w:t> </w:t>
            </w:r>
            <w:r>
              <w:rPr>
                <w:rFonts w:ascii="宋体" w:hAnsi="宋体" w:cs="宋体" w:eastAsia="宋体" w:hint="default"/>
                <w:sz w:val="21"/>
                <w:szCs w:val="21"/>
              </w:rPr>
              <w:t>例</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1476" w:val="left" w:leader="none"/>
              </w:tabs>
              <w:spacing w:line="248" w:lineRule="exact"/>
              <w:ind w:left="95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6"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r>
      <w:tr>
        <w:trPr>
          <w:trHeight w:val="308" w:hRule="exact"/>
        </w:trPr>
        <w:tc>
          <w:tcPr>
            <w:tcW w:w="2101"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1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435,568,313.12</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76.55%</w:t>
            </w:r>
          </w:p>
        </w:tc>
        <w:tc>
          <w:tcPr>
            <w:tcW w:w="246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215,869,545.87</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64.47%</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70,371,700.17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12.37%</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61,839,239.90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18.47%</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2"/>
              <w:jc w:val="right"/>
              <w:rPr>
                <w:rFonts w:ascii="宋体" w:hAnsi="宋体" w:cs="宋体" w:eastAsia="宋体" w:hint="default"/>
                <w:sz w:val="21"/>
                <w:szCs w:val="21"/>
              </w:rPr>
            </w:pPr>
            <w:r>
              <w:rPr>
                <w:rFonts w:ascii="宋体"/>
                <w:spacing w:val="-1"/>
                <w:sz w:val="21"/>
              </w:rPr>
              <w:t>46,052,908.47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3"/>
              <w:jc w:val="right"/>
              <w:rPr>
                <w:rFonts w:ascii="宋体" w:hAnsi="宋体" w:cs="宋体" w:eastAsia="宋体" w:hint="default"/>
                <w:sz w:val="21"/>
                <w:szCs w:val="21"/>
              </w:rPr>
            </w:pPr>
            <w:r>
              <w:rPr>
                <w:rFonts w:ascii="宋体"/>
                <w:sz w:val="21"/>
              </w:rPr>
              <w:t>8.09%</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1"/>
              <w:jc w:val="right"/>
              <w:rPr>
                <w:rFonts w:ascii="宋体" w:hAnsi="宋体" w:cs="宋体" w:eastAsia="宋体" w:hint="default"/>
                <w:sz w:val="21"/>
                <w:szCs w:val="21"/>
              </w:rPr>
            </w:pPr>
            <w:r>
              <w:rPr>
                <w:rFonts w:ascii="宋体"/>
                <w:spacing w:val="-1"/>
                <w:sz w:val="21"/>
              </w:rPr>
              <w:t>18,023,921.69</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3"/>
              <w:jc w:val="right"/>
              <w:rPr>
                <w:rFonts w:ascii="宋体" w:hAnsi="宋体" w:cs="宋体" w:eastAsia="宋体" w:hint="default"/>
                <w:sz w:val="21"/>
                <w:szCs w:val="21"/>
              </w:rPr>
            </w:pPr>
            <w:r>
              <w:rPr>
                <w:rFonts w:ascii="宋体"/>
                <w:sz w:val="21"/>
              </w:rPr>
              <w:t>5.38%</w:t>
            </w:r>
          </w:p>
        </w:tc>
      </w:tr>
      <w:tr>
        <w:trPr>
          <w:trHeight w:val="302" w:hRule="exact"/>
        </w:trPr>
        <w:tc>
          <w:tcPr>
            <w:tcW w:w="2101"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1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pacing w:val="-1"/>
                <w:sz w:val="21"/>
              </w:rPr>
              <w:t>17,021,685.07</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2.99%</w:t>
            </w:r>
          </w:p>
        </w:tc>
        <w:tc>
          <w:tcPr>
            <w:tcW w:w="246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4"/>
              <w:jc w:val="right"/>
              <w:rPr>
                <w:rFonts w:ascii="宋体" w:hAnsi="宋体" w:cs="宋体" w:eastAsia="宋体" w:hint="default"/>
                <w:sz w:val="21"/>
                <w:szCs w:val="21"/>
              </w:rPr>
            </w:pPr>
            <w:r>
              <w:rPr>
                <w:rFonts w:ascii="宋体"/>
                <w:spacing w:val="-1"/>
                <w:sz w:val="21"/>
              </w:rPr>
              <w:t>39,099,035.71</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11.68%</w:t>
            </w:r>
          </w:p>
        </w:tc>
      </w:tr>
      <w:tr>
        <w:trPr>
          <w:trHeight w:val="319" w:hRule="exact"/>
        </w:trPr>
        <w:tc>
          <w:tcPr>
            <w:tcW w:w="2101"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2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569,014,606.83</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c>
          <w:tcPr>
            <w:tcW w:w="24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334,831,743.17</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r>
    </w:tbl>
    <w:p>
      <w:pPr>
        <w:spacing w:before="6"/>
        <w:ind w:left="544"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）预收款项期末余额中，无预收持有本公司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）以上股份的股东单位的款项。</w:t>
      </w:r>
    </w:p>
    <w:p>
      <w:pPr>
        <w:spacing w:before="92"/>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）预收款项的说明：</w:t>
      </w:r>
    </w:p>
    <w:p>
      <w:pPr>
        <w:spacing w:line="285" w:lineRule="auto" w:before="92"/>
        <w:ind w:left="124" w:right="1635" w:firstLine="419"/>
        <w:jc w:val="left"/>
        <w:rPr>
          <w:rFonts w:ascii="宋体" w:hAnsi="宋体" w:cs="宋体" w:eastAsia="宋体" w:hint="default"/>
          <w:sz w:val="21"/>
          <w:szCs w:val="21"/>
        </w:rPr>
      </w:pPr>
      <w:r>
        <w:rPr>
          <w:rFonts w:ascii="宋体" w:hAnsi="宋体" w:cs="宋体" w:eastAsia="宋体" w:hint="default"/>
          <w:sz w:val="21"/>
          <w:szCs w:val="21"/>
        </w:rPr>
        <w:t>预收款项期末余额中，账龄超过一年的金额为</w:t>
      </w:r>
      <w:r>
        <w:rPr>
          <w:rFonts w:ascii="宋体" w:hAnsi="宋体" w:cs="宋体" w:eastAsia="宋体" w:hint="default"/>
          <w:spacing w:val="-57"/>
          <w:sz w:val="21"/>
          <w:szCs w:val="21"/>
        </w:rPr>
        <w:t> </w:t>
      </w:r>
      <w:r>
        <w:rPr>
          <w:rFonts w:ascii="宋体" w:hAnsi="宋体" w:cs="宋体" w:eastAsia="宋体" w:hint="default"/>
          <w:sz w:val="21"/>
          <w:szCs w:val="21"/>
        </w:rPr>
        <w:t>133,446,293.71</w:t>
      </w:r>
      <w:r>
        <w:rPr>
          <w:rFonts w:ascii="宋体" w:hAnsi="宋体" w:cs="宋体" w:eastAsia="宋体" w:hint="default"/>
          <w:spacing w:val="-58"/>
          <w:sz w:val="21"/>
          <w:szCs w:val="21"/>
        </w:rPr>
        <w:t> </w:t>
      </w:r>
      <w:r>
        <w:rPr>
          <w:rFonts w:ascii="宋体" w:hAnsi="宋体" w:cs="宋体" w:eastAsia="宋体" w:hint="default"/>
          <w:spacing w:val="-3"/>
          <w:sz w:val="21"/>
          <w:szCs w:val="21"/>
        </w:rPr>
        <w:t>元，所占比例为</w:t>
      </w:r>
      <w:r>
        <w:rPr>
          <w:rFonts w:ascii="宋体" w:hAnsi="宋体" w:cs="宋体" w:eastAsia="宋体" w:hint="default"/>
          <w:spacing w:val="-57"/>
          <w:sz w:val="21"/>
          <w:szCs w:val="21"/>
        </w:rPr>
        <w:t> </w:t>
      </w:r>
      <w:r>
        <w:rPr>
          <w:rFonts w:ascii="宋体" w:hAnsi="宋体" w:cs="宋体" w:eastAsia="宋体" w:hint="default"/>
          <w:sz w:val="21"/>
          <w:szCs w:val="21"/>
        </w:rPr>
        <w:t>23.45%</w:t>
      </w:r>
      <w:r>
        <w:rPr>
          <w:rFonts w:ascii="宋体" w:hAnsi="宋体" w:cs="宋体" w:eastAsia="宋体" w:hint="default"/>
          <w:sz w:val="21"/>
          <w:szCs w:val="21"/>
        </w:rPr>
        <w:t>，账龄</w:t>
      </w:r>
      <w:r>
        <w:rPr>
          <w:rFonts w:ascii="宋体" w:hAnsi="宋体" w:cs="宋体" w:eastAsia="宋体" w:hint="default"/>
          <w:w w:val="100"/>
          <w:sz w:val="21"/>
          <w:szCs w:val="21"/>
        </w:rPr>
        <w:t> </w:t>
      </w:r>
      <w:r>
        <w:rPr>
          <w:rFonts w:ascii="宋体" w:hAnsi="宋体" w:cs="宋体" w:eastAsia="宋体" w:hint="default"/>
          <w:sz w:val="21"/>
          <w:szCs w:val="21"/>
        </w:rPr>
        <w:t>超过一年的大额预收款项如下：</w:t>
      </w:r>
    </w:p>
    <w:p>
      <w:pPr>
        <w:spacing w:line="240" w:lineRule="auto" w:before="9"/>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79"/>
        <w:gridCol w:w="1613"/>
        <w:gridCol w:w="1616"/>
        <w:gridCol w:w="1570"/>
      </w:tblGrid>
      <w:tr>
        <w:trPr>
          <w:trHeight w:val="319" w:hRule="exact"/>
        </w:trPr>
        <w:tc>
          <w:tcPr>
            <w:tcW w:w="417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年限</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05" w:hRule="exact"/>
        </w:trPr>
        <w:tc>
          <w:tcPr>
            <w:tcW w:w="4179"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国家卫星气象中心</w:t>
            </w:r>
          </w:p>
        </w:tc>
        <w:tc>
          <w:tcPr>
            <w:tcW w:w="161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28,767,243.33</w:t>
            </w:r>
          </w:p>
        </w:tc>
        <w:tc>
          <w:tcPr>
            <w:tcW w:w="161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1</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甘肃省农村信用社联合社</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17,743,555.60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12,150,773.73</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中国气象科学研究院</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5,967,993.95</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2</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潍柴动力股份有限公司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3,413,000.00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3</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东北电网有限公司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3,369,452.00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7"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国家测绘局卫星测绘应用中心</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3,000,000.00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北京新发地农产品有限公司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2,735,002.64</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黑龙江省监狱管理局</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2,475,200.00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武警甘肃总队第三支队</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2,080,000.00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中国烟草公司甘肃分公司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2,066,580.00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00" w:hRule="exact"/>
        </w:trPr>
        <w:tc>
          <w:tcPr>
            <w:tcW w:w="4179"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山东枣庄矿业（集团）有限责任公司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1,800,000.00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r>
        <w:trPr>
          <w:trHeight w:val="310" w:hRule="exact"/>
        </w:trPr>
        <w:tc>
          <w:tcPr>
            <w:tcW w:w="4179" w:type="dxa"/>
            <w:tcBorders>
              <w:top w:val="nil" w:sz="6" w:space="0" w:color="auto"/>
              <w:left w:val="single" w:sz="4" w:space="0" w:color="000000"/>
              <w:bottom w:val="single" w:sz="12"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安徽省立医院南区</w:t>
            </w:r>
          </w:p>
        </w:tc>
        <w:tc>
          <w:tcPr>
            <w:tcW w:w="1613" w:type="dxa"/>
            <w:tcBorders>
              <w:top w:val="nil" w:sz="6" w:space="0" w:color="auto"/>
              <w:left w:val="single" w:sz="4" w:space="0" w:color="000000"/>
              <w:bottom w:val="single" w:sz="12"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1,650,000.00</w:t>
            </w:r>
          </w:p>
        </w:tc>
        <w:tc>
          <w:tcPr>
            <w:tcW w:w="1616" w:type="dxa"/>
            <w:tcBorders>
              <w:top w:val="nil" w:sz="6" w:space="0" w:color="auto"/>
              <w:left w:val="single" w:sz="4" w:space="0" w:color="000000"/>
              <w:bottom w:val="single" w:sz="12"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70" w:type="dxa"/>
            <w:tcBorders>
              <w:top w:val="nil" w:sz="6" w:space="0" w:color="auto"/>
              <w:left w:val="single" w:sz="4" w:space="0" w:color="000000"/>
              <w:bottom w:val="single" w:sz="12"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预收货款</w:t>
            </w:r>
          </w:p>
        </w:tc>
      </w:tr>
    </w:tbl>
    <w:p>
      <w:pPr>
        <w:spacing w:before="4"/>
        <w:ind w:left="544" w:right="385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、其中一至二年</w:t>
      </w:r>
      <w:r>
        <w:rPr>
          <w:rFonts w:ascii="宋体" w:hAnsi="宋体" w:cs="宋体" w:eastAsia="宋体" w:hint="default"/>
          <w:spacing w:val="-54"/>
          <w:sz w:val="21"/>
          <w:szCs w:val="21"/>
        </w:rPr>
        <w:t> </w:t>
      </w:r>
      <w:r>
        <w:rPr>
          <w:rFonts w:ascii="宋体" w:hAnsi="宋体" w:cs="宋体" w:eastAsia="宋体" w:hint="default"/>
          <w:sz w:val="21"/>
          <w:szCs w:val="21"/>
        </w:rPr>
        <w:t>26,271,600.00</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5"/>
          <w:sz w:val="21"/>
          <w:szCs w:val="21"/>
        </w:rPr>
        <w:t> </w:t>
      </w:r>
      <w:r>
        <w:rPr>
          <w:rFonts w:ascii="宋体" w:hAnsi="宋体" w:cs="宋体" w:eastAsia="宋体" w:hint="default"/>
          <w:sz w:val="21"/>
          <w:szCs w:val="21"/>
        </w:rPr>
        <w:t>2,495,643.33</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93"/>
        <w:ind w:left="544" w:right="12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、其中一至二年</w:t>
      </w:r>
      <w:r>
        <w:rPr>
          <w:rFonts w:ascii="宋体" w:hAnsi="宋体" w:cs="宋体" w:eastAsia="宋体" w:hint="default"/>
          <w:spacing w:val="-54"/>
          <w:sz w:val="21"/>
          <w:szCs w:val="21"/>
        </w:rPr>
        <w:t> </w:t>
      </w:r>
      <w:r>
        <w:rPr>
          <w:rFonts w:ascii="宋体" w:hAnsi="宋体" w:cs="宋体" w:eastAsia="宋体" w:hint="default"/>
          <w:sz w:val="21"/>
          <w:szCs w:val="21"/>
        </w:rPr>
        <w:t>4,215,763.69</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5"/>
          <w:sz w:val="21"/>
          <w:szCs w:val="21"/>
        </w:rPr>
        <w:t> </w:t>
      </w:r>
      <w:r>
        <w:rPr>
          <w:rFonts w:ascii="宋体" w:hAnsi="宋体" w:cs="宋体" w:eastAsia="宋体" w:hint="default"/>
          <w:sz w:val="21"/>
          <w:szCs w:val="21"/>
        </w:rPr>
        <w:t>513,830.26</w:t>
      </w:r>
      <w:r>
        <w:rPr>
          <w:rFonts w:ascii="宋体" w:hAnsi="宋体" w:cs="宋体" w:eastAsia="宋体" w:hint="default"/>
          <w:spacing w:val="-55"/>
          <w:sz w:val="21"/>
          <w:szCs w:val="21"/>
        </w:rPr>
        <w:t> </w:t>
      </w:r>
      <w:r>
        <w:rPr>
          <w:rFonts w:ascii="宋体" w:hAnsi="宋体" w:cs="宋体" w:eastAsia="宋体" w:hint="default"/>
          <w:sz w:val="21"/>
          <w:szCs w:val="21"/>
        </w:rPr>
        <w:t>元、三年以上</w:t>
      </w:r>
      <w:r>
        <w:rPr>
          <w:rFonts w:ascii="宋体" w:hAnsi="宋体" w:cs="宋体" w:eastAsia="宋体" w:hint="default"/>
          <w:spacing w:val="-54"/>
          <w:sz w:val="21"/>
          <w:szCs w:val="21"/>
        </w:rPr>
        <w:t> </w:t>
      </w:r>
      <w:r>
        <w:rPr>
          <w:rFonts w:ascii="宋体" w:hAnsi="宋体" w:cs="宋体" w:eastAsia="宋体" w:hint="default"/>
          <w:sz w:val="21"/>
          <w:szCs w:val="21"/>
        </w:rPr>
        <w:t>1,238,400.00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90"/>
        <w:ind w:left="544" w:right="385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、其中一至二年</w:t>
      </w:r>
      <w:r>
        <w:rPr>
          <w:rFonts w:ascii="宋体" w:hAnsi="宋体" w:cs="宋体" w:eastAsia="宋体" w:hint="default"/>
          <w:spacing w:val="-54"/>
          <w:sz w:val="21"/>
          <w:szCs w:val="21"/>
        </w:rPr>
        <w:t> </w:t>
      </w:r>
      <w:r>
        <w:rPr>
          <w:rFonts w:ascii="宋体" w:hAnsi="宋体" w:cs="宋体" w:eastAsia="宋体" w:hint="default"/>
          <w:sz w:val="21"/>
          <w:szCs w:val="21"/>
        </w:rPr>
        <w:t>2,015,000.00</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5"/>
          <w:sz w:val="21"/>
          <w:szCs w:val="21"/>
        </w:rPr>
        <w:t> </w:t>
      </w:r>
      <w:r>
        <w:rPr>
          <w:rFonts w:ascii="宋体" w:hAnsi="宋体" w:cs="宋体" w:eastAsia="宋体" w:hint="default"/>
          <w:sz w:val="21"/>
          <w:szCs w:val="21"/>
        </w:rPr>
        <w:t>1,398,000.00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92"/>
        <w:ind w:left="544" w:right="385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、其中一至二年</w:t>
      </w:r>
      <w:r>
        <w:rPr>
          <w:rFonts w:ascii="宋体" w:hAnsi="宋体" w:cs="宋体" w:eastAsia="宋体" w:hint="default"/>
          <w:spacing w:val="-54"/>
          <w:sz w:val="21"/>
          <w:szCs w:val="21"/>
        </w:rPr>
        <w:t> </w:t>
      </w:r>
      <w:r>
        <w:rPr>
          <w:rFonts w:ascii="宋体" w:hAnsi="宋体" w:cs="宋体" w:eastAsia="宋体" w:hint="default"/>
          <w:sz w:val="21"/>
          <w:szCs w:val="21"/>
        </w:rPr>
        <w:t>1,332,800.00</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5"/>
          <w:sz w:val="21"/>
          <w:szCs w:val="21"/>
        </w:rPr>
        <w:t> </w:t>
      </w:r>
      <w:r>
        <w:rPr>
          <w:rFonts w:ascii="宋体" w:hAnsi="宋体" w:cs="宋体" w:eastAsia="宋体" w:hint="default"/>
          <w:sz w:val="21"/>
          <w:szCs w:val="21"/>
        </w:rPr>
        <w:t>1,142,400.00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92"/>
        <w:ind w:left="544" w:right="420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、其中一至二年</w:t>
      </w:r>
      <w:r>
        <w:rPr>
          <w:rFonts w:ascii="宋体" w:hAnsi="宋体" w:cs="宋体" w:eastAsia="宋体" w:hint="default"/>
          <w:spacing w:val="-53"/>
          <w:sz w:val="21"/>
          <w:szCs w:val="21"/>
        </w:rPr>
        <w:t> </w:t>
      </w:r>
      <w:r>
        <w:rPr>
          <w:rFonts w:ascii="宋体" w:hAnsi="宋体" w:cs="宋体" w:eastAsia="宋体" w:hint="default"/>
          <w:sz w:val="21"/>
          <w:szCs w:val="21"/>
        </w:rPr>
        <w:t>100,000.00</w:t>
      </w:r>
      <w:r>
        <w:rPr>
          <w:rFonts w:ascii="宋体" w:hAnsi="宋体" w:cs="宋体" w:eastAsia="宋体" w:hint="default"/>
          <w:spacing w:val="-56"/>
          <w:sz w:val="21"/>
          <w:szCs w:val="21"/>
        </w:rPr>
        <w:t> </w:t>
      </w:r>
      <w:r>
        <w:rPr>
          <w:rFonts w:ascii="宋体" w:hAnsi="宋体" w:cs="宋体" w:eastAsia="宋体" w:hint="default"/>
          <w:sz w:val="21"/>
          <w:szCs w:val="21"/>
        </w:rPr>
        <w:t>元、二至三年</w:t>
      </w:r>
      <w:r>
        <w:rPr>
          <w:rFonts w:ascii="宋体" w:hAnsi="宋体" w:cs="宋体" w:eastAsia="宋体" w:hint="default"/>
          <w:spacing w:val="-53"/>
          <w:sz w:val="21"/>
          <w:szCs w:val="21"/>
        </w:rPr>
        <w:t> </w:t>
      </w:r>
      <w:r>
        <w:rPr>
          <w:rFonts w:ascii="宋体" w:hAnsi="宋体" w:cs="宋体" w:eastAsia="宋体" w:hint="default"/>
          <w:sz w:val="21"/>
          <w:szCs w:val="21"/>
        </w:rPr>
        <w:t>1,700,000.00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）预收款项期末余额前五名单位情况：</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488"/>
        <w:gridCol w:w="1368"/>
        <w:gridCol w:w="1613"/>
        <w:gridCol w:w="1126"/>
        <w:gridCol w:w="1358"/>
      </w:tblGrid>
      <w:tr>
        <w:trPr>
          <w:trHeight w:val="622" w:hRule="exact"/>
        </w:trPr>
        <w:tc>
          <w:tcPr>
            <w:tcW w:w="3488" w:type="dxa"/>
            <w:tcBorders>
              <w:top w:val="single" w:sz="12" w:space="0" w:color="000000"/>
              <w:left w:val="single" w:sz="8"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8"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34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358"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254" w:right="38" w:hanging="209"/>
              <w:jc w:val="left"/>
              <w:rPr>
                <w:rFonts w:ascii="宋体" w:hAnsi="宋体" w:cs="宋体" w:eastAsia="宋体" w:hint="default"/>
                <w:sz w:val="21"/>
                <w:szCs w:val="21"/>
              </w:rPr>
            </w:pPr>
            <w:r>
              <w:rPr>
                <w:rFonts w:ascii="宋体" w:hAnsi="宋体" w:cs="宋体" w:eastAsia="宋体" w:hint="default"/>
                <w:sz w:val="21"/>
                <w:szCs w:val="21"/>
              </w:rPr>
              <w:t>占预收款项总</w:t>
            </w:r>
            <w:r>
              <w:rPr>
                <w:rFonts w:ascii="宋体" w:hAnsi="宋体" w:cs="宋体" w:eastAsia="宋体" w:hint="default"/>
                <w:w w:val="100"/>
                <w:sz w:val="21"/>
                <w:szCs w:val="21"/>
              </w:rPr>
              <w:t> </w:t>
            </w:r>
            <w:r>
              <w:rPr>
                <w:rFonts w:ascii="宋体" w:hAnsi="宋体" w:cs="宋体" w:eastAsia="宋体" w:hint="default"/>
                <w:sz w:val="21"/>
                <w:szCs w:val="21"/>
              </w:rPr>
              <w:t>额的比例</w:t>
            </w:r>
          </w:p>
        </w:tc>
      </w:tr>
    </w:tbl>
    <w:p>
      <w:pPr>
        <w:spacing w:after="0" w:line="261" w:lineRule="auto"/>
        <w:jc w:val="left"/>
        <w:rPr>
          <w:rFonts w:ascii="宋体" w:hAnsi="宋体" w:cs="宋体" w:eastAsia="宋体" w:hint="default"/>
          <w:sz w:val="21"/>
          <w:szCs w:val="21"/>
        </w:rPr>
        <w:sectPr>
          <w:footerReference w:type="even" r:id="rId88"/>
          <w:footerReference w:type="default" r:id="rId89"/>
          <w:pgSz w:w="12240" w:h="15840"/>
          <w:pgMar w:footer="956" w:header="850" w:top="1360" w:bottom="1140" w:left="1520" w:right="0"/>
          <w:pgNumType w:start="132"/>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88"/>
        <w:gridCol w:w="1368"/>
        <w:gridCol w:w="1613"/>
        <w:gridCol w:w="1126"/>
        <w:gridCol w:w="1358"/>
      </w:tblGrid>
      <w:tr>
        <w:trPr>
          <w:trHeight w:val="314" w:hRule="exact"/>
        </w:trPr>
        <w:tc>
          <w:tcPr>
            <w:tcW w:w="3488" w:type="dxa"/>
            <w:tcBorders>
              <w:top w:val="single" w:sz="6" w:space="0" w:color="000000"/>
              <w:left w:val="single" w:sz="8" w:space="0" w:color="000000"/>
              <w:bottom w:val="nil" w:sz="6" w:space="0" w:color="auto"/>
              <w:right w:val="single" w:sz="4"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国家卫星气象中心</w:t>
            </w:r>
          </w:p>
        </w:tc>
        <w:tc>
          <w:tcPr>
            <w:tcW w:w="1368" w:type="dxa"/>
            <w:tcBorders>
              <w:top w:val="single" w:sz="6" w:space="0" w:color="000000"/>
              <w:left w:val="single" w:sz="4" w:space="0" w:color="000000"/>
              <w:bottom w:val="nil" w:sz="6" w:space="0" w:color="auto"/>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1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62,232,243.33</w:t>
            </w:r>
          </w:p>
        </w:tc>
        <w:tc>
          <w:tcPr>
            <w:tcW w:w="112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1</w:t>
            </w:r>
          </w:p>
        </w:tc>
        <w:tc>
          <w:tcPr>
            <w:tcW w:w="135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317"/>
              <w:jc w:val="right"/>
              <w:rPr>
                <w:rFonts w:ascii="宋体" w:hAnsi="宋体" w:cs="宋体" w:eastAsia="宋体" w:hint="default"/>
                <w:sz w:val="21"/>
                <w:szCs w:val="21"/>
              </w:rPr>
            </w:pPr>
            <w:r>
              <w:rPr>
                <w:rFonts w:ascii="宋体"/>
                <w:sz w:val="21"/>
              </w:rPr>
              <w:t>10.94%</w:t>
            </w:r>
          </w:p>
        </w:tc>
      </w:tr>
      <w:tr>
        <w:trPr>
          <w:trHeight w:val="300" w:hRule="exact"/>
        </w:trPr>
        <w:tc>
          <w:tcPr>
            <w:tcW w:w="3488" w:type="dxa"/>
            <w:tcBorders>
              <w:top w:val="nil" w:sz="6" w:space="0" w:color="auto"/>
              <w:left w:val="single" w:sz="8" w:space="0" w:color="000000"/>
              <w:bottom w:val="nil" w:sz="6" w:space="0" w:color="auto"/>
              <w:right w:val="single" w:sz="4" w:space="0" w:color="000000"/>
            </w:tcBorders>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青岛有线电视网络中心</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41,377,600.00</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71"/>
              <w:jc w:val="right"/>
              <w:rPr>
                <w:rFonts w:ascii="宋体" w:hAnsi="宋体" w:cs="宋体" w:eastAsia="宋体" w:hint="default"/>
                <w:sz w:val="21"/>
                <w:szCs w:val="21"/>
              </w:rPr>
            </w:pPr>
            <w:r>
              <w:rPr>
                <w:rFonts w:ascii="宋体"/>
                <w:sz w:val="21"/>
              </w:rPr>
              <w:t>7.27%</w:t>
            </w:r>
          </w:p>
        </w:tc>
      </w:tr>
      <w:tr>
        <w:trPr>
          <w:trHeight w:val="300" w:hRule="exact"/>
        </w:trPr>
        <w:tc>
          <w:tcPr>
            <w:tcW w:w="3488" w:type="dxa"/>
            <w:tcBorders>
              <w:top w:val="nil" w:sz="6" w:space="0" w:color="auto"/>
              <w:left w:val="single" w:sz="8" w:space="0" w:color="000000"/>
              <w:bottom w:val="nil" w:sz="6" w:space="0" w:color="auto"/>
              <w:right w:val="single" w:sz="4" w:space="0" w:color="000000"/>
            </w:tcBorders>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25,773,289.01</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71"/>
              <w:jc w:val="right"/>
              <w:rPr>
                <w:rFonts w:ascii="宋体" w:hAnsi="宋体" w:cs="宋体" w:eastAsia="宋体" w:hint="default"/>
                <w:sz w:val="21"/>
                <w:szCs w:val="21"/>
              </w:rPr>
            </w:pPr>
            <w:r>
              <w:rPr>
                <w:rFonts w:ascii="宋体"/>
                <w:sz w:val="21"/>
              </w:rPr>
              <w:t>4.53%</w:t>
            </w:r>
          </w:p>
        </w:tc>
      </w:tr>
      <w:tr>
        <w:trPr>
          <w:trHeight w:val="300" w:hRule="exact"/>
        </w:trPr>
        <w:tc>
          <w:tcPr>
            <w:tcW w:w="3488" w:type="dxa"/>
            <w:tcBorders>
              <w:top w:val="nil" w:sz="6" w:space="0" w:color="auto"/>
              <w:left w:val="single" w:sz="8" w:space="0" w:color="000000"/>
              <w:bottom w:val="nil" w:sz="6" w:space="0" w:color="auto"/>
              <w:right w:val="single" w:sz="4" w:space="0" w:color="000000"/>
            </w:tcBorders>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甘肃省农信社</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18,616,723.40</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2</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71"/>
              <w:jc w:val="right"/>
              <w:rPr>
                <w:rFonts w:ascii="宋体" w:hAnsi="宋体" w:cs="宋体" w:eastAsia="宋体" w:hint="default"/>
                <w:sz w:val="21"/>
                <w:szCs w:val="21"/>
              </w:rPr>
            </w:pPr>
            <w:r>
              <w:rPr>
                <w:rFonts w:ascii="宋体"/>
                <w:sz w:val="21"/>
              </w:rPr>
              <w:t>3.27%</w:t>
            </w:r>
          </w:p>
        </w:tc>
      </w:tr>
      <w:tr>
        <w:trPr>
          <w:trHeight w:val="305" w:hRule="exact"/>
        </w:trPr>
        <w:tc>
          <w:tcPr>
            <w:tcW w:w="3488" w:type="dxa"/>
            <w:tcBorders>
              <w:top w:val="nil" w:sz="6" w:space="0" w:color="auto"/>
              <w:left w:val="single" w:sz="8" w:space="0" w:color="000000"/>
              <w:bottom w:val="single" w:sz="4" w:space="0" w:color="000000"/>
              <w:right w:val="single" w:sz="4" w:space="0" w:color="000000"/>
            </w:tcBorders>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13"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16,827,162.80</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3</w:t>
            </w:r>
          </w:p>
        </w:tc>
        <w:tc>
          <w:tcPr>
            <w:tcW w:w="1358"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right="371"/>
              <w:jc w:val="right"/>
              <w:rPr>
                <w:rFonts w:ascii="宋体" w:hAnsi="宋体" w:cs="宋体" w:eastAsia="宋体" w:hint="default"/>
                <w:sz w:val="21"/>
                <w:szCs w:val="21"/>
              </w:rPr>
            </w:pPr>
            <w:r>
              <w:rPr>
                <w:rFonts w:ascii="宋体"/>
                <w:sz w:val="21"/>
              </w:rPr>
              <w:t>2.96%</w:t>
            </w:r>
          </w:p>
        </w:tc>
      </w:tr>
      <w:tr>
        <w:trPr>
          <w:trHeight w:val="317" w:hRule="exact"/>
        </w:trPr>
        <w:tc>
          <w:tcPr>
            <w:tcW w:w="3488" w:type="dxa"/>
            <w:tcBorders>
              <w:top w:val="single" w:sz="4" w:space="0" w:color="000000"/>
              <w:left w:val="single" w:sz="8" w:space="0" w:color="000000"/>
              <w:bottom w:val="single" w:sz="12" w:space="0" w:color="000000"/>
              <w:right w:val="single" w:sz="4" w:space="0" w:color="000000"/>
            </w:tcBorders>
          </w:tcPr>
          <w:p>
            <w:pPr>
              <w:pStyle w:val="TableParagraph"/>
              <w:tabs>
                <w:tab w:pos="422" w:val="left" w:leader="none"/>
              </w:tabs>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164,827,018.54</w:t>
            </w:r>
          </w:p>
        </w:tc>
        <w:tc>
          <w:tcPr>
            <w:tcW w:w="1126" w:type="dxa"/>
            <w:tcBorders>
              <w:top w:val="single" w:sz="4" w:space="0" w:color="000000"/>
              <w:left w:val="single" w:sz="4" w:space="0" w:color="000000"/>
              <w:bottom w:val="single" w:sz="12" w:space="0" w:color="000000"/>
              <w:right w:val="single" w:sz="4" w:space="0" w:color="000000"/>
            </w:tcBorders>
          </w:tcPr>
          <w:p>
            <w:pP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17"/>
              <w:jc w:val="right"/>
              <w:rPr>
                <w:rFonts w:ascii="宋体" w:hAnsi="宋体" w:cs="宋体" w:eastAsia="宋体" w:hint="default"/>
                <w:sz w:val="21"/>
                <w:szCs w:val="21"/>
              </w:rPr>
            </w:pPr>
            <w:r>
              <w:rPr>
                <w:rFonts w:ascii="宋体"/>
                <w:sz w:val="21"/>
              </w:rPr>
              <w:t>28.97%</w:t>
            </w:r>
          </w:p>
        </w:tc>
      </w:tr>
    </w:tbl>
    <w:p>
      <w:pPr>
        <w:spacing w:line="288" w:lineRule="auto" w:before="6"/>
        <w:ind w:left="124" w:right="1718"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、其中一年以内</w:t>
      </w:r>
      <w:r>
        <w:rPr>
          <w:rFonts w:ascii="宋体" w:hAnsi="宋体" w:cs="宋体" w:eastAsia="宋体" w:hint="default"/>
          <w:spacing w:val="-54"/>
          <w:sz w:val="21"/>
          <w:szCs w:val="21"/>
        </w:rPr>
        <w:t> </w:t>
      </w:r>
      <w:r>
        <w:rPr>
          <w:rFonts w:ascii="宋体" w:hAnsi="宋体" w:cs="宋体" w:eastAsia="宋体" w:hint="default"/>
          <w:sz w:val="21"/>
          <w:szCs w:val="21"/>
        </w:rPr>
        <w:t>33,465,000.00</w:t>
      </w:r>
      <w:r>
        <w:rPr>
          <w:rFonts w:ascii="宋体" w:hAnsi="宋体" w:cs="宋体" w:eastAsia="宋体" w:hint="default"/>
          <w:spacing w:val="-55"/>
          <w:sz w:val="21"/>
          <w:szCs w:val="21"/>
        </w:rPr>
        <w:t> </w:t>
      </w:r>
      <w:r>
        <w:rPr>
          <w:rFonts w:ascii="宋体" w:hAnsi="宋体" w:cs="宋体" w:eastAsia="宋体" w:hint="default"/>
          <w:sz w:val="21"/>
          <w:szCs w:val="21"/>
        </w:rPr>
        <w:t>元、一至二年</w:t>
      </w:r>
      <w:r>
        <w:rPr>
          <w:rFonts w:ascii="宋体" w:hAnsi="宋体" w:cs="宋体" w:eastAsia="宋体" w:hint="default"/>
          <w:spacing w:val="-55"/>
          <w:sz w:val="21"/>
          <w:szCs w:val="21"/>
        </w:rPr>
        <w:t> </w:t>
      </w:r>
      <w:r>
        <w:rPr>
          <w:rFonts w:ascii="宋体" w:hAnsi="宋体" w:cs="宋体" w:eastAsia="宋体" w:hint="default"/>
          <w:sz w:val="21"/>
          <w:szCs w:val="21"/>
        </w:rPr>
        <w:t>26,271,600.00</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7"/>
          <w:sz w:val="21"/>
          <w:szCs w:val="21"/>
        </w:rPr>
        <w:t> </w:t>
      </w:r>
      <w:r>
        <w:rPr>
          <w:rFonts w:ascii="宋体" w:hAnsi="宋体" w:cs="宋体" w:eastAsia="宋体" w:hint="default"/>
          <w:sz w:val="21"/>
          <w:szCs w:val="21"/>
        </w:rPr>
        <w:t>2,495,643.33</w:t>
      </w:r>
      <w:r>
        <w:rPr>
          <w:rFonts w:ascii="宋体" w:hAnsi="宋体" w:cs="宋体" w:eastAsia="宋体" w:hint="default"/>
          <w:w w:val="100"/>
          <w:sz w:val="21"/>
          <w:szCs w:val="21"/>
        </w:rPr>
        <w:t> </w:t>
      </w:r>
      <w:r>
        <w:rPr>
          <w:rFonts w:ascii="宋体" w:hAnsi="宋体" w:cs="宋体" w:eastAsia="宋体" w:hint="default"/>
          <w:sz w:val="21"/>
          <w:szCs w:val="21"/>
        </w:rPr>
        <w:t>元。</w:t>
      </w:r>
    </w:p>
    <w:p>
      <w:pPr>
        <w:spacing w:before="50"/>
        <w:ind w:left="544" w:right="385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、其中一年以内</w:t>
      </w:r>
      <w:r>
        <w:rPr>
          <w:rFonts w:ascii="宋体" w:hAnsi="宋体" w:cs="宋体" w:eastAsia="宋体" w:hint="default"/>
          <w:spacing w:val="-53"/>
          <w:sz w:val="21"/>
          <w:szCs w:val="21"/>
        </w:rPr>
        <w:t> </w:t>
      </w:r>
      <w:r>
        <w:rPr>
          <w:rFonts w:ascii="宋体" w:hAnsi="宋体" w:cs="宋体" w:eastAsia="宋体" w:hint="default"/>
          <w:sz w:val="21"/>
          <w:szCs w:val="21"/>
        </w:rPr>
        <w:t>873,167.80</w:t>
      </w:r>
      <w:r>
        <w:rPr>
          <w:rFonts w:ascii="宋体" w:hAnsi="宋体" w:cs="宋体" w:eastAsia="宋体" w:hint="default"/>
          <w:spacing w:val="-56"/>
          <w:sz w:val="21"/>
          <w:szCs w:val="21"/>
        </w:rPr>
        <w:t> </w:t>
      </w:r>
      <w:r>
        <w:rPr>
          <w:rFonts w:ascii="宋体" w:hAnsi="宋体" w:cs="宋体" w:eastAsia="宋体" w:hint="default"/>
          <w:sz w:val="21"/>
          <w:szCs w:val="21"/>
        </w:rPr>
        <w:t>元、二至三年</w:t>
      </w:r>
      <w:r>
        <w:rPr>
          <w:rFonts w:ascii="宋体" w:hAnsi="宋体" w:cs="宋体" w:eastAsia="宋体" w:hint="default"/>
          <w:spacing w:val="-53"/>
          <w:sz w:val="21"/>
          <w:szCs w:val="21"/>
        </w:rPr>
        <w:t> </w:t>
      </w:r>
      <w:r>
        <w:rPr>
          <w:rFonts w:ascii="宋体" w:hAnsi="宋体" w:cs="宋体" w:eastAsia="宋体" w:hint="default"/>
          <w:sz w:val="21"/>
          <w:szCs w:val="21"/>
        </w:rPr>
        <w:t>17,743,555.60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90"/>
        <w:ind w:left="544" w:right="1265" w:firstLine="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、其中其中一年以内</w:t>
      </w:r>
      <w:r>
        <w:rPr>
          <w:rFonts w:ascii="宋体" w:hAnsi="宋体" w:cs="宋体" w:eastAsia="宋体" w:hint="default"/>
          <w:spacing w:val="-49"/>
          <w:sz w:val="21"/>
          <w:szCs w:val="21"/>
        </w:rPr>
        <w:t> </w:t>
      </w:r>
      <w:r>
        <w:rPr>
          <w:rFonts w:ascii="宋体" w:hAnsi="宋体" w:cs="宋体" w:eastAsia="宋体" w:hint="default"/>
          <w:sz w:val="21"/>
          <w:szCs w:val="21"/>
        </w:rPr>
        <w:t>15,881,361.94</w:t>
      </w:r>
      <w:r>
        <w:rPr>
          <w:rFonts w:ascii="宋体" w:hAnsi="宋体" w:cs="宋体" w:eastAsia="宋体" w:hint="default"/>
          <w:spacing w:val="-47"/>
          <w:sz w:val="21"/>
          <w:szCs w:val="21"/>
        </w:rPr>
        <w:t> </w:t>
      </w:r>
      <w:r>
        <w:rPr>
          <w:rFonts w:ascii="宋体" w:hAnsi="宋体" w:cs="宋体" w:eastAsia="宋体" w:hint="default"/>
          <w:spacing w:val="-12"/>
          <w:sz w:val="21"/>
          <w:szCs w:val="21"/>
        </w:rPr>
        <w:t>元、一至二年</w:t>
      </w:r>
      <w:r>
        <w:rPr>
          <w:rFonts w:ascii="宋体" w:hAnsi="宋体" w:cs="宋体" w:eastAsia="宋体" w:hint="default"/>
          <w:spacing w:val="-49"/>
          <w:sz w:val="21"/>
          <w:szCs w:val="21"/>
        </w:rPr>
        <w:t> </w:t>
      </w:r>
      <w:r>
        <w:rPr>
          <w:rFonts w:ascii="宋体" w:hAnsi="宋体" w:cs="宋体" w:eastAsia="宋体" w:hint="default"/>
          <w:sz w:val="21"/>
          <w:szCs w:val="21"/>
        </w:rPr>
        <w:t>231,151.46</w:t>
      </w:r>
      <w:r>
        <w:rPr>
          <w:rFonts w:ascii="宋体" w:hAnsi="宋体" w:cs="宋体" w:eastAsia="宋体" w:hint="default"/>
          <w:spacing w:val="-47"/>
          <w:sz w:val="21"/>
          <w:szCs w:val="21"/>
        </w:rPr>
        <w:t> </w:t>
      </w:r>
      <w:r>
        <w:rPr>
          <w:rFonts w:ascii="宋体" w:hAnsi="宋体" w:cs="宋体" w:eastAsia="宋体" w:hint="default"/>
          <w:spacing w:val="-12"/>
          <w:sz w:val="21"/>
          <w:szCs w:val="21"/>
        </w:rPr>
        <w:t>元、二至三年</w:t>
      </w:r>
      <w:r>
        <w:rPr>
          <w:rFonts w:ascii="宋体" w:hAnsi="宋体" w:cs="宋体" w:eastAsia="宋体" w:hint="default"/>
          <w:spacing w:val="-49"/>
          <w:sz w:val="21"/>
          <w:szCs w:val="21"/>
        </w:rPr>
        <w:t> </w:t>
      </w:r>
      <w:r>
        <w:rPr>
          <w:rFonts w:ascii="宋体" w:hAnsi="宋体" w:cs="宋体" w:eastAsia="宋体" w:hint="default"/>
          <w:sz w:val="21"/>
          <w:szCs w:val="21"/>
        </w:rPr>
        <w:t>663,209.40</w:t>
      </w:r>
      <w:r>
        <w:rPr>
          <w:rFonts w:ascii="宋体" w:hAnsi="宋体" w:cs="宋体" w:eastAsia="宋体" w:hint="default"/>
          <w:spacing w:val="-47"/>
          <w:sz w:val="21"/>
          <w:szCs w:val="21"/>
        </w:rPr>
        <w:t> </w:t>
      </w:r>
      <w:r>
        <w:rPr>
          <w:rFonts w:ascii="宋体" w:hAnsi="宋体" w:cs="宋体" w:eastAsia="宋体" w:hint="default"/>
          <w:sz w:val="21"/>
          <w:szCs w:val="21"/>
        </w:rPr>
        <w:t>元、</w:t>
      </w:r>
    </w:p>
    <w:p>
      <w:pPr>
        <w:spacing w:before="54"/>
        <w:ind w:left="124" w:right="4204" w:firstLine="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pacing w:val="-52"/>
          <w:sz w:val="21"/>
          <w:szCs w:val="21"/>
        </w:rPr>
        <w:t> </w:t>
      </w:r>
      <w:r>
        <w:rPr>
          <w:rFonts w:ascii="宋体" w:hAnsi="宋体" w:cs="宋体" w:eastAsia="宋体" w:hint="default"/>
          <w:sz w:val="21"/>
          <w:szCs w:val="21"/>
        </w:rPr>
        <w:t>51,440.00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9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）预收款项的说明：</w:t>
      </w:r>
    </w:p>
    <w:p>
      <w:pPr>
        <w:spacing w:line="288" w:lineRule="auto" w:before="92"/>
        <w:ind w:left="124" w:right="1635" w:firstLine="419"/>
        <w:jc w:val="left"/>
        <w:rPr>
          <w:rFonts w:ascii="宋体" w:hAnsi="宋体" w:cs="宋体" w:eastAsia="宋体" w:hint="default"/>
          <w:sz w:val="21"/>
          <w:szCs w:val="21"/>
        </w:rPr>
      </w:pPr>
      <w:r>
        <w:rPr>
          <w:rFonts w:ascii="宋体" w:hAnsi="宋体" w:cs="宋体" w:eastAsia="宋体" w:hint="default"/>
          <w:sz w:val="21"/>
          <w:szCs w:val="21"/>
        </w:rPr>
        <w:t>预收款项本期增加</w:t>
      </w:r>
      <w:r>
        <w:rPr>
          <w:rFonts w:ascii="宋体" w:hAnsi="宋体" w:cs="宋体" w:eastAsia="宋体" w:hint="default"/>
          <w:spacing w:val="-55"/>
          <w:sz w:val="21"/>
          <w:szCs w:val="21"/>
        </w:rPr>
        <w:t> </w:t>
      </w:r>
      <w:r>
        <w:rPr>
          <w:rFonts w:ascii="宋体" w:hAnsi="宋体" w:cs="宋体" w:eastAsia="宋体" w:hint="default"/>
          <w:sz w:val="21"/>
          <w:szCs w:val="21"/>
        </w:rPr>
        <w:t>234,182,863.66</w:t>
      </w:r>
      <w:r>
        <w:rPr>
          <w:rFonts w:ascii="宋体" w:hAnsi="宋体" w:cs="宋体" w:eastAsia="宋体" w:hint="default"/>
          <w:spacing w:val="-58"/>
          <w:sz w:val="21"/>
          <w:szCs w:val="21"/>
        </w:rPr>
        <w:t> </w:t>
      </w:r>
      <w:r>
        <w:rPr>
          <w:rFonts w:ascii="宋体" w:hAnsi="宋体" w:cs="宋体" w:eastAsia="宋体" w:hint="default"/>
          <w:spacing w:val="-3"/>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69.94%</w:t>
      </w:r>
      <w:r>
        <w:rPr>
          <w:rFonts w:ascii="宋体" w:hAnsi="宋体" w:cs="宋体" w:eastAsia="宋体" w:hint="default"/>
          <w:sz w:val="21"/>
          <w:szCs w:val="21"/>
        </w:rPr>
        <w:t>，增加的主要原因系本期承接项</w:t>
      </w:r>
      <w:r>
        <w:rPr>
          <w:rFonts w:ascii="宋体" w:hAnsi="宋体" w:cs="宋体" w:eastAsia="宋体" w:hint="default"/>
          <w:w w:val="100"/>
          <w:sz w:val="21"/>
          <w:szCs w:val="21"/>
        </w:rPr>
        <w:t> </w:t>
      </w:r>
      <w:r>
        <w:rPr>
          <w:rFonts w:ascii="宋体" w:hAnsi="宋体" w:cs="宋体" w:eastAsia="宋体" w:hint="default"/>
          <w:sz w:val="21"/>
          <w:szCs w:val="21"/>
        </w:rPr>
        <w:t>目增加，根据合同预收货款增加。</w:t>
      </w:r>
    </w:p>
    <w:p>
      <w:pPr>
        <w:spacing w:before="129"/>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3046"/>
        <w:gridCol w:w="1680"/>
        <w:gridCol w:w="1680"/>
        <w:gridCol w:w="1681"/>
        <w:gridCol w:w="1786"/>
      </w:tblGrid>
      <w:tr>
        <w:trPr>
          <w:trHeight w:val="322" w:hRule="exact"/>
        </w:trPr>
        <w:tc>
          <w:tcPr>
            <w:tcW w:w="3046"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0" w:type="dxa"/>
            <w:tcBorders>
              <w:top w:val="single" w:sz="12" w:space="0" w:color="000000"/>
              <w:left w:val="single" w:sz="4" w:space="0" w:color="000000"/>
              <w:bottom w:val="single" w:sz="4" w:space="0" w:color="000000"/>
              <w:right w:val="single" w:sz="2" w:space="0" w:color="000000"/>
            </w:tcBorders>
          </w:tcPr>
          <w:p>
            <w:pPr>
              <w:pStyle w:val="TableParagraph"/>
              <w:spacing w:line="250"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1" w:type="dxa"/>
            <w:tcBorders>
              <w:top w:val="single" w:sz="12" w:space="0" w:color="000000"/>
              <w:left w:val="single" w:sz="2" w:space="0" w:color="000000"/>
              <w:bottom w:val="single" w:sz="4" w:space="0" w:color="000000"/>
              <w:right w:val="single" w:sz="4" w:space="0" w:color="000000"/>
            </w:tcBorders>
          </w:tcPr>
          <w:p>
            <w:pPr>
              <w:pStyle w:val="TableParagraph"/>
              <w:spacing w:line="250" w:lineRule="exact"/>
              <w:ind w:left="312"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left="4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8" w:hRule="exact"/>
        </w:trPr>
        <w:tc>
          <w:tcPr>
            <w:tcW w:w="3046"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7"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152,604.32</w:t>
            </w:r>
          </w:p>
        </w:tc>
        <w:tc>
          <w:tcPr>
            <w:tcW w:w="1680" w:type="dxa"/>
            <w:tcBorders>
              <w:top w:val="single" w:sz="4" w:space="0" w:color="000000"/>
              <w:left w:val="single" w:sz="4" w:space="0" w:color="000000"/>
              <w:bottom w:val="nil" w:sz="6" w:space="0" w:color="auto"/>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201,542,086.26</w:t>
            </w:r>
          </w:p>
        </w:tc>
        <w:tc>
          <w:tcPr>
            <w:tcW w:w="1681" w:type="dxa"/>
            <w:tcBorders>
              <w:top w:val="single" w:sz="4" w:space="0" w:color="000000"/>
              <w:left w:val="single" w:sz="2"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201,349,107.31</w:t>
            </w:r>
          </w:p>
        </w:tc>
        <w:tc>
          <w:tcPr>
            <w:tcW w:w="178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345,583.27</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7"/>
              <w:jc w:val="right"/>
              <w:rPr>
                <w:rFonts w:ascii="宋体" w:hAnsi="宋体" w:cs="宋体" w:eastAsia="宋体" w:hint="default"/>
                <w:sz w:val="21"/>
                <w:szCs w:val="21"/>
              </w:rPr>
            </w:pPr>
            <w:r>
              <w:rPr>
                <w:rFonts w:ascii="宋体"/>
                <w:spacing w:val="-1"/>
                <w:sz w:val="21"/>
              </w:rPr>
              <w:t>1,770,409.66</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1,770,409.66</w:t>
            </w:r>
          </w:p>
        </w:tc>
        <w:tc>
          <w:tcPr>
            <w:tcW w:w="178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7"/>
              <w:jc w:val="right"/>
              <w:rPr>
                <w:rFonts w:ascii="宋体" w:hAnsi="宋体" w:cs="宋体" w:eastAsia="宋体" w:hint="default"/>
                <w:sz w:val="21"/>
                <w:szCs w:val="21"/>
              </w:rPr>
            </w:pPr>
            <w:r>
              <w:rPr>
                <w:rFonts w:ascii="宋体"/>
                <w:spacing w:val="-1"/>
                <w:sz w:val="21"/>
              </w:rPr>
              <w:t>22,720,644.33</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22,716,415.44</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4,228.89</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、医疗保险费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7"/>
              <w:jc w:val="right"/>
              <w:rPr>
                <w:rFonts w:ascii="宋体" w:hAnsi="宋体" w:cs="宋体" w:eastAsia="宋体" w:hint="default"/>
                <w:sz w:val="21"/>
                <w:szCs w:val="21"/>
              </w:rPr>
            </w:pPr>
            <w:r>
              <w:rPr>
                <w:rFonts w:ascii="宋体"/>
                <w:spacing w:val="-1"/>
                <w:sz w:val="21"/>
              </w:rPr>
              <w:t>6,856,747.00</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6,855,802.70</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z w:val="21"/>
              </w:rPr>
              <w:t>944.30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、基本养老保险费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7"/>
              <w:jc w:val="right"/>
              <w:rPr>
                <w:rFonts w:ascii="宋体" w:hAnsi="宋体" w:cs="宋体" w:eastAsia="宋体" w:hint="default"/>
                <w:sz w:val="21"/>
                <w:szCs w:val="21"/>
              </w:rPr>
            </w:pPr>
            <w:r>
              <w:rPr>
                <w:rFonts w:ascii="宋体"/>
                <w:spacing w:val="-1"/>
                <w:sz w:val="21"/>
              </w:rPr>
              <w:t>14,777,433.59</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14,776,010.57</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1,423.02</w:t>
            </w:r>
          </w:p>
        </w:tc>
      </w:tr>
      <w:tr>
        <w:trPr>
          <w:trHeight w:val="289"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3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、年金缴费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
        </w:tc>
        <w:tc>
          <w:tcPr>
            <w:tcW w:w="1681" w:type="dxa"/>
            <w:tcBorders>
              <w:top w:val="nil" w:sz="6" w:space="0" w:color="auto"/>
              <w:left w:val="single" w:sz="2"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63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、失业保险费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644,265.66</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642,516.44</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1,749.22</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3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、工伤保险费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238,876.92</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238,839.47</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z w:val="21"/>
              </w:rPr>
              <w:t>37.45</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63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、生育保险费</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203,321.16</w:t>
            </w:r>
          </w:p>
        </w:tc>
        <w:tc>
          <w:tcPr>
            <w:tcW w:w="1681" w:type="dxa"/>
            <w:tcBorders>
              <w:top w:val="nil" w:sz="6" w:space="0" w:color="auto"/>
              <w:left w:val="single" w:sz="2"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203,246.26</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z w:val="21"/>
              </w:rPr>
              <w:t>74.90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6,434,189.02</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6,434,189.02</w:t>
            </w:r>
          </w:p>
        </w:tc>
        <w:tc>
          <w:tcPr>
            <w:tcW w:w="1786" w:type="dxa"/>
            <w:tcBorders>
              <w:top w:val="nil" w:sz="6" w:space="0" w:color="auto"/>
              <w:left w:val="single" w:sz="4" w:space="0" w:color="000000"/>
              <w:bottom w:val="nil" w:sz="6" w:space="0" w:color="auto"/>
              <w:right w:val="single" w:sz="4" w:space="0" w:color="000000"/>
            </w:tcBorders>
          </w:tcPr>
          <w:p>
            <w:pPr/>
          </w:p>
        </w:tc>
      </w:tr>
      <w:tr>
        <w:trPr>
          <w:trHeight w:val="289"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五、工会经费和职工教育费</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49,671.26</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1,381,169.41</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1,426,407.47</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4,433.20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
        </w:tc>
        <w:tc>
          <w:tcPr>
            <w:tcW w:w="1681" w:type="dxa"/>
            <w:tcBorders>
              <w:top w:val="nil" w:sz="6" w:space="0" w:color="auto"/>
              <w:left w:val="single" w:sz="2"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七、因解除劳动关系给予的补贴</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
        </w:tc>
        <w:tc>
          <w:tcPr>
            <w:tcW w:w="1681" w:type="dxa"/>
            <w:tcBorders>
              <w:top w:val="nil" w:sz="6" w:space="0" w:color="auto"/>
              <w:left w:val="single" w:sz="2"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八、其它</w:t>
            </w:r>
          </w:p>
        </w:tc>
        <w:tc>
          <w:tcPr>
            <w:tcW w:w="1680"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2" w:space="0" w:color="000000"/>
            </w:tcBorders>
          </w:tcPr>
          <w:p>
            <w:pPr/>
          </w:p>
        </w:tc>
        <w:tc>
          <w:tcPr>
            <w:tcW w:w="1681" w:type="dxa"/>
            <w:tcBorders>
              <w:top w:val="nil" w:sz="6" w:space="0" w:color="auto"/>
              <w:left w:val="single" w:sz="2"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046" w:type="dxa"/>
            <w:tcBorders>
              <w:top w:val="nil" w:sz="6" w:space="0" w:color="auto"/>
              <w:left w:val="single" w:sz="4" w:space="0" w:color="000000"/>
              <w:bottom w:val="single" w:sz="8"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680" w:type="dxa"/>
            <w:tcBorders>
              <w:top w:val="nil" w:sz="6" w:space="0" w:color="auto"/>
              <w:left w:val="single" w:sz="4" w:space="0" w:color="000000"/>
              <w:bottom w:val="single" w:sz="8" w:space="0" w:color="000000"/>
              <w:right w:val="single" w:sz="4" w:space="0" w:color="000000"/>
            </w:tcBorders>
          </w:tcPr>
          <w:p>
            <w:pPr/>
          </w:p>
        </w:tc>
        <w:tc>
          <w:tcPr>
            <w:tcW w:w="1680" w:type="dxa"/>
            <w:tcBorders>
              <w:top w:val="nil" w:sz="6" w:space="0" w:color="auto"/>
              <w:left w:val="single" w:sz="4" w:space="0" w:color="000000"/>
              <w:bottom w:val="single" w:sz="8" w:space="0" w:color="000000"/>
              <w:right w:val="single" w:sz="2" w:space="0" w:color="000000"/>
            </w:tcBorders>
          </w:tcPr>
          <w:p>
            <w:pPr/>
          </w:p>
        </w:tc>
        <w:tc>
          <w:tcPr>
            <w:tcW w:w="1681" w:type="dxa"/>
            <w:tcBorders>
              <w:top w:val="nil" w:sz="6" w:space="0" w:color="auto"/>
              <w:left w:val="single" w:sz="2" w:space="0" w:color="000000"/>
              <w:bottom w:val="single" w:sz="8" w:space="0" w:color="000000"/>
              <w:right w:val="single" w:sz="4" w:space="0" w:color="000000"/>
            </w:tcBorders>
          </w:tcPr>
          <w:p>
            <w:pPr/>
          </w:p>
        </w:tc>
        <w:tc>
          <w:tcPr>
            <w:tcW w:w="1786" w:type="dxa"/>
            <w:tcBorders>
              <w:top w:val="nil" w:sz="6" w:space="0" w:color="auto"/>
              <w:left w:val="single" w:sz="4" w:space="0" w:color="000000"/>
              <w:bottom w:val="single" w:sz="8" w:space="0" w:color="000000"/>
              <w:right w:val="single" w:sz="4" w:space="0" w:color="000000"/>
            </w:tcBorders>
          </w:tcPr>
          <w:p>
            <w:pPr/>
          </w:p>
        </w:tc>
      </w:tr>
      <w:tr>
        <w:trPr>
          <w:trHeight w:val="326" w:hRule="exact"/>
        </w:trPr>
        <w:tc>
          <w:tcPr>
            <w:tcW w:w="3046" w:type="dxa"/>
            <w:tcBorders>
              <w:top w:val="single" w:sz="8" w:space="0" w:color="000000"/>
              <w:left w:val="single" w:sz="4" w:space="0" w:color="000000"/>
              <w:bottom w:val="single" w:sz="12" w:space="0" w:color="000000"/>
              <w:right w:val="single" w:sz="4" w:space="0" w:color="000000"/>
            </w:tcBorders>
          </w:tcPr>
          <w:p>
            <w:pPr>
              <w:pStyle w:val="TableParagraph"/>
              <w:tabs>
                <w:tab w:pos="424" w:val="left" w:leader="none"/>
              </w:tabs>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8"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202,275.58</w:t>
            </w:r>
          </w:p>
        </w:tc>
        <w:tc>
          <w:tcPr>
            <w:tcW w:w="1680" w:type="dxa"/>
            <w:tcBorders>
              <w:top w:val="single" w:sz="8" w:space="0" w:color="000000"/>
              <w:left w:val="single" w:sz="4" w:space="0" w:color="000000"/>
              <w:bottom w:val="single" w:sz="12" w:space="0" w:color="000000"/>
              <w:right w:val="single" w:sz="2"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233,848,498.68</w:t>
            </w:r>
          </w:p>
        </w:tc>
        <w:tc>
          <w:tcPr>
            <w:tcW w:w="1681" w:type="dxa"/>
            <w:tcBorders>
              <w:top w:val="single" w:sz="8" w:space="0" w:color="000000"/>
              <w:left w:val="single" w:sz="2"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233,696,528.90</w:t>
            </w:r>
          </w:p>
        </w:tc>
        <w:tc>
          <w:tcPr>
            <w:tcW w:w="1786" w:type="dxa"/>
            <w:tcBorders>
              <w:top w:val="single" w:sz="8"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354,245.36</w:t>
            </w:r>
          </w:p>
        </w:tc>
      </w:tr>
    </w:tbl>
    <w:p>
      <w:pPr>
        <w:spacing w:before="86"/>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3046"/>
        <w:gridCol w:w="2100"/>
        <w:gridCol w:w="2415"/>
        <w:gridCol w:w="2312"/>
      </w:tblGrid>
      <w:tr>
        <w:trPr>
          <w:trHeight w:val="322" w:hRule="exact"/>
        </w:trPr>
        <w:tc>
          <w:tcPr>
            <w:tcW w:w="3046"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税</w:t>
              <w:tab/>
              <w:t>项</w:t>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报告期法定税率</w:t>
            </w:r>
          </w:p>
        </w:tc>
        <w:tc>
          <w:tcPr>
            <w:tcW w:w="241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7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1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72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19" w:hRule="exact"/>
        </w:trPr>
        <w:tc>
          <w:tcPr>
            <w:tcW w:w="3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10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9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r>
              <w:rPr>
                <w:rFonts w:ascii="宋体" w:hAnsi="宋体" w:cs="宋体" w:eastAsia="宋体" w:hint="default"/>
                <w:sz w:val="21"/>
                <w:szCs w:val="21"/>
              </w:rPr>
              <w:t>、</w:t>
            </w:r>
          </w:p>
          <w:p>
            <w:pPr>
              <w:pStyle w:val="TableParagraph"/>
              <w:spacing w:line="240" w:lineRule="auto" w:before="25"/>
              <w:ind w:left="98" w:right="0"/>
              <w:jc w:val="center"/>
              <w:rPr>
                <w:rFonts w:ascii="宋体" w:hAnsi="宋体" w:cs="宋体" w:eastAsia="宋体" w:hint="default"/>
                <w:sz w:val="21"/>
                <w:szCs w:val="21"/>
              </w:rPr>
            </w:pPr>
            <w:r>
              <w:rPr>
                <w:rFonts w:ascii="宋体" w:hAnsi="宋体" w:cs="宋体" w:eastAsia="宋体" w:hint="default"/>
                <w:sz w:val="21"/>
                <w:szCs w:val="21"/>
              </w:rPr>
              <w:t>12.5%</w:t>
            </w:r>
            <w:r>
              <w:rPr>
                <w:rFonts w:ascii="宋体" w:hAnsi="宋体" w:cs="宋体" w:eastAsia="宋体" w:hint="default"/>
                <w:sz w:val="21"/>
                <w:szCs w:val="21"/>
              </w:rPr>
              <w:t>、</w:t>
            </w:r>
            <w:r>
              <w:rPr>
                <w:rFonts w:ascii="宋体" w:hAnsi="宋体" w:cs="宋体" w:eastAsia="宋体" w:hint="default"/>
                <w:sz w:val="21"/>
                <w:szCs w:val="21"/>
              </w:rPr>
              <w:t>16.5%</w:t>
            </w:r>
          </w:p>
        </w:tc>
        <w:tc>
          <w:tcPr>
            <w:tcW w:w="24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18,651,833.71</w:t>
            </w:r>
          </w:p>
        </w:tc>
        <w:tc>
          <w:tcPr>
            <w:tcW w:w="2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10,996,928.66</w:t>
            </w:r>
          </w:p>
        </w:tc>
      </w:tr>
      <w:tr>
        <w:trPr>
          <w:trHeight w:val="289"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98" w:right="0"/>
              <w:jc w:val="center"/>
              <w:rPr>
                <w:rFonts w:ascii="宋体" w:hAnsi="宋体" w:cs="宋体" w:eastAsia="宋体" w:hint="default"/>
                <w:sz w:val="21"/>
                <w:szCs w:val="21"/>
              </w:rPr>
            </w:pPr>
            <w:r>
              <w:rPr>
                <w:rFonts w:ascii="宋体"/>
                <w:sz w:val="21"/>
              </w:rPr>
              <w:t>17%</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-10,379,286.30</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-4,317,371.41</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98"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8,035,118.07</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7,026,767.63</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93" w:right="0"/>
              <w:jc w:val="center"/>
              <w:rPr>
                <w:rFonts w:ascii="宋体" w:hAnsi="宋体" w:cs="宋体" w:eastAsia="宋体" w:hint="default"/>
                <w:sz w:val="21"/>
                <w:szCs w:val="21"/>
              </w:rPr>
            </w:pPr>
            <w:r>
              <w:rPr>
                <w:rFonts w:ascii="宋体"/>
                <w:sz w:val="21"/>
              </w:rPr>
              <w:t>7%</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1,538,321.15</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1,073,148.75</w:t>
            </w:r>
          </w:p>
        </w:tc>
      </w:tr>
      <w:tr>
        <w:trPr>
          <w:trHeight w:val="297"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9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1%</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664,113.02</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460,930.82</w:t>
            </w:r>
          </w:p>
        </w:tc>
      </w:tr>
    </w:tbl>
    <w:p>
      <w:pPr>
        <w:spacing w:after="0" w:line="266" w:lineRule="exact"/>
        <w:jc w:val="right"/>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3046"/>
        <w:gridCol w:w="2100"/>
        <w:gridCol w:w="2415"/>
        <w:gridCol w:w="2312"/>
      </w:tblGrid>
      <w:tr>
        <w:trPr>
          <w:trHeight w:val="318" w:hRule="exact"/>
        </w:trPr>
        <w:tc>
          <w:tcPr>
            <w:tcW w:w="3046" w:type="dxa"/>
            <w:tcBorders>
              <w:top w:val="single" w:sz="6" w:space="0" w:color="000000"/>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10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left="93" w:right="0"/>
              <w:jc w:val="center"/>
              <w:rPr>
                <w:rFonts w:ascii="宋体" w:hAnsi="宋体" w:cs="宋体" w:eastAsia="宋体" w:hint="default"/>
                <w:sz w:val="21"/>
                <w:szCs w:val="21"/>
              </w:rPr>
            </w:pPr>
            <w:r>
              <w:rPr>
                <w:rFonts w:ascii="宋体"/>
                <w:sz w:val="21"/>
              </w:rPr>
              <w:t>2%</w:t>
            </w:r>
          </w:p>
        </w:tc>
        <w:tc>
          <w:tcPr>
            <w:tcW w:w="241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z w:val="21"/>
              </w:rPr>
              <w:t>-3.05</w:t>
            </w:r>
          </w:p>
        </w:tc>
        <w:tc>
          <w:tcPr>
            <w:tcW w:w="231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19,479.35</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10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98" w:right="0"/>
              <w:jc w:val="center"/>
              <w:rPr>
                <w:rFonts w:ascii="宋体" w:hAnsi="宋体" w:cs="宋体" w:eastAsia="宋体" w:hint="default"/>
                <w:sz w:val="21"/>
                <w:szCs w:val="21"/>
              </w:rPr>
            </w:pPr>
            <w:r>
              <w:rPr>
                <w:rFonts w:ascii="宋体" w:hAnsi="宋体" w:cs="宋体" w:eastAsia="宋体" w:hint="default"/>
                <w:sz w:val="21"/>
                <w:szCs w:val="21"/>
              </w:rPr>
              <w:t>超额累进税率</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818,653.35</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890,379.23</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100"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112,306.00</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112,306.00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100"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4,728.00</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4,728.00</w:t>
            </w:r>
          </w:p>
        </w:tc>
      </w:tr>
      <w:tr>
        <w:trPr>
          <w:trHeight w:val="300" w:hRule="exact"/>
        </w:trPr>
        <w:tc>
          <w:tcPr>
            <w:tcW w:w="304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100" w:type="dxa"/>
            <w:tcBorders>
              <w:top w:val="nil" w:sz="6" w:space="0" w:color="auto"/>
              <w:left w:val="single" w:sz="4" w:space="0" w:color="000000"/>
              <w:bottom w:val="nil" w:sz="6" w:space="0" w:color="auto"/>
              <w:right w:val="single" w:sz="4" w:space="0" w:color="000000"/>
            </w:tcBorders>
          </w:tcPr>
          <w:p>
            <w:pP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13,498.63</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50,236.61</w:t>
            </w:r>
          </w:p>
        </w:tc>
      </w:tr>
      <w:tr>
        <w:trPr>
          <w:trHeight w:val="301" w:hRule="exact"/>
        </w:trPr>
        <w:tc>
          <w:tcPr>
            <w:tcW w:w="304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7"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10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98"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w:t>
            </w:r>
          </w:p>
        </w:tc>
        <w:tc>
          <w:tcPr>
            <w:tcW w:w="241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2,320.42</w:t>
            </w:r>
          </w:p>
        </w:tc>
        <w:tc>
          <w:tcPr>
            <w:tcW w:w="2312"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2,360.38</w:t>
            </w:r>
          </w:p>
        </w:tc>
      </w:tr>
      <w:tr>
        <w:trPr>
          <w:trHeight w:val="317" w:hRule="exact"/>
        </w:trPr>
        <w:tc>
          <w:tcPr>
            <w:tcW w:w="3046"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00" w:type="dxa"/>
            <w:tcBorders>
              <w:top w:val="single" w:sz="4" w:space="0" w:color="000000"/>
              <w:left w:val="single" w:sz="4" w:space="0" w:color="000000"/>
              <w:bottom w:val="single" w:sz="12" w:space="0" w:color="000000"/>
              <w:right w:val="single" w:sz="4" w:space="0" w:color="000000"/>
            </w:tcBorders>
          </w:tcPr>
          <w:p>
            <w:pP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19,461,603.00</w:t>
            </w:r>
          </w:p>
        </w:tc>
        <w:tc>
          <w:tcPr>
            <w:tcW w:w="231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16,319,894.02</w:t>
            </w:r>
          </w:p>
        </w:tc>
      </w:tr>
    </w:tbl>
    <w:p>
      <w:pPr>
        <w:spacing w:before="2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3466"/>
        <w:gridCol w:w="2100"/>
        <w:gridCol w:w="1635"/>
        <w:gridCol w:w="2672"/>
      </w:tblGrid>
      <w:tr>
        <w:trPr>
          <w:trHeight w:val="341" w:hRule="exact"/>
        </w:trPr>
        <w:tc>
          <w:tcPr>
            <w:tcW w:w="3466" w:type="dxa"/>
            <w:tcBorders>
              <w:top w:val="single" w:sz="12"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明</w:t>
              <w:tab/>
              <w:t>细</w:t>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6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6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746" w:right="0"/>
              <w:jc w:val="left"/>
              <w:rPr>
                <w:rFonts w:ascii="宋体" w:hAnsi="宋体" w:cs="宋体" w:eastAsia="宋体" w:hint="default"/>
                <w:sz w:val="21"/>
                <w:szCs w:val="21"/>
              </w:rPr>
            </w:pPr>
            <w:r>
              <w:rPr>
                <w:rFonts w:ascii="宋体" w:hAnsi="宋体" w:cs="宋体" w:eastAsia="宋体" w:hint="default"/>
                <w:sz w:val="21"/>
                <w:szCs w:val="21"/>
              </w:rPr>
              <w:t>未付原因说明</w:t>
            </w:r>
          </w:p>
        </w:tc>
      </w:tr>
      <w:tr>
        <w:trPr>
          <w:trHeight w:val="308" w:hRule="exact"/>
        </w:trPr>
        <w:tc>
          <w:tcPr>
            <w:tcW w:w="3466"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29"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北京东华诚信电脑科技发展有限公司</w:t>
            </w:r>
          </w:p>
        </w:tc>
        <w:tc>
          <w:tcPr>
            <w:tcW w:w="2100" w:type="dxa"/>
            <w:vMerge w:val="restart"/>
            <w:tcBorders>
              <w:top w:val="single" w:sz="4" w:space="0" w:color="000000"/>
              <w:left w:val="single" w:sz="4" w:space="0" w:color="000000"/>
              <w:right w:val="single" w:sz="4" w:space="0" w:color="000000"/>
            </w:tcBorders>
          </w:tcPr>
          <w:p>
            <w:pPr>
              <w:pStyle w:val="TableParagraph"/>
              <w:spacing w:line="270" w:lineRule="exact"/>
              <w:ind w:left="830" w:right="-3"/>
              <w:jc w:val="left"/>
              <w:rPr>
                <w:rFonts w:ascii="宋体" w:hAnsi="宋体" w:cs="宋体" w:eastAsia="宋体" w:hint="default"/>
                <w:sz w:val="21"/>
                <w:szCs w:val="21"/>
              </w:rPr>
            </w:pPr>
            <w:r>
              <w:rPr>
                <w:rFonts w:ascii="宋体"/>
                <w:sz w:val="21"/>
              </w:rPr>
              <w:t>2,633,220.20</w:t>
            </w:r>
          </w:p>
        </w:tc>
        <w:tc>
          <w:tcPr>
            <w:tcW w:w="163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10,191,828.20</w:t>
            </w:r>
          </w:p>
        </w:tc>
        <w:tc>
          <w:tcPr>
            <w:tcW w:w="2672" w:type="dxa"/>
            <w:vMerge w:val="restart"/>
            <w:tcBorders>
              <w:top w:val="single" w:sz="4" w:space="0" w:color="000000"/>
              <w:left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300" w:hRule="exact"/>
        </w:trPr>
        <w:tc>
          <w:tcPr>
            <w:tcW w:w="34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9"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2100" w:type="dxa"/>
            <w:vMerge/>
            <w:tcBorders>
              <w:left w:val="single" w:sz="4" w:space="0" w:color="000000"/>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6,575,096.50</w:t>
            </w:r>
          </w:p>
        </w:tc>
        <w:tc>
          <w:tcPr>
            <w:tcW w:w="2672" w:type="dxa"/>
            <w:vMerge/>
            <w:tcBorders>
              <w:left w:val="single" w:sz="4" w:space="0" w:color="000000"/>
              <w:right w:val="single" w:sz="4" w:space="0" w:color="000000"/>
            </w:tcBorders>
          </w:tcPr>
          <w:p>
            <w:pPr/>
          </w:p>
        </w:tc>
      </w:tr>
      <w:tr>
        <w:trPr>
          <w:trHeight w:val="302" w:hRule="exact"/>
        </w:trPr>
        <w:tc>
          <w:tcPr>
            <w:tcW w:w="346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9" w:right="0"/>
              <w:jc w:val="left"/>
              <w:rPr>
                <w:rFonts w:ascii="宋体" w:hAnsi="宋体" w:cs="宋体" w:eastAsia="宋体" w:hint="default"/>
                <w:sz w:val="21"/>
                <w:szCs w:val="21"/>
              </w:rPr>
            </w:pPr>
            <w:r>
              <w:rPr>
                <w:rFonts w:ascii="宋体" w:hAnsi="宋体" w:cs="宋体" w:eastAsia="宋体" w:hint="default"/>
                <w:sz w:val="21"/>
                <w:szCs w:val="21"/>
              </w:rPr>
              <w:t>北京合创电商投资顾问有限公司</w:t>
            </w:r>
          </w:p>
        </w:tc>
        <w:tc>
          <w:tcPr>
            <w:tcW w:w="2100" w:type="dxa"/>
            <w:vMerge/>
            <w:tcBorders>
              <w:left w:val="single" w:sz="4" w:space="0" w:color="000000"/>
              <w:bottom w:val="single" w:sz="4" w:space="0" w:color="000000"/>
              <w:right w:val="single" w:sz="4" w:space="0" w:color="000000"/>
            </w:tcBorders>
          </w:tcPr>
          <w:p>
            <w:pPr/>
          </w:p>
        </w:tc>
        <w:tc>
          <w:tcPr>
            <w:tcW w:w="1635"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2"/>
              <w:jc w:val="right"/>
              <w:rPr>
                <w:rFonts w:ascii="宋体" w:hAnsi="宋体" w:cs="宋体" w:eastAsia="宋体" w:hint="default"/>
                <w:sz w:val="21"/>
                <w:szCs w:val="21"/>
              </w:rPr>
            </w:pPr>
            <w:r>
              <w:rPr>
                <w:rFonts w:ascii="宋体"/>
                <w:spacing w:val="-1"/>
                <w:sz w:val="21"/>
              </w:rPr>
              <w:t>2,358,365.40</w:t>
            </w:r>
          </w:p>
        </w:tc>
        <w:tc>
          <w:tcPr>
            <w:tcW w:w="2672" w:type="dxa"/>
            <w:vMerge/>
            <w:tcBorders>
              <w:left w:val="single" w:sz="4" w:space="0" w:color="000000"/>
              <w:bottom w:val="single" w:sz="4" w:space="0" w:color="000000"/>
              <w:right w:val="single" w:sz="4" w:space="0" w:color="000000"/>
            </w:tcBorders>
          </w:tcPr>
          <w:p>
            <w:pPr/>
          </w:p>
        </w:tc>
      </w:tr>
      <w:tr>
        <w:trPr>
          <w:trHeight w:val="338" w:hRule="exact"/>
        </w:trPr>
        <w:tc>
          <w:tcPr>
            <w:tcW w:w="346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828" w:right="-1"/>
              <w:jc w:val="left"/>
              <w:rPr>
                <w:rFonts w:ascii="宋体" w:hAnsi="宋体" w:cs="宋体" w:eastAsia="宋体" w:hint="default"/>
                <w:sz w:val="21"/>
                <w:szCs w:val="21"/>
              </w:rPr>
            </w:pPr>
            <w:r>
              <w:rPr>
                <w:rFonts w:ascii="宋体"/>
                <w:sz w:val="21"/>
              </w:rPr>
              <w:t>2,633,220.20</w:t>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3"/>
              <w:jc w:val="right"/>
              <w:rPr>
                <w:rFonts w:ascii="宋体" w:hAnsi="宋体" w:cs="宋体" w:eastAsia="宋体" w:hint="default"/>
                <w:sz w:val="21"/>
                <w:szCs w:val="21"/>
              </w:rPr>
            </w:pPr>
            <w:r>
              <w:rPr>
                <w:rFonts w:ascii="宋体"/>
                <w:spacing w:val="-1"/>
                <w:sz w:val="21"/>
              </w:rPr>
              <w:t>19,125,290.10</w:t>
            </w:r>
          </w:p>
        </w:tc>
        <w:tc>
          <w:tcPr>
            <w:tcW w:w="2672" w:type="dxa"/>
            <w:tcBorders>
              <w:top w:val="single" w:sz="4" w:space="0" w:color="000000"/>
              <w:left w:val="single" w:sz="4" w:space="0" w:color="000000"/>
              <w:bottom w:val="single" w:sz="12" w:space="0" w:color="000000"/>
              <w:right w:val="single" w:sz="4" w:space="0" w:color="000000"/>
            </w:tcBorders>
          </w:tcPr>
          <w:p>
            <w:pPr/>
          </w:p>
        </w:tc>
      </w:tr>
    </w:tbl>
    <w:p>
      <w:pPr>
        <w:spacing w:before="8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0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）其他应付款账龄分析如下：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101"/>
        <w:gridCol w:w="2415"/>
        <w:gridCol w:w="1418"/>
        <w:gridCol w:w="2468"/>
        <w:gridCol w:w="1472"/>
      </w:tblGrid>
      <w:tr>
        <w:trPr>
          <w:trHeight w:val="319" w:hRule="exact"/>
        </w:trPr>
        <w:tc>
          <w:tcPr>
            <w:tcW w:w="2101" w:type="dxa"/>
            <w:vMerge w:val="restart"/>
            <w:tcBorders>
              <w:top w:val="single" w:sz="12" w:space="0" w:color="000000"/>
              <w:left w:val="single" w:sz="4" w:space="0" w:color="000000"/>
              <w:right w:val="single" w:sz="4" w:space="0" w:color="000000"/>
            </w:tcBorders>
          </w:tcPr>
          <w:p>
            <w:pPr>
              <w:pStyle w:val="TableParagraph"/>
              <w:tabs>
                <w:tab w:pos="1187" w:val="left" w:leader="none"/>
              </w:tabs>
              <w:spacing w:line="240" w:lineRule="auto" w:before="129"/>
              <w:ind w:left="66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2101" w:type="dxa"/>
            <w:vMerge/>
            <w:tcBorders>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1449" w:val="left" w:leader="none"/>
              </w:tabs>
              <w:spacing w:line="248" w:lineRule="exact"/>
              <w:ind w:left="92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0"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2"/>
                <w:sz w:val="21"/>
                <w:szCs w:val="21"/>
              </w:rPr>
              <w:t> </w:t>
            </w:r>
            <w:r>
              <w:rPr>
                <w:rFonts w:ascii="宋体" w:hAnsi="宋体" w:cs="宋体" w:eastAsia="宋体" w:hint="default"/>
                <w:sz w:val="21"/>
                <w:szCs w:val="21"/>
              </w:rPr>
              <w:t>例</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1476" w:val="left" w:leader="none"/>
              </w:tabs>
              <w:spacing w:line="248" w:lineRule="exact"/>
              <w:ind w:left="95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r>
      <w:tr>
        <w:trPr>
          <w:trHeight w:val="310" w:hRule="exact"/>
        </w:trPr>
        <w:tc>
          <w:tcPr>
            <w:tcW w:w="2101"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15"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13,389,189.75</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84.73%</w:t>
            </w:r>
          </w:p>
        </w:tc>
        <w:tc>
          <w:tcPr>
            <w:tcW w:w="2468"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5,205,800.38</w:t>
            </w:r>
          </w:p>
        </w:tc>
        <w:tc>
          <w:tcPr>
            <w:tcW w:w="1472"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z w:val="21"/>
              </w:rPr>
              <w:t>64.93%</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737,038.76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4.66%</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1,843,461.41</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22.99%</w:t>
            </w:r>
          </w:p>
        </w:tc>
      </w:tr>
      <w:tr>
        <w:trPr>
          <w:trHeight w:val="300" w:hRule="exact"/>
        </w:trPr>
        <w:tc>
          <w:tcPr>
            <w:tcW w:w="21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241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780,911.94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4.94%</w:t>
            </w:r>
          </w:p>
        </w:tc>
        <w:tc>
          <w:tcPr>
            <w:tcW w:w="246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663,187.68</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8.28%</w:t>
            </w:r>
          </w:p>
        </w:tc>
      </w:tr>
      <w:tr>
        <w:trPr>
          <w:trHeight w:val="301" w:hRule="exact"/>
        </w:trPr>
        <w:tc>
          <w:tcPr>
            <w:tcW w:w="2101"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15"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1"/>
                <w:szCs w:val="21"/>
              </w:rPr>
            </w:pPr>
            <w:r>
              <w:rPr>
                <w:rFonts w:ascii="宋体"/>
                <w:spacing w:val="-1"/>
                <w:sz w:val="21"/>
              </w:rPr>
              <w:t>894,585.26</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5.67%</w:t>
            </w:r>
          </w:p>
        </w:tc>
        <w:tc>
          <w:tcPr>
            <w:tcW w:w="246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spacing w:val="-1"/>
                <w:sz w:val="21"/>
              </w:rPr>
              <w:t>304,722.45</w:t>
            </w:r>
          </w:p>
        </w:tc>
        <w:tc>
          <w:tcPr>
            <w:tcW w:w="1472"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1"/>
                <w:szCs w:val="21"/>
              </w:rPr>
            </w:pPr>
            <w:r>
              <w:rPr>
                <w:rFonts w:ascii="宋体"/>
                <w:sz w:val="21"/>
              </w:rPr>
              <w:t>3.80%</w:t>
            </w:r>
          </w:p>
        </w:tc>
      </w:tr>
      <w:tr>
        <w:trPr>
          <w:trHeight w:val="317" w:hRule="exact"/>
        </w:trPr>
        <w:tc>
          <w:tcPr>
            <w:tcW w:w="2101"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2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15,801,725.71</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c>
          <w:tcPr>
            <w:tcW w:w="24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8,017,171.92</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100.00%</w:t>
            </w:r>
          </w:p>
        </w:tc>
      </w:tr>
    </w:tbl>
    <w:p>
      <w:pPr>
        <w:spacing w:line="297" w:lineRule="auto" w:before="28"/>
        <w:ind w:left="124" w:right="1265"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）其他应付款期末余额中，应付持有本公司 </w:t>
      </w:r>
      <w:r>
        <w:rPr>
          <w:rFonts w:ascii="宋体" w:hAnsi="宋体" w:cs="宋体" w:eastAsia="宋体" w:hint="default"/>
          <w:spacing w:val="-4"/>
          <w:sz w:val="21"/>
          <w:szCs w:val="21"/>
        </w:rPr>
        <w:t>5.00%</w:t>
      </w:r>
      <w:r>
        <w:rPr>
          <w:rFonts w:ascii="宋体" w:hAnsi="宋体" w:cs="宋体" w:eastAsia="宋体" w:hint="default"/>
          <w:spacing w:val="-4"/>
          <w:sz w:val="21"/>
          <w:szCs w:val="21"/>
        </w:rPr>
        <w:t>以上（含</w:t>
      </w:r>
      <w:r>
        <w:rPr>
          <w:rFonts w:ascii="宋体" w:hAnsi="宋体" w:cs="宋体" w:eastAsia="宋体" w:hint="default"/>
          <w:spacing w:val="-31"/>
          <w:sz w:val="21"/>
          <w:szCs w:val="21"/>
        </w:rPr>
        <w:t> </w:t>
      </w:r>
      <w:r>
        <w:rPr>
          <w:rFonts w:ascii="宋体" w:hAnsi="宋体" w:cs="宋体" w:eastAsia="宋体" w:hint="default"/>
          <w:spacing w:val="-3"/>
          <w:sz w:val="21"/>
          <w:szCs w:val="21"/>
        </w:rPr>
        <w:t>5.00%</w:t>
      </w:r>
      <w:r>
        <w:rPr>
          <w:rFonts w:ascii="宋体" w:hAnsi="宋体" w:cs="宋体" w:eastAsia="宋体" w:hint="default"/>
          <w:spacing w:val="-3"/>
          <w:sz w:val="21"/>
          <w:szCs w:val="21"/>
        </w:rPr>
        <w:t>）股份的股东单位的往来</w:t>
      </w:r>
      <w:r>
        <w:rPr>
          <w:rFonts w:ascii="宋体" w:hAnsi="宋体" w:cs="宋体" w:eastAsia="宋体" w:hint="default"/>
          <w:w w:val="100"/>
          <w:sz w:val="21"/>
          <w:szCs w:val="21"/>
        </w:rPr>
        <w:t> </w:t>
      </w:r>
      <w:r>
        <w:rPr>
          <w:rFonts w:ascii="宋体" w:hAnsi="宋体" w:cs="宋体" w:eastAsia="宋体" w:hint="default"/>
          <w:sz w:val="21"/>
          <w:szCs w:val="21"/>
        </w:rPr>
        <w:t>款项如下：</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307"/>
        <w:gridCol w:w="1819"/>
        <w:gridCol w:w="1820"/>
        <w:gridCol w:w="1928"/>
      </w:tblGrid>
      <w:tr>
        <w:trPr>
          <w:trHeight w:val="319" w:hRule="exact"/>
        </w:trPr>
        <w:tc>
          <w:tcPr>
            <w:tcW w:w="430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1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2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2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r>
      <w:tr>
        <w:trPr>
          <w:trHeight w:val="312"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4"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3,180,000.00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7"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17" w:hRule="exact"/>
        </w:trPr>
        <w:tc>
          <w:tcPr>
            <w:tcW w:w="4307" w:type="dxa"/>
            <w:tcBorders>
              <w:top w:val="single" w:sz="4" w:space="0" w:color="000000"/>
              <w:left w:val="single" w:sz="4" w:space="0" w:color="000000"/>
              <w:bottom w:val="single" w:sz="12" w:space="0" w:color="000000"/>
              <w:right w:val="single" w:sz="4" w:space="0" w:color="000000"/>
            </w:tcBorders>
          </w:tcPr>
          <w:p>
            <w:pPr>
              <w:pStyle w:val="TableParagraph"/>
              <w:tabs>
                <w:tab w:pos="441" w:val="left" w:leader="none"/>
              </w:tabs>
              <w:spacing w:line="270"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3,180,000.00</w:t>
            </w:r>
          </w:p>
        </w:tc>
        <w:tc>
          <w:tcPr>
            <w:tcW w:w="1820" w:type="dxa"/>
            <w:tcBorders>
              <w:top w:val="single" w:sz="4" w:space="0" w:color="000000"/>
              <w:left w:val="single" w:sz="4" w:space="0" w:color="000000"/>
              <w:bottom w:val="single" w:sz="12" w:space="0" w:color="000000"/>
              <w:right w:val="single" w:sz="4" w:space="0" w:color="000000"/>
            </w:tcBorders>
          </w:tcPr>
          <w:p>
            <w:pPr/>
          </w:p>
        </w:tc>
        <w:tc>
          <w:tcPr>
            <w:tcW w:w="1928" w:type="dxa"/>
            <w:tcBorders>
              <w:top w:val="single" w:sz="4" w:space="0" w:color="000000"/>
              <w:left w:val="single" w:sz="4" w:space="0" w:color="000000"/>
              <w:bottom w:val="single" w:sz="12" w:space="0" w:color="000000"/>
              <w:right w:val="single" w:sz="4" w:space="0" w:color="000000"/>
            </w:tcBorders>
          </w:tcPr>
          <w:p>
            <w:pPr/>
          </w:p>
        </w:tc>
      </w:tr>
    </w:tbl>
    <w:p>
      <w:pPr>
        <w:spacing w:line="372" w:lineRule="auto" w:before="28"/>
        <w:ind w:left="544" w:right="15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）账龄超过一年的大额其他应付款情况的说明：</w:t>
      </w:r>
      <w:r>
        <w:rPr>
          <w:rFonts w:ascii="宋体" w:hAnsi="宋体" w:cs="宋体" w:eastAsia="宋体" w:hint="default"/>
          <w:w w:val="100"/>
          <w:sz w:val="21"/>
          <w:szCs w:val="21"/>
        </w:rPr>
        <w:t> </w:t>
      </w:r>
      <w:r>
        <w:rPr>
          <w:rFonts w:ascii="宋体" w:hAnsi="宋体" w:cs="宋体" w:eastAsia="宋体" w:hint="default"/>
          <w:spacing w:val="-5"/>
          <w:sz w:val="21"/>
          <w:szCs w:val="21"/>
        </w:rPr>
        <w:t>其他应付款期末余额中，账龄超过一年的其他应付款为</w:t>
      </w:r>
      <w:r>
        <w:rPr>
          <w:rFonts w:ascii="宋体" w:hAnsi="宋体" w:cs="宋体" w:eastAsia="宋体" w:hint="default"/>
          <w:spacing w:val="-33"/>
          <w:sz w:val="21"/>
          <w:szCs w:val="21"/>
        </w:rPr>
        <w:t> </w:t>
      </w:r>
      <w:r>
        <w:rPr>
          <w:rFonts w:ascii="宋体" w:hAnsi="宋体" w:cs="宋体" w:eastAsia="宋体" w:hint="default"/>
          <w:sz w:val="21"/>
          <w:szCs w:val="21"/>
        </w:rPr>
        <w:t>2,412,535.96</w:t>
      </w:r>
      <w:r>
        <w:rPr>
          <w:rFonts w:ascii="宋体" w:hAnsi="宋体" w:cs="宋体" w:eastAsia="宋体" w:hint="default"/>
          <w:spacing w:val="-33"/>
          <w:sz w:val="21"/>
          <w:szCs w:val="21"/>
        </w:rPr>
        <w:t> </w:t>
      </w:r>
      <w:r>
        <w:rPr>
          <w:rFonts w:ascii="宋体" w:hAnsi="宋体" w:cs="宋体" w:eastAsia="宋体" w:hint="default"/>
          <w:spacing w:val="-11"/>
          <w:sz w:val="21"/>
          <w:szCs w:val="21"/>
        </w:rPr>
        <w:t>元，所占比例为</w:t>
      </w:r>
      <w:r>
        <w:rPr>
          <w:rFonts w:ascii="宋体" w:hAnsi="宋体" w:cs="宋体" w:eastAsia="宋体" w:hint="default"/>
          <w:spacing w:val="-34"/>
          <w:sz w:val="21"/>
          <w:szCs w:val="21"/>
        </w:rPr>
        <w:t> </w:t>
      </w:r>
      <w:r>
        <w:rPr>
          <w:rFonts w:ascii="宋体" w:hAnsi="宋体" w:cs="宋体" w:eastAsia="宋体" w:hint="default"/>
          <w:sz w:val="21"/>
          <w:szCs w:val="21"/>
        </w:rPr>
        <w:t>15.27%</w:t>
      </w:r>
      <w:r>
        <w:rPr>
          <w:rFonts w:ascii="宋体" w:hAnsi="宋体" w:cs="宋体" w:eastAsia="宋体" w:hint="default"/>
          <w:sz w:val="21"/>
          <w:szCs w:val="21"/>
        </w:rPr>
        <w:t>，</w:t>
      </w:r>
    </w:p>
    <w:p>
      <w:pPr>
        <w:spacing w:line="225" w:lineRule="exact" w:before="0"/>
        <w:ind w:left="124" w:right="4204" w:firstLine="0"/>
        <w:jc w:val="left"/>
        <w:rPr>
          <w:rFonts w:ascii="宋体" w:hAnsi="宋体" w:cs="宋体" w:eastAsia="宋体" w:hint="default"/>
          <w:sz w:val="21"/>
          <w:szCs w:val="21"/>
        </w:rPr>
      </w:pPr>
      <w:r>
        <w:rPr>
          <w:rFonts w:ascii="宋体" w:hAnsi="宋体" w:cs="宋体" w:eastAsia="宋体" w:hint="default"/>
          <w:sz w:val="21"/>
          <w:szCs w:val="21"/>
        </w:rPr>
        <w:t>无大额异常的应付款项。</w:t>
      </w:r>
    </w:p>
    <w:p>
      <w:pPr>
        <w:spacing w:before="126"/>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）其他应付款期末余额前五名单位情况：</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1224"/>
        <w:gridCol w:w="1380"/>
        <w:gridCol w:w="1001"/>
        <w:gridCol w:w="2117"/>
      </w:tblGrid>
      <w:tr>
        <w:trPr>
          <w:trHeight w:val="619" w:hRule="exact"/>
        </w:trPr>
        <w:tc>
          <w:tcPr>
            <w:tcW w:w="3231"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24"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501" w:right="77"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117"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842" w:right="105" w:hanging="737"/>
              <w:jc w:val="left"/>
              <w:rPr>
                <w:rFonts w:ascii="宋体" w:hAnsi="宋体" w:cs="宋体" w:eastAsia="宋体" w:hint="default"/>
                <w:sz w:val="21"/>
                <w:szCs w:val="21"/>
              </w:rPr>
            </w:pPr>
            <w:r>
              <w:rPr>
                <w:rFonts w:ascii="宋体" w:hAnsi="宋体" w:cs="宋体" w:eastAsia="宋体" w:hint="default"/>
                <w:sz w:val="21"/>
                <w:szCs w:val="21"/>
              </w:rPr>
              <w:t>占其他应付款总额的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608" w:hRule="exact"/>
        </w:trPr>
        <w:tc>
          <w:tcPr>
            <w:tcW w:w="3231"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74"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w:t>
            </w:r>
          </w:p>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3,180,000.00</w:t>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686"/>
              <w:jc w:val="right"/>
              <w:rPr>
                <w:rFonts w:ascii="宋体" w:hAnsi="宋体" w:cs="宋体" w:eastAsia="宋体" w:hint="default"/>
                <w:sz w:val="21"/>
                <w:szCs w:val="21"/>
              </w:rPr>
            </w:pPr>
            <w:r>
              <w:rPr>
                <w:rFonts w:ascii="宋体"/>
                <w:sz w:val="21"/>
              </w:rPr>
              <w:t>20.12%</w:t>
            </w:r>
          </w:p>
        </w:tc>
      </w:tr>
      <w:tr>
        <w:trPr>
          <w:trHeight w:val="300" w:hRule="exact"/>
        </w:trPr>
        <w:tc>
          <w:tcPr>
            <w:tcW w:w="323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4" w:right="0"/>
              <w:jc w:val="left"/>
              <w:rPr>
                <w:rFonts w:ascii="宋体" w:hAnsi="宋体" w:cs="宋体" w:eastAsia="宋体" w:hint="default"/>
                <w:sz w:val="21"/>
                <w:szCs w:val="21"/>
              </w:rPr>
            </w:pPr>
            <w:r>
              <w:rPr>
                <w:rFonts w:ascii="宋体" w:hAnsi="宋体" w:cs="宋体" w:eastAsia="宋体" w:hint="default"/>
                <w:sz w:val="21"/>
                <w:szCs w:val="21"/>
              </w:rPr>
              <w:t>内蒙古合创信息技术有限公司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2,496,887.14</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11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686"/>
              <w:jc w:val="right"/>
              <w:rPr>
                <w:rFonts w:ascii="宋体" w:hAnsi="宋体" w:cs="宋体" w:eastAsia="宋体" w:hint="default"/>
                <w:sz w:val="21"/>
                <w:szCs w:val="21"/>
              </w:rPr>
            </w:pPr>
            <w:r>
              <w:rPr>
                <w:rFonts w:ascii="宋体"/>
                <w:sz w:val="21"/>
              </w:rPr>
              <w:t>15.80%</w:t>
            </w:r>
          </w:p>
        </w:tc>
      </w:tr>
      <w:tr>
        <w:trPr>
          <w:trHeight w:val="300" w:hRule="exact"/>
        </w:trPr>
        <w:tc>
          <w:tcPr>
            <w:tcW w:w="323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4" w:right="0"/>
              <w:jc w:val="left"/>
              <w:rPr>
                <w:rFonts w:ascii="宋体" w:hAnsi="宋体" w:cs="宋体" w:eastAsia="宋体" w:hint="default"/>
                <w:sz w:val="21"/>
                <w:szCs w:val="21"/>
              </w:rPr>
            </w:pPr>
            <w:r>
              <w:rPr>
                <w:rFonts w:ascii="宋体" w:hAnsi="宋体" w:cs="宋体" w:eastAsia="宋体" w:hint="default"/>
                <w:sz w:val="21"/>
                <w:szCs w:val="21"/>
              </w:rPr>
              <w:t>江西省信息中心</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323,850.00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211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739"/>
              <w:jc w:val="right"/>
              <w:rPr>
                <w:rFonts w:ascii="宋体" w:hAnsi="宋体" w:cs="宋体" w:eastAsia="宋体" w:hint="default"/>
                <w:sz w:val="21"/>
                <w:szCs w:val="21"/>
              </w:rPr>
            </w:pPr>
            <w:r>
              <w:rPr>
                <w:rFonts w:ascii="宋体"/>
                <w:sz w:val="21"/>
              </w:rPr>
              <w:t>2.05%</w:t>
            </w:r>
          </w:p>
        </w:tc>
      </w:tr>
      <w:tr>
        <w:trPr>
          <w:trHeight w:val="300" w:hRule="exact"/>
        </w:trPr>
        <w:tc>
          <w:tcPr>
            <w:tcW w:w="323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4" w:right="0"/>
              <w:jc w:val="left"/>
              <w:rPr>
                <w:rFonts w:ascii="宋体" w:hAnsi="宋体" w:cs="宋体" w:eastAsia="宋体" w:hint="default"/>
                <w:sz w:val="21"/>
                <w:szCs w:val="21"/>
              </w:rPr>
            </w:pPr>
            <w:r>
              <w:rPr>
                <w:rFonts w:ascii="宋体" w:hAnsi="宋体" w:cs="宋体" w:eastAsia="宋体" w:hint="default"/>
                <w:sz w:val="21"/>
                <w:szCs w:val="21"/>
              </w:rPr>
              <w:t>启明信息技术股份有限公司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300,000.00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11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739"/>
              <w:jc w:val="right"/>
              <w:rPr>
                <w:rFonts w:ascii="宋体" w:hAnsi="宋体" w:cs="宋体" w:eastAsia="宋体" w:hint="default"/>
                <w:sz w:val="21"/>
                <w:szCs w:val="21"/>
              </w:rPr>
            </w:pPr>
            <w:r>
              <w:rPr>
                <w:rFonts w:ascii="宋体"/>
                <w:sz w:val="21"/>
              </w:rPr>
              <w:t>1.90%</w:t>
            </w:r>
          </w:p>
        </w:tc>
      </w:tr>
      <w:tr>
        <w:trPr>
          <w:trHeight w:val="297" w:hRule="exact"/>
        </w:trPr>
        <w:tc>
          <w:tcPr>
            <w:tcW w:w="323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74" w:right="0"/>
              <w:jc w:val="left"/>
              <w:rPr>
                <w:rFonts w:ascii="宋体" w:hAnsi="宋体" w:cs="宋体" w:eastAsia="宋体" w:hint="default"/>
                <w:sz w:val="21"/>
                <w:szCs w:val="21"/>
              </w:rPr>
            </w:pPr>
            <w:r>
              <w:rPr>
                <w:rFonts w:ascii="宋体" w:hAnsi="宋体" w:cs="宋体" w:eastAsia="宋体" w:hint="default"/>
                <w:sz w:val="21"/>
                <w:szCs w:val="21"/>
              </w:rPr>
              <w:t>中航材国际招标有限公司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300,000.00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211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686"/>
              <w:jc w:val="right"/>
              <w:rPr>
                <w:rFonts w:ascii="宋体" w:hAnsi="宋体" w:cs="宋体" w:eastAsia="宋体" w:hint="default"/>
                <w:sz w:val="21"/>
                <w:szCs w:val="21"/>
              </w:rPr>
            </w:pPr>
            <w:r>
              <w:rPr>
                <w:rFonts w:ascii="宋体"/>
                <w:sz w:val="21"/>
              </w:rPr>
              <w:t>20.12%</w:t>
            </w:r>
          </w:p>
        </w:tc>
      </w:tr>
    </w:tbl>
    <w:p>
      <w:pPr>
        <w:spacing w:after="0" w:line="266" w:lineRule="exact"/>
        <w:jc w:val="right"/>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1"/>
        <w:gridCol w:w="1224"/>
        <w:gridCol w:w="1380"/>
        <w:gridCol w:w="1001"/>
        <w:gridCol w:w="2117"/>
      </w:tblGrid>
      <w:tr>
        <w:trPr>
          <w:trHeight w:val="328" w:hRule="exact"/>
        </w:trPr>
        <w:tc>
          <w:tcPr>
            <w:tcW w:w="3231" w:type="dxa"/>
            <w:tcBorders>
              <w:top w:val="single" w:sz="12"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24" w:type="dxa"/>
            <w:tcBorders>
              <w:top w:val="single" w:sz="12" w:space="0" w:color="000000"/>
              <w:left w:val="single" w:sz="4" w:space="0" w:color="000000"/>
              <w:bottom w:val="single" w:sz="12" w:space="0" w:color="000000"/>
              <w:right w:val="single" w:sz="4" w:space="0" w:color="000000"/>
            </w:tcBorders>
          </w:tcPr>
          <w:p>
            <w:pPr/>
          </w:p>
        </w:tc>
        <w:tc>
          <w:tcPr>
            <w:tcW w:w="1380" w:type="dxa"/>
            <w:tcBorders>
              <w:top w:val="single" w:sz="12" w:space="0" w:color="000000"/>
              <w:left w:val="single" w:sz="4" w:space="0" w:color="000000"/>
              <w:bottom w:val="single" w:sz="12"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6,600,737.14</w:t>
            </w:r>
          </w:p>
        </w:tc>
        <w:tc>
          <w:tcPr>
            <w:tcW w:w="1001" w:type="dxa"/>
            <w:tcBorders>
              <w:top w:val="single" w:sz="12" w:space="0" w:color="000000"/>
              <w:left w:val="single" w:sz="4" w:space="0" w:color="000000"/>
              <w:bottom w:val="single" w:sz="12" w:space="0" w:color="000000"/>
              <w:right w:val="single" w:sz="4" w:space="0" w:color="000000"/>
            </w:tcBorders>
          </w:tcPr>
          <w:p>
            <w:pPr/>
          </w:p>
        </w:tc>
        <w:tc>
          <w:tcPr>
            <w:tcW w:w="2117" w:type="dxa"/>
            <w:tcBorders>
              <w:top w:val="single" w:sz="12" w:space="0" w:color="000000"/>
              <w:left w:val="single" w:sz="4" w:space="0" w:color="000000"/>
              <w:bottom w:val="single" w:sz="12" w:space="0" w:color="000000"/>
              <w:right w:val="single" w:sz="4" w:space="0" w:color="000000"/>
            </w:tcBorders>
          </w:tcPr>
          <w:p>
            <w:pPr>
              <w:pStyle w:val="TableParagraph"/>
              <w:spacing w:line="270" w:lineRule="exact"/>
              <w:ind w:left="784" w:right="0"/>
              <w:jc w:val="left"/>
              <w:rPr>
                <w:rFonts w:ascii="宋体" w:hAnsi="宋体" w:cs="宋体" w:eastAsia="宋体" w:hint="default"/>
                <w:sz w:val="21"/>
                <w:szCs w:val="21"/>
              </w:rPr>
            </w:pPr>
            <w:r>
              <w:rPr>
                <w:rFonts w:ascii="宋体"/>
                <w:sz w:val="21"/>
              </w:rPr>
              <w:t>59.99%</w:t>
            </w:r>
          </w:p>
        </w:tc>
      </w:tr>
    </w:tbl>
    <w:p>
      <w:pPr>
        <w:spacing w:line="243" w:lineRule="exact" w:before="0"/>
        <w:ind w:left="441"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）其他应付款的说明：</w:t>
      </w:r>
    </w:p>
    <w:p>
      <w:pPr>
        <w:spacing w:line="297" w:lineRule="auto" w:before="58"/>
        <w:ind w:left="124" w:right="1635" w:firstLine="419"/>
        <w:jc w:val="left"/>
        <w:rPr>
          <w:rFonts w:ascii="宋体" w:hAnsi="宋体" w:cs="宋体" w:eastAsia="宋体" w:hint="default"/>
          <w:sz w:val="21"/>
          <w:szCs w:val="21"/>
        </w:rPr>
      </w:pPr>
      <w:r>
        <w:rPr>
          <w:rFonts w:ascii="宋体" w:hAnsi="宋体" w:cs="宋体" w:eastAsia="宋体" w:hint="default"/>
          <w:sz w:val="21"/>
          <w:szCs w:val="21"/>
        </w:rPr>
        <w:t>其他应付款本期增加</w:t>
      </w:r>
      <w:r>
        <w:rPr>
          <w:rFonts w:ascii="宋体" w:hAnsi="宋体" w:cs="宋体" w:eastAsia="宋体" w:hint="default"/>
          <w:spacing w:val="-55"/>
          <w:sz w:val="21"/>
          <w:szCs w:val="21"/>
        </w:rPr>
        <w:t> </w:t>
      </w:r>
      <w:r>
        <w:rPr>
          <w:rFonts w:ascii="宋体" w:hAnsi="宋体" w:cs="宋体" w:eastAsia="宋体" w:hint="default"/>
          <w:sz w:val="21"/>
          <w:szCs w:val="21"/>
        </w:rPr>
        <w:t>7,784,553.79</w:t>
      </w:r>
      <w:r>
        <w:rPr>
          <w:rFonts w:ascii="宋体" w:hAnsi="宋体" w:cs="宋体" w:eastAsia="宋体" w:hint="default"/>
          <w:spacing w:val="-58"/>
          <w:sz w:val="21"/>
          <w:szCs w:val="21"/>
        </w:rPr>
        <w:t> </w:t>
      </w:r>
      <w:r>
        <w:rPr>
          <w:rFonts w:ascii="宋体" w:hAnsi="宋体" w:cs="宋体" w:eastAsia="宋体" w:hint="default"/>
          <w:spacing w:val="-3"/>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97.10%</w:t>
      </w:r>
      <w:r>
        <w:rPr>
          <w:rFonts w:ascii="宋体" w:hAnsi="宋体" w:cs="宋体" w:eastAsia="宋体" w:hint="default"/>
          <w:sz w:val="21"/>
          <w:szCs w:val="21"/>
        </w:rPr>
        <w:t>，增加的主要原因系公司本期应</w:t>
      </w:r>
      <w:r>
        <w:rPr>
          <w:rFonts w:ascii="宋体" w:hAnsi="宋体" w:cs="宋体" w:eastAsia="宋体" w:hint="default"/>
          <w:w w:val="100"/>
          <w:sz w:val="21"/>
          <w:szCs w:val="21"/>
        </w:rPr>
        <w:t> </w:t>
      </w:r>
      <w:r>
        <w:rPr>
          <w:rFonts w:ascii="宋体" w:hAnsi="宋体" w:cs="宋体" w:eastAsia="宋体" w:hint="default"/>
          <w:sz w:val="21"/>
          <w:szCs w:val="21"/>
        </w:rPr>
        <w:t>付往来款增加所致。</w:t>
      </w:r>
    </w:p>
    <w:p>
      <w:pPr>
        <w:spacing w:before="135"/>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2312"/>
        <w:gridCol w:w="1862"/>
        <w:gridCol w:w="1863"/>
        <w:gridCol w:w="1865"/>
        <w:gridCol w:w="1971"/>
      </w:tblGrid>
      <w:tr>
        <w:trPr>
          <w:trHeight w:val="319" w:hRule="exact"/>
        </w:trPr>
        <w:tc>
          <w:tcPr>
            <w:tcW w:w="231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right="85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6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71"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5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312" w:type="dxa"/>
            <w:tcBorders>
              <w:top w:val="single" w:sz="4" w:space="0" w:color="000000"/>
              <w:left w:val="single" w:sz="4" w:space="0" w:color="000000"/>
              <w:bottom w:val="single" w:sz="2" w:space="0" w:color="000000"/>
              <w:right w:val="single" w:sz="4" w:space="0" w:color="000000"/>
            </w:tcBorders>
          </w:tcPr>
          <w:p>
            <w:pPr>
              <w:pStyle w:val="TableParagraph"/>
              <w:spacing w:line="248" w:lineRule="exact"/>
              <w:ind w:left="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62"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left="475" w:right="0"/>
              <w:jc w:val="left"/>
              <w:rPr>
                <w:rFonts w:ascii="宋体" w:hAnsi="宋体" w:cs="宋体" w:eastAsia="宋体" w:hint="default"/>
                <w:sz w:val="21"/>
                <w:szCs w:val="21"/>
              </w:rPr>
            </w:pPr>
            <w:r>
              <w:rPr>
                <w:rFonts w:ascii="宋体"/>
                <w:sz w:val="21"/>
              </w:rPr>
              <w:t>17,755,839.66</w:t>
            </w:r>
          </w:p>
        </w:tc>
        <w:tc>
          <w:tcPr>
            <w:tcW w:w="1863"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sz w:val="21"/>
              </w:rPr>
              <w:t>29,720,000.00</w:t>
            </w:r>
          </w:p>
        </w:tc>
        <w:tc>
          <w:tcPr>
            <w:tcW w:w="1865"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9,000,000.00</w:t>
            </w:r>
          </w:p>
        </w:tc>
        <w:tc>
          <w:tcPr>
            <w:tcW w:w="1971"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left="583" w:right="0"/>
              <w:jc w:val="left"/>
              <w:rPr>
                <w:rFonts w:ascii="宋体" w:hAnsi="宋体" w:cs="宋体" w:eastAsia="宋体" w:hint="default"/>
                <w:sz w:val="21"/>
                <w:szCs w:val="21"/>
              </w:rPr>
            </w:pPr>
            <w:r>
              <w:rPr>
                <w:rFonts w:ascii="宋体"/>
                <w:sz w:val="21"/>
              </w:rPr>
              <w:t>38,475,839.66</w:t>
            </w:r>
          </w:p>
        </w:tc>
      </w:tr>
      <w:tr>
        <w:trPr>
          <w:trHeight w:val="317" w:hRule="exact"/>
        </w:trPr>
        <w:tc>
          <w:tcPr>
            <w:tcW w:w="2312"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85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62"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left="475" w:right="0"/>
              <w:jc w:val="left"/>
              <w:rPr>
                <w:rFonts w:ascii="宋体" w:hAnsi="宋体" w:cs="宋体" w:eastAsia="宋体" w:hint="default"/>
                <w:sz w:val="21"/>
                <w:szCs w:val="21"/>
              </w:rPr>
            </w:pPr>
            <w:r>
              <w:rPr>
                <w:rFonts w:ascii="宋体"/>
                <w:sz w:val="21"/>
              </w:rPr>
              <w:t>17,755,839.66</w:t>
            </w:r>
          </w:p>
        </w:tc>
        <w:tc>
          <w:tcPr>
            <w:tcW w:w="1863"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left="482" w:right="0"/>
              <w:jc w:val="left"/>
              <w:rPr>
                <w:rFonts w:ascii="宋体" w:hAnsi="宋体" w:cs="宋体" w:eastAsia="宋体" w:hint="default"/>
                <w:sz w:val="21"/>
                <w:szCs w:val="21"/>
              </w:rPr>
            </w:pPr>
            <w:r>
              <w:rPr>
                <w:rFonts w:ascii="宋体"/>
                <w:sz w:val="21"/>
              </w:rPr>
              <w:t>29,720,000.00</w:t>
            </w:r>
          </w:p>
        </w:tc>
        <w:tc>
          <w:tcPr>
            <w:tcW w:w="1865"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9,000,000.00</w:t>
            </w:r>
          </w:p>
        </w:tc>
        <w:tc>
          <w:tcPr>
            <w:tcW w:w="1971"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left="583" w:right="0"/>
              <w:jc w:val="left"/>
              <w:rPr>
                <w:rFonts w:ascii="宋体" w:hAnsi="宋体" w:cs="宋体" w:eastAsia="宋体" w:hint="default"/>
                <w:sz w:val="21"/>
                <w:szCs w:val="21"/>
              </w:rPr>
            </w:pPr>
            <w:r>
              <w:rPr>
                <w:rFonts w:ascii="宋体"/>
                <w:sz w:val="21"/>
              </w:rPr>
              <w:t>38,475,839.66</w:t>
            </w:r>
          </w:p>
        </w:tc>
      </w:tr>
    </w:tbl>
    <w:p>
      <w:pPr>
        <w:spacing w:before="28"/>
        <w:ind w:left="544" w:right="4204" w:firstLine="0"/>
        <w:jc w:val="left"/>
        <w:rPr>
          <w:rFonts w:ascii="宋体" w:hAnsi="宋体" w:cs="宋体" w:eastAsia="宋体" w:hint="default"/>
          <w:sz w:val="21"/>
          <w:szCs w:val="21"/>
        </w:rPr>
      </w:pPr>
      <w:r>
        <w:rPr>
          <w:rFonts w:ascii="宋体" w:hAnsi="宋体" w:cs="宋体" w:eastAsia="宋体" w:hint="default"/>
          <w:sz w:val="21"/>
          <w:szCs w:val="21"/>
        </w:rPr>
        <w:t>政府补助具体内容如下：</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941"/>
        <w:gridCol w:w="5567"/>
        <w:gridCol w:w="1366"/>
      </w:tblGrid>
      <w:tr>
        <w:trPr>
          <w:trHeight w:val="319" w:hRule="exact"/>
        </w:trPr>
        <w:tc>
          <w:tcPr>
            <w:tcW w:w="294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4"/>
                <w:szCs w:val="24"/>
              </w:rPr>
            </w:pPr>
            <w:r>
              <w:rPr>
                <w:rFonts w:ascii="宋体" w:hAnsi="宋体" w:cs="宋体" w:eastAsia="宋体" w:hint="default"/>
                <w:sz w:val="24"/>
                <w:szCs w:val="24"/>
              </w:rPr>
              <w:t>拨款单位</w:t>
            </w:r>
          </w:p>
        </w:tc>
        <w:tc>
          <w:tcPr>
            <w:tcW w:w="5567"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29"/>
              <w:jc w:val="center"/>
              <w:rPr>
                <w:rFonts w:ascii="宋体" w:hAnsi="宋体" w:cs="宋体" w:eastAsia="宋体" w:hint="default"/>
                <w:sz w:val="24"/>
                <w:szCs w:val="24"/>
              </w:rPr>
            </w:pPr>
            <w:r>
              <w:rPr>
                <w:rFonts w:ascii="宋体" w:hAnsi="宋体" w:cs="宋体" w:eastAsia="宋体" w:hint="default"/>
                <w:sz w:val="24"/>
                <w:szCs w:val="24"/>
              </w:rPr>
              <w:t>项目内容</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18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29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c>
          <w:tcPr>
            <w:tcW w:w="5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信息系统（政务、医疗）运行维护支持系统研发及产业化</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pacing w:val="-1"/>
                <w:sz w:val="18"/>
              </w:rPr>
              <w:t>4,000,000.00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北京市海淀区财政局</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促进重点创新型企业发展专项资金项目</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pacing w:val="-1"/>
                <w:sz w:val="18"/>
              </w:rPr>
              <w:t>3,000,000.00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北京市海淀区财政局</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东华</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服务智能管理系统深入研发项目</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pacing w:val="-1"/>
                <w:sz w:val="18"/>
              </w:rPr>
              <w:t>300,000.00</w:t>
            </w:r>
          </w:p>
        </w:tc>
      </w:tr>
      <w:tr>
        <w:trPr>
          <w:trHeight w:val="28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基于面向服务构架（</w:t>
            </w:r>
            <w:r>
              <w:rPr>
                <w:rFonts w:ascii="宋体" w:hAnsi="宋体" w:cs="宋体" w:eastAsia="宋体" w:hint="default"/>
                <w:sz w:val="18"/>
                <w:szCs w:val="18"/>
              </w:rPr>
              <w:t>SOA</w:t>
            </w:r>
            <w:r>
              <w:rPr>
                <w:rFonts w:ascii="宋体" w:hAnsi="宋体" w:cs="宋体" w:eastAsia="宋体" w:hint="default"/>
                <w:sz w:val="18"/>
                <w:szCs w:val="18"/>
              </w:rPr>
              <w:t>）的产品可追溯的企业管理系统研发</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pacing w:val="-1"/>
                <w:sz w:val="18"/>
              </w:rPr>
              <w:t>1,000,000.00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高速流量控制系统产业化</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3,000,000.00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云计算关键支撑软件研发与产业化（云存储服务）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5,000,000.00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气象医疗行业核心软件研发项目</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8,380,000.00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云计算的数字化医疗和区域医疗协同系统项目</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11,710,000.00</w:t>
            </w:r>
          </w:p>
        </w:tc>
      </w:tr>
      <w:tr>
        <w:trPr>
          <w:trHeight w:val="32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北京市经济和信息化委员会</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基于传感网和</w:t>
            </w:r>
            <w:r>
              <w:rPr>
                <w:rFonts w:ascii="宋体" w:hAnsi="宋体" w:cs="宋体" w:eastAsia="宋体" w:hint="default"/>
                <w:spacing w:val="-47"/>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技术的农产品质量追溯系统研发及产业化</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1,000,000.00</w:t>
            </w:r>
          </w:p>
        </w:tc>
      </w:tr>
      <w:tr>
        <w:trPr>
          <w:trHeight w:val="300"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北京市高新技术创业服务中心</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74" w:right="0"/>
              <w:jc w:val="left"/>
              <w:rPr>
                <w:rFonts w:ascii="宋体" w:hAnsi="宋体" w:cs="宋体" w:eastAsia="宋体" w:hint="default"/>
                <w:sz w:val="18"/>
                <w:szCs w:val="18"/>
              </w:rPr>
            </w:pPr>
            <w:r>
              <w:rPr>
                <w:rFonts w:ascii="宋体" w:hAnsi="宋体" w:cs="宋体" w:eastAsia="宋体" w:hint="default"/>
                <w:sz w:val="18"/>
                <w:szCs w:val="18"/>
              </w:rPr>
              <w:t>联银通多渠道信息接入平台升级项目</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7"/>
              <w:jc w:val="right"/>
              <w:rPr>
                <w:rFonts w:ascii="宋体" w:hAnsi="宋体" w:cs="宋体" w:eastAsia="宋体" w:hint="default"/>
                <w:sz w:val="18"/>
                <w:szCs w:val="18"/>
              </w:rPr>
            </w:pPr>
            <w:r>
              <w:rPr>
                <w:rFonts w:ascii="宋体"/>
                <w:spacing w:val="-1"/>
                <w:sz w:val="18"/>
              </w:rPr>
              <w:t>455,839.66</w:t>
            </w:r>
            <w:r>
              <w:rPr>
                <w:rFonts w:ascii="宋体"/>
                <w:sz w:val="18"/>
              </w:rPr>
            </w:r>
          </w:p>
        </w:tc>
      </w:tr>
      <w:tr>
        <w:trPr>
          <w:trHeight w:val="584"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w:t>
            </w:r>
          </w:p>
        </w:tc>
        <w:tc>
          <w:tcPr>
            <w:tcW w:w="5567" w:type="dxa"/>
            <w:tcBorders>
              <w:top w:val="nil" w:sz="6" w:space="0" w:color="auto"/>
              <w:left w:val="single" w:sz="4" w:space="0" w:color="000000"/>
              <w:bottom w:val="nil" w:sz="6" w:space="0" w:color="auto"/>
              <w:right w:val="single" w:sz="4" w:space="0" w:color="000000"/>
            </w:tcBorders>
          </w:tcPr>
          <w:p>
            <w:pPr>
              <w:pStyle w:val="TableParagraph"/>
              <w:spacing w:line="307" w:lineRule="auto"/>
              <w:ind w:left="103" w:right="260" w:hanging="29"/>
              <w:jc w:val="left"/>
              <w:rPr>
                <w:rFonts w:ascii="宋体" w:hAnsi="宋体" w:cs="宋体" w:eastAsia="宋体" w:hint="default"/>
                <w:sz w:val="18"/>
                <w:szCs w:val="18"/>
              </w:rPr>
            </w:pPr>
            <w:r>
              <w:rPr>
                <w:rFonts w:ascii="宋体" w:hAnsi="宋体" w:cs="宋体" w:eastAsia="宋体" w:hint="default"/>
                <w:sz w:val="18"/>
                <w:szCs w:val="18"/>
              </w:rPr>
              <w:t>科技型中小企业技术创新基金无偿资助项目东方易维运营型轻量级 企业服务总线</w:t>
            </w:r>
            <w:r>
              <w:rPr>
                <w:rFonts w:ascii="宋体" w:hAnsi="宋体" w:cs="宋体" w:eastAsia="宋体" w:hint="default"/>
                <w:sz w:val="18"/>
                <w:szCs w:val="18"/>
              </w:rPr>
              <w:t>(ESB)</w:t>
            </w:r>
            <w:r>
              <w:rPr>
                <w:rFonts w:ascii="宋体" w:hAnsi="宋体" w:cs="宋体" w:eastAsia="宋体" w:hint="default"/>
                <w:sz w:val="18"/>
                <w:szCs w:val="18"/>
              </w:rPr>
              <w:t>中间件</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7"/>
              <w:jc w:val="right"/>
              <w:rPr>
                <w:rFonts w:ascii="宋体" w:hAnsi="宋体" w:cs="宋体" w:eastAsia="宋体" w:hint="default"/>
                <w:sz w:val="18"/>
                <w:szCs w:val="18"/>
              </w:rPr>
            </w:pPr>
            <w:r>
              <w:rPr>
                <w:rFonts w:ascii="宋体"/>
                <w:spacing w:val="-1"/>
                <w:sz w:val="18"/>
              </w:rPr>
              <w:t>550,000.00</w:t>
            </w:r>
          </w:p>
        </w:tc>
      </w:tr>
      <w:tr>
        <w:trPr>
          <w:trHeight w:val="303" w:hRule="exact"/>
        </w:trPr>
        <w:tc>
          <w:tcPr>
            <w:tcW w:w="2941"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北京市顺义区财政局</w:t>
            </w:r>
          </w:p>
        </w:tc>
        <w:tc>
          <w:tcPr>
            <w:tcW w:w="5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74" w:right="0"/>
              <w:jc w:val="left"/>
              <w:rPr>
                <w:rFonts w:ascii="宋体" w:hAnsi="宋体" w:cs="宋体" w:eastAsia="宋体" w:hint="default"/>
                <w:sz w:val="18"/>
                <w:szCs w:val="18"/>
              </w:rPr>
            </w:pPr>
            <w:r>
              <w:rPr>
                <w:rFonts w:ascii="宋体" w:hAnsi="宋体" w:cs="宋体" w:eastAsia="宋体" w:hint="default"/>
                <w:sz w:val="18"/>
                <w:szCs w:val="18"/>
              </w:rPr>
              <w:t>科技发展资金</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4"/>
              <w:jc w:val="right"/>
              <w:rPr>
                <w:rFonts w:ascii="宋体" w:hAnsi="宋体" w:cs="宋体" w:eastAsia="宋体" w:hint="default"/>
                <w:sz w:val="18"/>
                <w:szCs w:val="18"/>
              </w:rPr>
            </w:pPr>
            <w:r>
              <w:rPr>
                <w:rFonts w:ascii="宋体"/>
                <w:spacing w:val="-1"/>
                <w:sz w:val="18"/>
              </w:rPr>
              <w:t>80,000.00</w:t>
            </w:r>
          </w:p>
        </w:tc>
      </w:tr>
      <w:tr>
        <w:trPr>
          <w:trHeight w:val="317" w:hRule="exact"/>
        </w:trPr>
        <w:tc>
          <w:tcPr>
            <w:tcW w:w="2941" w:type="dxa"/>
            <w:tcBorders>
              <w:top w:val="single" w:sz="4" w:space="0" w:color="000000"/>
              <w:left w:val="single" w:sz="4" w:space="0" w:color="000000"/>
              <w:bottom w:val="single" w:sz="12" w:space="0" w:color="000000"/>
              <w:right w:val="single" w:sz="4" w:space="0" w:color="000000"/>
            </w:tcBorders>
          </w:tcPr>
          <w:p>
            <w:pPr>
              <w:pStyle w:val="TableParagraph"/>
              <w:tabs>
                <w:tab w:pos="719" w:val="left" w:leader="none"/>
              </w:tabs>
              <w:spacing w:line="247" w:lineRule="exact"/>
              <w:ind w:right="1"/>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5567"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38,475,839.66</w:t>
            </w:r>
          </w:p>
        </w:tc>
      </w:tr>
    </w:tbl>
    <w:p>
      <w:pPr>
        <w:spacing w:before="2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、股本（单位：股）</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2312"/>
        <w:gridCol w:w="943"/>
        <w:gridCol w:w="946"/>
        <w:gridCol w:w="632"/>
        <w:gridCol w:w="1049"/>
        <w:gridCol w:w="896"/>
        <w:gridCol w:w="1022"/>
        <w:gridCol w:w="1022"/>
        <w:gridCol w:w="1052"/>
      </w:tblGrid>
      <w:tr>
        <w:trPr>
          <w:trHeight w:val="322" w:hRule="exact"/>
        </w:trPr>
        <w:tc>
          <w:tcPr>
            <w:tcW w:w="2312"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943"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67" w:type="dxa"/>
            <w:gridSpan w:val="6"/>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1788"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052"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2312"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配股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center"/>
              <w:rPr>
                <w:rFonts w:ascii="宋体" w:hAnsi="宋体" w:cs="宋体" w:eastAsia="宋体" w:hint="default"/>
                <w:sz w:val="18"/>
                <w:szCs w:val="18"/>
              </w:rPr>
            </w:pPr>
            <w:r>
              <w:rPr>
                <w:rFonts w:ascii="宋体" w:hAnsi="宋体" w:cs="宋体" w:eastAsia="宋体" w:hint="default"/>
                <w:sz w:val="18"/>
                <w:szCs w:val="18"/>
              </w:rPr>
              <w:t>其他</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2" w:type="dxa"/>
            <w:vMerge/>
            <w:tcBorders>
              <w:left w:val="single" w:sz="4" w:space="0" w:color="000000"/>
              <w:bottom w:val="single" w:sz="4" w:space="0" w:color="000000"/>
              <w:right w:val="single" w:sz="4" w:space="0" w:color="000000"/>
            </w:tcBorders>
          </w:tcPr>
          <w:p>
            <w:pPr/>
          </w:p>
        </w:tc>
      </w:tr>
      <w:tr>
        <w:trPr>
          <w:trHeight w:val="340" w:hRule="exact"/>
        </w:trPr>
        <w:tc>
          <w:tcPr>
            <w:tcW w:w="2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64" w:right="0"/>
              <w:jc w:val="center"/>
              <w:rPr>
                <w:rFonts w:ascii="Calibri" w:hAnsi="Calibri" w:cs="Calibri" w:eastAsia="Calibri" w:hint="default"/>
                <w:sz w:val="18"/>
                <w:szCs w:val="18"/>
              </w:rPr>
            </w:pPr>
            <w:r>
              <w:rPr>
                <w:rFonts w:ascii="Calibri"/>
                <w:sz w:val="18"/>
              </w:rPr>
              <w:t>92,873,010</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91" w:right="0"/>
              <w:jc w:val="left"/>
              <w:rPr>
                <w:rFonts w:ascii="Calibri" w:hAnsi="Calibri" w:cs="Calibri" w:eastAsia="Calibri" w:hint="default"/>
                <w:sz w:val="18"/>
                <w:szCs w:val="18"/>
              </w:rPr>
            </w:pPr>
            <w:r>
              <w:rPr>
                <w:rFonts w:ascii="Calibri"/>
                <w:sz w:val="18"/>
              </w:rPr>
              <w:t>16,301,577</w:t>
            </w:r>
          </w:p>
        </w:tc>
        <w:tc>
          <w:tcPr>
            <w:tcW w:w="632" w:type="dxa"/>
            <w:vMerge w:val="restart"/>
            <w:tcBorders>
              <w:top w:val="single" w:sz="4" w:space="0" w:color="000000"/>
              <w:left w:val="single" w:sz="4" w:space="0" w:color="000000"/>
              <w:right w:val="single" w:sz="4" w:space="0" w:color="000000"/>
            </w:tcBorders>
          </w:tcPr>
          <w:p>
            <w:pPr/>
          </w:p>
        </w:tc>
        <w:tc>
          <w:tcPr>
            <w:tcW w:w="10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3"/>
              <w:jc w:val="right"/>
              <w:rPr>
                <w:rFonts w:ascii="Calibri" w:hAnsi="Calibri" w:cs="Calibri" w:eastAsia="Calibri" w:hint="default"/>
                <w:sz w:val="18"/>
                <w:szCs w:val="18"/>
              </w:rPr>
            </w:pPr>
            <w:r>
              <w:rPr>
                <w:rFonts w:ascii="Calibri"/>
                <w:sz w:val="18"/>
              </w:rPr>
              <w:t>13,837,788</w:t>
            </w:r>
          </w:p>
        </w:tc>
        <w:tc>
          <w:tcPr>
            <w:tcW w:w="896" w:type="dxa"/>
            <w:vMerge w:val="restart"/>
            <w:tcBorders>
              <w:top w:val="single" w:sz="4" w:space="0" w:color="000000"/>
              <w:left w:val="single" w:sz="4" w:space="0" w:color="000000"/>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88" w:right="0"/>
              <w:jc w:val="center"/>
              <w:rPr>
                <w:rFonts w:ascii="Calibri" w:hAnsi="Calibri" w:cs="Calibri" w:eastAsia="Calibri" w:hint="default"/>
                <w:sz w:val="18"/>
                <w:szCs w:val="18"/>
              </w:rPr>
            </w:pPr>
            <w:r>
              <w:rPr>
                <w:rFonts w:ascii="Calibri"/>
                <w:sz w:val="18"/>
              </w:rPr>
              <w:t>-39,985,647</w:t>
            </w: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2"/>
              <w:jc w:val="right"/>
              <w:rPr>
                <w:rFonts w:ascii="Calibri" w:hAnsi="Calibri" w:cs="Calibri" w:eastAsia="Calibri" w:hint="default"/>
                <w:sz w:val="18"/>
                <w:szCs w:val="18"/>
              </w:rPr>
            </w:pPr>
            <w:r>
              <w:rPr>
                <w:rFonts w:ascii="Calibri"/>
                <w:sz w:val="18"/>
              </w:rPr>
              <w:t>-9,846,282</w:t>
            </w: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24"/>
              <w:jc w:val="right"/>
              <w:rPr>
                <w:rFonts w:ascii="Calibri" w:hAnsi="Calibri" w:cs="Calibri" w:eastAsia="Calibri" w:hint="default"/>
                <w:sz w:val="18"/>
                <w:szCs w:val="18"/>
              </w:rPr>
            </w:pPr>
            <w:r>
              <w:rPr>
                <w:rFonts w:ascii="Calibri"/>
                <w:sz w:val="18"/>
              </w:rPr>
              <w:t>83,026,728</w:t>
            </w: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、其他内资持股</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64" w:right="0"/>
              <w:jc w:val="center"/>
              <w:rPr>
                <w:rFonts w:ascii="Calibri" w:hAnsi="Calibri" w:cs="Calibri" w:eastAsia="Calibri" w:hint="default"/>
                <w:sz w:val="18"/>
                <w:szCs w:val="18"/>
              </w:rPr>
            </w:pPr>
            <w:r>
              <w:rPr>
                <w:rFonts w:ascii="Calibri"/>
                <w:sz w:val="18"/>
              </w:rPr>
              <w:t>37,920,000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91" w:right="0"/>
              <w:jc w:val="left"/>
              <w:rPr>
                <w:rFonts w:ascii="Calibri" w:hAnsi="Calibri" w:cs="Calibri" w:eastAsia="Calibri" w:hint="default"/>
                <w:sz w:val="18"/>
                <w:szCs w:val="18"/>
              </w:rPr>
            </w:pPr>
            <w:r>
              <w:rPr>
                <w:rFonts w:ascii="Calibri"/>
                <w:sz w:val="18"/>
              </w:rPr>
              <w:t>16,301,577</w:t>
            </w: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2"/>
              <w:jc w:val="right"/>
              <w:rPr>
                <w:rFonts w:ascii="Calibri" w:hAnsi="Calibri" w:cs="Calibri" w:eastAsia="Calibri" w:hint="default"/>
                <w:sz w:val="18"/>
                <w:szCs w:val="18"/>
              </w:rPr>
            </w:pPr>
            <w:r>
              <w:rPr>
                <w:rFonts w:ascii="Calibri"/>
                <w:sz w:val="18"/>
              </w:rPr>
              <w:t>3,260,315</w:t>
            </w: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88" w:right="0"/>
              <w:jc w:val="center"/>
              <w:rPr>
                <w:rFonts w:ascii="Calibri" w:hAnsi="Calibri" w:cs="Calibri" w:eastAsia="Calibri" w:hint="default"/>
                <w:sz w:val="18"/>
                <w:szCs w:val="18"/>
              </w:rPr>
            </w:pPr>
            <w:r>
              <w:rPr>
                <w:rFonts w:ascii="Calibri"/>
                <w:sz w:val="18"/>
              </w:rPr>
              <w:t>-37,920,000</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3"/>
              <w:jc w:val="right"/>
              <w:rPr>
                <w:rFonts w:ascii="Calibri" w:hAnsi="Calibri" w:cs="Calibri" w:eastAsia="Calibri" w:hint="default"/>
                <w:sz w:val="18"/>
                <w:szCs w:val="18"/>
              </w:rPr>
            </w:pPr>
            <w:r>
              <w:rPr>
                <w:rFonts w:ascii="Calibri"/>
                <w:sz w:val="18"/>
              </w:rPr>
              <w:t>-18,358,108</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19,561,892</w:t>
            </w:r>
          </w:p>
        </w:tc>
      </w:tr>
      <w:tr>
        <w:trPr>
          <w:trHeight w:val="29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65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64" w:right="0"/>
              <w:jc w:val="center"/>
              <w:rPr>
                <w:rFonts w:ascii="Calibri" w:hAnsi="Calibri" w:cs="Calibri" w:eastAsia="Calibri" w:hint="default"/>
                <w:sz w:val="18"/>
                <w:szCs w:val="18"/>
              </w:rPr>
            </w:pPr>
            <w:r>
              <w:rPr>
                <w:rFonts w:ascii="Calibri"/>
                <w:sz w:val="18"/>
              </w:rPr>
              <w:t>37,920,000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91" w:right="0"/>
              <w:jc w:val="left"/>
              <w:rPr>
                <w:rFonts w:ascii="Calibri" w:hAnsi="Calibri" w:cs="Calibri" w:eastAsia="Calibri" w:hint="default"/>
                <w:sz w:val="18"/>
                <w:szCs w:val="18"/>
              </w:rPr>
            </w:pPr>
            <w:r>
              <w:rPr>
                <w:rFonts w:ascii="Calibri"/>
                <w:sz w:val="18"/>
              </w:rPr>
              <w:t>16,301,577</w:t>
            </w: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2"/>
              <w:jc w:val="right"/>
              <w:rPr>
                <w:rFonts w:ascii="Calibri" w:hAnsi="Calibri" w:cs="Calibri" w:eastAsia="Calibri" w:hint="default"/>
                <w:sz w:val="18"/>
                <w:szCs w:val="18"/>
              </w:rPr>
            </w:pPr>
            <w:r>
              <w:rPr>
                <w:rFonts w:ascii="Calibri"/>
                <w:sz w:val="18"/>
              </w:rPr>
              <w:t>3,260,315</w:t>
            </w: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88" w:right="0"/>
              <w:jc w:val="center"/>
              <w:rPr>
                <w:rFonts w:ascii="Calibri" w:hAnsi="Calibri" w:cs="Calibri" w:eastAsia="Calibri" w:hint="default"/>
                <w:sz w:val="18"/>
                <w:szCs w:val="18"/>
              </w:rPr>
            </w:pPr>
            <w:r>
              <w:rPr>
                <w:rFonts w:ascii="Calibri"/>
                <w:sz w:val="18"/>
              </w:rPr>
              <w:t>-37,920,000</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3"/>
              <w:jc w:val="right"/>
              <w:rPr>
                <w:rFonts w:ascii="Calibri" w:hAnsi="Calibri" w:cs="Calibri" w:eastAsia="Calibri" w:hint="default"/>
                <w:sz w:val="18"/>
                <w:szCs w:val="18"/>
              </w:rPr>
            </w:pPr>
            <w:r>
              <w:rPr>
                <w:rFonts w:ascii="Calibri"/>
                <w:sz w:val="18"/>
              </w:rPr>
              <w:t>-18,358,108</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19,561,892</w:t>
            </w: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、外资持股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65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、高管股份</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64" w:right="0"/>
              <w:jc w:val="center"/>
              <w:rPr>
                <w:rFonts w:ascii="Calibri" w:hAnsi="Calibri" w:cs="Calibri" w:eastAsia="Calibri" w:hint="default"/>
                <w:sz w:val="18"/>
                <w:szCs w:val="18"/>
              </w:rPr>
            </w:pPr>
            <w:r>
              <w:rPr>
                <w:rFonts w:ascii="Calibri"/>
                <w:sz w:val="18"/>
              </w:rPr>
              <w:t>54,953,010</w:t>
            </w: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2"/>
              <w:jc w:val="right"/>
              <w:rPr>
                <w:rFonts w:ascii="Calibri" w:hAnsi="Calibri" w:cs="Calibri" w:eastAsia="Calibri" w:hint="default"/>
                <w:sz w:val="18"/>
                <w:szCs w:val="18"/>
              </w:rPr>
            </w:pPr>
            <w:r>
              <w:rPr>
                <w:rFonts w:ascii="Calibri"/>
                <w:sz w:val="18"/>
              </w:rPr>
              <w:t>10,577,473</w:t>
            </w: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179" w:right="0"/>
              <w:jc w:val="center"/>
              <w:rPr>
                <w:rFonts w:ascii="Calibri" w:hAnsi="Calibri" w:cs="Calibri" w:eastAsia="Calibri" w:hint="default"/>
                <w:sz w:val="18"/>
                <w:szCs w:val="18"/>
              </w:rPr>
            </w:pPr>
            <w:r>
              <w:rPr>
                <w:rFonts w:ascii="Calibri"/>
                <w:sz w:val="18"/>
              </w:rPr>
              <w:t>-2,065,647</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2"/>
              <w:jc w:val="right"/>
              <w:rPr>
                <w:rFonts w:ascii="Calibri" w:hAnsi="Calibri" w:cs="Calibri" w:eastAsia="Calibri" w:hint="default"/>
                <w:sz w:val="18"/>
                <w:szCs w:val="18"/>
              </w:rPr>
            </w:pPr>
            <w:r>
              <w:rPr>
                <w:rFonts w:ascii="Calibri"/>
                <w:sz w:val="18"/>
              </w:rPr>
              <w:t>8,511,826</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63,464,836</w:t>
            </w: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3" w:right="21"/>
              <w:jc w:val="center"/>
              <w:rPr>
                <w:rFonts w:ascii="Calibri" w:hAnsi="Calibri" w:cs="Calibri" w:eastAsia="Calibri" w:hint="default"/>
                <w:sz w:val="18"/>
                <w:szCs w:val="18"/>
              </w:rPr>
            </w:pPr>
            <w:r>
              <w:rPr>
                <w:rFonts w:ascii="Calibri"/>
                <w:sz w:val="18"/>
              </w:rPr>
              <w:t>333,112,080</w:t>
            </w: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3"/>
              <w:jc w:val="right"/>
              <w:rPr>
                <w:rFonts w:ascii="Calibri" w:hAnsi="Calibri" w:cs="Calibri" w:eastAsia="Calibri" w:hint="default"/>
                <w:sz w:val="18"/>
                <w:szCs w:val="18"/>
              </w:rPr>
            </w:pPr>
            <w:r>
              <w:rPr>
                <w:rFonts w:ascii="Calibri"/>
                <w:sz w:val="18"/>
              </w:rPr>
              <w:t>74,619,545</w:t>
            </w: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44" w:right="0"/>
              <w:jc w:val="center"/>
              <w:rPr>
                <w:rFonts w:ascii="Calibri" w:hAnsi="Calibri" w:cs="Calibri" w:eastAsia="Calibri" w:hint="default"/>
                <w:sz w:val="18"/>
                <w:szCs w:val="18"/>
              </w:rPr>
            </w:pPr>
            <w:r>
              <w:rPr>
                <w:rFonts w:ascii="Calibri"/>
                <w:sz w:val="18"/>
              </w:rPr>
              <w:t>39,985,647</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1"/>
              <w:jc w:val="right"/>
              <w:rPr>
                <w:rFonts w:ascii="Calibri" w:hAnsi="Calibri" w:cs="Calibri" w:eastAsia="Calibri" w:hint="default"/>
                <w:sz w:val="18"/>
                <w:szCs w:val="18"/>
              </w:rPr>
            </w:pPr>
            <w:r>
              <w:rPr>
                <w:rFonts w:ascii="Calibri"/>
                <w:sz w:val="18"/>
              </w:rPr>
              <w:t>114,605,192</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447,717,272</w:t>
            </w: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、人民币普通股</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3" w:right="21"/>
              <w:jc w:val="center"/>
              <w:rPr>
                <w:rFonts w:ascii="Calibri" w:hAnsi="Calibri" w:cs="Calibri" w:eastAsia="Calibri" w:hint="default"/>
                <w:sz w:val="18"/>
                <w:szCs w:val="18"/>
              </w:rPr>
            </w:pPr>
            <w:r>
              <w:rPr>
                <w:rFonts w:ascii="Calibri"/>
                <w:sz w:val="18"/>
              </w:rPr>
              <w:t>333,112,080</w:t>
            </w: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3"/>
              <w:jc w:val="right"/>
              <w:rPr>
                <w:rFonts w:ascii="Calibri" w:hAnsi="Calibri" w:cs="Calibri" w:eastAsia="Calibri" w:hint="default"/>
                <w:sz w:val="18"/>
                <w:szCs w:val="18"/>
              </w:rPr>
            </w:pPr>
            <w:r>
              <w:rPr>
                <w:rFonts w:ascii="Calibri"/>
                <w:sz w:val="18"/>
              </w:rPr>
              <w:t>74,619,545</w:t>
            </w: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44" w:right="0"/>
              <w:jc w:val="center"/>
              <w:rPr>
                <w:rFonts w:ascii="Calibri" w:hAnsi="Calibri" w:cs="Calibri" w:eastAsia="Calibri" w:hint="default"/>
                <w:sz w:val="18"/>
                <w:szCs w:val="18"/>
              </w:rPr>
            </w:pPr>
            <w:r>
              <w:rPr>
                <w:rFonts w:ascii="Calibri"/>
                <w:sz w:val="18"/>
              </w:rPr>
              <w:t>39,985,647</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1"/>
              <w:jc w:val="right"/>
              <w:rPr>
                <w:rFonts w:ascii="Calibri" w:hAnsi="Calibri" w:cs="Calibri" w:eastAsia="Calibri" w:hint="default"/>
                <w:sz w:val="18"/>
                <w:szCs w:val="18"/>
              </w:rPr>
            </w:pPr>
            <w:r>
              <w:rPr>
                <w:rFonts w:ascii="Calibri"/>
                <w:sz w:val="18"/>
              </w:rPr>
              <w:t>114,605,192</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4"/>
              <w:jc w:val="right"/>
              <w:rPr>
                <w:rFonts w:ascii="Calibri" w:hAnsi="Calibri" w:cs="Calibri" w:eastAsia="Calibri" w:hint="default"/>
                <w:sz w:val="18"/>
                <w:szCs w:val="18"/>
              </w:rPr>
            </w:pPr>
            <w:r>
              <w:rPr>
                <w:rFonts w:ascii="Calibri"/>
                <w:sz w:val="18"/>
              </w:rPr>
              <w:t>447,717,272</w:t>
            </w:r>
          </w:p>
        </w:tc>
      </w:tr>
      <w:tr>
        <w:trPr>
          <w:trHeight w:val="300"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、境内上市的外资股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231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、境外上市的外资股</w:t>
            </w:r>
          </w:p>
        </w:tc>
        <w:tc>
          <w:tcPr>
            <w:tcW w:w="94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bottom w:val="nil" w:sz="6" w:space="0" w:color="auto"/>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r>
    </w:tbl>
    <w:p>
      <w:pPr>
        <w:spacing w:after="0"/>
        <w:sectPr>
          <w:pgSz w:w="12240" w:h="15840"/>
          <w:pgMar w:header="850" w:footer="956" w:top="1360" w:bottom="1140" w:left="1520" w:right="0"/>
        </w:sectPr>
      </w:pPr>
    </w:p>
    <w:p>
      <w:pPr>
        <w:spacing w:line="240" w:lineRule="auto" w:before="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2312"/>
        <w:gridCol w:w="943"/>
        <w:gridCol w:w="946"/>
        <w:gridCol w:w="632"/>
        <w:gridCol w:w="1049"/>
        <w:gridCol w:w="896"/>
        <w:gridCol w:w="1022"/>
        <w:gridCol w:w="1022"/>
        <w:gridCol w:w="161"/>
        <w:gridCol w:w="890"/>
      </w:tblGrid>
      <w:tr>
        <w:trPr>
          <w:trHeight w:val="320" w:hRule="exact"/>
        </w:trPr>
        <w:tc>
          <w:tcPr>
            <w:tcW w:w="23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943" w:type="dxa"/>
            <w:tcBorders>
              <w:top w:val="single" w:sz="6" w:space="0" w:color="000000"/>
              <w:left w:val="single" w:sz="4" w:space="0" w:color="000000"/>
              <w:bottom w:val="single" w:sz="4" w:space="0" w:color="000000"/>
              <w:right w:val="single" w:sz="4" w:space="0" w:color="000000"/>
            </w:tcBorders>
          </w:tcPr>
          <w:p>
            <w:pPr/>
          </w:p>
        </w:tc>
        <w:tc>
          <w:tcPr>
            <w:tcW w:w="946" w:type="dxa"/>
            <w:tcBorders>
              <w:top w:val="single" w:sz="6" w:space="0" w:color="000000"/>
              <w:left w:val="single" w:sz="4" w:space="0" w:color="000000"/>
              <w:bottom w:val="single" w:sz="4" w:space="0" w:color="000000"/>
              <w:right w:val="single" w:sz="4" w:space="0" w:color="000000"/>
            </w:tcBorders>
          </w:tcPr>
          <w:p>
            <w:pPr/>
          </w:p>
        </w:tc>
        <w:tc>
          <w:tcPr>
            <w:tcW w:w="632" w:type="dxa"/>
            <w:tcBorders>
              <w:top w:val="single" w:sz="6" w:space="0" w:color="000000"/>
              <w:left w:val="single" w:sz="4" w:space="0" w:color="000000"/>
              <w:bottom w:val="single" w:sz="4" w:space="0" w:color="000000"/>
              <w:right w:val="single" w:sz="4" w:space="0" w:color="000000"/>
            </w:tcBorders>
          </w:tcPr>
          <w:p>
            <w:pPr/>
          </w:p>
        </w:tc>
        <w:tc>
          <w:tcPr>
            <w:tcW w:w="1049" w:type="dxa"/>
            <w:tcBorders>
              <w:top w:val="single" w:sz="6" w:space="0" w:color="000000"/>
              <w:left w:val="single" w:sz="4" w:space="0" w:color="000000"/>
              <w:bottom w:val="single" w:sz="4" w:space="0" w:color="000000"/>
              <w:right w:val="single" w:sz="4" w:space="0" w:color="000000"/>
            </w:tcBorders>
          </w:tcPr>
          <w:p>
            <w:pPr/>
          </w:p>
        </w:tc>
        <w:tc>
          <w:tcPr>
            <w:tcW w:w="896" w:type="dxa"/>
            <w:tcBorders>
              <w:top w:val="single" w:sz="6" w:space="0" w:color="000000"/>
              <w:left w:val="single" w:sz="4" w:space="0" w:color="000000"/>
              <w:bottom w:val="single" w:sz="4" w:space="0" w:color="000000"/>
              <w:right w:val="single" w:sz="4" w:space="0" w:color="000000"/>
            </w:tcBorders>
          </w:tcPr>
          <w:p>
            <w:pPr/>
          </w:p>
        </w:tc>
        <w:tc>
          <w:tcPr>
            <w:tcW w:w="1022" w:type="dxa"/>
            <w:tcBorders>
              <w:top w:val="single" w:sz="6" w:space="0" w:color="000000"/>
              <w:left w:val="single" w:sz="4" w:space="0" w:color="000000"/>
              <w:bottom w:val="single" w:sz="4" w:space="0" w:color="000000"/>
              <w:right w:val="single" w:sz="4" w:space="0" w:color="000000"/>
            </w:tcBorders>
          </w:tcPr>
          <w:p>
            <w:pPr/>
          </w:p>
        </w:tc>
        <w:tc>
          <w:tcPr>
            <w:tcW w:w="1022" w:type="dxa"/>
            <w:tcBorders>
              <w:top w:val="single" w:sz="6" w:space="0" w:color="000000"/>
              <w:left w:val="single" w:sz="4" w:space="0" w:color="000000"/>
              <w:bottom w:val="single" w:sz="4" w:space="0" w:color="000000"/>
              <w:right w:val="single" w:sz="4" w:space="0" w:color="000000"/>
            </w:tcBorders>
          </w:tcPr>
          <w:p>
            <w:pPr/>
          </w:p>
        </w:tc>
        <w:tc>
          <w:tcPr>
            <w:tcW w:w="161" w:type="dxa"/>
            <w:tcBorders>
              <w:top w:val="single" w:sz="6" w:space="0" w:color="000000"/>
              <w:left w:val="single" w:sz="4" w:space="0" w:color="000000"/>
              <w:bottom w:val="single" w:sz="4" w:space="0" w:color="000000"/>
              <w:right w:val="nil" w:sz="6" w:space="0" w:color="auto"/>
            </w:tcBorders>
          </w:tcPr>
          <w:p>
            <w:pPr/>
          </w:p>
        </w:tc>
        <w:tc>
          <w:tcPr>
            <w:tcW w:w="890" w:type="dxa"/>
            <w:tcBorders>
              <w:top w:val="nil" w:sz="6" w:space="0" w:color="auto"/>
              <w:left w:val="nil" w:sz="6" w:space="0" w:color="auto"/>
              <w:bottom w:val="single" w:sz="4" w:space="0" w:color="000000"/>
              <w:right w:val="single" w:sz="4" w:space="0" w:color="000000"/>
            </w:tcBorders>
          </w:tcPr>
          <w:p>
            <w:pPr/>
          </w:p>
        </w:tc>
      </w:tr>
      <w:tr>
        <w:trPr>
          <w:trHeight w:val="317" w:hRule="exact"/>
        </w:trPr>
        <w:tc>
          <w:tcPr>
            <w:tcW w:w="2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3" w:right="0"/>
              <w:jc w:val="left"/>
              <w:rPr>
                <w:rFonts w:ascii="Calibri" w:hAnsi="Calibri" w:cs="Calibri" w:eastAsia="Calibri" w:hint="default"/>
                <w:sz w:val="18"/>
                <w:szCs w:val="18"/>
              </w:rPr>
            </w:pPr>
            <w:r>
              <w:rPr>
                <w:rFonts w:ascii="Calibri"/>
                <w:sz w:val="18"/>
              </w:rPr>
              <w:t>425,985,090</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91" w:right="0"/>
              <w:jc w:val="left"/>
              <w:rPr>
                <w:rFonts w:ascii="Calibri" w:hAnsi="Calibri" w:cs="Calibri" w:eastAsia="Calibri" w:hint="default"/>
                <w:sz w:val="18"/>
                <w:szCs w:val="18"/>
              </w:rPr>
            </w:pPr>
            <w:r>
              <w:rPr>
                <w:rFonts w:ascii="Calibri"/>
                <w:sz w:val="18"/>
              </w:rPr>
              <w:t>16,301,577</w:t>
            </w:r>
          </w:p>
        </w:tc>
        <w:tc>
          <w:tcPr>
            <w:tcW w:w="632" w:type="dxa"/>
            <w:tcBorders>
              <w:top w:val="single" w:sz="4" w:space="0" w:color="000000"/>
              <w:left w:val="single" w:sz="4" w:space="0" w:color="000000"/>
              <w:bottom w:val="single" w:sz="12" w:space="0" w:color="000000"/>
              <w:right w:val="single" w:sz="4" w:space="0" w:color="000000"/>
            </w:tcBorders>
          </w:tcPr>
          <w:p>
            <w:pP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194" w:right="0"/>
              <w:jc w:val="left"/>
              <w:rPr>
                <w:rFonts w:ascii="Calibri" w:hAnsi="Calibri" w:cs="Calibri" w:eastAsia="Calibri" w:hint="default"/>
                <w:sz w:val="18"/>
                <w:szCs w:val="18"/>
              </w:rPr>
            </w:pPr>
            <w:r>
              <w:rPr>
                <w:rFonts w:ascii="Calibri"/>
                <w:sz w:val="18"/>
              </w:rPr>
              <w:t>88,457,333</w:t>
            </w:r>
          </w:p>
        </w:tc>
        <w:tc>
          <w:tcPr>
            <w:tcW w:w="896" w:type="dxa"/>
            <w:tcBorders>
              <w:top w:val="single" w:sz="4" w:space="0" w:color="000000"/>
              <w:left w:val="single" w:sz="4" w:space="0" w:color="000000"/>
              <w:bottom w:val="single" w:sz="12" w:space="0" w:color="000000"/>
              <w:right w:val="single" w:sz="4" w:space="0" w:color="000000"/>
            </w:tcBorders>
          </w:tcPr>
          <w:p>
            <w:pPr/>
          </w:p>
        </w:tc>
        <w:tc>
          <w:tcPr>
            <w:tcW w:w="1022" w:type="dxa"/>
            <w:tcBorders>
              <w:top w:val="single" w:sz="4" w:space="0" w:color="000000"/>
              <w:left w:val="single" w:sz="4" w:space="0" w:color="000000"/>
              <w:bottom w:val="single" w:sz="12" w:space="0" w:color="000000"/>
              <w:right w:val="single" w:sz="4" w:space="0" w:color="000000"/>
            </w:tcBorders>
          </w:tcPr>
          <w:p>
            <w:pPr/>
          </w:p>
        </w:tc>
        <w:tc>
          <w:tcPr>
            <w:tcW w:w="10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76" w:right="0"/>
              <w:jc w:val="left"/>
              <w:rPr>
                <w:rFonts w:ascii="Calibri" w:hAnsi="Calibri" w:cs="Calibri" w:eastAsia="Calibri" w:hint="default"/>
                <w:sz w:val="18"/>
                <w:szCs w:val="18"/>
              </w:rPr>
            </w:pPr>
            <w:r>
              <w:rPr>
                <w:rFonts w:ascii="Calibri"/>
                <w:sz w:val="18"/>
              </w:rPr>
              <w:t>104,758,910</w:t>
            </w:r>
          </w:p>
        </w:tc>
        <w:tc>
          <w:tcPr>
            <w:tcW w:w="105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103" w:right="0"/>
              <w:jc w:val="left"/>
              <w:rPr>
                <w:rFonts w:ascii="Calibri" w:hAnsi="Calibri" w:cs="Calibri" w:eastAsia="Calibri" w:hint="default"/>
                <w:sz w:val="18"/>
                <w:szCs w:val="18"/>
              </w:rPr>
            </w:pPr>
            <w:r>
              <w:rPr>
                <w:rFonts w:ascii="Calibri"/>
                <w:sz w:val="18"/>
              </w:rPr>
              <w:t>530,744,000</w:t>
            </w:r>
          </w:p>
        </w:tc>
      </w:tr>
    </w:tbl>
    <w:p>
      <w:pPr>
        <w:spacing w:before="28"/>
        <w:ind w:left="544" w:right="1265"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业</w:t>
      </w:r>
      <w:r>
        <w:rPr>
          <w:rFonts w:ascii="宋体" w:hAnsi="宋体" w:cs="宋体" w:eastAsia="宋体" w:hint="default"/>
          <w:w w:val="100"/>
          <w:sz w:val="21"/>
          <w:szCs w:val="21"/>
        </w:rPr>
        <w:t>经</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兴</w:t>
      </w:r>
      <w:r>
        <w:rPr>
          <w:rFonts w:ascii="宋体" w:hAnsi="宋体" w:cs="宋体" w:eastAsia="宋体" w:hint="default"/>
          <w:w w:val="100"/>
          <w:sz w:val="21"/>
          <w:szCs w:val="21"/>
        </w:rPr>
        <w:t>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责</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18</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出</w:t>
      </w:r>
      <w:r>
        <w:rPr>
          <w:rFonts w:ascii="宋体" w:hAnsi="宋体" w:cs="宋体" w:eastAsia="宋体" w:hint="default"/>
          <w:spacing w:val="-3"/>
          <w:w w:val="100"/>
          <w:sz w:val="21"/>
          <w:szCs w:val="21"/>
        </w:rPr>
        <w:t>具</w:t>
      </w:r>
      <w:r>
        <w:rPr>
          <w:rFonts w:ascii="宋体" w:hAnsi="宋体" w:cs="宋体" w:eastAsia="宋体" w:hint="default"/>
          <w:w w:val="100"/>
          <w:sz w:val="21"/>
          <w:szCs w:val="21"/>
        </w:rPr>
        <w:t>的</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京</w:t>
      </w:r>
      <w:r>
        <w:rPr>
          <w:rFonts w:ascii="宋体" w:hAnsi="宋体" w:cs="宋体" w:eastAsia="宋体" w:hint="default"/>
          <w:w w:val="100"/>
          <w:sz w:val="21"/>
          <w:szCs w:val="21"/>
        </w:rPr>
        <w:t>会</w:t>
      </w:r>
    </w:p>
    <w:p>
      <w:pPr>
        <w:spacing w:line="350" w:lineRule="auto" w:before="66"/>
        <w:ind w:left="546" w:right="6798" w:hanging="423"/>
        <w:jc w:val="left"/>
        <w:rPr>
          <w:rFonts w:ascii="宋体" w:hAnsi="宋体" w:cs="宋体" w:eastAsia="宋体" w:hint="default"/>
          <w:sz w:val="21"/>
          <w:szCs w:val="21"/>
        </w:rPr>
      </w:pPr>
      <w:r>
        <w:rPr>
          <w:rFonts w:ascii="宋体" w:hAnsi="宋体" w:cs="宋体" w:eastAsia="宋体" w:hint="default"/>
          <w:sz w:val="21"/>
          <w:szCs w:val="21"/>
        </w:rPr>
        <w:t>兴验字第</w:t>
      </w:r>
      <w:r>
        <w:rPr>
          <w:rFonts w:ascii="宋体" w:hAnsi="宋体" w:cs="宋体" w:eastAsia="宋体" w:hint="default"/>
          <w:spacing w:val="-52"/>
          <w:sz w:val="21"/>
          <w:szCs w:val="21"/>
        </w:rPr>
        <w:t> </w:t>
      </w:r>
      <w:r>
        <w:rPr>
          <w:rFonts w:ascii="宋体" w:hAnsi="宋体" w:cs="宋体" w:eastAsia="宋体" w:hint="default"/>
          <w:sz w:val="21"/>
          <w:szCs w:val="21"/>
        </w:rPr>
        <w:t>3-011</w:t>
      </w:r>
      <w:r>
        <w:rPr>
          <w:rFonts w:ascii="宋体" w:hAnsi="宋体" w:cs="宋体" w:eastAsia="宋体" w:hint="default"/>
          <w:spacing w:val="-54"/>
          <w:sz w:val="21"/>
          <w:szCs w:val="21"/>
        </w:rPr>
        <w:t> </w:t>
      </w:r>
      <w:r>
        <w:rPr>
          <w:rFonts w:ascii="宋体" w:hAnsi="宋体" w:cs="宋体" w:eastAsia="宋体" w:hint="default"/>
          <w:sz w:val="21"/>
          <w:szCs w:val="21"/>
        </w:rPr>
        <w:t>号”验资报告验证确认。</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、资本公积</w:t>
      </w:r>
      <w:r>
        <w:rPr>
          <w:rFonts w:ascii="宋体" w:hAnsi="宋体" w:cs="宋体" w:eastAsia="宋体" w:hint="default"/>
          <w:sz w:val="21"/>
          <w:szCs w:val="21"/>
        </w:rPr>
      </w:r>
    </w:p>
    <w:tbl>
      <w:tblPr>
        <w:tblW w:w="0" w:type="auto"/>
        <w:jc w:val="left"/>
        <w:tblInd w:w="119" w:type="dxa"/>
        <w:tblLayout w:type="fixed"/>
        <w:tblCellMar>
          <w:top w:w="0" w:type="dxa"/>
          <w:left w:w="0" w:type="dxa"/>
          <w:bottom w:w="0" w:type="dxa"/>
          <w:right w:w="0" w:type="dxa"/>
        </w:tblCellMar>
        <w:tblLook w:val="01E0"/>
      </w:tblPr>
      <w:tblGrid>
        <w:gridCol w:w="2312"/>
        <w:gridCol w:w="1862"/>
        <w:gridCol w:w="1863"/>
        <w:gridCol w:w="1865"/>
        <w:gridCol w:w="1971"/>
      </w:tblGrid>
      <w:tr>
        <w:trPr>
          <w:trHeight w:val="322" w:hRule="exact"/>
        </w:trPr>
        <w:tc>
          <w:tcPr>
            <w:tcW w:w="231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85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6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3"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7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8" w:hRule="exact"/>
        </w:trPr>
        <w:tc>
          <w:tcPr>
            <w:tcW w:w="2312"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left="7"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862" w:type="dxa"/>
            <w:tcBorders>
              <w:top w:val="single" w:sz="4" w:space="0" w:color="000000"/>
              <w:left w:val="single" w:sz="4" w:space="0" w:color="000000"/>
              <w:bottom w:val="nil" w:sz="6" w:space="0" w:color="auto"/>
              <w:right w:val="single" w:sz="4" w:space="0" w:color="000000"/>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280,828,005.41</w:t>
            </w:r>
          </w:p>
        </w:tc>
        <w:tc>
          <w:tcPr>
            <w:tcW w:w="1863" w:type="dxa"/>
            <w:vMerge w:val="restart"/>
            <w:tcBorders>
              <w:top w:val="single" w:sz="4" w:space="0" w:color="000000"/>
              <w:left w:val="single" w:sz="4" w:space="0" w:color="000000"/>
              <w:right w:val="single" w:sz="4" w:space="0" w:color="000000"/>
            </w:tcBorders>
          </w:tcPr>
          <w:p>
            <w:pPr>
              <w:pStyle w:val="TableParagraph"/>
              <w:spacing w:line="259" w:lineRule="exact"/>
              <w:ind w:left="377" w:right="0"/>
              <w:jc w:val="left"/>
              <w:rPr>
                <w:rFonts w:ascii="宋体" w:hAnsi="宋体" w:cs="宋体" w:eastAsia="宋体" w:hint="default"/>
                <w:sz w:val="21"/>
                <w:szCs w:val="21"/>
              </w:rPr>
            </w:pPr>
            <w:r>
              <w:rPr>
                <w:rFonts w:ascii="宋体"/>
                <w:sz w:val="21"/>
              </w:rPr>
              <w:t>303,698,423.00</w:t>
            </w:r>
          </w:p>
        </w:tc>
        <w:tc>
          <w:tcPr>
            <w:tcW w:w="1865" w:type="dxa"/>
            <w:vMerge w:val="restart"/>
            <w:tcBorders>
              <w:top w:val="single" w:sz="4" w:space="0" w:color="000000"/>
              <w:left w:val="single" w:sz="4" w:space="0" w:color="000000"/>
              <w:right w:val="single" w:sz="4" w:space="0" w:color="000000"/>
            </w:tcBorders>
          </w:tcPr>
          <w:p>
            <w:pPr/>
          </w:p>
        </w:tc>
        <w:tc>
          <w:tcPr>
            <w:tcW w:w="1971" w:type="dxa"/>
            <w:tcBorders>
              <w:top w:val="single" w:sz="4" w:space="0" w:color="000000"/>
              <w:left w:val="single" w:sz="4" w:space="0" w:color="000000"/>
              <w:bottom w:val="nil" w:sz="6" w:space="0" w:color="auto"/>
              <w:right w:val="single" w:sz="4" w:space="0" w:color="000000"/>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584,526,428.41</w:t>
            </w:r>
          </w:p>
        </w:tc>
      </w:tr>
      <w:tr>
        <w:trPr>
          <w:trHeight w:val="299" w:hRule="exact"/>
        </w:trPr>
        <w:tc>
          <w:tcPr>
            <w:tcW w:w="2312" w:type="dxa"/>
            <w:tcBorders>
              <w:top w:val="nil" w:sz="6" w:space="0" w:color="auto"/>
              <w:left w:val="single" w:sz="4" w:space="0" w:color="000000"/>
              <w:bottom w:val="single" w:sz="2" w:space="0" w:color="000000"/>
              <w:right w:val="single" w:sz="4" w:space="0" w:color="000000"/>
            </w:tcBorders>
          </w:tcPr>
          <w:p>
            <w:pPr>
              <w:pStyle w:val="TableParagraph"/>
              <w:spacing w:line="23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62" w:type="dxa"/>
            <w:tcBorders>
              <w:top w:val="nil" w:sz="6" w:space="0" w:color="auto"/>
              <w:left w:val="single" w:sz="4" w:space="0" w:color="000000"/>
              <w:bottom w:val="single" w:sz="2"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3,400,000.00</w:t>
            </w:r>
          </w:p>
        </w:tc>
        <w:tc>
          <w:tcPr>
            <w:tcW w:w="1863" w:type="dxa"/>
            <w:vMerge/>
            <w:tcBorders>
              <w:left w:val="single" w:sz="4" w:space="0" w:color="000000"/>
              <w:bottom w:val="single" w:sz="2" w:space="0" w:color="000000"/>
              <w:right w:val="single" w:sz="4" w:space="0" w:color="000000"/>
            </w:tcBorders>
          </w:tcPr>
          <w:p>
            <w:pPr/>
          </w:p>
        </w:tc>
        <w:tc>
          <w:tcPr>
            <w:tcW w:w="1865" w:type="dxa"/>
            <w:vMerge/>
            <w:tcBorders>
              <w:left w:val="single" w:sz="4" w:space="0" w:color="000000"/>
              <w:bottom w:val="single" w:sz="2" w:space="0" w:color="000000"/>
              <w:right w:val="single" w:sz="4" w:space="0" w:color="000000"/>
            </w:tcBorders>
          </w:tcPr>
          <w:p>
            <w:pPr/>
          </w:p>
        </w:tc>
        <w:tc>
          <w:tcPr>
            <w:tcW w:w="1971" w:type="dxa"/>
            <w:tcBorders>
              <w:top w:val="nil" w:sz="6" w:space="0" w:color="auto"/>
              <w:left w:val="single" w:sz="4" w:space="0" w:color="000000"/>
              <w:bottom w:val="single" w:sz="2"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3,400,000.00</w:t>
            </w:r>
          </w:p>
        </w:tc>
      </w:tr>
      <w:tr>
        <w:trPr>
          <w:trHeight w:val="317" w:hRule="exact"/>
        </w:trPr>
        <w:tc>
          <w:tcPr>
            <w:tcW w:w="2312"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59" w:lineRule="exact"/>
              <w:ind w:right="85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62" w:type="dxa"/>
            <w:tcBorders>
              <w:top w:val="single" w:sz="2" w:space="0" w:color="000000"/>
              <w:left w:val="single" w:sz="4" w:space="0" w:color="000000"/>
              <w:bottom w:val="single" w:sz="12" w:space="0" w:color="000000"/>
              <w:right w:val="single" w:sz="4" w:space="0" w:color="000000"/>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284,228,005.41</w:t>
            </w:r>
          </w:p>
        </w:tc>
        <w:tc>
          <w:tcPr>
            <w:tcW w:w="1863" w:type="dxa"/>
            <w:tcBorders>
              <w:top w:val="single" w:sz="2" w:space="0" w:color="000000"/>
              <w:left w:val="single" w:sz="4" w:space="0" w:color="000000"/>
              <w:bottom w:val="single" w:sz="12" w:space="0" w:color="000000"/>
              <w:right w:val="single" w:sz="4" w:space="0" w:color="000000"/>
            </w:tcBorders>
          </w:tcPr>
          <w:p>
            <w:pPr>
              <w:pStyle w:val="TableParagraph"/>
              <w:spacing w:line="259" w:lineRule="exact"/>
              <w:ind w:left="377" w:right="0"/>
              <w:jc w:val="left"/>
              <w:rPr>
                <w:rFonts w:ascii="宋体" w:hAnsi="宋体" w:cs="宋体" w:eastAsia="宋体" w:hint="default"/>
                <w:sz w:val="21"/>
                <w:szCs w:val="21"/>
              </w:rPr>
            </w:pPr>
            <w:r>
              <w:rPr>
                <w:rFonts w:ascii="宋体"/>
                <w:sz w:val="21"/>
              </w:rPr>
              <w:t>303,698,423.00</w:t>
            </w:r>
          </w:p>
        </w:tc>
        <w:tc>
          <w:tcPr>
            <w:tcW w:w="1865" w:type="dxa"/>
            <w:tcBorders>
              <w:top w:val="single" w:sz="2" w:space="0" w:color="000000"/>
              <w:left w:val="single" w:sz="4" w:space="0" w:color="000000"/>
              <w:bottom w:val="single" w:sz="12" w:space="0" w:color="000000"/>
              <w:right w:val="single" w:sz="4" w:space="0" w:color="000000"/>
            </w:tcBorders>
          </w:tcPr>
          <w:p>
            <w:pPr/>
          </w:p>
        </w:tc>
        <w:tc>
          <w:tcPr>
            <w:tcW w:w="1971" w:type="dxa"/>
            <w:tcBorders>
              <w:top w:val="single" w:sz="2" w:space="0" w:color="000000"/>
              <w:left w:val="single" w:sz="4" w:space="0" w:color="000000"/>
              <w:bottom w:val="single" w:sz="12" w:space="0" w:color="000000"/>
              <w:right w:val="single" w:sz="4" w:space="0" w:color="000000"/>
            </w:tcBorders>
          </w:tcPr>
          <w:p>
            <w:pPr>
              <w:pStyle w:val="TableParagraph"/>
              <w:spacing w:line="259" w:lineRule="exact"/>
              <w:ind w:right="5"/>
              <w:jc w:val="right"/>
              <w:rPr>
                <w:rFonts w:ascii="宋体" w:hAnsi="宋体" w:cs="宋体" w:eastAsia="宋体" w:hint="default"/>
                <w:sz w:val="21"/>
                <w:szCs w:val="21"/>
              </w:rPr>
            </w:pPr>
            <w:r>
              <w:rPr>
                <w:rFonts w:ascii="宋体"/>
                <w:spacing w:val="-1"/>
                <w:sz w:val="21"/>
              </w:rPr>
              <w:t>587,926,428.41</w:t>
            </w:r>
          </w:p>
        </w:tc>
      </w:tr>
    </w:tbl>
    <w:p>
      <w:pPr>
        <w:spacing w:line="295" w:lineRule="auto" w:before="17"/>
        <w:ind w:left="124" w:right="1265" w:firstLine="419"/>
        <w:jc w:val="left"/>
        <w:rPr>
          <w:rFonts w:ascii="宋体" w:hAnsi="宋体" w:cs="宋体" w:eastAsia="宋体" w:hint="default"/>
          <w:sz w:val="21"/>
          <w:szCs w:val="21"/>
        </w:rPr>
      </w:pPr>
      <w:r>
        <w:rPr>
          <w:rFonts w:ascii="宋体" w:hAnsi="宋体" w:cs="宋体" w:eastAsia="宋体" w:hint="default"/>
          <w:spacing w:val="-2"/>
          <w:sz w:val="21"/>
          <w:szCs w:val="21"/>
        </w:rPr>
        <w:t>资本公积本期增加的原因系公司收购北京神州新桥科技有限公司的股权定向增发发行股票的</w:t>
      </w:r>
      <w:r>
        <w:rPr>
          <w:rFonts w:ascii="宋体" w:hAnsi="宋体" w:cs="宋体" w:eastAsia="宋体" w:hint="default"/>
          <w:w w:val="100"/>
          <w:sz w:val="21"/>
          <w:szCs w:val="21"/>
        </w:rPr>
        <w:t> </w:t>
      </w:r>
      <w:r>
        <w:rPr>
          <w:rFonts w:ascii="宋体" w:hAnsi="宋体" w:cs="宋体" w:eastAsia="宋体" w:hint="default"/>
          <w:sz w:val="21"/>
          <w:szCs w:val="21"/>
        </w:rPr>
        <w:t>资本溢价款。</w:t>
      </w:r>
    </w:p>
    <w:p>
      <w:pPr>
        <w:spacing w:before="77"/>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1574"/>
        <w:gridCol w:w="2206"/>
        <w:gridCol w:w="1496"/>
        <w:gridCol w:w="1498"/>
        <w:gridCol w:w="1495"/>
        <w:gridCol w:w="1604"/>
      </w:tblGrid>
      <w:tr>
        <w:trPr>
          <w:trHeight w:val="322" w:hRule="exact"/>
        </w:trPr>
        <w:tc>
          <w:tcPr>
            <w:tcW w:w="1574"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4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45"/>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48"/>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9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43"/>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 w:right="105"/>
              <w:jc w:val="center"/>
              <w:rPr>
                <w:rFonts w:ascii="宋体" w:hAnsi="宋体" w:cs="宋体" w:eastAsia="宋体" w:hint="default"/>
                <w:sz w:val="21"/>
                <w:szCs w:val="21"/>
              </w:rPr>
            </w:pPr>
            <w:r>
              <w:rPr>
                <w:rFonts w:ascii="宋体" w:hAnsi="宋体" w:cs="宋体" w:eastAsia="宋体" w:hint="default"/>
                <w:spacing w:val="-1"/>
                <w:sz w:val="21"/>
                <w:szCs w:val="21"/>
              </w:rPr>
              <w:t>法定盈余公积金</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6"/>
              <w:jc w:val="center"/>
              <w:rPr>
                <w:rFonts w:ascii="宋体" w:hAnsi="宋体" w:cs="宋体" w:eastAsia="宋体" w:hint="default"/>
                <w:sz w:val="21"/>
                <w:szCs w:val="21"/>
              </w:rPr>
            </w:pPr>
            <w:r>
              <w:rPr>
                <w:rFonts w:ascii="宋体" w:hAnsi="宋体" w:cs="宋体" w:eastAsia="宋体" w:hint="default"/>
                <w:sz w:val="21"/>
                <w:szCs w:val="21"/>
              </w:rPr>
              <w:t>企业税后利润的</w:t>
            </w:r>
            <w:r>
              <w:rPr>
                <w:rFonts w:ascii="宋体" w:hAnsi="宋体" w:cs="宋体" w:eastAsia="宋体" w:hint="default"/>
                <w:spacing w:val="-51"/>
                <w:sz w:val="21"/>
                <w:szCs w:val="21"/>
              </w:rPr>
              <w:t> </w:t>
            </w:r>
            <w:r>
              <w:rPr>
                <w:rFonts w:ascii="宋体" w:hAnsi="宋体" w:cs="宋体" w:eastAsia="宋体" w:hint="default"/>
                <w:sz w:val="21"/>
                <w:szCs w:val="21"/>
              </w:rPr>
              <w:t>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6" w:right="0"/>
              <w:jc w:val="left"/>
              <w:rPr>
                <w:rFonts w:ascii="宋体" w:hAnsi="宋体" w:cs="宋体" w:eastAsia="宋体" w:hint="default"/>
                <w:sz w:val="21"/>
                <w:szCs w:val="21"/>
              </w:rPr>
            </w:pPr>
            <w:r>
              <w:rPr>
                <w:rFonts w:ascii="宋体"/>
                <w:sz w:val="21"/>
              </w:rPr>
              <w:t>90,267,429.11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ight="0"/>
              <w:jc w:val="center"/>
              <w:rPr>
                <w:rFonts w:ascii="宋体" w:hAnsi="宋体" w:cs="宋体" w:eastAsia="宋体" w:hint="default"/>
                <w:sz w:val="21"/>
                <w:szCs w:val="21"/>
              </w:rPr>
            </w:pPr>
            <w:r>
              <w:rPr>
                <w:rFonts w:ascii="宋体"/>
                <w:sz w:val="21"/>
              </w:rPr>
              <w:t>29,726,111.04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2" w:right="0"/>
              <w:jc w:val="center"/>
              <w:rPr>
                <w:rFonts w:ascii="宋体" w:hAnsi="宋体" w:cs="宋体" w:eastAsia="宋体" w:hint="default"/>
                <w:sz w:val="21"/>
                <w:szCs w:val="21"/>
              </w:rPr>
            </w:pPr>
            <w:r>
              <w:rPr>
                <w:rFonts w:ascii="宋体"/>
                <w:sz w:val="21"/>
              </w:rPr>
              <w:t>119,993,540.15</w:t>
            </w:r>
          </w:p>
        </w:tc>
      </w:tr>
      <w:tr>
        <w:trPr>
          <w:trHeight w:val="319" w:hRule="exact"/>
        </w:trPr>
        <w:tc>
          <w:tcPr>
            <w:tcW w:w="1574"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4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6" w:type="dxa"/>
            <w:tcBorders>
              <w:top w:val="single" w:sz="4" w:space="0" w:color="000000"/>
              <w:left w:val="single" w:sz="4" w:space="0" w:color="000000"/>
              <w:bottom w:val="single" w:sz="12" w:space="0" w:color="000000"/>
              <w:right w:val="single" w:sz="4" w:space="0" w:color="000000"/>
            </w:tcBorders>
          </w:tcPr>
          <w:p>
            <w:pP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86" w:right="0"/>
              <w:jc w:val="left"/>
              <w:rPr>
                <w:rFonts w:ascii="宋体" w:hAnsi="宋体" w:cs="宋体" w:eastAsia="宋体" w:hint="default"/>
                <w:sz w:val="21"/>
                <w:szCs w:val="21"/>
              </w:rPr>
            </w:pPr>
            <w:r>
              <w:rPr>
                <w:rFonts w:ascii="宋体"/>
                <w:sz w:val="21"/>
              </w:rPr>
              <w:t>90,267,429.11</w:t>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52" w:right="0"/>
              <w:jc w:val="center"/>
              <w:rPr>
                <w:rFonts w:ascii="宋体" w:hAnsi="宋体" w:cs="宋体" w:eastAsia="宋体" w:hint="default"/>
                <w:sz w:val="21"/>
                <w:szCs w:val="21"/>
              </w:rPr>
            </w:pPr>
            <w:r>
              <w:rPr>
                <w:rFonts w:ascii="宋体"/>
                <w:sz w:val="21"/>
              </w:rPr>
              <w:t>29,726,111.04</w:t>
            </w:r>
          </w:p>
        </w:tc>
        <w:tc>
          <w:tcPr>
            <w:tcW w:w="1495" w:type="dxa"/>
            <w:tcBorders>
              <w:top w:val="single" w:sz="4" w:space="0" w:color="000000"/>
              <w:left w:val="single" w:sz="4" w:space="0" w:color="000000"/>
              <w:bottom w:val="single" w:sz="12" w:space="0" w:color="000000"/>
              <w:right w:val="single" w:sz="4" w:space="0" w:color="000000"/>
            </w:tcBorders>
          </w:tcPr>
          <w:p>
            <w:pP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62" w:right="0"/>
              <w:jc w:val="center"/>
              <w:rPr>
                <w:rFonts w:ascii="宋体" w:hAnsi="宋体" w:cs="宋体" w:eastAsia="宋体" w:hint="default"/>
                <w:sz w:val="21"/>
                <w:szCs w:val="21"/>
              </w:rPr>
            </w:pPr>
            <w:r>
              <w:rPr>
                <w:rFonts w:ascii="宋体"/>
                <w:sz w:val="21"/>
              </w:rPr>
              <w:t>119,993,540.15</w:t>
            </w:r>
          </w:p>
        </w:tc>
      </w:tr>
    </w:tbl>
    <w:p>
      <w:pPr>
        <w:spacing w:before="2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7" w:type="dxa"/>
        <w:tblLayout w:type="fixed"/>
        <w:tblCellMar>
          <w:top w:w="0" w:type="dxa"/>
          <w:left w:w="0" w:type="dxa"/>
          <w:bottom w:w="0" w:type="dxa"/>
          <w:right w:w="0" w:type="dxa"/>
        </w:tblCellMar>
        <w:tblLook w:val="01E0"/>
      </w:tblPr>
      <w:tblGrid>
        <w:gridCol w:w="3778"/>
        <w:gridCol w:w="1743"/>
        <w:gridCol w:w="3418"/>
      </w:tblGrid>
      <w:tr>
        <w:trPr>
          <w:trHeight w:val="322" w:hRule="exact"/>
        </w:trPr>
        <w:tc>
          <w:tcPr>
            <w:tcW w:w="3778"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418"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64"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4" w:hRule="exact"/>
        </w:trPr>
        <w:tc>
          <w:tcPr>
            <w:tcW w:w="3778"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1743"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770,223,354.38</w:t>
            </w:r>
          </w:p>
        </w:tc>
        <w:tc>
          <w:tcPr>
            <w:tcW w:w="3418"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w:t>
            </w:r>
          </w:p>
        </w:tc>
      </w:tr>
      <w:tr>
        <w:trPr>
          <w:trHeight w:val="6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宋体" w:hAnsi="宋体" w:cs="宋体" w:eastAsia="宋体" w:hint="default"/>
                <w:sz w:val="21"/>
                <w:szCs w:val="21"/>
              </w:rPr>
              <w:t>+</w:t>
            </w:r>
            <w:r>
              <w:rPr>
                <w:rFonts w:ascii="宋体" w:hAnsi="宋体" w:cs="宋体" w:eastAsia="宋体" w:hint="default"/>
                <w:sz w:val="21"/>
                <w:szCs w:val="21"/>
              </w:rPr>
              <w:t>，调</w:t>
            </w:r>
          </w:p>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743" w:type="dxa"/>
            <w:tcBorders>
              <w:top w:val="nil" w:sz="6" w:space="0" w:color="auto"/>
              <w:left w:val="single" w:sz="6" w:space="0" w:color="000000"/>
              <w:bottom w:val="nil" w:sz="6" w:space="0" w:color="auto"/>
              <w:right w:val="single" w:sz="6" w:space="0" w:color="000000"/>
            </w:tcBorders>
          </w:tcPr>
          <w:p>
            <w:pP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center"/>
              <w:rPr>
                <w:rFonts w:ascii="宋体" w:hAnsi="宋体" w:cs="宋体" w:eastAsia="宋体" w:hint="default"/>
                <w:sz w:val="21"/>
                <w:szCs w:val="21"/>
              </w:rPr>
            </w:pPr>
            <w:r>
              <w:rPr>
                <w:rFonts w:ascii="宋体"/>
                <w:sz w:val="21"/>
              </w:rPr>
              <w:t>--</w:t>
            </w:r>
          </w:p>
        </w:tc>
      </w:tr>
      <w:tr>
        <w:trPr>
          <w:trHeight w:val="3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9"/>
              <w:jc w:val="right"/>
              <w:rPr>
                <w:rFonts w:ascii="宋体" w:hAnsi="宋体" w:cs="宋体" w:eastAsia="宋体" w:hint="default"/>
                <w:sz w:val="21"/>
                <w:szCs w:val="21"/>
              </w:rPr>
            </w:pPr>
            <w:r>
              <w:rPr>
                <w:rFonts w:ascii="宋体"/>
                <w:spacing w:val="-1"/>
                <w:sz w:val="21"/>
              </w:rPr>
              <w:t>770,223,354.38</w:t>
            </w: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sz w:val="21"/>
              </w:rPr>
              <w:t>--</w:t>
            </w:r>
          </w:p>
        </w:tc>
      </w:tr>
      <w:tr>
        <w:trPr>
          <w:trHeight w:val="3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420,955,251.13</w:t>
            </w: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center"/>
              <w:rPr>
                <w:rFonts w:ascii="宋体" w:hAnsi="宋体" w:cs="宋体" w:eastAsia="宋体" w:hint="default"/>
                <w:sz w:val="21"/>
                <w:szCs w:val="21"/>
              </w:rPr>
            </w:pPr>
            <w:r>
              <w:rPr>
                <w:rFonts w:ascii="宋体"/>
                <w:sz w:val="21"/>
              </w:rPr>
              <w:t>--</w:t>
            </w:r>
          </w:p>
        </w:tc>
      </w:tr>
      <w:tr>
        <w:trPr>
          <w:trHeight w:val="3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29,726,111.04</w:t>
            </w: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按照税后利润的</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计提</w:t>
            </w:r>
          </w:p>
        </w:tc>
      </w:tr>
      <w:tr>
        <w:trPr>
          <w:trHeight w:val="6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743" w:type="dxa"/>
            <w:tcBorders>
              <w:top w:val="nil" w:sz="6" w:space="0" w:color="auto"/>
              <w:left w:val="single" w:sz="6" w:space="0" w:color="000000"/>
              <w:bottom w:val="nil" w:sz="6" w:space="0" w:color="auto"/>
              <w:right w:val="single" w:sz="6" w:space="0" w:color="000000"/>
            </w:tcBorders>
          </w:tcPr>
          <w:p>
            <w:pP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根据公司董事会提议、股东大会批准</w:t>
            </w:r>
          </w:p>
          <w:p>
            <w:pPr>
              <w:pStyle w:val="TableParagraph"/>
              <w:spacing w:line="240" w:lineRule="auto" w:before="25"/>
              <w:ind w:left="21" w:right="0"/>
              <w:jc w:val="left"/>
              <w:rPr>
                <w:rFonts w:ascii="宋体" w:hAnsi="宋体" w:cs="宋体" w:eastAsia="宋体" w:hint="default"/>
                <w:sz w:val="21"/>
                <w:szCs w:val="21"/>
              </w:rPr>
            </w:pPr>
            <w:r>
              <w:rPr>
                <w:rFonts w:ascii="宋体" w:hAnsi="宋体" w:cs="宋体" w:eastAsia="宋体" w:hint="default"/>
                <w:sz w:val="21"/>
                <w:szCs w:val="21"/>
              </w:rPr>
              <w:t>提取</w:t>
            </w:r>
          </w:p>
        </w:tc>
      </w:tr>
      <w:tr>
        <w:trPr>
          <w:trHeight w:val="600" w:hRule="exact"/>
        </w:trPr>
        <w:tc>
          <w:tcPr>
            <w:tcW w:w="37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3"/>
              <w:jc w:val="right"/>
              <w:rPr>
                <w:rFonts w:ascii="宋体" w:hAnsi="宋体" w:cs="宋体" w:eastAsia="宋体" w:hint="default"/>
                <w:sz w:val="21"/>
                <w:szCs w:val="21"/>
              </w:rPr>
            </w:pPr>
            <w:r>
              <w:rPr>
                <w:rFonts w:ascii="宋体"/>
                <w:spacing w:val="-1"/>
                <w:sz w:val="21"/>
              </w:rPr>
              <w:t>44,228,666.70</w:t>
            </w:r>
          </w:p>
        </w:tc>
        <w:tc>
          <w:tcPr>
            <w:tcW w:w="34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根据公司董事会提议、股东大会批准</w:t>
            </w:r>
          </w:p>
          <w:p>
            <w:pPr>
              <w:pStyle w:val="TableParagraph"/>
              <w:spacing w:line="240" w:lineRule="auto" w:before="25"/>
              <w:ind w:left="21" w:right="0"/>
              <w:jc w:val="left"/>
              <w:rPr>
                <w:rFonts w:ascii="宋体" w:hAnsi="宋体" w:cs="宋体" w:eastAsia="宋体" w:hint="default"/>
                <w:sz w:val="21"/>
                <w:szCs w:val="21"/>
              </w:rPr>
            </w:pPr>
            <w:r>
              <w:rPr>
                <w:rFonts w:ascii="宋体" w:hAnsi="宋体" w:cs="宋体" w:eastAsia="宋体" w:hint="default"/>
                <w:sz w:val="21"/>
                <w:szCs w:val="21"/>
              </w:rPr>
              <w:t>分配</w:t>
            </w:r>
          </w:p>
        </w:tc>
      </w:tr>
      <w:tr>
        <w:trPr>
          <w:trHeight w:val="593" w:hRule="exact"/>
        </w:trPr>
        <w:tc>
          <w:tcPr>
            <w:tcW w:w="377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88,457,333.00</w:t>
            </w:r>
          </w:p>
        </w:tc>
        <w:tc>
          <w:tcPr>
            <w:tcW w:w="34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根据公司董事会提议、股东大会批准</w:t>
            </w:r>
          </w:p>
          <w:p>
            <w:pPr>
              <w:pStyle w:val="TableParagraph"/>
              <w:spacing w:line="240" w:lineRule="auto" w:before="25"/>
              <w:ind w:left="21" w:right="0"/>
              <w:jc w:val="left"/>
              <w:rPr>
                <w:rFonts w:ascii="宋体" w:hAnsi="宋体" w:cs="宋体" w:eastAsia="宋体" w:hint="default"/>
                <w:sz w:val="21"/>
                <w:szCs w:val="21"/>
              </w:rPr>
            </w:pPr>
            <w:r>
              <w:rPr>
                <w:rFonts w:ascii="宋体" w:hAnsi="宋体" w:cs="宋体" w:eastAsia="宋体" w:hint="default"/>
                <w:sz w:val="21"/>
                <w:szCs w:val="21"/>
              </w:rPr>
              <w:t>分配</w:t>
            </w:r>
          </w:p>
        </w:tc>
      </w:tr>
      <w:tr>
        <w:trPr>
          <w:trHeight w:val="319" w:hRule="exact"/>
        </w:trPr>
        <w:tc>
          <w:tcPr>
            <w:tcW w:w="377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1,028,766,494.77</w:t>
            </w:r>
          </w:p>
        </w:tc>
        <w:tc>
          <w:tcPr>
            <w:tcW w:w="3418" w:type="dxa"/>
            <w:tcBorders>
              <w:top w:val="single" w:sz="6" w:space="0" w:color="000000"/>
              <w:left w:val="single" w:sz="6" w:space="0" w:color="000000"/>
              <w:bottom w:val="single" w:sz="12" w:space="0" w:color="000000"/>
              <w:right w:val="single" w:sz="6" w:space="0" w:color="000000"/>
            </w:tcBorders>
          </w:tcPr>
          <w:p>
            <w:pPr/>
          </w:p>
        </w:tc>
      </w:tr>
    </w:tbl>
    <w:p>
      <w:pPr>
        <w:spacing w:before="8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、外币报表折算差额</w:t>
      </w:r>
      <w:r>
        <w:rPr>
          <w:rFonts w:ascii="宋体" w:hAnsi="宋体" w:cs="宋体" w:eastAsia="宋体" w:hint="default"/>
          <w:sz w:val="21"/>
          <w:szCs w:val="21"/>
        </w:rPr>
      </w:r>
    </w:p>
    <w:p>
      <w:pPr>
        <w:spacing w:line="309" w:lineRule="auto" w:before="138"/>
        <w:ind w:left="124" w:right="1678" w:firstLine="403"/>
        <w:jc w:val="left"/>
        <w:rPr>
          <w:rFonts w:ascii="宋体" w:hAnsi="宋体" w:cs="宋体" w:eastAsia="宋体" w:hint="default"/>
          <w:sz w:val="21"/>
          <w:szCs w:val="21"/>
        </w:rPr>
      </w:pPr>
      <w:r>
        <w:rPr>
          <w:rFonts w:ascii="宋体" w:hAnsi="宋体" w:cs="宋体" w:eastAsia="宋体" w:hint="default"/>
          <w:sz w:val="21"/>
          <w:szCs w:val="21"/>
        </w:rPr>
        <w:t>公司本期末的外币报表折算差额为</w:t>
      </w:r>
      <w:r>
        <w:rPr>
          <w:rFonts w:ascii="宋体" w:hAnsi="宋体" w:cs="宋体" w:eastAsia="宋体" w:hint="default"/>
          <w:sz w:val="21"/>
          <w:szCs w:val="21"/>
        </w:rPr>
        <w:t>-29,374.36</w:t>
      </w:r>
      <w:r>
        <w:rPr>
          <w:rFonts w:ascii="宋体" w:hAnsi="宋体" w:cs="宋体" w:eastAsia="宋体" w:hint="default"/>
          <w:spacing w:val="-5"/>
          <w:sz w:val="21"/>
          <w:szCs w:val="21"/>
        </w:rPr>
        <w:t> </w:t>
      </w:r>
      <w:r>
        <w:rPr>
          <w:rFonts w:ascii="宋体" w:hAnsi="宋体" w:cs="宋体" w:eastAsia="宋体" w:hint="default"/>
          <w:sz w:val="21"/>
          <w:szCs w:val="21"/>
        </w:rPr>
        <w:t>元，该差额系公司在编制合并财务报表时合并</w:t>
      </w:r>
      <w:r>
        <w:rPr>
          <w:rFonts w:ascii="宋体" w:hAnsi="宋体" w:cs="宋体" w:eastAsia="宋体" w:hint="default"/>
          <w:w w:val="100"/>
          <w:sz w:val="21"/>
          <w:szCs w:val="21"/>
        </w:rPr>
        <w:t> </w:t>
      </w:r>
      <w:r>
        <w:rPr>
          <w:rFonts w:ascii="宋体" w:hAnsi="宋体" w:cs="宋体" w:eastAsia="宋体" w:hint="default"/>
          <w:sz w:val="21"/>
          <w:szCs w:val="21"/>
        </w:rPr>
        <w:t>公司所属的以外币记账的全资子公司</w:t>
      </w:r>
      <w:r>
        <w:rPr>
          <w:rFonts w:ascii="宋体" w:hAnsi="宋体" w:cs="宋体" w:eastAsia="宋体" w:hint="default"/>
          <w:sz w:val="21"/>
          <w:szCs w:val="21"/>
        </w:rPr>
        <w:t>-</w:t>
      </w:r>
      <w:r>
        <w:rPr>
          <w:rFonts w:ascii="宋体" w:hAnsi="宋体" w:cs="宋体" w:eastAsia="宋体" w:hint="default"/>
          <w:sz w:val="21"/>
          <w:szCs w:val="21"/>
        </w:rPr>
        <w:t>北京东华合创香港有限公司所产生的折算差额。</w:t>
      </w:r>
    </w:p>
    <w:p>
      <w:pPr>
        <w:spacing w:before="139"/>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、少数股东权益</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3951"/>
        <w:gridCol w:w="1728"/>
        <w:gridCol w:w="1138"/>
        <w:gridCol w:w="1582"/>
        <w:gridCol w:w="1368"/>
      </w:tblGrid>
      <w:tr>
        <w:trPr>
          <w:trHeight w:val="319" w:hRule="exact"/>
        </w:trPr>
        <w:tc>
          <w:tcPr>
            <w:tcW w:w="3951"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72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4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3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8" w:hRule="exact"/>
        </w:trPr>
        <w:tc>
          <w:tcPr>
            <w:tcW w:w="3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84" w:right="0"/>
              <w:jc w:val="left"/>
              <w:rPr>
                <w:rFonts w:ascii="宋体" w:hAnsi="宋体" w:cs="宋体" w:eastAsia="宋体" w:hint="default"/>
                <w:sz w:val="21"/>
                <w:szCs w:val="21"/>
              </w:rPr>
            </w:pPr>
            <w:r>
              <w:rPr>
                <w:rFonts w:ascii="宋体" w:hAnsi="宋体" w:cs="宋体" w:eastAsia="宋体" w:hint="default"/>
                <w:sz w:val="21"/>
                <w:szCs w:val="21"/>
              </w:rPr>
              <w:t>广州东华合创数码科技有限公司</w:t>
            </w:r>
          </w:p>
        </w:tc>
        <w:tc>
          <w:tcPr>
            <w:tcW w:w="172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98,592.70</w:t>
            </w:r>
          </w:p>
        </w:tc>
        <w:tc>
          <w:tcPr>
            <w:tcW w:w="1138" w:type="dxa"/>
            <w:vMerge w:val="restart"/>
            <w:tcBorders>
              <w:top w:val="single" w:sz="4" w:space="0" w:color="000000"/>
              <w:left w:val="single" w:sz="4" w:space="0" w:color="000000"/>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spacing w:val="-1"/>
                <w:sz w:val="21"/>
              </w:rPr>
              <w:t>2,281.89</w:t>
            </w:r>
          </w:p>
        </w:tc>
        <w:tc>
          <w:tcPr>
            <w:tcW w:w="1368" w:type="dxa"/>
            <w:vMerge w:val="restart"/>
            <w:tcBorders>
              <w:top w:val="single" w:sz="4" w:space="0" w:color="000000"/>
              <w:left w:val="single" w:sz="4" w:space="0" w:color="000000"/>
              <w:right w:val="single" w:sz="4" w:space="0" w:color="000000"/>
            </w:tcBorders>
          </w:tcPr>
          <w:p>
            <w:pPr>
              <w:pStyle w:val="TableParagraph"/>
              <w:spacing w:line="270" w:lineRule="exact"/>
              <w:ind w:left="307" w:right="0"/>
              <w:jc w:val="left"/>
              <w:rPr>
                <w:rFonts w:ascii="宋体" w:hAnsi="宋体" w:cs="宋体" w:eastAsia="宋体" w:hint="default"/>
                <w:sz w:val="21"/>
                <w:szCs w:val="21"/>
              </w:rPr>
            </w:pPr>
            <w:r>
              <w:rPr>
                <w:rFonts w:ascii="宋体"/>
                <w:sz w:val="21"/>
              </w:rPr>
              <w:t>96,310.81</w:t>
            </w:r>
          </w:p>
        </w:tc>
      </w:tr>
      <w:tr>
        <w:trPr>
          <w:trHeight w:val="310" w:hRule="exact"/>
        </w:trPr>
        <w:tc>
          <w:tcPr>
            <w:tcW w:w="3951" w:type="dxa"/>
            <w:tcBorders>
              <w:top w:val="nil" w:sz="6" w:space="0" w:color="auto"/>
              <w:left w:val="single" w:sz="4" w:space="0" w:color="000000"/>
              <w:bottom w:val="single" w:sz="2" w:space="0" w:color="000000"/>
              <w:right w:val="single" w:sz="4" w:space="0" w:color="000000"/>
            </w:tcBorders>
          </w:tcPr>
          <w:p>
            <w:pPr>
              <w:pStyle w:val="TableParagraph"/>
              <w:spacing w:line="267" w:lineRule="exact"/>
              <w:ind w:left="84" w:right="0"/>
              <w:jc w:val="left"/>
              <w:rPr>
                <w:rFonts w:ascii="宋体" w:hAnsi="宋体" w:cs="宋体" w:eastAsia="宋体" w:hint="default"/>
                <w:sz w:val="21"/>
                <w:szCs w:val="21"/>
              </w:rPr>
            </w:pPr>
            <w:r>
              <w:rPr>
                <w:rFonts w:ascii="宋体" w:hAnsi="宋体" w:cs="宋体" w:eastAsia="宋体" w:hint="default"/>
                <w:sz w:val="21"/>
                <w:szCs w:val="21"/>
              </w:rPr>
              <w:t>内蒙古合创信息技术有限公司</w:t>
            </w:r>
          </w:p>
        </w:tc>
        <w:tc>
          <w:tcPr>
            <w:tcW w:w="1728" w:type="dxa"/>
            <w:tcBorders>
              <w:top w:val="nil" w:sz="6" w:space="0" w:color="auto"/>
              <w:left w:val="single" w:sz="4" w:space="0" w:color="000000"/>
              <w:bottom w:val="single" w:sz="2"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2,450,000.00</w:t>
            </w:r>
          </w:p>
        </w:tc>
        <w:tc>
          <w:tcPr>
            <w:tcW w:w="1138" w:type="dxa"/>
            <w:vMerge/>
            <w:tcBorders>
              <w:left w:val="single" w:sz="4" w:space="0" w:color="000000"/>
              <w:bottom w:val="single" w:sz="2" w:space="0" w:color="000000"/>
              <w:right w:val="single" w:sz="4" w:space="0" w:color="000000"/>
            </w:tcBorders>
          </w:tcPr>
          <w:p>
            <w:pPr/>
          </w:p>
        </w:tc>
        <w:tc>
          <w:tcPr>
            <w:tcW w:w="1582" w:type="dxa"/>
            <w:tcBorders>
              <w:top w:val="nil" w:sz="6" w:space="0" w:color="auto"/>
              <w:left w:val="single" w:sz="4" w:space="0" w:color="000000"/>
              <w:bottom w:val="single" w:sz="2" w:space="0" w:color="000000"/>
              <w:right w:val="single" w:sz="4" w:space="0" w:color="000000"/>
            </w:tcBorders>
          </w:tcPr>
          <w:p>
            <w:pPr>
              <w:pStyle w:val="TableParagraph"/>
              <w:spacing w:line="275" w:lineRule="exact"/>
              <w:ind w:right="2"/>
              <w:jc w:val="right"/>
              <w:rPr>
                <w:rFonts w:ascii="宋体" w:hAnsi="宋体" w:cs="宋体" w:eastAsia="宋体" w:hint="default"/>
                <w:sz w:val="21"/>
                <w:szCs w:val="21"/>
              </w:rPr>
            </w:pPr>
            <w:r>
              <w:rPr>
                <w:rFonts w:ascii="宋体"/>
                <w:spacing w:val="-1"/>
                <w:sz w:val="21"/>
              </w:rPr>
              <w:t>2,450,000.00</w:t>
            </w:r>
          </w:p>
        </w:tc>
        <w:tc>
          <w:tcPr>
            <w:tcW w:w="1368" w:type="dxa"/>
            <w:vMerge/>
            <w:tcBorders>
              <w:left w:val="single" w:sz="4" w:space="0" w:color="000000"/>
              <w:bottom w:val="single" w:sz="2" w:space="0" w:color="000000"/>
              <w:right w:val="single" w:sz="4" w:space="0" w:color="000000"/>
            </w:tcBorders>
          </w:tcPr>
          <w:p>
            <w:pPr/>
          </w:p>
        </w:tc>
      </w:tr>
      <w:tr>
        <w:trPr>
          <w:trHeight w:val="336" w:hRule="exact"/>
        </w:trPr>
        <w:tc>
          <w:tcPr>
            <w:tcW w:w="3951"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3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2,548,592.70</w:t>
            </w:r>
          </w:p>
        </w:tc>
        <w:tc>
          <w:tcPr>
            <w:tcW w:w="1138" w:type="dxa"/>
            <w:tcBorders>
              <w:top w:val="single" w:sz="2" w:space="0" w:color="000000"/>
              <w:left w:val="single" w:sz="4" w:space="0" w:color="000000"/>
              <w:bottom w:val="single" w:sz="12" w:space="0" w:color="000000"/>
              <w:right w:val="single" w:sz="4" w:space="0" w:color="000000"/>
            </w:tcBorders>
          </w:tcPr>
          <w:p>
            <w:pPr/>
          </w:p>
        </w:tc>
        <w:tc>
          <w:tcPr>
            <w:tcW w:w="1582"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spacing w:val="-1"/>
                <w:sz w:val="21"/>
              </w:rPr>
              <w:t>2,452,281.89</w:t>
            </w:r>
          </w:p>
        </w:tc>
        <w:tc>
          <w:tcPr>
            <w:tcW w:w="136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4"/>
              <w:ind w:left="309" w:right="0"/>
              <w:jc w:val="left"/>
              <w:rPr>
                <w:rFonts w:ascii="宋体" w:hAnsi="宋体" w:cs="宋体" w:eastAsia="宋体" w:hint="default"/>
                <w:sz w:val="21"/>
                <w:szCs w:val="21"/>
              </w:rPr>
            </w:pPr>
            <w:r>
              <w:rPr>
                <w:rFonts w:ascii="宋体"/>
                <w:sz w:val="21"/>
              </w:rPr>
              <w:t>96,310.81</w:t>
            </w:r>
          </w:p>
        </w:tc>
      </w:tr>
    </w:tbl>
    <w:p>
      <w:pPr>
        <w:spacing w:after="0" w:line="240" w:lineRule="auto"/>
        <w:jc w:val="left"/>
        <w:rPr>
          <w:rFonts w:ascii="宋体" w:hAnsi="宋体" w:cs="宋体" w:eastAsia="宋体" w:hint="default"/>
          <w:sz w:val="21"/>
          <w:szCs w:val="21"/>
        </w:rPr>
        <w:sectPr>
          <w:pgSz w:w="12240" w:h="15840"/>
          <w:pgMar w:header="850" w:footer="956" w:top="1360" w:bottom="1140" w:left="1520" w:right="0"/>
        </w:sectPr>
      </w:pPr>
    </w:p>
    <w:p>
      <w:pPr>
        <w:spacing w:before="15"/>
        <w:ind w:left="566" w:right="1697" w:firstLine="0"/>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384"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b/>
          <w:bCs/>
          <w:sz w:val="21"/>
          <w:szCs w:val="21"/>
        </w:rPr>
        <w:t>32</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before="11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w:t>
      </w:r>
    </w:p>
    <w:p>
      <w:pPr>
        <w:spacing w:line="240" w:lineRule="auto" w:before="10"/>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1966"/>
        <w:gridCol w:w="1740"/>
        <w:gridCol w:w="1738"/>
        <w:gridCol w:w="1741"/>
        <w:gridCol w:w="1704"/>
      </w:tblGrid>
      <w:tr>
        <w:trPr>
          <w:trHeight w:val="322" w:hRule="exact"/>
        </w:trPr>
        <w:tc>
          <w:tcPr>
            <w:tcW w:w="1966" w:type="dxa"/>
            <w:vMerge w:val="restart"/>
            <w:tcBorders>
              <w:top w:val="single" w:sz="12" w:space="0" w:color="000000"/>
              <w:left w:val="single" w:sz="4" w:space="0" w:color="000000"/>
              <w:right w:val="single" w:sz="4" w:space="0" w:color="000000"/>
            </w:tcBorders>
          </w:tcPr>
          <w:p>
            <w:pPr>
              <w:pStyle w:val="TableParagraph"/>
              <w:tabs>
                <w:tab w:pos="424" w:val="left" w:leader="none"/>
              </w:tabs>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7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4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1966"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9" w:hRule="exact"/>
        </w:trPr>
        <w:tc>
          <w:tcPr>
            <w:tcW w:w="19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684"/>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74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2,573,578,028.98</w:t>
            </w: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1,772,193,855.64</w:t>
            </w:r>
          </w:p>
        </w:tc>
        <w:tc>
          <w:tcPr>
            <w:tcW w:w="1741"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1,833,864,047.41</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7" w:right="26"/>
              <w:jc w:val="right"/>
              <w:rPr>
                <w:rFonts w:ascii="宋体" w:hAnsi="宋体" w:cs="宋体" w:eastAsia="宋体" w:hint="default"/>
                <w:sz w:val="21"/>
                <w:szCs w:val="21"/>
              </w:rPr>
            </w:pPr>
            <w:r>
              <w:rPr>
                <w:rFonts w:ascii="宋体"/>
                <w:spacing w:val="-1"/>
                <w:sz w:val="21"/>
              </w:rPr>
              <w:t>1,281,085,482.01</w:t>
            </w:r>
          </w:p>
        </w:tc>
      </w:tr>
      <w:tr>
        <w:trPr>
          <w:trHeight w:val="291" w:hRule="exact"/>
        </w:trPr>
        <w:tc>
          <w:tcPr>
            <w:tcW w:w="196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684"/>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17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12,808,817.60</w:t>
            </w: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11,191,857.16</w:t>
            </w:r>
          </w:p>
        </w:tc>
        <w:tc>
          <w:tcPr>
            <w:tcW w:w="17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36,297,222.15</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32,321,034.14</w:t>
            </w:r>
          </w:p>
        </w:tc>
      </w:tr>
      <w:tr>
        <w:trPr>
          <w:trHeight w:val="319" w:hRule="exact"/>
        </w:trPr>
        <w:tc>
          <w:tcPr>
            <w:tcW w:w="196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65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2,586,386,846.58</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1,783,385,712.80</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1,870,161,269.56</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17" w:right="26"/>
              <w:jc w:val="right"/>
              <w:rPr>
                <w:rFonts w:ascii="宋体" w:hAnsi="宋体" w:cs="宋体" w:eastAsia="宋体" w:hint="default"/>
                <w:sz w:val="21"/>
                <w:szCs w:val="21"/>
              </w:rPr>
            </w:pPr>
            <w:r>
              <w:rPr>
                <w:rFonts w:ascii="宋体"/>
                <w:spacing w:val="-1"/>
                <w:sz w:val="21"/>
              </w:rPr>
              <w:t>1,313,406,516.15</w:t>
            </w:r>
          </w:p>
        </w:tc>
      </w:tr>
    </w:tbl>
    <w:p>
      <w:pPr>
        <w:spacing w:before="28"/>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）主营业务（分行业）：</w:t>
      </w:r>
    </w:p>
    <w:p>
      <w:pPr>
        <w:spacing w:line="240" w:lineRule="auto" w:before="7"/>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2019"/>
        <w:gridCol w:w="1740"/>
        <w:gridCol w:w="1743"/>
        <w:gridCol w:w="1743"/>
        <w:gridCol w:w="1743"/>
      </w:tblGrid>
      <w:tr>
        <w:trPr>
          <w:trHeight w:val="319" w:hRule="exact"/>
        </w:trPr>
        <w:tc>
          <w:tcPr>
            <w:tcW w:w="2019" w:type="dxa"/>
            <w:vMerge w:val="restart"/>
            <w:tcBorders>
              <w:top w:val="single" w:sz="12" w:space="0" w:color="000000"/>
              <w:left w:val="single" w:sz="4" w:space="0" w:color="000000"/>
              <w:right w:val="single" w:sz="4" w:space="0" w:color="000000"/>
            </w:tcBorders>
          </w:tcPr>
          <w:p>
            <w:pPr>
              <w:pStyle w:val="TableParagraph"/>
              <w:spacing w:line="240" w:lineRule="auto" w:before="150"/>
              <w:ind w:left="58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4" w:hRule="exact"/>
        </w:trPr>
        <w:tc>
          <w:tcPr>
            <w:tcW w:w="2019" w:type="dxa"/>
            <w:vMerge/>
            <w:tcBorders>
              <w:left w:val="single" w:sz="4" w:space="0" w:color="000000"/>
              <w:bottom w:val="single" w:sz="6" w:space="0" w:color="000000"/>
              <w:right w:val="single" w:sz="4" w:space="0" w:color="000000"/>
            </w:tcBorders>
          </w:tcPr>
          <w:p>
            <w:pPr/>
          </w:p>
        </w:tc>
        <w:tc>
          <w:tcPr>
            <w:tcW w:w="1740"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2" w:hRule="exact"/>
        </w:trPr>
        <w:tc>
          <w:tcPr>
            <w:tcW w:w="2019"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通信行业</w:t>
            </w:r>
          </w:p>
        </w:tc>
        <w:tc>
          <w:tcPr>
            <w:tcW w:w="1740" w:type="dxa"/>
            <w:tcBorders>
              <w:top w:val="single" w:sz="6" w:space="0" w:color="000000"/>
              <w:left w:val="single" w:sz="6" w:space="0" w:color="000000"/>
              <w:bottom w:val="nil" w:sz="6" w:space="0" w:color="auto"/>
              <w:right w:val="single" w:sz="6" w:space="0" w:color="000000"/>
            </w:tcBorders>
          </w:tcPr>
          <w:p>
            <w:pPr>
              <w:pStyle w:val="TableParagraph"/>
              <w:spacing w:line="255" w:lineRule="exact"/>
              <w:ind w:right="17"/>
              <w:jc w:val="right"/>
              <w:rPr>
                <w:rFonts w:ascii="宋体" w:hAnsi="宋体" w:cs="宋体" w:eastAsia="宋体" w:hint="default"/>
                <w:sz w:val="21"/>
                <w:szCs w:val="21"/>
              </w:rPr>
            </w:pPr>
            <w:r>
              <w:rPr>
                <w:rFonts w:ascii="宋体"/>
                <w:spacing w:val="-1"/>
                <w:sz w:val="21"/>
              </w:rPr>
              <w:t>273,746,229.49</w:t>
            </w:r>
          </w:p>
        </w:tc>
        <w:tc>
          <w:tcPr>
            <w:tcW w:w="1743" w:type="dxa"/>
            <w:tcBorders>
              <w:top w:val="single" w:sz="6" w:space="0" w:color="000000"/>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182,020,690.52</w:t>
            </w:r>
          </w:p>
        </w:tc>
        <w:tc>
          <w:tcPr>
            <w:tcW w:w="1743"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right="20"/>
              <w:jc w:val="right"/>
              <w:rPr>
                <w:rFonts w:ascii="宋体" w:hAnsi="宋体" w:cs="宋体" w:eastAsia="宋体" w:hint="default"/>
                <w:sz w:val="21"/>
                <w:szCs w:val="21"/>
              </w:rPr>
            </w:pPr>
            <w:r>
              <w:rPr>
                <w:rFonts w:ascii="宋体"/>
                <w:spacing w:val="-1"/>
                <w:sz w:val="21"/>
              </w:rPr>
              <w:t>190,123,414.15</w:t>
            </w:r>
          </w:p>
        </w:tc>
        <w:tc>
          <w:tcPr>
            <w:tcW w:w="1743"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128,150,502.08</w:t>
            </w:r>
          </w:p>
        </w:tc>
      </w:tr>
      <w:tr>
        <w:trPr>
          <w:trHeight w:val="593"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电力水利铁路交通行</w:t>
            </w:r>
          </w:p>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7"/>
              <w:jc w:val="right"/>
              <w:rPr>
                <w:rFonts w:ascii="宋体" w:hAnsi="宋体" w:cs="宋体" w:eastAsia="宋体" w:hint="default"/>
                <w:sz w:val="21"/>
                <w:szCs w:val="21"/>
              </w:rPr>
            </w:pPr>
            <w:r>
              <w:rPr>
                <w:rFonts w:ascii="宋体"/>
                <w:spacing w:val="-1"/>
                <w:sz w:val="21"/>
              </w:rPr>
              <w:t>420,729,819.57</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9"/>
              <w:jc w:val="right"/>
              <w:rPr>
                <w:rFonts w:ascii="宋体" w:hAnsi="宋体" w:cs="宋体" w:eastAsia="宋体" w:hint="default"/>
                <w:sz w:val="21"/>
                <w:szCs w:val="21"/>
              </w:rPr>
            </w:pPr>
            <w:r>
              <w:rPr>
                <w:rFonts w:ascii="宋体"/>
                <w:spacing w:val="-1"/>
                <w:sz w:val="21"/>
              </w:rPr>
              <w:t>288,079,493.90</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20"/>
              <w:jc w:val="right"/>
              <w:rPr>
                <w:rFonts w:ascii="宋体" w:hAnsi="宋体" w:cs="宋体" w:eastAsia="宋体" w:hint="default"/>
                <w:sz w:val="21"/>
                <w:szCs w:val="21"/>
              </w:rPr>
            </w:pPr>
            <w:r>
              <w:rPr>
                <w:rFonts w:ascii="宋体"/>
                <w:spacing w:val="-1"/>
                <w:sz w:val="21"/>
              </w:rPr>
              <w:t>327,347,830.61</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19"/>
              <w:jc w:val="right"/>
              <w:rPr>
                <w:rFonts w:ascii="宋体" w:hAnsi="宋体" w:cs="宋体" w:eastAsia="宋体" w:hint="default"/>
                <w:sz w:val="21"/>
                <w:szCs w:val="21"/>
              </w:rPr>
            </w:pPr>
            <w:r>
              <w:rPr>
                <w:rFonts w:ascii="宋体"/>
                <w:spacing w:val="-1"/>
                <w:sz w:val="21"/>
              </w:rPr>
              <w:t>226,925,267.74</w:t>
            </w:r>
          </w:p>
        </w:tc>
      </w:tr>
      <w:tr>
        <w:trPr>
          <w:trHeight w:val="300"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石油化工行业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70,892,312.11</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49,197,355.05</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55,942,764.64</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38,663,017.07</w:t>
            </w:r>
          </w:p>
        </w:tc>
      </w:tr>
      <w:tr>
        <w:trPr>
          <w:trHeight w:val="300"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政府行业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291,820,496.64</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197,149,658.57</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242,143,485.46</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167,369,881.61</w:t>
            </w:r>
          </w:p>
        </w:tc>
      </w:tr>
      <w:tr>
        <w:trPr>
          <w:trHeight w:val="300"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金融保险医保行业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6"/>
              <w:jc w:val="right"/>
              <w:rPr>
                <w:rFonts w:ascii="宋体" w:hAnsi="宋体" w:cs="宋体" w:eastAsia="宋体" w:hint="default"/>
                <w:sz w:val="21"/>
                <w:szCs w:val="21"/>
              </w:rPr>
            </w:pPr>
            <w:r>
              <w:rPr>
                <w:rFonts w:ascii="宋体"/>
                <w:spacing w:val="-1"/>
                <w:sz w:val="21"/>
              </w:rPr>
              <w:t>1,094,316,645.81</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757,478,393.18</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686,379,954.50</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476,313,499.64</w:t>
            </w:r>
          </w:p>
        </w:tc>
      </w:tr>
      <w:tr>
        <w:trPr>
          <w:trHeight w:val="300"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计算机服务业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147,659,197.29</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107,342,668.95</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117,943,533.10</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88,377,692.17</w:t>
            </w:r>
          </w:p>
        </w:tc>
      </w:tr>
      <w:tr>
        <w:trPr>
          <w:trHeight w:val="300" w:hRule="exact"/>
        </w:trPr>
        <w:tc>
          <w:tcPr>
            <w:tcW w:w="2019"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89,442,343.19</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62,631,633.08</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68,549,789.04</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49,910,793.36</w:t>
            </w:r>
          </w:p>
        </w:tc>
      </w:tr>
      <w:tr>
        <w:trPr>
          <w:trHeight w:val="300" w:hRule="exact"/>
        </w:trPr>
        <w:tc>
          <w:tcPr>
            <w:tcW w:w="2019" w:type="dxa"/>
            <w:tcBorders>
              <w:top w:val="nil" w:sz="6" w:space="0" w:color="auto"/>
              <w:left w:val="single" w:sz="6" w:space="0" w:color="000000"/>
              <w:bottom w:val="single" w:sz="4"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0" w:type="dxa"/>
            <w:tcBorders>
              <w:top w:val="nil" w:sz="6" w:space="0" w:color="auto"/>
              <w:left w:val="single" w:sz="6" w:space="0" w:color="000000"/>
              <w:bottom w:val="single" w:sz="6" w:space="0" w:color="000000"/>
              <w:right w:val="single" w:sz="6" w:space="0" w:color="000000"/>
            </w:tcBorders>
          </w:tcPr>
          <w:p>
            <w:pPr>
              <w:pStyle w:val="TableParagraph"/>
              <w:spacing w:line="248" w:lineRule="exact"/>
              <w:ind w:right="17"/>
              <w:jc w:val="right"/>
              <w:rPr>
                <w:rFonts w:ascii="宋体" w:hAnsi="宋体" w:cs="宋体" w:eastAsia="宋体" w:hint="default"/>
                <w:sz w:val="21"/>
                <w:szCs w:val="21"/>
              </w:rPr>
            </w:pPr>
            <w:r>
              <w:rPr>
                <w:rFonts w:ascii="宋体"/>
                <w:spacing w:val="-1"/>
                <w:sz w:val="21"/>
              </w:rPr>
              <w:t>184,970,984.88</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128,293,962.39</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145,433,275.91</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105,374,828.34</w:t>
            </w:r>
          </w:p>
        </w:tc>
      </w:tr>
      <w:tr>
        <w:trPr>
          <w:trHeight w:val="324" w:hRule="exact"/>
        </w:trPr>
        <w:tc>
          <w:tcPr>
            <w:tcW w:w="2019"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40"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16"/>
              <w:jc w:val="right"/>
              <w:rPr>
                <w:rFonts w:ascii="宋体" w:hAnsi="宋体" w:cs="宋体" w:eastAsia="宋体" w:hint="default"/>
                <w:sz w:val="21"/>
                <w:szCs w:val="21"/>
              </w:rPr>
            </w:pPr>
            <w:r>
              <w:rPr>
                <w:rFonts w:ascii="宋体"/>
                <w:spacing w:val="-1"/>
                <w:sz w:val="21"/>
              </w:rPr>
              <w:t>2,573,578,028.98</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1,772,193,855.64</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1,833,864,047.41</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1,281,085,482.01</w:t>
            </w:r>
          </w:p>
        </w:tc>
      </w:tr>
    </w:tbl>
    <w:p>
      <w:pPr>
        <w:spacing w:before="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）主营业务（分产品）</w:t>
      </w:r>
    </w:p>
    <w:p>
      <w:pPr>
        <w:spacing w:line="240" w:lineRule="auto" w:before="7"/>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756"/>
        <w:gridCol w:w="1811"/>
        <w:gridCol w:w="1809"/>
        <w:gridCol w:w="1814"/>
        <w:gridCol w:w="1676"/>
      </w:tblGrid>
      <w:tr>
        <w:trPr>
          <w:trHeight w:val="322" w:hRule="exact"/>
        </w:trPr>
        <w:tc>
          <w:tcPr>
            <w:tcW w:w="1756" w:type="dxa"/>
            <w:vMerge w:val="restart"/>
            <w:tcBorders>
              <w:top w:val="single" w:sz="12" w:space="0" w:color="000000"/>
              <w:left w:val="single" w:sz="4" w:space="0" w:color="000000"/>
              <w:right w:val="single" w:sz="5" w:space="0" w:color="000000"/>
            </w:tcBorders>
          </w:tcPr>
          <w:p>
            <w:pPr>
              <w:pStyle w:val="TableParagraph"/>
              <w:spacing w:line="240" w:lineRule="auto" w:before="151"/>
              <w:ind w:left="45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20"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90"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1756" w:type="dxa"/>
            <w:vMerge/>
            <w:tcBorders>
              <w:left w:val="single" w:sz="4" w:space="0" w:color="000000"/>
              <w:bottom w:val="single" w:sz="4" w:space="0" w:color="000000"/>
              <w:right w:val="single" w:sz="5" w:space="0" w:color="000000"/>
            </w:tcBorders>
          </w:tcPr>
          <w:p>
            <w:pPr/>
          </w:p>
        </w:tc>
        <w:tc>
          <w:tcPr>
            <w:tcW w:w="1811"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9"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4"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1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2" w:hRule="exact"/>
        </w:trPr>
        <w:tc>
          <w:tcPr>
            <w:tcW w:w="1756" w:type="dxa"/>
            <w:tcBorders>
              <w:top w:val="single" w:sz="4" w:space="0" w:color="000000"/>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11"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7"/>
              <w:jc w:val="right"/>
              <w:rPr>
                <w:rFonts w:ascii="宋体" w:hAnsi="宋体" w:cs="宋体" w:eastAsia="宋体" w:hint="default"/>
                <w:sz w:val="21"/>
                <w:szCs w:val="21"/>
              </w:rPr>
            </w:pPr>
            <w:r>
              <w:rPr>
                <w:rFonts w:ascii="宋体"/>
                <w:spacing w:val="-1"/>
                <w:sz w:val="21"/>
              </w:rPr>
              <w:t>1,848,831,479.01</w:t>
            </w:r>
          </w:p>
        </w:tc>
        <w:tc>
          <w:tcPr>
            <w:tcW w:w="1809"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1,571,922,979.39</w:t>
            </w:r>
          </w:p>
        </w:tc>
        <w:tc>
          <w:tcPr>
            <w:tcW w:w="1814"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1,292,939,691.27</w:t>
            </w:r>
          </w:p>
        </w:tc>
        <w:tc>
          <w:tcPr>
            <w:tcW w:w="1676"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left="-39" w:right="15"/>
              <w:jc w:val="right"/>
              <w:rPr>
                <w:rFonts w:ascii="宋体" w:hAnsi="宋体" w:cs="宋体" w:eastAsia="宋体" w:hint="default"/>
                <w:sz w:val="21"/>
                <w:szCs w:val="21"/>
              </w:rPr>
            </w:pPr>
            <w:r>
              <w:rPr>
                <w:rFonts w:ascii="宋体"/>
                <w:spacing w:val="-1"/>
                <w:sz w:val="21"/>
              </w:rPr>
              <w:t>1,118,943,883.93</w:t>
            </w:r>
          </w:p>
        </w:tc>
      </w:tr>
      <w:tr>
        <w:trPr>
          <w:trHeight w:val="300" w:hRule="exact"/>
        </w:trPr>
        <w:tc>
          <w:tcPr>
            <w:tcW w:w="175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自制及定制软件</w:t>
            </w:r>
          </w:p>
        </w:tc>
        <w:tc>
          <w:tcPr>
            <w:tcW w:w="1811"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371,754,923.93</w:t>
            </w:r>
          </w:p>
        </w:tc>
        <w:tc>
          <w:tcPr>
            <w:tcW w:w="1809"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99,030,205.21</w:t>
            </w:r>
          </w:p>
        </w:tc>
        <w:tc>
          <w:tcPr>
            <w:tcW w:w="1814"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320,201,880.45</w:t>
            </w:r>
          </w:p>
        </w:tc>
        <w:tc>
          <w:tcPr>
            <w:tcW w:w="1676"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5"/>
              <w:jc w:val="right"/>
              <w:rPr>
                <w:rFonts w:ascii="宋体" w:hAnsi="宋体" w:cs="宋体" w:eastAsia="宋体" w:hint="default"/>
                <w:sz w:val="21"/>
                <w:szCs w:val="21"/>
              </w:rPr>
            </w:pPr>
            <w:r>
              <w:rPr>
                <w:rFonts w:ascii="宋体"/>
                <w:spacing w:val="-1"/>
                <w:sz w:val="21"/>
              </w:rPr>
              <w:t>99,823,295.50</w:t>
            </w:r>
          </w:p>
        </w:tc>
      </w:tr>
      <w:tr>
        <w:trPr>
          <w:trHeight w:val="300" w:hRule="exact"/>
        </w:trPr>
        <w:tc>
          <w:tcPr>
            <w:tcW w:w="1756" w:type="dxa"/>
            <w:tcBorders>
              <w:top w:val="nil" w:sz="6" w:space="0" w:color="auto"/>
              <w:left w:val="single" w:sz="6" w:space="0" w:color="000000"/>
              <w:bottom w:val="single" w:sz="4" w:space="0" w:color="000000"/>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11"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352,991,626.04</w:t>
            </w:r>
          </w:p>
        </w:tc>
        <w:tc>
          <w:tcPr>
            <w:tcW w:w="1809"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101,240,671.04</w:t>
            </w:r>
          </w:p>
        </w:tc>
        <w:tc>
          <w:tcPr>
            <w:tcW w:w="1814"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220,722,475.69</w:t>
            </w:r>
          </w:p>
        </w:tc>
        <w:tc>
          <w:tcPr>
            <w:tcW w:w="1676"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5"/>
              <w:jc w:val="right"/>
              <w:rPr>
                <w:rFonts w:ascii="宋体" w:hAnsi="宋体" w:cs="宋体" w:eastAsia="宋体" w:hint="default"/>
                <w:sz w:val="21"/>
                <w:szCs w:val="21"/>
              </w:rPr>
            </w:pPr>
            <w:r>
              <w:rPr>
                <w:rFonts w:ascii="宋体"/>
                <w:spacing w:val="-1"/>
                <w:sz w:val="21"/>
              </w:rPr>
              <w:t>62,318,302.58</w:t>
            </w:r>
          </w:p>
        </w:tc>
      </w:tr>
      <w:tr>
        <w:trPr>
          <w:trHeight w:val="324" w:hRule="exact"/>
        </w:trPr>
        <w:tc>
          <w:tcPr>
            <w:tcW w:w="1756" w:type="dxa"/>
            <w:tcBorders>
              <w:top w:val="single" w:sz="4" w:space="0" w:color="000000"/>
              <w:left w:val="single" w:sz="4" w:space="0" w:color="000000"/>
              <w:bottom w:val="single" w:sz="12" w:space="0" w:color="000000"/>
              <w:right w:val="single" w:sz="4" w:space="0" w:color="000000"/>
            </w:tcBorders>
          </w:tcPr>
          <w:p>
            <w:pPr>
              <w:pStyle w:val="TableParagraph"/>
              <w:tabs>
                <w:tab w:pos="979" w:val="left" w:leader="none"/>
              </w:tabs>
              <w:spacing w:line="272" w:lineRule="exact"/>
              <w:ind w:left="55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17"/>
              <w:jc w:val="right"/>
              <w:rPr>
                <w:rFonts w:ascii="宋体" w:hAnsi="宋体" w:cs="宋体" w:eastAsia="宋体" w:hint="default"/>
                <w:sz w:val="21"/>
                <w:szCs w:val="21"/>
              </w:rPr>
            </w:pPr>
            <w:r>
              <w:rPr>
                <w:rFonts w:ascii="宋体"/>
                <w:spacing w:val="-1"/>
                <w:sz w:val="21"/>
              </w:rPr>
              <w:t>2,573,578,028.98</w:t>
            </w:r>
          </w:p>
        </w:tc>
        <w:tc>
          <w:tcPr>
            <w:tcW w:w="180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1,772,193,855.64</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1,833,864,047.41</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9" w:right="15"/>
              <w:jc w:val="right"/>
              <w:rPr>
                <w:rFonts w:ascii="宋体" w:hAnsi="宋体" w:cs="宋体" w:eastAsia="宋体" w:hint="default"/>
                <w:sz w:val="21"/>
                <w:szCs w:val="21"/>
              </w:rPr>
            </w:pPr>
            <w:r>
              <w:rPr>
                <w:rFonts w:ascii="宋体"/>
                <w:spacing w:val="-1"/>
                <w:sz w:val="21"/>
              </w:rPr>
              <w:t>1,281,085,482.01</w:t>
            </w:r>
          </w:p>
        </w:tc>
      </w:tr>
    </w:tbl>
    <w:p>
      <w:pPr>
        <w:spacing w:before="2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）主营业务（分地区）</w:t>
      </w:r>
    </w:p>
    <w:p>
      <w:pPr>
        <w:spacing w:line="240" w:lineRule="auto" w:before="7"/>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781"/>
        <w:gridCol w:w="1803"/>
        <w:gridCol w:w="1803"/>
        <w:gridCol w:w="1803"/>
        <w:gridCol w:w="1678"/>
      </w:tblGrid>
      <w:tr>
        <w:trPr>
          <w:trHeight w:val="322" w:hRule="exact"/>
        </w:trPr>
        <w:tc>
          <w:tcPr>
            <w:tcW w:w="1781" w:type="dxa"/>
            <w:vMerge w:val="restart"/>
            <w:tcBorders>
              <w:top w:val="single" w:sz="12" w:space="0" w:color="000000"/>
              <w:left w:val="single" w:sz="6" w:space="0" w:color="000000"/>
              <w:right w:val="single" w:sz="4" w:space="0" w:color="000000"/>
            </w:tcBorders>
          </w:tcPr>
          <w:p>
            <w:pPr>
              <w:pStyle w:val="TableParagraph"/>
              <w:spacing w:line="240" w:lineRule="auto" w:before="150"/>
              <w:ind w:left="46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06" w:type="dxa"/>
            <w:gridSpan w:val="2"/>
            <w:tcBorders>
              <w:top w:val="single" w:sz="12" w:space="0" w:color="000000"/>
              <w:left w:val="single" w:sz="4" w:space="0" w:color="000000"/>
              <w:bottom w:val="single" w:sz="4" w:space="0" w:color="000000"/>
              <w:right w:val="single" w:sz="5"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81"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1781" w:type="dxa"/>
            <w:vMerge/>
            <w:tcBorders>
              <w:left w:val="single" w:sz="6" w:space="0" w:color="000000"/>
              <w:bottom w:val="single" w:sz="6"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5" w:space="0" w:color="000000"/>
            </w:tcBorders>
          </w:tcPr>
          <w:p>
            <w:pPr>
              <w:pStyle w:val="TableParagraph"/>
              <w:spacing w:line="270" w:lineRule="exact"/>
              <w:ind w:left="4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3"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3"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8"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1" w:hRule="exact"/>
        </w:trPr>
        <w:tc>
          <w:tcPr>
            <w:tcW w:w="1781"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03" w:type="dxa"/>
            <w:tcBorders>
              <w:top w:val="single" w:sz="4" w:space="0" w:color="000000"/>
              <w:left w:val="single" w:sz="6" w:space="0" w:color="000000"/>
              <w:bottom w:val="nil" w:sz="6" w:space="0" w:color="auto"/>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168,037,427.74</w:t>
            </w:r>
          </w:p>
        </w:tc>
        <w:tc>
          <w:tcPr>
            <w:tcW w:w="1803" w:type="dxa"/>
            <w:tcBorders>
              <w:top w:val="single" w:sz="4" w:space="0" w:color="000000"/>
              <w:left w:val="single" w:sz="6" w:space="0" w:color="000000"/>
              <w:bottom w:val="nil" w:sz="6" w:space="0" w:color="auto"/>
              <w:right w:val="single" w:sz="6" w:space="0" w:color="000000"/>
            </w:tcBorders>
          </w:tcPr>
          <w:p>
            <w:pPr>
              <w:pStyle w:val="TableParagraph"/>
              <w:spacing w:line="272" w:lineRule="exact"/>
              <w:ind w:right="19"/>
              <w:jc w:val="right"/>
              <w:rPr>
                <w:rFonts w:ascii="宋体" w:hAnsi="宋体" w:cs="宋体" w:eastAsia="宋体" w:hint="default"/>
                <w:sz w:val="21"/>
                <w:szCs w:val="21"/>
              </w:rPr>
            </w:pPr>
            <w:r>
              <w:rPr>
                <w:rFonts w:ascii="宋体"/>
                <w:spacing w:val="-1"/>
                <w:sz w:val="21"/>
              </w:rPr>
              <w:t>115,724,770.88</w:t>
            </w:r>
          </w:p>
        </w:tc>
        <w:tc>
          <w:tcPr>
            <w:tcW w:w="1803" w:type="dxa"/>
            <w:tcBorders>
              <w:top w:val="single" w:sz="4" w:space="0" w:color="000000"/>
              <w:left w:val="single" w:sz="6" w:space="0" w:color="000000"/>
              <w:bottom w:val="nil" w:sz="6" w:space="0" w:color="auto"/>
              <w:right w:val="single" w:sz="6" w:space="0" w:color="000000"/>
            </w:tcBorders>
          </w:tcPr>
          <w:p>
            <w:pPr>
              <w:pStyle w:val="TableParagraph"/>
              <w:spacing w:line="272" w:lineRule="exact"/>
              <w:ind w:right="20"/>
              <w:jc w:val="right"/>
              <w:rPr>
                <w:rFonts w:ascii="宋体" w:hAnsi="宋体" w:cs="宋体" w:eastAsia="宋体" w:hint="default"/>
                <w:sz w:val="21"/>
                <w:szCs w:val="21"/>
              </w:rPr>
            </w:pPr>
            <w:r>
              <w:rPr>
                <w:rFonts w:ascii="宋体"/>
                <w:spacing w:val="-1"/>
                <w:sz w:val="21"/>
              </w:rPr>
              <w:t>124,436,266.93</w:t>
            </w:r>
          </w:p>
        </w:tc>
        <w:tc>
          <w:tcPr>
            <w:tcW w:w="1678" w:type="dxa"/>
            <w:tcBorders>
              <w:top w:val="single" w:sz="4" w:space="0" w:color="000000"/>
              <w:left w:val="single" w:sz="6" w:space="0" w:color="000000"/>
              <w:bottom w:val="nil" w:sz="6" w:space="0" w:color="auto"/>
              <w:right w:val="single" w:sz="6"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86,506,791.18</w:t>
            </w:r>
          </w:p>
        </w:tc>
      </w:tr>
      <w:tr>
        <w:trPr>
          <w:trHeight w:val="300" w:hRule="exact"/>
        </w:trPr>
        <w:tc>
          <w:tcPr>
            <w:tcW w:w="178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1,434,344,161.95</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981,726,929.42</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1,112,744,298.34</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766,107,814.59</w:t>
            </w:r>
          </w:p>
        </w:tc>
      </w:tr>
      <w:tr>
        <w:trPr>
          <w:trHeight w:val="300" w:hRule="exact"/>
        </w:trPr>
        <w:tc>
          <w:tcPr>
            <w:tcW w:w="1781"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9"/>
              <w:jc w:val="right"/>
              <w:rPr>
                <w:rFonts w:ascii="宋体" w:hAnsi="宋体" w:cs="宋体" w:eastAsia="宋体" w:hint="default"/>
                <w:sz w:val="21"/>
                <w:szCs w:val="21"/>
              </w:rPr>
            </w:pPr>
            <w:r>
              <w:rPr>
                <w:rFonts w:ascii="宋体"/>
                <w:spacing w:val="-1"/>
                <w:sz w:val="21"/>
              </w:rPr>
              <w:t>383,816,069.85</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9"/>
              <w:jc w:val="right"/>
              <w:rPr>
                <w:rFonts w:ascii="宋体" w:hAnsi="宋体" w:cs="宋体" w:eastAsia="宋体" w:hint="default"/>
                <w:sz w:val="21"/>
                <w:szCs w:val="21"/>
              </w:rPr>
            </w:pPr>
            <w:r>
              <w:rPr>
                <w:rFonts w:ascii="宋体"/>
                <w:spacing w:val="-1"/>
                <w:sz w:val="21"/>
              </w:rPr>
              <w:t>270,367,047.69</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20"/>
              <w:jc w:val="right"/>
              <w:rPr>
                <w:rFonts w:ascii="宋体" w:hAnsi="宋体" w:cs="宋体" w:eastAsia="宋体" w:hint="default"/>
                <w:sz w:val="21"/>
                <w:szCs w:val="21"/>
              </w:rPr>
            </w:pPr>
            <w:r>
              <w:rPr>
                <w:rFonts w:ascii="宋体"/>
                <w:spacing w:val="-1"/>
                <w:sz w:val="21"/>
              </w:rPr>
              <w:t>298,320,942.27</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19"/>
              <w:jc w:val="right"/>
              <w:rPr>
                <w:rFonts w:ascii="宋体" w:hAnsi="宋体" w:cs="宋体" w:eastAsia="宋体" w:hint="default"/>
                <w:sz w:val="21"/>
                <w:szCs w:val="21"/>
              </w:rPr>
            </w:pPr>
            <w:r>
              <w:rPr>
                <w:rFonts w:ascii="宋体"/>
                <w:spacing w:val="-1"/>
                <w:sz w:val="21"/>
              </w:rPr>
              <w:t>212,525,822.98</w:t>
            </w:r>
          </w:p>
        </w:tc>
      </w:tr>
      <w:tr>
        <w:trPr>
          <w:trHeight w:val="300" w:hRule="exact"/>
        </w:trPr>
        <w:tc>
          <w:tcPr>
            <w:tcW w:w="178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86,123,850.74</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60,309,865.02</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80,003,228.81</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56,101,929.67</w:t>
            </w:r>
          </w:p>
        </w:tc>
      </w:tr>
      <w:tr>
        <w:trPr>
          <w:trHeight w:val="300" w:hRule="exact"/>
        </w:trPr>
        <w:tc>
          <w:tcPr>
            <w:tcW w:w="178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114,125,521.14</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77,277,061.78</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33,289,699.29</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22,906,655.72</w:t>
            </w:r>
          </w:p>
        </w:tc>
      </w:tr>
      <w:tr>
        <w:trPr>
          <w:trHeight w:val="300" w:hRule="exact"/>
        </w:trPr>
        <w:tc>
          <w:tcPr>
            <w:tcW w:w="178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209,978,223.46</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140,014,959.56</w:t>
            </w:r>
          </w:p>
        </w:tc>
        <w:tc>
          <w:tcPr>
            <w:tcW w:w="1803"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92,964,474.27</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65,372,008.94</w:t>
            </w:r>
          </w:p>
        </w:tc>
      </w:tr>
      <w:tr>
        <w:trPr>
          <w:trHeight w:val="291" w:hRule="exact"/>
        </w:trPr>
        <w:tc>
          <w:tcPr>
            <w:tcW w:w="1781" w:type="dxa"/>
            <w:tcBorders>
              <w:top w:val="nil" w:sz="6" w:space="0" w:color="auto"/>
              <w:left w:val="single" w:sz="6" w:space="0" w:color="000000"/>
              <w:bottom w:val="single" w:sz="4" w:space="0" w:color="000000"/>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03" w:type="dxa"/>
            <w:tcBorders>
              <w:top w:val="nil" w:sz="6" w:space="0" w:color="auto"/>
              <w:left w:val="single" w:sz="6" w:space="0" w:color="000000"/>
              <w:bottom w:val="single" w:sz="4" w:space="0" w:color="000000"/>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177,152,774.10</w:t>
            </w:r>
          </w:p>
        </w:tc>
        <w:tc>
          <w:tcPr>
            <w:tcW w:w="1803" w:type="dxa"/>
            <w:tcBorders>
              <w:top w:val="nil" w:sz="6" w:space="0" w:color="auto"/>
              <w:left w:val="single" w:sz="6" w:space="0" w:color="000000"/>
              <w:bottom w:val="single" w:sz="4" w:space="0" w:color="000000"/>
              <w:right w:val="single" w:sz="6"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126,773,221.29</w:t>
            </w:r>
          </w:p>
        </w:tc>
        <w:tc>
          <w:tcPr>
            <w:tcW w:w="1803" w:type="dxa"/>
            <w:tcBorders>
              <w:top w:val="nil" w:sz="6" w:space="0" w:color="auto"/>
              <w:left w:val="single" w:sz="6" w:space="0" w:color="000000"/>
              <w:bottom w:val="single" w:sz="4" w:space="0" w:color="000000"/>
              <w:right w:val="single" w:sz="6"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92,105,137.50</w:t>
            </w:r>
          </w:p>
        </w:tc>
        <w:tc>
          <w:tcPr>
            <w:tcW w:w="1678" w:type="dxa"/>
            <w:tcBorders>
              <w:top w:val="nil" w:sz="6" w:space="0" w:color="auto"/>
              <w:left w:val="single" w:sz="6" w:space="0" w:color="000000"/>
              <w:bottom w:val="single" w:sz="4" w:space="0" w:color="000000"/>
              <w:right w:val="single" w:sz="6"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71,564,458.93</w:t>
            </w:r>
          </w:p>
        </w:tc>
      </w:tr>
      <w:tr>
        <w:trPr>
          <w:trHeight w:val="319" w:hRule="exact"/>
        </w:trPr>
        <w:tc>
          <w:tcPr>
            <w:tcW w:w="1781" w:type="dxa"/>
            <w:tcBorders>
              <w:top w:val="single" w:sz="4" w:space="0" w:color="000000"/>
              <w:left w:val="single" w:sz="6" w:space="0" w:color="000000"/>
              <w:bottom w:val="single" w:sz="12" w:space="0" w:color="000000"/>
              <w:right w:val="single" w:sz="6" w:space="0" w:color="000000"/>
            </w:tcBorders>
          </w:tcPr>
          <w:p>
            <w:pPr>
              <w:pStyle w:val="TableParagraph"/>
              <w:tabs>
                <w:tab w:pos="988" w:val="left" w:leader="none"/>
              </w:tabs>
              <w:spacing w:line="270" w:lineRule="exact"/>
              <w:ind w:left="5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3" w:type="dxa"/>
            <w:tcBorders>
              <w:top w:val="single" w:sz="4" w:space="0" w:color="000000"/>
              <w:left w:val="single" w:sz="6" w:space="0" w:color="000000"/>
              <w:bottom w:val="single" w:sz="12" w:space="0" w:color="000000"/>
              <w:right w:val="single" w:sz="6"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2,573,578,028.98</w:t>
            </w:r>
          </w:p>
        </w:tc>
        <w:tc>
          <w:tcPr>
            <w:tcW w:w="1803" w:type="dxa"/>
            <w:tcBorders>
              <w:top w:val="single" w:sz="4" w:space="0" w:color="000000"/>
              <w:left w:val="single" w:sz="6" w:space="0" w:color="000000"/>
              <w:bottom w:val="single" w:sz="12" w:space="0" w:color="000000"/>
              <w:right w:val="single" w:sz="6"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1,772,193,855.64</w:t>
            </w:r>
          </w:p>
        </w:tc>
        <w:tc>
          <w:tcPr>
            <w:tcW w:w="1803" w:type="dxa"/>
            <w:tcBorders>
              <w:top w:val="single" w:sz="4"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1,833,864,047.41</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70" w:lineRule="exact"/>
              <w:ind w:left="-41" w:right="19"/>
              <w:jc w:val="right"/>
              <w:rPr>
                <w:rFonts w:ascii="宋体" w:hAnsi="宋体" w:cs="宋体" w:eastAsia="宋体" w:hint="default"/>
                <w:sz w:val="21"/>
                <w:szCs w:val="21"/>
              </w:rPr>
            </w:pPr>
            <w:r>
              <w:rPr>
                <w:rFonts w:ascii="宋体"/>
                <w:spacing w:val="-1"/>
                <w:sz w:val="21"/>
              </w:rPr>
              <w:t>1,281,085,482.01</w:t>
            </w:r>
          </w:p>
        </w:tc>
      </w:tr>
    </w:tbl>
    <w:p>
      <w:pPr>
        <w:spacing w:before="28"/>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）其他业务收入和其他业务成本：</w:t>
      </w:r>
    </w:p>
    <w:p>
      <w:pPr>
        <w:spacing w:line="240" w:lineRule="auto" w:before="7"/>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1769"/>
        <w:gridCol w:w="3620"/>
        <w:gridCol w:w="3507"/>
      </w:tblGrid>
      <w:tr>
        <w:trPr>
          <w:trHeight w:val="322" w:hRule="exact"/>
        </w:trPr>
        <w:tc>
          <w:tcPr>
            <w:tcW w:w="1769" w:type="dxa"/>
            <w:tcBorders>
              <w:top w:val="single" w:sz="12" w:space="0" w:color="000000"/>
              <w:left w:val="single" w:sz="4" w:space="0" w:color="000000"/>
              <w:bottom w:val="nil" w:sz="6" w:space="0" w:color="auto"/>
              <w:right w:val="single" w:sz="4" w:space="0" w:color="000000"/>
            </w:tcBorders>
          </w:tcPr>
          <w:p>
            <w:pPr>
              <w:pStyle w:val="TableParagraph"/>
              <w:spacing w:line="272" w:lineRule="exact"/>
              <w:ind w:left="143" w:right="0"/>
              <w:jc w:val="left"/>
              <w:rPr>
                <w:rFonts w:ascii="宋体" w:hAnsi="宋体" w:cs="宋体" w:eastAsia="宋体" w:hint="default"/>
                <w:sz w:val="21"/>
                <w:szCs w:val="21"/>
              </w:rPr>
            </w:pPr>
            <w:r>
              <w:rPr>
                <w:rFonts w:ascii="宋体" w:hAnsi="宋体" w:cs="宋体" w:eastAsia="宋体" w:hint="default"/>
                <w:sz w:val="21"/>
                <w:szCs w:val="21"/>
              </w:rPr>
              <w:t>产品或业务类别</w:t>
            </w:r>
          </w:p>
        </w:tc>
        <w:tc>
          <w:tcPr>
            <w:tcW w:w="362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72" w:lineRule="exact"/>
        <w:jc w:val="center"/>
        <w:rPr>
          <w:rFonts w:ascii="宋体" w:hAnsi="宋体" w:cs="宋体" w:eastAsia="宋体" w:hint="default"/>
          <w:sz w:val="21"/>
          <w:szCs w:val="21"/>
        </w:rPr>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69"/>
        <w:gridCol w:w="1810"/>
        <w:gridCol w:w="1810"/>
        <w:gridCol w:w="1808"/>
        <w:gridCol w:w="1699"/>
      </w:tblGrid>
      <w:tr>
        <w:trPr>
          <w:trHeight w:val="321" w:hRule="exact"/>
        </w:trPr>
        <w:tc>
          <w:tcPr>
            <w:tcW w:w="1769" w:type="dxa"/>
            <w:tcBorders>
              <w:top w:val="single" w:sz="6" w:space="0" w:color="000000"/>
              <w:left w:val="single" w:sz="4" w:space="0" w:color="000000"/>
              <w:bottom w:val="single" w:sz="4" w:space="0" w:color="000000"/>
              <w:right w:val="single" w:sz="4" w:space="0" w:color="000000"/>
            </w:tcBorders>
          </w:tcPr>
          <w:p>
            <w:pP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80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其他业务成本</w:t>
            </w:r>
          </w:p>
        </w:tc>
      </w:tr>
      <w:tr>
        <w:trPr>
          <w:trHeight w:val="319" w:hRule="exact"/>
        </w:trPr>
        <w:tc>
          <w:tcPr>
            <w:tcW w:w="176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弱电工程</w:t>
            </w:r>
          </w:p>
        </w:tc>
        <w:tc>
          <w:tcPr>
            <w:tcW w:w="181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11,829,772.96</w:t>
            </w:r>
          </w:p>
        </w:tc>
        <w:tc>
          <w:tcPr>
            <w:tcW w:w="181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9,511,666.82</w:t>
            </w:r>
          </w:p>
        </w:tc>
        <w:tc>
          <w:tcPr>
            <w:tcW w:w="180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34,419,087.02</w:t>
            </w: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31,409,536.94</w:t>
            </w:r>
          </w:p>
        </w:tc>
      </w:tr>
      <w:tr>
        <w:trPr>
          <w:trHeight w:val="300" w:hRule="exact"/>
        </w:trPr>
        <w:tc>
          <w:tcPr>
            <w:tcW w:w="176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974,370.64</w:t>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1,680,190.34</w:t>
            </w:r>
          </w:p>
        </w:tc>
        <w:tc>
          <w:tcPr>
            <w:tcW w:w="18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1,852,371.44</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911,497.20</w:t>
            </w:r>
          </w:p>
        </w:tc>
      </w:tr>
      <w:tr>
        <w:trPr>
          <w:trHeight w:val="300" w:hRule="exact"/>
        </w:trPr>
        <w:tc>
          <w:tcPr>
            <w:tcW w:w="176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代理、培训</w:t>
            </w:r>
          </w:p>
        </w:tc>
        <w:tc>
          <w:tcPr>
            <w:tcW w:w="181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18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9"/>
              <w:jc w:val="right"/>
              <w:rPr>
                <w:rFonts w:ascii="宋体" w:hAnsi="宋体" w:cs="宋体" w:eastAsia="宋体" w:hint="default"/>
                <w:sz w:val="21"/>
                <w:szCs w:val="21"/>
              </w:rPr>
            </w:pPr>
            <w:r>
              <w:rPr>
                <w:rFonts w:ascii="宋体"/>
                <w:spacing w:val="-1"/>
                <w:sz w:val="21"/>
              </w:rPr>
              <w:t>25,763.69</w:t>
            </w:r>
          </w:p>
        </w:tc>
        <w:tc>
          <w:tcPr>
            <w:tcW w:w="1699" w:type="dxa"/>
            <w:tcBorders>
              <w:top w:val="nil" w:sz="6" w:space="0" w:color="auto"/>
              <w:left w:val="single" w:sz="4" w:space="0" w:color="000000"/>
              <w:bottom w:val="nil" w:sz="6" w:space="0" w:color="auto"/>
              <w:right w:val="single" w:sz="4" w:space="0" w:color="000000"/>
            </w:tcBorders>
          </w:tcPr>
          <w:p>
            <w:pPr/>
          </w:p>
        </w:tc>
      </w:tr>
      <w:tr>
        <w:trPr>
          <w:trHeight w:val="291" w:hRule="exact"/>
        </w:trPr>
        <w:tc>
          <w:tcPr>
            <w:tcW w:w="176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4,674.00</w:t>
            </w:r>
          </w:p>
        </w:tc>
        <w:tc>
          <w:tcPr>
            <w:tcW w:w="1810" w:type="dxa"/>
            <w:tcBorders>
              <w:top w:val="nil" w:sz="6" w:space="0" w:color="auto"/>
              <w:left w:val="single" w:sz="4" w:space="0" w:color="000000"/>
              <w:bottom w:val="single" w:sz="4" w:space="0" w:color="000000"/>
              <w:right w:val="single" w:sz="4" w:space="0" w:color="000000"/>
            </w:tcBorders>
          </w:tcPr>
          <w:p>
            <w:pPr/>
          </w:p>
        </w:tc>
        <w:tc>
          <w:tcPr>
            <w:tcW w:w="1808"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12,808,817.60</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11,191,857.16</w:t>
            </w:r>
          </w:p>
        </w:tc>
        <w:tc>
          <w:tcPr>
            <w:tcW w:w="180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36,297,222.15</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32,321,034.14</w:t>
            </w:r>
          </w:p>
        </w:tc>
      </w:tr>
    </w:tbl>
    <w:p>
      <w:pPr>
        <w:spacing w:before="2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）公司前五名客户的收入情况：</w:t>
      </w:r>
    </w:p>
    <w:p>
      <w:pPr>
        <w:spacing w:line="240" w:lineRule="auto" w:before="7"/>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776"/>
        <w:gridCol w:w="2336"/>
        <w:gridCol w:w="2794"/>
      </w:tblGrid>
      <w:tr>
        <w:trPr>
          <w:trHeight w:val="322" w:hRule="exact"/>
        </w:trPr>
        <w:tc>
          <w:tcPr>
            <w:tcW w:w="377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36" w:type="dxa"/>
            <w:tcBorders>
              <w:top w:val="single" w:sz="12" w:space="0" w:color="000000"/>
              <w:left w:val="single" w:sz="4" w:space="0" w:color="000000"/>
              <w:bottom w:val="single" w:sz="4" w:space="0" w:color="000000"/>
              <w:right w:val="single" w:sz="5" w:space="0" w:color="000000"/>
            </w:tcBorders>
          </w:tcPr>
          <w:p>
            <w:pPr>
              <w:pStyle w:val="TableParagraph"/>
              <w:spacing w:line="272" w:lineRule="exact"/>
              <w:ind w:left="739" w:right="0"/>
              <w:jc w:val="left"/>
              <w:rPr>
                <w:rFonts w:ascii="宋体" w:hAnsi="宋体" w:cs="宋体" w:eastAsia="宋体" w:hint="default"/>
                <w:sz w:val="21"/>
                <w:szCs w:val="21"/>
              </w:rPr>
            </w:pPr>
            <w:r>
              <w:rPr>
                <w:rFonts w:ascii="宋体" w:hAnsi="宋体" w:cs="宋体" w:eastAsia="宋体" w:hint="default"/>
                <w:sz w:val="21"/>
                <w:szCs w:val="21"/>
              </w:rPr>
              <w:t>收入金额</w:t>
            </w:r>
          </w:p>
        </w:tc>
        <w:tc>
          <w:tcPr>
            <w:tcW w:w="2794" w:type="dxa"/>
            <w:tcBorders>
              <w:top w:val="single" w:sz="12" w:space="0" w:color="000000"/>
              <w:left w:val="single" w:sz="5"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19" w:hRule="exact"/>
        </w:trPr>
        <w:tc>
          <w:tcPr>
            <w:tcW w:w="377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2336" w:type="dxa"/>
            <w:tcBorders>
              <w:top w:val="single" w:sz="4" w:space="0" w:color="000000"/>
              <w:left w:val="single" w:sz="4" w:space="0" w:color="000000"/>
              <w:bottom w:val="nil" w:sz="6" w:space="0" w:color="auto"/>
              <w:right w:val="single" w:sz="6" w:space="0" w:color="000000"/>
            </w:tcBorders>
          </w:tcPr>
          <w:p>
            <w:pPr>
              <w:pStyle w:val="TableParagraph"/>
              <w:spacing w:line="270" w:lineRule="exact"/>
              <w:ind w:right="28"/>
              <w:jc w:val="right"/>
              <w:rPr>
                <w:rFonts w:ascii="宋体" w:hAnsi="宋体" w:cs="宋体" w:eastAsia="宋体" w:hint="default"/>
                <w:sz w:val="21"/>
                <w:szCs w:val="21"/>
              </w:rPr>
            </w:pPr>
            <w:r>
              <w:rPr>
                <w:rFonts w:ascii="宋体"/>
                <w:spacing w:val="-1"/>
                <w:sz w:val="21"/>
              </w:rPr>
              <w:t>211,425,140.70</w:t>
            </w:r>
          </w:p>
        </w:tc>
        <w:tc>
          <w:tcPr>
            <w:tcW w:w="2794" w:type="dxa"/>
            <w:tcBorders>
              <w:top w:val="single" w:sz="4" w:space="0" w:color="000000"/>
              <w:left w:val="single" w:sz="6" w:space="0" w:color="000000"/>
              <w:bottom w:val="nil" w:sz="6" w:space="0" w:color="auto"/>
              <w:right w:val="single" w:sz="4" w:space="0" w:color="000000"/>
            </w:tcBorders>
          </w:tcPr>
          <w:p>
            <w:pPr>
              <w:pStyle w:val="TableParagraph"/>
              <w:spacing w:line="270" w:lineRule="exact"/>
              <w:ind w:right="47"/>
              <w:jc w:val="center"/>
              <w:rPr>
                <w:rFonts w:ascii="宋体" w:hAnsi="宋体" w:cs="宋体" w:eastAsia="宋体" w:hint="default"/>
                <w:sz w:val="21"/>
                <w:szCs w:val="21"/>
              </w:rPr>
            </w:pPr>
            <w:r>
              <w:rPr>
                <w:rFonts w:ascii="宋体"/>
                <w:sz w:val="21"/>
              </w:rPr>
              <w:t>8.17%</w:t>
            </w:r>
          </w:p>
        </w:tc>
      </w:tr>
      <w:tr>
        <w:trPr>
          <w:trHeight w:val="300" w:hRule="exact"/>
        </w:trPr>
        <w:tc>
          <w:tcPr>
            <w:tcW w:w="377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w:t>
            </w:r>
          </w:p>
        </w:tc>
        <w:tc>
          <w:tcPr>
            <w:tcW w:w="2336"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8"/>
              <w:jc w:val="right"/>
              <w:rPr>
                <w:rFonts w:ascii="宋体" w:hAnsi="宋体" w:cs="宋体" w:eastAsia="宋体" w:hint="default"/>
                <w:sz w:val="21"/>
                <w:szCs w:val="21"/>
              </w:rPr>
            </w:pPr>
            <w:r>
              <w:rPr>
                <w:rFonts w:ascii="宋体"/>
                <w:spacing w:val="-1"/>
                <w:sz w:val="21"/>
              </w:rPr>
              <w:t>176,455,360.33</w:t>
            </w:r>
          </w:p>
        </w:tc>
        <w:tc>
          <w:tcPr>
            <w:tcW w:w="2794"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47"/>
              <w:jc w:val="center"/>
              <w:rPr>
                <w:rFonts w:ascii="宋体" w:hAnsi="宋体" w:cs="宋体" w:eastAsia="宋体" w:hint="default"/>
                <w:sz w:val="21"/>
                <w:szCs w:val="21"/>
              </w:rPr>
            </w:pPr>
            <w:r>
              <w:rPr>
                <w:rFonts w:ascii="宋体"/>
                <w:sz w:val="21"/>
              </w:rPr>
              <w:t>6.82%</w:t>
            </w:r>
          </w:p>
        </w:tc>
      </w:tr>
      <w:tr>
        <w:trPr>
          <w:trHeight w:val="300" w:hRule="exact"/>
        </w:trPr>
        <w:tc>
          <w:tcPr>
            <w:tcW w:w="377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336"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8"/>
              <w:jc w:val="right"/>
              <w:rPr>
                <w:rFonts w:ascii="宋体" w:hAnsi="宋体" w:cs="宋体" w:eastAsia="宋体" w:hint="default"/>
                <w:sz w:val="21"/>
                <w:szCs w:val="21"/>
              </w:rPr>
            </w:pPr>
            <w:r>
              <w:rPr>
                <w:rFonts w:ascii="宋体"/>
                <w:spacing w:val="-1"/>
                <w:sz w:val="21"/>
              </w:rPr>
              <w:t>121,030,686.31</w:t>
            </w:r>
          </w:p>
        </w:tc>
        <w:tc>
          <w:tcPr>
            <w:tcW w:w="2794"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47"/>
              <w:jc w:val="center"/>
              <w:rPr>
                <w:rFonts w:ascii="宋体" w:hAnsi="宋体" w:cs="宋体" w:eastAsia="宋体" w:hint="default"/>
                <w:sz w:val="21"/>
                <w:szCs w:val="21"/>
              </w:rPr>
            </w:pPr>
            <w:r>
              <w:rPr>
                <w:rFonts w:ascii="宋体"/>
                <w:sz w:val="21"/>
              </w:rPr>
              <w:t>4.68%</w:t>
            </w:r>
          </w:p>
        </w:tc>
      </w:tr>
      <w:tr>
        <w:trPr>
          <w:trHeight w:val="300" w:hRule="exact"/>
        </w:trPr>
        <w:tc>
          <w:tcPr>
            <w:tcW w:w="37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2336" w:type="dxa"/>
            <w:tcBorders>
              <w:top w:val="nil" w:sz="6" w:space="0" w:color="auto"/>
              <w:left w:val="single" w:sz="4" w:space="0" w:color="000000"/>
              <w:bottom w:val="nil" w:sz="6" w:space="0" w:color="auto"/>
              <w:right w:val="single" w:sz="6" w:space="0" w:color="000000"/>
            </w:tcBorders>
          </w:tcPr>
          <w:p>
            <w:pPr>
              <w:pStyle w:val="TableParagraph"/>
              <w:spacing w:line="256" w:lineRule="exact"/>
              <w:ind w:right="28"/>
              <w:jc w:val="right"/>
              <w:rPr>
                <w:rFonts w:ascii="宋体" w:hAnsi="宋体" w:cs="宋体" w:eastAsia="宋体" w:hint="default"/>
                <w:sz w:val="21"/>
                <w:szCs w:val="21"/>
              </w:rPr>
            </w:pPr>
            <w:r>
              <w:rPr>
                <w:rFonts w:ascii="宋体"/>
                <w:spacing w:val="-1"/>
                <w:sz w:val="21"/>
              </w:rPr>
              <w:t>116,892,526.09</w:t>
            </w:r>
          </w:p>
        </w:tc>
        <w:tc>
          <w:tcPr>
            <w:tcW w:w="2794" w:type="dxa"/>
            <w:tcBorders>
              <w:top w:val="nil" w:sz="6" w:space="0" w:color="auto"/>
              <w:left w:val="single" w:sz="6" w:space="0" w:color="000000"/>
              <w:bottom w:val="nil" w:sz="6" w:space="0" w:color="auto"/>
              <w:right w:val="single" w:sz="4" w:space="0" w:color="000000"/>
            </w:tcBorders>
          </w:tcPr>
          <w:p>
            <w:pPr>
              <w:pStyle w:val="TableParagraph"/>
              <w:spacing w:line="256" w:lineRule="exact"/>
              <w:ind w:right="47"/>
              <w:jc w:val="center"/>
              <w:rPr>
                <w:rFonts w:ascii="宋体" w:hAnsi="宋体" w:cs="宋体" w:eastAsia="宋体" w:hint="default"/>
                <w:sz w:val="21"/>
                <w:szCs w:val="21"/>
              </w:rPr>
            </w:pPr>
            <w:r>
              <w:rPr>
                <w:rFonts w:ascii="宋体"/>
                <w:sz w:val="21"/>
              </w:rPr>
              <w:t>4.52%</w:t>
            </w:r>
          </w:p>
        </w:tc>
      </w:tr>
      <w:tr>
        <w:trPr>
          <w:trHeight w:val="293" w:hRule="exact"/>
        </w:trPr>
        <w:tc>
          <w:tcPr>
            <w:tcW w:w="377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山西省物产集团进出口有限公司</w:t>
            </w:r>
          </w:p>
        </w:tc>
        <w:tc>
          <w:tcPr>
            <w:tcW w:w="2336" w:type="dxa"/>
            <w:tcBorders>
              <w:top w:val="nil" w:sz="6" w:space="0" w:color="auto"/>
              <w:left w:val="single" w:sz="4" w:space="0" w:color="000000"/>
              <w:bottom w:val="single" w:sz="6" w:space="0" w:color="000000"/>
              <w:right w:val="single" w:sz="6" w:space="0" w:color="000000"/>
            </w:tcBorders>
          </w:tcPr>
          <w:p>
            <w:pPr>
              <w:pStyle w:val="TableParagraph"/>
              <w:spacing w:line="255" w:lineRule="exact"/>
              <w:ind w:right="28"/>
              <w:jc w:val="right"/>
              <w:rPr>
                <w:rFonts w:ascii="宋体" w:hAnsi="宋体" w:cs="宋体" w:eastAsia="宋体" w:hint="default"/>
                <w:sz w:val="21"/>
                <w:szCs w:val="21"/>
              </w:rPr>
            </w:pPr>
            <w:r>
              <w:rPr>
                <w:rFonts w:ascii="宋体"/>
                <w:spacing w:val="-1"/>
                <w:sz w:val="21"/>
              </w:rPr>
              <w:t>67,215,397.54</w:t>
            </w:r>
          </w:p>
        </w:tc>
        <w:tc>
          <w:tcPr>
            <w:tcW w:w="2794" w:type="dxa"/>
            <w:tcBorders>
              <w:top w:val="nil" w:sz="6" w:space="0" w:color="auto"/>
              <w:left w:val="single" w:sz="6" w:space="0" w:color="000000"/>
              <w:bottom w:val="single" w:sz="4" w:space="0" w:color="000000"/>
              <w:right w:val="single" w:sz="4" w:space="0" w:color="000000"/>
            </w:tcBorders>
          </w:tcPr>
          <w:p>
            <w:pPr>
              <w:pStyle w:val="TableParagraph"/>
              <w:spacing w:line="255" w:lineRule="exact"/>
              <w:ind w:right="47"/>
              <w:jc w:val="center"/>
              <w:rPr>
                <w:rFonts w:ascii="宋体" w:hAnsi="宋体" w:cs="宋体" w:eastAsia="宋体" w:hint="default"/>
                <w:sz w:val="21"/>
                <w:szCs w:val="21"/>
              </w:rPr>
            </w:pPr>
            <w:r>
              <w:rPr>
                <w:rFonts w:ascii="宋体"/>
                <w:sz w:val="21"/>
              </w:rPr>
              <w:t>2.60%</w:t>
            </w:r>
          </w:p>
        </w:tc>
      </w:tr>
      <w:tr>
        <w:trPr>
          <w:trHeight w:val="324" w:hRule="exact"/>
        </w:trPr>
        <w:tc>
          <w:tcPr>
            <w:tcW w:w="377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6"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693,019,110.97</w:t>
            </w:r>
          </w:p>
        </w:tc>
        <w:tc>
          <w:tcPr>
            <w:tcW w:w="2794" w:type="dxa"/>
            <w:tcBorders>
              <w:top w:val="single" w:sz="4" w:space="0" w:color="000000"/>
              <w:left w:val="single" w:sz="6" w:space="0" w:color="000000"/>
              <w:bottom w:val="single" w:sz="12" w:space="0" w:color="000000"/>
              <w:right w:val="single" w:sz="4" w:space="0" w:color="000000"/>
            </w:tcBorders>
          </w:tcPr>
          <w:p>
            <w:pPr>
              <w:pStyle w:val="TableParagraph"/>
              <w:spacing w:line="272" w:lineRule="exact"/>
              <w:ind w:right="47"/>
              <w:jc w:val="center"/>
              <w:rPr>
                <w:rFonts w:ascii="宋体" w:hAnsi="宋体" w:cs="宋体" w:eastAsia="宋体" w:hint="default"/>
                <w:sz w:val="21"/>
                <w:szCs w:val="21"/>
              </w:rPr>
            </w:pPr>
            <w:r>
              <w:rPr>
                <w:rFonts w:ascii="宋体"/>
                <w:sz w:val="21"/>
              </w:rPr>
              <w:t>26.79%</w:t>
            </w:r>
          </w:p>
        </w:tc>
      </w:tr>
    </w:tbl>
    <w:p>
      <w:pPr>
        <w:spacing w:before="26"/>
        <w:ind w:left="544" w:right="4204" w:firstLine="0"/>
        <w:jc w:val="left"/>
        <w:rPr>
          <w:rFonts w:ascii="宋体" w:hAnsi="宋体" w:cs="宋体" w:eastAsia="宋体" w:hint="default"/>
          <w:sz w:val="21"/>
          <w:szCs w:val="21"/>
        </w:rPr>
      </w:pPr>
      <w:r>
        <w:rPr>
          <w:rFonts w:ascii="宋体" w:hAnsi="宋体" w:cs="宋体" w:eastAsia="宋体" w:hint="default"/>
          <w:sz w:val="21"/>
          <w:szCs w:val="21"/>
        </w:rPr>
        <w:t>营业收入的说明：</w:t>
      </w:r>
    </w:p>
    <w:p>
      <w:pPr>
        <w:spacing w:line="309" w:lineRule="auto" w:before="138"/>
        <w:ind w:left="124" w:right="1633" w:firstLine="419"/>
        <w:jc w:val="left"/>
        <w:rPr>
          <w:rFonts w:ascii="宋体" w:hAnsi="宋体" w:cs="宋体" w:eastAsia="宋体" w:hint="default"/>
          <w:sz w:val="21"/>
          <w:szCs w:val="21"/>
        </w:rPr>
      </w:pPr>
      <w:r>
        <w:rPr>
          <w:rFonts w:ascii="宋体" w:hAnsi="宋体" w:cs="宋体" w:eastAsia="宋体" w:hint="default"/>
          <w:sz w:val="21"/>
          <w:szCs w:val="21"/>
        </w:rPr>
        <w:t>公司本期营业收入较上期增加</w:t>
      </w:r>
      <w:r>
        <w:rPr>
          <w:rFonts w:ascii="宋体" w:hAnsi="宋体" w:cs="宋体" w:eastAsia="宋体" w:hint="default"/>
          <w:spacing w:val="-55"/>
          <w:sz w:val="21"/>
          <w:szCs w:val="21"/>
        </w:rPr>
        <w:t> </w:t>
      </w:r>
      <w:r>
        <w:rPr>
          <w:rFonts w:ascii="宋体" w:hAnsi="宋体" w:cs="宋体" w:eastAsia="宋体" w:hint="default"/>
          <w:sz w:val="21"/>
          <w:szCs w:val="21"/>
        </w:rPr>
        <w:t>716,225,577.02</w:t>
      </w:r>
      <w:r>
        <w:rPr>
          <w:rFonts w:ascii="宋体" w:hAnsi="宋体" w:cs="宋体" w:eastAsia="宋体" w:hint="default"/>
          <w:spacing w:val="-56"/>
          <w:sz w:val="21"/>
          <w:szCs w:val="21"/>
        </w:rPr>
        <w:t> </w:t>
      </w:r>
      <w:r>
        <w:rPr>
          <w:rFonts w:ascii="宋体" w:hAnsi="宋体" w:cs="宋体" w:eastAsia="宋体" w:hint="default"/>
          <w:spacing w:val="-3"/>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38.30%</w:t>
      </w:r>
      <w:r>
        <w:rPr>
          <w:rFonts w:ascii="宋体" w:hAnsi="宋体" w:cs="宋体" w:eastAsia="宋体" w:hint="default"/>
          <w:sz w:val="21"/>
          <w:szCs w:val="21"/>
        </w:rPr>
        <w:t>，增加的主要原因系</w:t>
      </w:r>
      <w:r>
        <w:rPr>
          <w:rFonts w:ascii="宋体" w:hAnsi="宋体" w:cs="宋体" w:eastAsia="宋体" w:hint="default"/>
          <w:w w:val="100"/>
          <w:sz w:val="21"/>
          <w:szCs w:val="21"/>
        </w:rPr>
        <w:t> </w:t>
      </w:r>
      <w:r>
        <w:rPr>
          <w:rFonts w:ascii="宋体" w:hAnsi="宋体" w:cs="宋体" w:eastAsia="宋体" w:hint="default"/>
          <w:sz w:val="21"/>
          <w:szCs w:val="21"/>
        </w:rPr>
        <w:t>公司系统集成收入及技术服务收入较上期增加所致。</w:t>
      </w:r>
    </w:p>
    <w:p>
      <w:pPr>
        <w:spacing w:before="137"/>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1978"/>
        <w:gridCol w:w="4217"/>
        <w:gridCol w:w="1664"/>
        <w:gridCol w:w="2014"/>
      </w:tblGrid>
      <w:tr>
        <w:trPr>
          <w:trHeight w:val="319" w:hRule="exact"/>
        </w:trPr>
        <w:tc>
          <w:tcPr>
            <w:tcW w:w="1978" w:type="dxa"/>
            <w:tcBorders>
              <w:top w:val="single" w:sz="12" w:space="0" w:color="000000"/>
              <w:left w:val="single" w:sz="4" w:space="0" w:color="000000"/>
              <w:bottom w:val="single" w:sz="4" w:space="0" w:color="000000"/>
              <w:right w:val="single" w:sz="4" w:space="0" w:color="000000"/>
            </w:tcBorders>
          </w:tcPr>
          <w:p>
            <w:pPr>
              <w:pStyle w:val="TableParagraph"/>
              <w:tabs>
                <w:tab w:pos="1142" w:val="left" w:leader="none"/>
              </w:tabs>
              <w:spacing w:line="248" w:lineRule="exact"/>
              <w:ind w:left="6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17"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计缴标准</w:t>
            </w:r>
          </w:p>
        </w:tc>
        <w:tc>
          <w:tcPr>
            <w:tcW w:w="1664"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14"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619" w:hRule="exact"/>
        </w:trPr>
        <w:tc>
          <w:tcPr>
            <w:tcW w:w="1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17" w:type="dxa"/>
            <w:tcBorders>
              <w:top w:val="single" w:sz="4" w:space="0" w:color="000000"/>
              <w:left w:val="single" w:sz="4" w:space="0" w:color="000000"/>
              <w:bottom w:val="nil" w:sz="6" w:space="0" w:color="auto"/>
              <w:right w:val="single" w:sz="4" w:space="0" w:color="000000"/>
            </w:tcBorders>
          </w:tcPr>
          <w:p>
            <w:pPr>
              <w:pStyle w:val="TableParagraph"/>
              <w:spacing w:line="261" w:lineRule="auto"/>
              <w:ind w:left="1787" w:right="103" w:hanging="1680"/>
              <w:jc w:val="left"/>
              <w:rPr>
                <w:rFonts w:ascii="宋体" w:hAnsi="宋体" w:cs="宋体" w:eastAsia="宋体" w:hint="default"/>
                <w:sz w:val="21"/>
                <w:szCs w:val="21"/>
              </w:rPr>
            </w:pPr>
            <w:r>
              <w:rPr>
                <w:rFonts w:ascii="宋体" w:hAnsi="宋体" w:cs="宋体" w:eastAsia="宋体" w:hint="default"/>
                <w:spacing w:val="-2"/>
                <w:sz w:val="21"/>
                <w:szCs w:val="21"/>
              </w:rPr>
              <w:t>技术服务收入、租赁收入的</w:t>
            </w:r>
            <w:r>
              <w:rPr>
                <w:rFonts w:ascii="宋体" w:hAnsi="宋体" w:cs="宋体" w:eastAsia="宋体" w:hint="default"/>
                <w:spacing w:val="-2"/>
                <w:sz w:val="21"/>
                <w:szCs w:val="21"/>
              </w:rPr>
              <w:t>5%</w:t>
            </w:r>
            <w:r>
              <w:rPr>
                <w:rFonts w:ascii="宋体" w:hAnsi="宋体" w:cs="宋体" w:eastAsia="宋体" w:hint="default"/>
                <w:spacing w:val="-2"/>
                <w:sz w:val="21"/>
                <w:szCs w:val="21"/>
              </w:rPr>
              <w:t>、弱电工程收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入的</w:t>
            </w:r>
            <w:r>
              <w:rPr>
                <w:rFonts w:ascii="宋体" w:hAnsi="宋体" w:cs="宋体" w:eastAsia="宋体" w:hint="default"/>
                <w:sz w:val="21"/>
                <w:szCs w:val="21"/>
              </w:rPr>
              <w:t>3%</w:t>
            </w:r>
          </w:p>
        </w:tc>
        <w:tc>
          <w:tcPr>
            <w:tcW w:w="166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18,986,193.67</w:t>
            </w:r>
          </w:p>
        </w:tc>
        <w:tc>
          <w:tcPr>
            <w:tcW w:w="201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13,829,401.60</w:t>
            </w:r>
          </w:p>
        </w:tc>
      </w:tr>
      <w:tr>
        <w:trPr>
          <w:trHeight w:val="300" w:hRule="exact"/>
        </w:trPr>
        <w:tc>
          <w:tcPr>
            <w:tcW w:w="197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421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应交流转税的</w:t>
            </w:r>
            <w:r>
              <w:rPr>
                <w:rFonts w:ascii="宋体" w:hAnsi="宋体" w:cs="宋体" w:eastAsia="宋体" w:hint="default"/>
                <w:sz w:val="21"/>
                <w:szCs w:val="21"/>
              </w:rPr>
              <w:t>7%</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4,802,325.24</w:t>
            </w:r>
          </w:p>
        </w:tc>
        <w:tc>
          <w:tcPr>
            <w:tcW w:w="201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3,200,520.44</w:t>
            </w:r>
          </w:p>
        </w:tc>
      </w:tr>
      <w:tr>
        <w:trPr>
          <w:trHeight w:val="300" w:hRule="exact"/>
        </w:trPr>
        <w:tc>
          <w:tcPr>
            <w:tcW w:w="197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1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应交流转税的</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1%</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2,069,108.88</w:t>
            </w:r>
          </w:p>
        </w:tc>
        <w:tc>
          <w:tcPr>
            <w:tcW w:w="201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1,373,295.43</w:t>
            </w:r>
          </w:p>
        </w:tc>
      </w:tr>
      <w:tr>
        <w:trPr>
          <w:trHeight w:val="286" w:hRule="exact"/>
        </w:trPr>
        <w:tc>
          <w:tcPr>
            <w:tcW w:w="197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21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应交流转税的</w:t>
            </w:r>
            <w:r>
              <w:rPr>
                <w:rFonts w:ascii="宋体" w:hAnsi="宋体" w:cs="宋体" w:eastAsia="宋体" w:hint="default"/>
                <w:sz w:val="21"/>
                <w:szCs w:val="21"/>
              </w:rPr>
              <w:t>2%</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21,308.85</w:t>
            </w:r>
          </w:p>
        </w:tc>
        <w:tc>
          <w:tcPr>
            <w:tcW w:w="2014"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24,722.53</w:t>
            </w:r>
          </w:p>
        </w:tc>
      </w:tr>
      <w:tr>
        <w:trPr>
          <w:trHeight w:val="300" w:hRule="exact"/>
        </w:trPr>
        <w:tc>
          <w:tcPr>
            <w:tcW w:w="1978"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421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应税收入的</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z w:val="21"/>
                <w:szCs w:val="21"/>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3,516.98</w:t>
            </w:r>
          </w:p>
        </w:tc>
        <w:tc>
          <w:tcPr>
            <w:tcW w:w="2014"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978"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421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应交流转税的</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594.72</w:t>
            </w:r>
          </w:p>
        </w:tc>
        <w:tc>
          <w:tcPr>
            <w:tcW w:w="2014"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978"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防洪保安费</w:t>
            </w:r>
          </w:p>
        </w:tc>
        <w:tc>
          <w:tcPr>
            <w:tcW w:w="421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应交流转税的</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1%</w:t>
            </w:r>
          </w:p>
        </w:tc>
        <w:tc>
          <w:tcPr>
            <w:tcW w:w="1664"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267.85</w:t>
            </w:r>
          </w:p>
        </w:tc>
        <w:tc>
          <w:tcPr>
            <w:tcW w:w="2014"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1978"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217" w:type="dxa"/>
            <w:tcBorders>
              <w:top w:val="single" w:sz="4" w:space="0" w:color="000000"/>
              <w:left w:val="single" w:sz="4" w:space="0" w:color="000000"/>
              <w:bottom w:val="single" w:sz="12" w:space="0" w:color="000000"/>
              <w:right w:val="single" w:sz="4" w:space="0" w:color="000000"/>
            </w:tcBorders>
          </w:tcPr>
          <w:p>
            <w:pP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25,883,316.19</w:t>
            </w:r>
          </w:p>
        </w:tc>
        <w:tc>
          <w:tcPr>
            <w:tcW w:w="201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18,427,940.00</w:t>
            </w:r>
          </w:p>
        </w:tc>
      </w:tr>
    </w:tbl>
    <w:p>
      <w:pPr>
        <w:spacing w:before="6"/>
        <w:ind w:left="544" w:right="4204" w:firstLine="0"/>
        <w:jc w:val="left"/>
        <w:rPr>
          <w:rFonts w:ascii="宋体" w:hAnsi="宋体" w:cs="宋体" w:eastAsia="宋体" w:hint="default"/>
          <w:sz w:val="21"/>
          <w:szCs w:val="21"/>
        </w:rPr>
      </w:pPr>
      <w:r>
        <w:rPr>
          <w:rFonts w:ascii="宋体" w:hAnsi="宋体" w:cs="宋体" w:eastAsia="宋体" w:hint="default"/>
          <w:sz w:val="21"/>
          <w:szCs w:val="21"/>
        </w:rPr>
        <w:t>营业税金及附加的说明：</w:t>
      </w:r>
    </w:p>
    <w:p>
      <w:pPr>
        <w:spacing w:line="288" w:lineRule="auto" w:before="92"/>
        <w:ind w:left="124" w:right="1265" w:firstLine="419"/>
        <w:jc w:val="left"/>
        <w:rPr>
          <w:rFonts w:ascii="宋体" w:hAnsi="宋体" w:cs="宋体" w:eastAsia="宋体" w:hint="default"/>
          <w:sz w:val="21"/>
          <w:szCs w:val="21"/>
        </w:rPr>
      </w:pPr>
      <w:r>
        <w:rPr>
          <w:rFonts w:ascii="宋体" w:hAnsi="宋体" w:cs="宋体" w:eastAsia="宋体" w:hint="default"/>
          <w:sz w:val="21"/>
          <w:szCs w:val="21"/>
        </w:rPr>
        <w:t>公司本期营业税金及附加较上期增加</w:t>
      </w:r>
      <w:r>
        <w:rPr>
          <w:rFonts w:ascii="宋体" w:hAnsi="宋体" w:cs="宋体" w:eastAsia="宋体" w:hint="default"/>
          <w:spacing w:val="-44"/>
          <w:sz w:val="21"/>
          <w:szCs w:val="21"/>
        </w:rPr>
        <w:t> </w:t>
      </w:r>
      <w:r>
        <w:rPr>
          <w:rFonts w:ascii="宋体" w:hAnsi="宋体" w:cs="宋体" w:eastAsia="宋体" w:hint="default"/>
          <w:sz w:val="21"/>
          <w:szCs w:val="21"/>
        </w:rPr>
        <w:t>7,455,376.19</w:t>
      </w:r>
      <w:r>
        <w:rPr>
          <w:rFonts w:ascii="宋体" w:hAnsi="宋体" w:cs="宋体" w:eastAsia="宋体" w:hint="default"/>
          <w:spacing w:val="-46"/>
          <w:sz w:val="21"/>
          <w:szCs w:val="21"/>
        </w:rPr>
        <w:t> </w:t>
      </w:r>
      <w:r>
        <w:rPr>
          <w:rFonts w:ascii="宋体" w:hAnsi="宋体" w:cs="宋体" w:eastAsia="宋体" w:hint="default"/>
          <w:spacing w:val="-3"/>
          <w:sz w:val="21"/>
          <w:szCs w:val="21"/>
        </w:rPr>
        <w:t>元，增加的比例为</w:t>
      </w:r>
      <w:r>
        <w:rPr>
          <w:rFonts w:ascii="宋体" w:hAnsi="宋体" w:cs="宋体" w:eastAsia="宋体" w:hint="default"/>
          <w:spacing w:val="-46"/>
          <w:sz w:val="21"/>
          <w:szCs w:val="21"/>
        </w:rPr>
        <w:t> </w:t>
      </w:r>
      <w:r>
        <w:rPr>
          <w:rFonts w:ascii="宋体" w:hAnsi="宋体" w:cs="宋体" w:eastAsia="宋体" w:hint="default"/>
          <w:spacing w:val="-3"/>
          <w:sz w:val="21"/>
          <w:szCs w:val="21"/>
        </w:rPr>
        <w:t>40.46%</w:t>
      </w:r>
      <w:r>
        <w:rPr>
          <w:rFonts w:ascii="宋体" w:hAnsi="宋体" w:cs="宋体" w:eastAsia="宋体" w:hint="default"/>
          <w:spacing w:val="-3"/>
          <w:sz w:val="21"/>
          <w:szCs w:val="21"/>
        </w:rPr>
        <w:t>，增加的主要原</w:t>
      </w:r>
      <w:r>
        <w:rPr>
          <w:rFonts w:ascii="宋体" w:hAnsi="宋体" w:cs="宋体" w:eastAsia="宋体" w:hint="default"/>
          <w:w w:val="100"/>
          <w:sz w:val="21"/>
          <w:szCs w:val="21"/>
        </w:rPr>
        <w:t> </w:t>
      </w:r>
      <w:r>
        <w:rPr>
          <w:rFonts w:ascii="宋体" w:hAnsi="宋体" w:cs="宋体" w:eastAsia="宋体" w:hint="default"/>
          <w:sz w:val="21"/>
          <w:szCs w:val="21"/>
        </w:rPr>
        <w:t>因系本期公司技术服务收入增加导致应计提的营业税金及附加较上年同期增加。</w:t>
      </w:r>
    </w:p>
    <w:p>
      <w:pPr>
        <w:spacing w:before="130"/>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5355"/>
        <w:gridCol w:w="2182"/>
        <w:gridCol w:w="2336"/>
      </w:tblGrid>
      <w:tr>
        <w:trPr>
          <w:trHeight w:val="319" w:hRule="exact"/>
        </w:trPr>
        <w:tc>
          <w:tcPr>
            <w:tcW w:w="5355" w:type="dxa"/>
            <w:tcBorders>
              <w:top w:val="single" w:sz="12" w:space="0" w:color="000000"/>
              <w:left w:val="single" w:sz="4" w:space="0" w:color="000000"/>
              <w:bottom w:val="single" w:sz="4" w:space="0" w:color="000000"/>
              <w:right w:val="single" w:sz="4" w:space="0" w:color="000000"/>
            </w:tcBorders>
          </w:tcPr>
          <w:p>
            <w:pPr>
              <w:pStyle w:val="TableParagraph"/>
              <w:tabs>
                <w:tab w:pos="544" w:val="left" w:leader="none"/>
              </w:tabs>
              <w:spacing w:line="248" w:lineRule="exact"/>
              <w:ind w:left="1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3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74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5355"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29,544,421.24</w:t>
            </w:r>
          </w:p>
        </w:tc>
        <w:tc>
          <w:tcPr>
            <w:tcW w:w="2336"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pacing w:val="-1"/>
                <w:sz w:val="21"/>
              </w:rPr>
              <w:t>13,948,715.92</w:t>
            </w:r>
          </w:p>
        </w:tc>
      </w:tr>
      <w:tr>
        <w:trPr>
          <w:trHeight w:val="300" w:hRule="exact"/>
        </w:trPr>
        <w:tc>
          <w:tcPr>
            <w:tcW w:w="535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45,617,600.12</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27,618,398.79</w:t>
            </w:r>
          </w:p>
        </w:tc>
      </w:tr>
      <w:tr>
        <w:trPr>
          <w:trHeight w:val="300" w:hRule="exact"/>
        </w:trPr>
        <w:tc>
          <w:tcPr>
            <w:tcW w:w="535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11,537,245.57</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4,614,060.81</w:t>
            </w:r>
          </w:p>
        </w:tc>
      </w:tr>
      <w:tr>
        <w:trPr>
          <w:trHeight w:val="300" w:hRule="exact"/>
        </w:trPr>
        <w:tc>
          <w:tcPr>
            <w:tcW w:w="535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招标费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7,079,752.48</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5,647,412.23</w:t>
            </w:r>
          </w:p>
        </w:tc>
      </w:tr>
      <w:tr>
        <w:trPr>
          <w:trHeight w:val="300" w:hRule="exact"/>
        </w:trPr>
        <w:tc>
          <w:tcPr>
            <w:tcW w:w="535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554,716.26</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544,051.97</w:t>
            </w:r>
          </w:p>
        </w:tc>
      </w:tr>
      <w:tr>
        <w:trPr>
          <w:trHeight w:val="297" w:hRule="exact"/>
        </w:trPr>
        <w:tc>
          <w:tcPr>
            <w:tcW w:w="535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运保费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4,830,346.03</w:t>
            </w:r>
          </w:p>
        </w:tc>
        <w:tc>
          <w:tcPr>
            <w:tcW w:w="2336"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3,161,559.68</w:t>
            </w:r>
          </w:p>
        </w:tc>
      </w:tr>
    </w:tbl>
    <w:p>
      <w:pPr>
        <w:spacing w:after="0" w:line="266" w:lineRule="exact"/>
        <w:jc w:val="right"/>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5355"/>
        <w:gridCol w:w="2182"/>
        <w:gridCol w:w="2336"/>
      </w:tblGrid>
      <w:tr>
        <w:trPr>
          <w:trHeight w:val="318" w:hRule="exact"/>
        </w:trPr>
        <w:tc>
          <w:tcPr>
            <w:tcW w:w="5355" w:type="dxa"/>
            <w:tcBorders>
              <w:top w:val="single" w:sz="6" w:space="0" w:color="000000"/>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182" w:type="dxa"/>
            <w:tcBorders>
              <w:top w:val="single" w:sz="6" w:space="0" w:color="000000"/>
              <w:left w:val="single" w:sz="4" w:space="0" w:color="000000"/>
              <w:bottom w:val="nil" w:sz="6" w:space="0" w:color="auto"/>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1,200,631.30</w:t>
            </w:r>
          </w:p>
        </w:tc>
        <w:tc>
          <w:tcPr>
            <w:tcW w:w="233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1,495,000.00</w:t>
            </w:r>
          </w:p>
        </w:tc>
      </w:tr>
      <w:tr>
        <w:trPr>
          <w:trHeight w:val="302" w:hRule="exact"/>
        </w:trPr>
        <w:tc>
          <w:tcPr>
            <w:tcW w:w="5355"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办公费用及其他</w:t>
            </w:r>
          </w:p>
        </w:tc>
        <w:tc>
          <w:tcPr>
            <w:tcW w:w="218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12,862,139.27</w:t>
            </w:r>
          </w:p>
        </w:tc>
        <w:tc>
          <w:tcPr>
            <w:tcW w:w="2336"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7,797,571.98</w:t>
            </w:r>
          </w:p>
        </w:tc>
      </w:tr>
      <w:tr>
        <w:trPr>
          <w:trHeight w:val="317" w:hRule="exact"/>
        </w:trPr>
        <w:tc>
          <w:tcPr>
            <w:tcW w:w="5355" w:type="dxa"/>
            <w:tcBorders>
              <w:top w:val="single" w:sz="4" w:space="0" w:color="000000"/>
              <w:left w:val="single" w:sz="4" w:space="0" w:color="000000"/>
              <w:bottom w:val="single" w:sz="12" w:space="0" w:color="000000"/>
              <w:right w:val="single" w:sz="4" w:space="0" w:color="000000"/>
            </w:tcBorders>
          </w:tcPr>
          <w:p>
            <w:pPr>
              <w:pStyle w:val="TableParagraph"/>
              <w:tabs>
                <w:tab w:pos="544" w:val="left" w:leader="none"/>
              </w:tabs>
              <w:spacing w:line="248" w:lineRule="exact"/>
              <w:ind w:left="1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113,226,852.27</w:t>
            </w:r>
          </w:p>
        </w:tc>
        <w:tc>
          <w:tcPr>
            <w:tcW w:w="233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64,826,771.38</w:t>
            </w:r>
          </w:p>
        </w:tc>
      </w:tr>
    </w:tbl>
    <w:p>
      <w:pPr>
        <w:spacing w:before="28"/>
        <w:ind w:left="438" w:right="4204" w:firstLine="0"/>
        <w:jc w:val="left"/>
        <w:rPr>
          <w:rFonts w:ascii="宋体" w:hAnsi="宋体" w:cs="宋体" w:eastAsia="宋体" w:hint="default"/>
          <w:sz w:val="21"/>
          <w:szCs w:val="21"/>
        </w:rPr>
      </w:pPr>
      <w:r>
        <w:rPr>
          <w:rFonts w:ascii="宋体" w:hAnsi="宋体" w:cs="宋体" w:eastAsia="宋体" w:hint="default"/>
          <w:sz w:val="21"/>
          <w:szCs w:val="21"/>
        </w:rPr>
        <w:t>销售费用的说明：</w:t>
      </w:r>
    </w:p>
    <w:p>
      <w:pPr>
        <w:spacing w:line="285" w:lineRule="auto" w:before="114"/>
        <w:ind w:left="124" w:right="1265" w:firstLine="314"/>
        <w:jc w:val="left"/>
        <w:rPr>
          <w:rFonts w:ascii="宋体" w:hAnsi="宋体" w:cs="宋体" w:eastAsia="宋体" w:hint="default"/>
          <w:sz w:val="21"/>
          <w:szCs w:val="21"/>
        </w:rPr>
      </w:pPr>
      <w:r>
        <w:rPr>
          <w:rFonts w:ascii="宋体" w:hAnsi="宋体" w:cs="宋体" w:eastAsia="宋体" w:hint="default"/>
          <w:sz w:val="21"/>
          <w:szCs w:val="21"/>
        </w:rPr>
        <w:t>公司本期销售费用较上期增加</w:t>
      </w:r>
      <w:r>
        <w:rPr>
          <w:rFonts w:ascii="宋体" w:hAnsi="宋体" w:cs="宋体" w:eastAsia="宋体" w:hint="default"/>
          <w:spacing w:val="-45"/>
          <w:sz w:val="21"/>
          <w:szCs w:val="21"/>
        </w:rPr>
        <w:t> </w:t>
      </w:r>
      <w:r>
        <w:rPr>
          <w:rFonts w:ascii="宋体" w:hAnsi="宋体" w:cs="宋体" w:eastAsia="宋体" w:hint="default"/>
          <w:sz w:val="21"/>
          <w:szCs w:val="21"/>
        </w:rPr>
        <w:t>48,400,080.89</w:t>
      </w:r>
      <w:r>
        <w:rPr>
          <w:rFonts w:ascii="宋体" w:hAnsi="宋体" w:cs="宋体" w:eastAsia="宋体" w:hint="default"/>
          <w:spacing w:val="-48"/>
          <w:sz w:val="21"/>
          <w:szCs w:val="21"/>
        </w:rPr>
        <w:t> </w:t>
      </w:r>
      <w:r>
        <w:rPr>
          <w:rFonts w:ascii="宋体" w:hAnsi="宋体" w:cs="宋体" w:eastAsia="宋体" w:hint="default"/>
          <w:spacing w:val="-5"/>
          <w:sz w:val="21"/>
          <w:szCs w:val="21"/>
        </w:rPr>
        <w:t>元，增加的比例为</w:t>
      </w:r>
      <w:r>
        <w:rPr>
          <w:rFonts w:ascii="宋体" w:hAnsi="宋体" w:cs="宋体" w:eastAsia="宋体" w:hint="default"/>
          <w:spacing w:val="-45"/>
          <w:sz w:val="21"/>
          <w:szCs w:val="21"/>
        </w:rPr>
        <w:t> </w:t>
      </w:r>
      <w:r>
        <w:rPr>
          <w:rFonts w:ascii="宋体" w:hAnsi="宋体" w:cs="宋体" w:eastAsia="宋体" w:hint="default"/>
          <w:spacing w:val="-3"/>
          <w:sz w:val="21"/>
          <w:szCs w:val="21"/>
        </w:rPr>
        <w:t>74.66%</w:t>
      </w:r>
      <w:r>
        <w:rPr>
          <w:rFonts w:ascii="宋体" w:hAnsi="宋体" w:cs="宋体" w:eastAsia="宋体" w:hint="default"/>
          <w:spacing w:val="-3"/>
          <w:sz w:val="21"/>
          <w:szCs w:val="21"/>
        </w:rPr>
        <w:t>，增加的主要原因系</w:t>
      </w:r>
      <w:r>
        <w:rPr>
          <w:rFonts w:ascii="宋体" w:hAnsi="宋体" w:cs="宋体" w:eastAsia="宋体" w:hint="default"/>
          <w:w w:val="100"/>
          <w:sz w:val="21"/>
          <w:szCs w:val="21"/>
        </w:rPr>
        <w:t> </w:t>
      </w:r>
      <w:r>
        <w:rPr>
          <w:rFonts w:ascii="宋体" w:hAnsi="宋体" w:cs="宋体" w:eastAsia="宋体" w:hint="default"/>
          <w:sz w:val="21"/>
          <w:szCs w:val="21"/>
        </w:rPr>
        <w:t>公司本期业务规模扩大，发生的相关销售费用增加。</w:t>
      </w:r>
    </w:p>
    <w:p>
      <w:pPr>
        <w:spacing w:before="131"/>
        <w:ind w:left="528" w:right="8885" w:firstLine="0"/>
        <w:jc w:val="center"/>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5423"/>
        <w:gridCol w:w="2209"/>
        <w:gridCol w:w="2242"/>
      </w:tblGrid>
      <w:tr>
        <w:trPr>
          <w:trHeight w:val="322" w:hRule="exact"/>
        </w:trPr>
        <w:tc>
          <w:tcPr>
            <w:tcW w:w="5423"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50" w:lineRule="exact"/>
              <w:ind w:right="232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7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8" w:hRule="exact"/>
        </w:trPr>
        <w:tc>
          <w:tcPr>
            <w:tcW w:w="5423"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209"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45,658,058.30</w:t>
            </w:r>
          </w:p>
        </w:tc>
        <w:tc>
          <w:tcPr>
            <w:tcW w:w="224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25,666,111.90</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102,354,558.34</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3"/>
              <w:jc w:val="right"/>
              <w:rPr>
                <w:rFonts w:ascii="宋体" w:hAnsi="宋体" w:cs="宋体" w:eastAsia="宋体" w:hint="default"/>
                <w:sz w:val="21"/>
                <w:szCs w:val="21"/>
              </w:rPr>
            </w:pPr>
            <w:r>
              <w:rPr>
                <w:rFonts w:ascii="宋体"/>
                <w:spacing w:val="-1"/>
                <w:sz w:val="21"/>
              </w:rPr>
              <w:t>69,278,687.55</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1,687,711.43</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1,504,232.44</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房租物业费</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5,598,993.42</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3"/>
              <w:jc w:val="right"/>
              <w:rPr>
                <w:rFonts w:ascii="宋体" w:hAnsi="宋体" w:cs="宋体" w:eastAsia="宋体" w:hint="default"/>
                <w:sz w:val="21"/>
                <w:szCs w:val="21"/>
              </w:rPr>
            </w:pPr>
            <w:r>
              <w:rPr>
                <w:rFonts w:ascii="宋体"/>
                <w:spacing w:val="-1"/>
                <w:sz w:val="21"/>
              </w:rPr>
              <w:t>4,326,871.66</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23,226,388.81</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3"/>
              <w:jc w:val="right"/>
              <w:rPr>
                <w:rFonts w:ascii="宋体" w:hAnsi="宋体" w:cs="宋体" w:eastAsia="宋体" w:hint="default"/>
                <w:sz w:val="21"/>
                <w:szCs w:val="21"/>
              </w:rPr>
            </w:pPr>
            <w:r>
              <w:rPr>
                <w:rFonts w:ascii="宋体"/>
                <w:spacing w:val="-1"/>
                <w:sz w:val="21"/>
              </w:rPr>
              <w:t>22,186,845.87</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549,862.18</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pacing w:val="-1"/>
                <w:sz w:val="21"/>
              </w:rPr>
              <w:t>470,691.72</w:t>
            </w:r>
          </w:p>
        </w:tc>
      </w:tr>
      <w:tr>
        <w:trPr>
          <w:trHeight w:val="300" w:hRule="exact"/>
        </w:trPr>
        <w:tc>
          <w:tcPr>
            <w:tcW w:w="54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20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1,318,991.29</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03"/>
              <w:jc w:val="right"/>
              <w:rPr>
                <w:rFonts w:ascii="宋体" w:hAnsi="宋体" w:cs="宋体" w:eastAsia="宋体" w:hint="default"/>
                <w:sz w:val="21"/>
                <w:szCs w:val="21"/>
              </w:rPr>
            </w:pPr>
            <w:r>
              <w:rPr>
                <w:rFonts w:ascii="宋体"/>
                <w:spacing w:val="-1"/>
                <w:sz w:val="21"/>
              </w:rPr>
              <w:t>4,482,238.44</w:t>
            </w:r>
          </w:p>
        </w:tc>
      </w:tr>
      <w:tr>
        <w:trPr>
          <w:trHeight w:val="301" w:hRule="exact"/>
        </w:trPr>
        <w:tc>
          <w:tcPr>
            <w:tcW w:w="542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办公费及其他</w:t>
            </w:r>
          </w:p>
        </w:tc>
        <w:tc>
          <w:tcPr>
            <w:tcW w:w="220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13,791,850.75</w:t>
            </w:r>
          </w:p>
        </w:tc>
        <w:tc>
          <w:tcPr>
            <w:tcW w:w="2242"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1"/>
                <w:szCs w:val="21"/>
              </w:rPr>
            </w:pPr>
            <w:r>
              <w:rPr>
                <w:rFonts w:ascii="宋体"/>
                <w:spacing w:val="-1"/>
                <w:sz w:val="21"/>
              </w:rPr>
              <w:t>8,995,120.12</w:t>
            </w:r>
          </w:p>
        </w:tc>
      </w:tr>
      <w:tr>
        <w:trPr>
          <w:trHeight w:val="319" w:hRule="exact"/>
        </w:trPr>
        <w:tc>
          <w:tcPr>
            <w:tcW w:w="5423"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232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194,186,414.52</w:t>
            </w:r>
          </w:p>
        </w:tc>
        <w:tc>
          <w:tcPr>
            <w:tcW w:w="224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136,910,799.70</w:t>
            </w:r>
          </w:p>
        </w:tc>
      </w:tr>
    </w:tbl>
    <w:p>
      <w:pPr>
        <w:spacing w:before="28"/>
        <w:ind w:left="438" w:right="4204" w:firstLine="0"/>
        <w:jc w:val="left"/>
        <w:rPr>
          <w:rFonts w:ascii="宋体" w:hAnsi="宋体" w:cs="宋体" w:eastAsia="宋体" w:hint="default"/>
          <w:sz w:val="21"/>
          <w:szCs w:val="21"/>
        </w:rPr>
      </w:pPr>
      <w:r>
        <w:rPr>
          <w:rFonts w:ascii="宋体" w:hAnsi="宋体" w:cs="宋体" w:eastAsia="宋体" w:hint="default"/>
          <w:sz w:val="21"/>
          <w:szCs w:val="21"/>
        </w:rPr>
        <w:t>管理费用的说明：</w:t>
      </w:r>
    </w:p>
    <w:p>
      <w:pPr>
        <w:spacing w:line="285" w:lineRule="auto" w:before="111"/>
        <w:ind w:left="124" w:right="1265" w:firstLine="314"/>
        <w:jc w:val="left"/>
        <w:rPr>
          <w:rFonts w:ascii="宋体" w:hAnsi="宋体" w:cs="宋体" w:eastAsia="宋体" w:hint="default"/>
          <w:sz w:val="21"/>
          <w:szCs w:val="21"/>
        </w:rPr>
      </w:pPr>
      <w:r>
        <w:rPr>
          <w:rFonts w:ascii="宋体" w:hAnsi="宋体" w:cs="宋体" w:eastAsia="宋体" w:hint="default"/>
          <w:sz w:val="21"/>
          <w:szCs w:val="21"/>
        </w:rPr>
        <w:t>公司本期管理费用较上期增加</w:t>
      </w:r>
      <w:r>
        <w:rPr>
          <w:rFonts w:ascii="宋体" w:hAnsi="宋体" w:cs="宋体" w:eastAsia="宋体" w:hint="default"/>
          <w:spacing w:val="-45"/>
          <w:sz w:val="21"/>
          <w:szCs w:val="21"/>
        </w:rPr>
        <w:t> </w:t>
      </w:r>
      <w:r>
        <w:rPr>
          <w:rFonts w:ascii="宋体" w:hAnsi="宋体" w:cs="宋体" w:eastAsia="宋体" w:hint="default"/>
          <w:sz w:val="21"/>
          <w:szCs w:val="21"/>
        </w:rPr>
        <w:t>57,275,614.82</w:t>
      </w:r>
      <w:r>
        <w:rPr>
          <w:rFonts w:ascii="宋体" w:hAnsi="宋体" w:cs="宋体" w:eastAsia="宋体" w:hint="default"/>
          <w:spacing w:val="-48"/>
          <w:sz w:val="21"/>
          <w:szCs w:val="21"/>
        </w:rPr>
        <w:t> </w:t>
      </w:r>
      <w:r>
        <w:rPr>
          <w:rFonts w:ascii="宋体" w:hAnsi="宋体" w:cs="宋体" w:eastAsia="宋体" w:hint="default"/>
          <w:spacing w:val="-5"/>
          <w:sz w:val="21"/>
          <w:szCs w:val="21"/>
        </w:rPr>
        <w:t>元，增加的比例为</w:t>
      </w:r>
      <w:r>
        <w:rPr>
          <w:rFonts w:ascii="宋体" w:hAnsi="宋体" w:cs="宋体" w:eastAsia="宋体" w:hint="default"/>
          <w:spacing w:val="-45"/>
          <w:sz w:val="21"/>
          <w:szCs w:val="21"/>
        </w:rPr>
        <w:t> </w:t>
      </w:r>
      <w:r>
        <w:rPr>
          <w:rFonts w:ascii="宋体" w:hAnsi="宋体" w:cs="宋体" w:eastAsia="宋体" w:hint="default"/>
          <w:spacing w:val="-3"/>
          <w:sz w:val="21"/>
          <w:szCs w:val="21"/>
        </w:rPr>
        <w:t>41.83%</w:t>
      </w:r>
      <w:r>
        <w:rPr>
          <w:rFonts w:ascii="宋体" w:hAnsi="宋体" w:cs="宋体" w:eastAsia="宋体" w:hint="default"/>
          <w:spacing w:val="-3"/>
          <w:sz w:val="21"/>
          <w:szCs w:val="21"/>
        </w:rPr>
        <w:t>，增加的主要原因系</w:t>
      </w:r>
      <w:r>
        <w:rPr>
          <w:rFonts w:ascii="宋体" w:hAnsi="宋体" w:cs="宋体" w:eastAsia="宋体" w:hint="default"/>
          <w:w w:val="100"/>
          <w:sz w:val="21"/>
          <w:szCs w:val="21"/>
        </w:rPr>
        <w:t> </w:t>
      </w:r>
      <w:r>
        <w:rPr>
          <w:rFonts w:ascii="宋体" w:hAnsi="宋体" w:cs="宋体" w:eastAsia="宋体" w:hint="default"/>
          <w:sz w:val="21"/>
          <w:szCs w:val="21"/>
        </w:rPr>
        <w:t>公司本期发生的项目研发费用增加，以及支付的职工薪酬增加。</w:t>
      </w:r>
    </w:p>
    <w:p>
      <w:pPr>
        <w:spacing w:before="132"/>
        <w:ind w:left="528" w:right="8885" w:firstLine="0"/>
        <w:jc w:val="center"/>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513"/>
        <w:gridCol w:w="2741"/>
        <w:gridCol w:w="2619"/>
      </w:tblGrid>
      <w:tr>
        <w:trPr>
          <w:trHeight w:val="322" w:hRule="exact"/>
        </w:trPr>
        <w:tc>
          <w:tcPr>
            <w:tcW w:w="4513"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50" w:lineRule="exact"/>
              <w:ind w:right="187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41"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19"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0" w:hRule="exact"/>
        </w:trPr>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贷款利息支出</w:t>
            </w:r>
          </w:p>
        </w:tc>
        <w:tc>
          <w:tcPr>
            <w:tcW w:w="2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8"/>
              <w:jc w:val="right"/>
              <w:rPr>
                <w:rFonts w:ascii="宋体" w:hAnsi="宋体" w:cs="宋体" w:eastAsia="宋体" w:hint="default"/>
                <w:sz w:val="21"/>
                <w:szCs w:val="21"/>
              </w:rPr>
            </w:pPr>
            <w:r>
              <w:rPr>
                <w:rFonts w:ascii="宋体"/>
                <w:spacing w:val="-1"/>
                <w:sz w:val="21"/>
              </w:rPr>
              <w:t>5,615,390.41</w:t>
            </w:r>
          </w:p>
        </w:tc>
        <w:tc>
          <w:tcPr>
            <w:tcW w:w="26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3"/>
              <w:jc w:val="right"/>
              <w:rPr>
                <w:rFonts w:ascii="宋体" w:hAnsi="宋体" w:cs="宋体" w:eastAsia="宋体" w:hint="default"/>
                <w:sz w:val="21"/>
                <w:szCs w:val="21"/>
              </w:rPr>
            </w:pPr>
            <w:r>
              <w:rPr>
                <w:rFonts w:ascii="宋体"/>
                <w:spacing w:val="-1"/>
                <w:sz w:val="21"/>
              </w:rPr>
              <w:t>1,681,375.01</w:t>
            </w:r>
          </w:p>
        </w:tc>
      </w:tr>
      <w:tr>
        <w:trPr>
          <w:trHeight w:val="313" w:hRule="exact"/>
        </w:trPr>
        <w:tc>
          <w:tcPr>
            <w:tcW w:w="4513"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贴现利息支出</w:t>
            </w:r>
          </w:p>
        </w:tc>
        <w:tc>
          <w:tcPr>
            <w:tcW w:w="2741" w:type="dxa"/>
            <w:tcBorders>
              <w:top w:val="nil" w:sz="6" w:space="0" w:color="auto"/>
              <w:left w:val="single" w:sz="4" w:space="0" w:color="000000"/>
              <w:bottom w:val="nil" w:sz="6" w:space="0" w:color="auto"/>
              <w:right w:val="single" w:sz="4" w:space="0" w:color="000000"/>
            </w:tcBorders>
          </w:tcPr>
          <w:p>
            <w:pP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spacing w:val="-1"/>
                <w:sz w:val="21"/>
              </w:rPr>
              <w:t>96,603.16</w:t>
            </w:r>
          </w:p>
        </w:tc>
      </w:tr>
      <w:tr>
        <w:trPr>
          <w:trHeight w:val="300" w:hRule="exact"/>
        </w:trPr>
        <w:tc>
          <w:tcPr>
            <w:tcW w:w="45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利息收入</w:t>
            </w:r>
          </w:p>
        </w:tc>
        <w:tc>
          <w:tcPr>
            <w:tcW w:w="274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928,121.06</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2,441,939.16</w:t>
            </w:r>
          </w:p>
        </w:tc>
      </w:tr>
      <w:tr>
        <w:trPr>
          <w:trHeight w:val="300" w:hRule="exact"/>
        </w:trPr>
        <w:tc>
          <w:tcPr>
            <w:tcW w:w="45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74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8"/>
              <w:jc w:val="right"/>
              <w:rPr>
                <w:rFonts w:ascii="宋体" w:hAnsi="宋体" w:cs="宋体" w:eastAsia="宋体" w:hint="default"/>
                <w:sz w:val="21"/>
                <w:szCs w:val="21"/>
              </w:rPr>
            </w:pPr>
            <w:r>
              <w:rPr>
                <w:rFonts w:ascii="宋体"/>
                <w:spacing w:val="-1"/>
                <w:sz w:val="21"/>
              </w:rPr>
              <w:t>5,026.47</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30,584.31</w:t>
            </w:r>
          </w:p>
        </w:tc>
      </w:tr>
      <w:tr>
        <w:trPr>
          <w:trHeight w:val="300" w:hRule="exact"/>
        </w:trPr>
        <w:tc>
          <w:tcPr>
            <w:tcW w:w="45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74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8"/>
              <w:jc w:val="right"/>
              <w:rPr>
                <w:rFonts w:ascii="宋体" w:hAnsi="宋体" w:cs="宋体" w:eastAsia="宋体" w:hint="default"/>
                <w:sz w:val="21"/>
                <w:szCs w:val="21"/>
              </w:rPr>
            </w:pPr>
            <w:r>
              <w:rPr>
                <w:rFonts w:ascii="宋体"/>
                <w:spacing w:val="-1"/>
                <w:sz w:val="21"/>
              </w:rPr>
              <w:t>75,243.53</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7,042.11</w:t>
            </w:r>
          </w:p>
        </w:tc>
      </w:tr>
      <w:tr>
        <w:trPr>
          <w:trHeight w:val="300" w:hRule="exact"/>
        </w:trPr>
        <w:tc>
          <w:tcPr>
            <w:tcW w:w="45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4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8"/>
              <w:jc w:val="right"/>
              <w:rPr>
                <w:rFonts w:ascii="宋体" w:hAnsi="宋体" w:cs="宋体" w:eastAsia="宋体" w:hint="default"/>
                <w:sz w:val="21"/>
                <w:szCs w:val="21"/>
              </w:rPr>
            </w:pPr>
            <w:r>
              <w:rPr>
                <w:rFonts w:ascii="宋体"/>
                <w:spacing w:val="-1"/>
                <w:sz w:val="21"/>
              </w:rPr>
              <w:t>2,012,817.28</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824,206.99</w:t>
            </w:r>
          </w:p>
        </w:tc>
      </w:tr>
      <w:tr>
        <w:trPr>
          <w:trHeight w:val="301" w:hRule="exact"/>
        </w:trPr>
        <w:tc>
          <w:tcPr>
            <w:tcW w:w="451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贷款担保费</w:t>
            </w:r>
          </w:p>
        </w:tc>
        <w:tc>
          <w:tcPr>
            <w:tcW w:w="2741"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854,300.00</w:t>
            </w:r>
          </w:p>
        </w:tc>
        <w:tc>
          <w:tcPr>
            <w:tcW w:w="2619"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4513"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187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4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7,484,169.57</w:t>
            </w:r>
          </w:p>
        </w:tc>
        <w:tc>
          <w:tcPr>
            <w:tcW w:w="261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183,788.20</w:t>
            </w:r>
          </w:p>
        </w:tc>
      </w:tr>
    </w:tbl>
    <w:p>
      <w:pPr>
        <w:spacing w:before="28"/>
        <w:ind w:left="438" w:right="4204" w:firstLine="0"/>
        <w:jc w:val="left"/>
        <w:rPr>
          <w:rFonts w:ascii="宋体" w:hAnsi="宋体" w:cs="宋体" w:eastAsia="宋体" w:hint="default"/>
          <w:sz w:val="21"/>
          <w:szCs w:val="21"/>
        </w:rPr>
      </w:pPr>
      <w:r>
        <w:rPr>
          <w:rFonts w:ascii="宋体" w:hAnsi="宋体" w:cs="宋体" w:eastAsia="宋体" w:hint="default"/>
          <w:sz w:val="21"/>
          <w:szCs w:val="21"/>
        </w:rPr>
        <w:t>财务费用的说明：</w:t>
      </w:r>
    </w:p>
    <w:p>
      <w:pPr>
        <w:spacing w:line="285" w:lineRule="auto" w:before="112"/>
        <w:ind w:left="124" w:right="1265" w:firstLine="314"/>
        <w:jc w:val="left"/>
        <w:rPr>
          <w:rFonts w:ascii="宋体" w:hAnsi="宋体" w:cs="宋体" w:eastAsia="宋体" w:hint="default"/>
          <w:sz w:val="21"/>
          <w:szCs w:val="21"/>
        </w:rPr>
      </w:pPr>
      <w:r>
        <w:rPr>
          <w:rFonts w:ascii="宋体" w:hAnsi="宋体" w:cs="宋体" w:eastAsia="宋体" w:hint="default"/>
          <w:sz w:val="21"/>
          <w:szCs w:val="21"/>
        </w:rPr>
        <w:t>公司本期财务费用较上期增加</w:t>
      </w:r>
      <w:r>
        <w:rPr>
          <w:rFonts w:ascii="宋体" w:hAnsi="宋体" w:cs="宋体" w:eastAsia="宋体" w:hint="default"/>
          <w:spacing w:val="-56"/>
          <w:sz w:val="21"/>
          <w:szCs w:val="21"/>
        </w:rPr>
        <w:t> </w:t>
      </w:r>
      <w:r>
        <w:rPr>
          <w:rFonts w:ascii="宋体" w:hAnsi="宋体" w:cs="宋体" w:eastAsia="宋体" w:hint="default"/>
          <w:sz w:val="21"/>
          <w:szCs w:val="21"/>
        </w:rPr>
        <w:t>7,300,381.37</w:t>
      </w:r>
      <w:r>
        <w:rPr>
          <w:rFonts w:ascii="宋体" w:hAnsi="宋体" w:cs="宋体" w:eastAsia="宋体" w:hint="default"/>
          <w:spacing w:val="-58"/>
          <w:sz w:val="21"/>
          <w:szCs w:val="21"/>
        </w:rPr>
        <w:t> </w:t>
      </w:r>
      <w:r>
        <w:rPr>
          <w:rFonts w:ascii="宋体" w:hAnsi="宋体" w:cs="宋体" w:eastAsia="宋体" w:hint="default"/>
          <w:sz w:val="21"/>
          <w:szCs w:val="21"/>
        </w:rPr>
        <w:t>元，增加的比例为</w:t>
      </w:r>
      <w:r>
        <w:rPr>
          <w:rFonts w:ascii="宋体" w:hAnsi="宋体" w:cs="宋体" w:eastAsia="宋体" w:hint="default"/>
          <w:spacing w:val="-56"/>
          <w:sz w:val="21"/>
          <w:szCs w:val="21"/>
        </w:rPr>
        <w:t> </w:t>
      </w:r>
      <w:r>
        <w:rPr>
          <w:rFonts w:ascii="宋体" w:hAnsi="宋体" w:cs="宋体" w:eastAsia="宋体" w:hint="default"/>
          <w:sz w:val="21"/>
          <w:szCs w:val="21"/>
        </w:rPr>
        <w:t>3972.17%</w:t>
      </w:r>
      <w:r>
        <w:rPr>
          <w:rFonts w:ascii="宋体" w:hAnsi="宋体" w:cs="宋体" w:eastAsia="宋体" w:hint="default"/>
          <w:sz w:val="21"/>
          <w:szCs w:val="21"/>
        </w:rPr>
        <w:t>，增加的主要原因</w:t>
      </w:r>
      <w:r>
        <w:rPr>
          <w:rFonts w:ascii="宋体" w:hAnsi="宋体" w:cs="宋体" w:eastAsia="宋体" w:hint="default"/>
          <w:w w:val="100"/>
          <w:sz w:val="21"/>
          <w:szCs w:val="21"/>
        </w:rPr>
        <w:t> </w:t>
      </w:r>
      <w:r>
        <w:rPr>
          <w:rFonts w:ascii="宋体" w:hAnsi="宋体" w:cs="宋体" w:eastAsia="宋体" w:hint="default"/>
          <w:sz w:val="21"/>
          <w:szCs w:val="21"/>
        </w:rPr>
        <w:t>系公司本期银行借款利息支出增加。</w:t>
      </w:r>
    </w:p>
    <w:p>
      <w:pPr>
        <w:spacing w:before="131"/>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412"/>
        <w:gridCol w:w="2677"/>
        <w:gridCol w:w="2784"/>
      </w:tblGrid>
      <w:tr>
        <w:trPr>
          <w:trHeight w:val="319" w:hRule="exact"/>
        </w:trPr>
        <w:tc>
          <w:tcPr>
            <w:tcW w:w="441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8" w:lineRule="exact"/>
              <w:ind w:right="18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77"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84"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18,254,157.95</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9,981,257.90</w:t>
            </w:r>
          </w:p>
        </w:tc>
      </w:tr>
      <w:tr>
        <w:trPr>
          <w:trHeight w:val="319" w:hRule="exact"/>
        </w:trPr>
        <w:tc>
          <w:tcPr>
            <w:tcW w:w="441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18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7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18,254,157.95</w:t>
            </w:r>
          </w:p>
        </w:tc>
        <w:tc>
          <w:tcPr>
            <w:tcW w:w="278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9,981,257.90</w:t>
            </w:r>
          </w:p>
        </w:tc>
      </w:tr>
    </w:tbl>
    <w:p>
      <w:pPr>
        <w:spacing w:before="28"/>
        <w:ind w:left="438" w:right="4204" w:firstLine="0"/>
        <w:jc w:val="left"/>
        <w:rPr>
          <w:rFonts w:ascii="宋体" w:hAnsi="宋体" w:cs="宋体" w:eastAsia="宋体" w:hint="default"/>
          <w:sz w:val="21"/>
          <w:szCs w:val="21"/>
        </w:rPr>
      </w:pPr>
      <w:r>
        <w:rPr>
          <w:rFonts w:ascii="宋体" w:hAnsi="宋体" w:cs="宋体" w:eastAsia="宋体" w:hint="default"/>
          <w:sz w:val="21"/>
          <w:szCs w:val="21"/>
        </w:rPr>
        <w:t>资产减值损失的说明：</w:t>
      </w:r>
    </w:p>
    <w:p>
      <w:pPr>
        <w:spacing w:after="0"/>
        <w:jc w:val="left"/>
        <w:rPr>
          <w:rFonts w:ascii="宋体" w:hAnsi="宋体" w:cs="宋体" w:eastAsia="宋体" w:hint="default"/>
          <w:sz w:val="21"/>
          <w:szCs w:val="21"/>
        </w:rPr>
        <w:sectPr>
          <w:pgSz w:w="12240" w:h="15840"/>
          <w:pgMar w:header="850" w:footer="956" w:top="1360" w:bottom="1140" w:left="1520" w:right="0"/>
        </w:sectPr>
      </w:pPr>
    </w:p>
    <w:p>
      <w:pPr>
        <w:spacing w:line="285" w:lineRule="auto" w:before="15"/>
        <w:ind w:left="144" w:right="1924" w:firstLine="314"/>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360"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公司本期资产减值损失较上期增加</w:t>
      </w:r>
      <w:r>
        <w:rPr>
          <w:rFonts w:ascii="宋体" w:hAnsi="宋体" w:cs="宋体" w:eastAsia="宋体" w:hint="default"/>
          <w:spacing w:val="-55"/>
          <w:sz w:val="21"/>
          <w:szCs w:val="21"/>
        </w:rPr>
        <w:t> </w:t>
      </w:r>
      <w:r>
        <w:rPr>
          <w:rFonts w:ascii="宋体" w:hAnsi="宋体" w:cs="宋体" w:eastAsia="宋体" w:hint="default"/>
          <w:sz w:val="21"/>
          <w:szCs w:val="21"/>
        </w:rPr>
        <w:t>8,272,900.05</w:t>
      </w:r>
      <w:r>
        <w:rPr>
          <w:rFonts w:ascii="宋体" w:hAnsi="宋体" w:cs="宋体" w:eastAsia="宋体" w:hint="default"/>
          <w:spacing w:val="-57"/>
          <w:sz w:val="21"/>
          <w:szCs w:val="21"/>
        </w:rPr>
        <w:t> </w:t>
      </w:r>
      <w:r>
        <w:rPr>
          <w:rFonts w:ascii="宋体" w:hAnsi="宋体" w:cs="宋体" w:eastAsia="宋体" w:hint="default"/>
          <w:sz w:val="21"/>
          <w:szCs w:val="21"/>
        </w:rPr>
        <w:t>元，增加的比例为</w:t>
      </w:r>
      <w:r>
        <w:rPr>
          <w:rFonts w:ascii="宋体" w:hAnsi="宋体" w:cs="宋体" w:eastAsia="宋体" w:hint="default"/>
          <w:spacing w:val="-55"/>
          <w:sz w:val="21"/>
          <w:szCs w:val="21"/>
        </w:rPr>
        <w:t> </w:t>
      </w:r>
      <w:r>
        <w:rPr>
          <w:rFonts w:ascii="宋体" w:hAnsi="宋体" w:cs="宋体" w:eastAsia="宋体" w:hint="default"/>
          <w:sz w:val="21"/>
          <w:szCs w:val="21"/>
        </w:rPr>
        <w:t>82.88%</w:t>
      </w:r>
      <w:r>
        <w:rPr>
          <w:rFonts w:ascii="宋体" w:hAnsi="宋体" w:cs="宋体" w:eastAsia="宋体" w:hint="default"/>
          <w:sz w:val="21"/>
          <w:szCs w:val="21"/>
        </w:rPr>
        <w:t>，增加的主要原</w:t>
      </w:r>
      <w:r>
        <w:rPr>
          <w:rFonts w:ascii="宋体" w:hAnsi="宋体" w:cs="宋体" w:eastAsia="宋体" w:hint="default"/>
          <w:w w:val="100"/>
          <w:sz w:val="21"/>
          <w:szCs w:val="21"/>
        </w:rPr>
        <w:t> </w:t>
      </w:r>
      <w:r>
        <w:rPr>
          <w:rFonts w:ascii="宋体" w:hAnsi="宋体" w:cs="宋体" w:eastAsia="宋体" w:hint="default"/>
          <w:sz w:val="21"/>
          <w:szCs w:val="21"/>
        </w:rPr>
        <w:t>因系本期公司应收账款、其他应收款计提的坏账准备增加所致。</w:t>
      </w:r>
    </w:p>
    <w:p>
      <w:pPr>
        <w:spacing w:before="131"/>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15"/>
          <w:szCs w:val="15"/>
        </w:rPr>
      </w:pPr>
    </w:p>
    <w:p>
      <w:pPr>
        <w:spacing w:before="0"/>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）投资收益的组成情况如下</w:t>
      </w:r>
      <w:r>
        <w:rPr>
          <w:rFonts w:ascii="宋体" w:hAnsi="宋体" w:cs="宋体" w:eastAsia="宋体" w:hint="default"/>
          <w:sz w:val="21"/>
          <w:szCs w:val="21"/>
        </w:rPr>
        <w:t>:</w:t>
      </w:r>
    </w:p>
    <w:p>
      <w:pPr>
        <w:spacing w:line="240" w:lineRule="auto" w:before="8"/>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829"/>
        <w:gridCol w:w="2999"/>
        <w:gridCol w:w="3046"/>
      </w:tblGrid>
      <w:tr>
        <w:trPr>
          <w:trHeight w:val="319" w:hRule="exact"/>
        </w:trPr>
        <w:tc>
          <w:tcPr>
            <w:tcW w:w="3829" w:type="dxa"/>
            <w:tcBorders>
              <w:top w:val="single" w:sz="12" w:space="0" w:color="000000"/>
              <w:left w:val="single" w:sz="4" w:space="0" w:color="000000"/>
              <w:bottom w:val="single" w:sz="4" w:space="0" w:color="000000"/>
              <w:right w:val="single" w:sz="4" w:space="0" w:color="000000"/>
            </w:tcBorders>
          </w:tcPr>
          <w:p>
            <w:pPr>
              <w:pStyle w:val="TableParagraph"/>
              <w:tabs>
                <w:tab w:pos="526"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9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046"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7" w:hRule="exact"/>
        </w:trPr>
        <w:tc>
          <w:tcPr>
            <w:tcW w:w="3829" w:type="dxa"/>
            <w:tcBorders>
              <w:top w:val="single" w:sz="4" w:space="0" w:color="000000"/>
              <w:left w:val="single" w:sz="4" w:space="0" w:color="000000"/>
              <w:bottom w:val="single" w:sz="2"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999"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49,535.15</w:t>
            </w:r>
          </w:p>
        </w:tc>
        <w:tc>
          <w:tcPr>
            <w:tcW w:w="3046" w:type="dxa"/>
            <w:tcBorders>
              <w:top w:val="single" w:sz="4" w:space="0" w:color="000000"/>
              <w:left w:val="single" w:sz="4" w:space="0" w:color="000000"/>
              <w:bottom w:val="single" w:sz="2" w:space="0" w:color="000000"/>
              <w:right w:val="single" w:sz="4" w:space="0" w:color="000000"/>
            </w:tcBorders>
          </w:tcPr>
          <w:p>
            <w:pPr/>
          </w:p>
        </w:tc>
      </w:tr>
      <w:tr>
        <w:trPr>
          <w:trHeight w:val="317" w:hRule="exact"/>
        </w:trPr>
        <w:tc>
          <w:tcPr>
            <w:tcW w:w="3829"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99"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49,535.15</w:t>
            </w:r>
          </w:p>
        </w:tc>
        <w:tc>
          <w:tcPr>
            <w:tcW w:w="3046" w:type="dxa"/>
            <w:tcBorders>
              <w:top w:val="single" w:sz="2" w:space="0" w:color="000000"/>
              <w:left w:val="single" w:sz="4" w:space="0" w:color="000000"/>
              <w:bottom w:val="single" w:sz="12" w:space="0" w:color="000000"/>
              <w:right w:val="single" w:sz="4" w:space="0" w:color="000000"/>
            </w:tcBorders>
          </w:tcPr>
          <w:p>
            <w:pPr/>
          </w:p>
        </w:tc>
      </w:tr>
    </w:tbl>
    <w:p>
      <w:pPr>
        <w:spacing w:before="88"/>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）处置长期股权投资产生的投资收益明细如下：</w:t>
      </w:r>
    </w:p>
    <w:p>
      <w:pPr>
        <w:spacing w:line="240" w:lineRule="auto" w:before="7"/>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829"/>
        <w:gridCol w:w="2999"/>
        <w:gridCol w:w="3046"/>
      </w:tblGrid>
      <w:tr>
        <w:trPr>
          <w:trHeight w:val="322" w:hRule="exact"/>
        </w:trPr>
        <w:tc>
          <w:tcPr>
            <w:tcW w:w="3829" w:type="dxa"/>
            <w:tcBorders>
              <w:top w:val="single" w:sz="12" w:space="0" w:color="000000"/>
              <w:left w:val="single" w:sz="4" w:space="0" w:color="000000"/>
              <w:bottom w:val="single" w:sz="4" w:space="0" w:color="000000"/>
              <w:right w:val="single" w:sz="4" w:space="0" w:color="000000"/>
            </w:tcBorders>
          </w:tcPr>
          <w:p>
            <w:pPr>
              <w:pStyle w:val="TableParagraph"/>
              <w:tabs>
                <w:tab w:pos="526" w:val="left" w:leader="none"/>
              </w:tabs>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9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04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内蒙古合创信息技术有限公司</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49,535.15</w:t>
            </w:r>
          </w:p>
        </w:tc>
        <w:tc>
          <w:tcPr>
            <w:tcW w:w="304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9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49,535.15</w:t>
            </w:r>
          </w:p>
        </w:tc>
        <w:tc>
          <w:tcPr>
            <w:tcW w:w="3046" w:type="dxa"/>
            <w:tcBorders>
              <w:top w:val="single" w:sz="4" w:space="0" w:color="000000"/>
              <w:left w:val="single" w:sz="4" w:space="0" w:color="000000"/>
              <w:bottom w:val="single" w:sz="12" w:space="0" w:color="000000"/>
              <w:right w:val="single" w:sz="4" w:space="0" w:color="000000"/>
            </w:tcBorders>
          </w:tcPr>
          <w:p>
            <w:pPr/>
          </w:p>
        </w:tc>
      </w:tr>
    </w:tbl>
    <w:p>
      <w:pPr>
        <w:spacing w:before="8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39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39" w:type="dxa"/>
        <w:tblLayout w:type="fixed"/>
        <w:tblCellMar>
          <w:top w:w="0" w:type="dxa"/>
          <w:left w:w="0" w:type="dxa"/>
          <w:bottom w:w="0" w:type="dxa"/>
          <w:right w:w="0" w:type="dxa"/>
        </w:tblCellMar>
        <w:tblLook w:val="01E0"/>
      </w:tblPr>
      <w:tblGrid>
        <w:gridCol w:w="4268"/>
        <w:gridCol w:w="1829"/>
        <w:gridCol w:w="1628"/>
        <w:gridCol w:w="2148"/>
      </w:tblGrid>
      <w:tr>
        <w:trPr>
          <w:trHeight w:val="619" w:hRule="exact"/>
        </w:trPr>
        <w:tc>
          <w:tcPr>
            <w:tcW w:w="4268"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48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14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308" w:hRule="exact"/>
        </w:trPr>
        <w:tc>
          <w:tcPr>
            <w:tcW w:w="4268" w:type="dxa"/>
            <w:tcBorders>
              <w:top w:val="single" w:sz="4" w:space="0" w:color="000000"/>
              <w:left w:val="single" w:sz="4" w:space="0" w:color="000000"/>
              <w:bottom w:val="nil" w:sz="6" w:space="0" w:color="auto"/>
              <w:right w:val="single" w:sz="4" w:space="0" w:color="000000"/>
            </w:tcBorders>
          </w:tcPr>
          <w:p>
            <w:pPr>
              <w:pStyle w:val="TableParagraph"/>
              <w:tabs>
                <w:tab w:pos="2414" w:val="left" w:leader="none"/>
              </w:tabs>
              <w:spacing w:line="27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增值税退税收入</w:t>
              <w:tab/>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1</w:t>
            </w:r>
          </w:p>
        </w:tc>
        <w:tc>
          <w:tcPr>
            <w:tcW w:w="1829"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5,896,512.25</w:t>
            </w:r>
          </w:p>
        </w:tc>
        <w:tc>
          <w:tcPr>
            <w:tcW w:w="1628" w:type="dxa"/>
            <w:tcBorders>
              <w:top w:val="single" w:sz="4" w:space="0" w:color="000000"/>
              <w:left w:val="single" w:sz="4" w:space="0" w:color="000000"/>
              <w:bottom w:val="nil" w:sz="6" w:space="0" w:color="auto"/>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18,366,371.39</w:t>
            </w:r>
          </w:p>
        </w:tc>
        <w:tc>
          <w:tcPr>
            <w:tcW w:w="2148"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4268" w:type="dxa"/>
            <w:tcBorders>
              <w:top w:val="nil" w:sz="6" w:space="0" w:color="auto"/>
              <w:left w:val="single" w:sz="4" w:space="0" w:color="000000"/>
              <w:bottom w:val="nil" w:sz="6" w:space="0" w:color="auto"/>
              <w:right w:val="single" w:sz="4" w:space="0" w:color="000000"/>
            </w:tcBorders>
          </w:tcPr>
          <w:p>
            <w:pPr>
              <w:pStyle w:val="TableParagraph"/>
              <w:tabs>
                <w:tab w:pos="2414" w:val="left" w:leader="none"/>
              </w:tabs>
              <w:spacing w:line="245"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政府补助</w:t>
              <w:tab/>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2</w:t>
            </w:r>
          </w:p>
        </w:tc>
        <w:tc>
          <w:tcPr>
            <w:tcW w:w="1829"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2"/>
              <w:jc w:val="right"/>
              <w:rPr>
                <w:rFonts w:ascii="宋体" w:hAnsi="宋体" w:cs="宋体" w:eastAsia="宋体" w:hint="default"/>
                <w:sz w:val="21"/>
                <w:szCs w:val="21"/>
              </w:rPr>
            </w:pPr>
            <w:r>
              <w:rPr>
                <w:rFonts w:ascii="宋体"/>
                <w:spacing w:val="-1"/>
                <w:sz w:val="21"/>
              </w:rPr>
              <w:t>11,054,500.00</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pacing w:val="-1"/>
                <w:sz w:val="21"/>
              </w:rPr>
              <w:t>1,864,323.00</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11,054,500.00</w:t>
            </w:r>
          </w:p>
        </w:tc>
      </w:tr>
      <w:tr>
        <w:trPr>
          <w:trHeight w:val="300" w:hRule="exact"/>
        </w:trPr>
        <w:tc>
          <w:tcPr>
            <w:tcW w:w="426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处置固定资产净收益</w:t>
            </w:r>
          </w:p>
        </w:tc>
        <w:tc>
          <w:tcPr>
            <w:tcW w:w="1829"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2"/>
              <w:jc w:val="right"/>
              <w:rPr>
                <w:rFonts w:ascii="宋体" w:hAnsi="宋体" w:cs="宋体" w:eastAsia="宋体" w:hint="default"/>
                <w:sz w:val="21"/>
                <w:szCs w:val="21"/>
              </w:rPr>
            </w:pPr>
            <w:r>
              <w:rPr>
                <w:rFonts w:ascii="宋体"/>
                <w:sz w:val="21"/>
              </w:rPr>
              <w:t>162.50</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23,699.04</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2"/>
              <w:jc w:val="right"/>
              <w:rPr>
                <w:rFonts w:ascii="宋体" w:hAnsi="宋体" w:cs="宋体" w:eastAsia="宋体" w:hint="default"/>
                <w:sz w:val="21"/>
                <w:szCs w:val="21"/>
              </w:rPr>
            </w:pPr>
            <w:r>
              <w:rPr>
                <w:rFonts w:ascii="宋体"/>
                <w:sz w:val="21"/>
              </w:rPr>
              <w:t>162.50</w:t>
            </w:r>
          </w:p>
        </w:tc>
      </w:tr>
      <w:tr>
        <w:trPr>
          <w:trHeight w:val="302" w:hRule="exact"/>
        </w:trPr>
        <w:tc>
          <w:tcPr>
            <w:tcW w:w="4268"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2"/>
              <w:jc w:val="right"/>
              <w:rPr>
                <w:rFonts w:ascii="宋体" w:hAnsi="宋体" w:cs="宋体" w:eastAsia="宋体" w:hint="default"/>
                <w:sz w:val="21"/>
                <w:szCs w:val="21"/>
              </w:rPr>
            </w:pPr>
            <w:r>
              <w:rPr>
                <w:rFonts w:ascii="宋体"/>
                <w:spacing w:val="-1"/>
                <w:sz w:val="21"/>
              </w:rPr>
              <w:t>35,210.00</w:t>
            </w:r>
          </w:p>
        </w:tc>
        <w:tc>
          <w:tcPr>
            <w:tcW w:w="162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151,547.21</w:t>
            </w:r>
          </w:p>
        </w:tc>
        <w:tc>
          <w:tcPr>
            <w:tcW w:w="2148"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pacing w:val="-1"/>
                <w:sz w:val="21"/>
              </w:rPr>
              <w:t>35,210.00</w:t>
            </w:r>
          </w:p>
        </w:tc>
      </w:tr>
      <w:tr>
        <w:trPr>
          <w:trHeight w:val="319" w:hRule="exact"/>
        </w:trPr>
        <w:tc>
          <w:tcPr>
            <w:tcW w:w="4268"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16,986,384.75</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20,405,940.64</w:t>
            </w: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11,089,872.50</w:t>
            </w:r>
          </w:p>
        </w:tc>
      </w:tr>
    </w:tbl>
    <w:p>
      <w:pPr>
        <w:spacing w:line="285" w:lineRule="auto" w:before="28"/>
        <w:ind w:left="144" w:right="1976"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1</w:t>
      </w:r>
      <w:r>
        <w:rPr>
          <w:rFonts w:ascii="宋体" w:hAnsi="宋体" w:cs="宋体" w:eastAsia="宋体" w:hint="default"/>
          <w:sz w:val="21"/>
          <w:szCs w:val="21"/>
        </w:rPr>
        <w:t>、退税收入系指公司及所属子公司北京东华合创科技有限公司、泰安东华合创软件有限</w:t>
      </w:r>
      <w:r>
        <w:rPr>
          <w:rFonts w:ascii="宋体" w:hAnsi="宋体" w:cs="宋体" w:eastAsia="宋体" w:hint="default"/>
          <w:w w:val="100"/>
          <w:sz w:val="21"/>
          <w:szCs w:val="21"/>
        </w:rPr>
        <w:t> </w:t>
      </w:r>
      <w:r>
        <w:rPr>
          <w:rFonts w:ascii="宋体" w:hAnsi="宋体" w:cs="宋体" w:eastAsia="宋体" w:hint="default"/>
          <w:spacing w:val="-2"/>
          <w:sz w:val="21"/>
          <w:szCs w:val="21"/>
        </w:rPr>
        <w:t>公司、哈尔滨东华软件有限公司实现的自主软件产品销售收入按照国家相关税收法规的规定收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到的增值税退税款。</w:t>
      </w:r>
    </w:p>
    <w:p>
      <w:pPr>
        <w:spacing w:before="74"/>
        <w:ind w:left="458"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2</w:t>
      </w:r>
      <w:r>
        <w:rPr>
          <w:rFonts w:ascii="宋体" w:hAnsi="宋体" w:cs="宋体" w:eastAsia="宋体" w:hint="default"/>
          <w:sz w:val="21"/>
          <w:szCs w:val="21"/>
        </w:rPr>
        <w:t>、政府补助系指公司及所属子公司收到的国家及政府相关部门拨付的专项拨款。</w:t>
      </w:r>
    </w:p>
    <w:p>
      <w:pPr>
        <w:spacing w:line="240" w:lineRule="auto" w:before="7"/>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538"/>
        <w:gridCol w:w="4487"/>
        <w:gridCol w:w="1868"/>
      </w:tblGrid>
      <w:tr>
        <w:trPr>
          <w:trHeight w:val="319" w:hRule="exact"/>
        </w:trPr>
        <w:tc>
          <w:tcPr>
            <w:tcW w:w="353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拨款单位</w:t>
            </w:r>
          </w:p>
        </w:tc>
        <w:tc>
          <w:tcPr>
            <w:tcW w:w="448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868"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78" w:hRule="exact"/>
        </w:trPr>
        <w:tc>
          <w:tcPr>
            <w:tcW w:w="3538"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p>
        </w:tc>
        <w:tc>
          <w:tcPr>
            <w:tcW w:w="4487"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网络监控分析系统研发及产业化项目</w:t>
            </w:r>
          </w:p>
        </w:tc>
        <w:tc>
          <w:tcPr>
            <w:tcW w:w="1868"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4,500,000.00</w:t>
            </w:r>
          </w:p>
        </w:tc>
      </w:tr>
      <w:tr>
        <w:trPr>
          <w:trHeight w:val="271"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北京市高新技术创业服务中心</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服务管理平台开发</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r>
      <w:tr>
        <w:trPr>
          <w:trHeight w:val="272"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北京市高新技术创业服务中心</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区域医疗协同平台</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w:t>
            </w:r>
          </w:p>
        </w:tc>
      </w:tr>
      <w:tr>
        <w:trPr>
          <w:trHeight w:val="272"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重大产业项目资助</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1,000,000.00</w:t>
            </w:r>
          </w:p>
        </w:tc>
      </w:tr>
      <w:tr>
        <w:trPr>
          <w:trHeight w:val="272"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北京市人力资源和社会保障局</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培训补助</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w:t>
            </w:r>
          </w:p>
        </w:tc>
      </w:tr>
      <w:tr>
        <w:trPr>
          <w:trHeight w:val="272"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马鞍山花山区企业软件服务中心</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实收资本到位注册资本奖励</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1,000,000.00</w:t>
            </w:r>
          </w:p>
        </w:tc>
      </w:tr>
      <w:tr>
        <w:trPr>
          <w:trHeight w:val="273"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马鞍山花山区会计核算中心</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软件专利奖励</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r>
      <w:tr>
        <w:trPr>
          <w:trHeight w:val="287" w:hRule="exact"/>
        </w:trPr>
        <w:tc>
          <w:tcPr>
            <w:tcW w:w="353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中关村企业促进会</w:t>
            </w:r>
          </w:p>
        </w:tc>
        <w:tc>
          <w:tcPr>
            <w:tcW w:w="4487"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信用评级补贴</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2,500.00</w:t>
            </w:r>
          </w:p>
        </w:tc>
      </w:tr>
      <w:tr>
        <w:trPr>
          <w:trHeight w:val="291" w:hRule="exact"/>
        </w:trPr>
        <w:tc>
          <w:tcPr>
            <w:tcW w:w="353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p>
        </w:tc>
        <w:tc>
          <w:tcPr>
            <w:tcW w:w="448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项目管理系统应用技术研究与开发</w:t>
            </w:r>
          </w:p>
        </w:tc>
        <w:tc>
          <w:tcPr>
            <w:tcW w:w="186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800,000.00</w:t>
            </w:r>
          </w:p>
        </w:tc>
      </w:tr>
      <w:tr>
        <w:trPr>
          <w:trHeight w:val="319" w:hRule="exact"/>
        </w:trPr>
        <w:tc>
          <w:tcPr>
            <w:tcW w:w="3538" w:type="dxa"/>
            <w:tcBorders>
              <w:top w:val="single" w:sz="4" w:space="0" w:color="000000"/>
              <w:left w:val="single" w:sz="4" w:space="0" w:color="000000"/>
              <w:bottom w:val="single" w:sz="12" w:space="0" w:color="000000"/>
              <w:right w:val="single" w:sz="4" w:space="0" w:color="000000"/>
            </w:tcBorders>
          </w:tcPr>
          <w:p>
            <w:pPr>
              <w:pStyle w:val="TableParagraph"/>
              <w:tabs>
                <w:tab w:pos="737"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487" w:type="dxa"/>
            <w:tcBorders>
              <w:top w:val="single" w:sz="4" w:space="0" w:color="000000"/>
              <w:left w:val="single" w:sz="4" w:space="0" w:color="000000"/>
              <w:bottom w:val="single" w:sz="12" w:space="0" w:color="000000"/>
              <w:right w:val="single" w:sz="4" w:space="0" w:color="000000"/>
            </w:tcBorders>
          </w:tcPr>
          <w:p>
            <w:pPr/>
          </w:p>
        </w:tc>
        <w:tc>
          <w:tcPr>
            <w:tcW w:w="1868"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pacing w:val="-1"/>
                <w:sz w:val="21"/>
              </w:rPr>
              <w:t>11,054,500.00</w:t>
            </w:r>
          </w:p>
        </w:tc>
      </w:tr>
    </w:tbl>
    <w:p>
      <w:pPr>
        <w:spacing w:before="8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39" w:type="dxa"/>
        <w:tblLayout w:type="fixed"/>
        <w:tblCellMar>
          <w:top w:w="0" w:type="dxa"/>
          <w:left w:w="0" w:type="dxa"/>
          <w:bottom w:w="0" w:type="dxa"/>
          <w:right w:w="0" w:type="dxa"/>
        </w:tblCellMar>
        <w:tblLook w:val="01E0"/>
      </w:tblPr>
      <w:tblGrid>
        <w:gridCol w:w="4412"/>
        <w:gridCol w:w="1783"/>
        <w:gridCol w:w="1681"/>
        <w:gridCol w:w="1997"/>
      </w:tblGrid>
      <w:tr>
        <w:trPr>
          <w:trHeight w:val="622" w:hRule="exact"/>
        </w:trPr>
        <w:tc>
          <w:tcPr>
            <w:tcW w:w="441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4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41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997"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19" w:hRule="exact"/>
        </w:trPr>
        <w:tc>
          <w:tcPr>
            <w:tcW w:w="4412"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left="112"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1783"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right="2"/>
              <w:jc w:val="right"/>
              <w:rPr>
                <w:rFonts w:ascii="宋体" w:hAnsi="宋体" w:cs="宋体" w:eastAsia="宋体" w:hint="default"/>
                <w:sz w:val="21"/>
                <w:szCs w:val="21"/>
              </w:rPr>
            </w:pPr>
            <w:r>
              <w:rPr>
                <w:rFonts w:ascii="宋体"/>
                <w:sz w:val="21"/>
              </w:rPr>
              <w:t>210.00</w:t>
            </w: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right="2"/>
              <w:jc w:val="right"/>
              <w:rPr>
                <w:rFonts w:ascii="宋体" w:hAnsi="宋体" w:cs="宋体" w:eastAsia="宋体" w:hint="default"/>
                <w:sz w:val="21"/>
                <w:szCs w:val="21"/>
              </w:rPr>
            </w:pPr>
            <w:r>
              <w:rPr>
                <w:rFonts w:ascii="宋体"/>
                <w:spacing w:val="-1"/>
                <w:sz w:val="21"/>
              </w:rPr>
              <w:t>249,767.03</w:t>
            </w:r>
          </w:p>
        </w:tc>
        <w:tc>
          <w:tcPr>
            <w:tcW w:w="1997" w:type="dxa"/>
            <w:tcBorders>
              <w:top w:val="single" w:sz="4" w:space="0" w:color="000000"/>
              <w:left w:val="single" w:sz="4" w:space="0" w:color="000000"/>
              <w:bottom w:val="nil" w:sz="6" w:space="0" w:color="auto"/>
              <w:right w:val="single" w:sz="4" w:space="0" w:color="000000"/>
            </w:tcBorders>
          </w:tcPr>
          <w:p>
            <w:pPr>
              <w:pStyle w:val="TableParagraph"/>
              <w:spacing w:line="269" w:lineRule="exact"/>
              <w:ind w:right="5"/>
              <w:jc w:val="right"/>
              <w:rPr>
                <w:rFonts w:ascii="宋体" w:hAnsi="宋体" w:cs="宋体" w:eastAsia="宋体" w:hint="default"/>
                <w:sz w:val="21"/>
                <w:szCs w:val="21"/>
              </w:rPr>
            </w:pPr>
            <w:r>
              <w:rPr>
                <w:rFonts w:ascii="宋体"/>
                <w:sz w:val="21"/>
              </w:rPr>
              <w:t>210.00</w:t>
            </w:r>
          </w:p>
        </w:tc>
      </w:tr>
      <w:tr>
        <w:trPr>
          <w:trHeight w:val="286" w:hRule="exact"/>
        </w:trPr>
        <w:tc>
          <w:tcPr>
            <w:tcW w:w="441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210.00</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249,767.03</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z w:val="21"/>
              </w:rPr>
              <w:t>210.00</w:t>
            </w:r>
          </w:p>
        </w:tc>
      </w:tr>
    </w:tbl>
    <w:p>
      <w:pPr>
        <w:spacing w:after="0" w:line="255" w:lineRule="exact"/>
        <w:jc w:val="right"/>
        <w:rPr>
          <w:rFonts w:ascii="宋体" w:hAnsi="宋体" w:cs="宋体" w:eastAsia="宋体" w:hint="default"/>
          <w:sz w:val="21"/>
          <w:szCs w:val="21"/>
        </w:rPr>
        <w:sectPr>
          <w:footerReference w:type="even" r:id="rId90"/>
          <w:footerReference w:type="default" r:id="rId91"/>
          <w:pgSz w:w="12240" w:h="15840"/>
          <w:pgMar w:footer="956" w:header="850" w:top="1360" w:bottom="1140" w:left="1500" w:right="0"/>
        </w:sectPr>
      </w:pPr>
    </w:p>
    <w:p>
      <w:pPr>
        <w:spacing w:line="240" w:lineRule="auto" w:before="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4412"/>
        <w:gridCol w:w="1783"/>
        <w:gridCol w:w="1681"/>
        <w:gridCol w:w="1997"/>
      </w:tblGrid>
      <w:tr>
        <w:trPr>
          <w:trHeight w:val="318" w:hRule="exact"/>
        </w:trPr>
        <w:tc>
          <w:tcPr>
            <w:tcW w:w="4412" w:type="dxa"/>
            <w:tcBorders>
              <w:top w:val="single" w:sz="6" w:space="0" w:color="000000"/>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78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180,000.00</w:t>
            </w:r>
          </w:p>
        </w:tc>
        <w:tc>
          <w:tcPr>
            <w:tcW w:w="1681"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310,000.00</w:t>
            </w:r>
          </w:p>
        </w:tc>
        <w:tc>
          <w:tcPr>
            <w:tcW w:w="199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180,000.00</w:t>
            </w:r>
          </w:p>
        </w:tc>
      </w:tr>
      <w:tr>
        <w:trPr>
          <w:trHeight w:val="300" w:hRule="exact"/>
        </w:trPr>
        <w:tc>
          <w:tcPr>
            <w:tcW w:w="441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1,188.06</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2,000.00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1,188.06</w:t>
            </w:r>
          </w:p>
        </w:tc>
      </w:tr>
      <w:tr>
        <w:trPr>
          <w:trHeight w:val="301" w:hRule="exact"/>
        </w:trPr>
        <w:tc>
          <w:tcPr>
            <w:tcW w:w="4412"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8,152.13</w:t>
            </w:r>
          </w:p>
        </w:tc>
        <w:tc>
          <w:tcPr>
            <w:tcW w:w="1681"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94,560.00</w:t>
            </w:r>
          </w:p>
        </w:tc>
        <w:tc>
          <w:tcPr>
            <w:tcW w:w="1997"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5"/>
              <w:jc w:val="right"/>
              <w:rPr>
                <w:rFonts w:ascii="宋体" w:hAnsi="宋体" w:cs="宋体" w:eastAsia="宋体" w:hint="default"/>
                <w:sz w:val="21"/>
                <w:szCs w:val="21"/>
              </w:rPr>
            </w:pPr>
            <w:r>
              <w:rPr>
                <w:rFonts w:ascii="宋体"/>
                <w:spacing w:val="-1"/>
                <w:sz w:val="21"/>
              </w:rPr>
              <w:t>8,152.13</w:t>
            </w:r>
          </w:p>
        </w:tc>
      </w:tr>
      <w:tr>
        <w:trPr>
          <w:trHeight w:val="317" w:hRule="exact"/>
        </w:trPr>
        <w:tc>
          <w:tcPr>
            <w:tcW w:w="441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189,550.19</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656,327.03</w:t>
            </w:r>
          </w:p>
        </w:tc>
        <w:tc>
          <w:tcPr>
            <w:tcW w:w="199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189,550.19</w:t>
            </w:r>
          </w:p>
        </w:tc>
      </w:tr>
    </w:tbl>
    <w:p>
      <w:pPr>
        <w:spacing w:before="8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412"/>
        <w:gridCol w:w="2677"/>
        <w:gridCol w:w="2784"/>
      </w:tblGrid>
      <w:tr>
        <w:trPr>
          <w:trHeight w:val="319" w:hRule="exact"/>
        </w:trPr>
        <w:tc>
          <w:tcPr>
            <w:tcW w:w="441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77"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84"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9" w:hRule="exact"/>
        </w:trPr>
        <w:tc>
          <w:tcPr>
            <w:tcW w:w="44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按《企业所得税法》等规定的当期所得税</w:t>
            </w:r>
          </w:p>
        </w:tc>
        <w:tc>
          <w:tcPr>
            <w:tcW w:w="267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8"/>
              <w:jc w:val="right"/>
              <w:rPr>
                <w:rFonts w:ascii="宋体" w:hAnsi="宋体" w:cs="宋体" w:eastAsia="宋体" w:hint="default"/>
                <w:sz w:val="21"/>
                <w:szCs w:val="21"/>
              </w:rPr>
            </w:pPr>
            <w:r>
              <w:rPr>
                <w:rFonts w:ascii="宋体"/>
                <w:spacing w:val="-1"/>
                <w:sz w:val="21"/>
              </w:rPr>
              <w:t>41,642,323.21</w:t>
            </w:r>
          </w:p>
        </w:tc>
        <w:tc>
          <w:tcPr>
            <w:tcW w:w="278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29,830,728.92</w:t>
            </w:r>
          </w:p>
        </w:tc>
      </w:tr>
      <w:tr>
        <w:trPr>
          <w:trHeight w:val="291" w:hRule="exact"/>
        </w:trPr>
        <w:tc>
          <w:tcPr>
            <w:tcW w:w="441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67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-1,735,106.86</w:t>
            </w:r>
          </w:p>
        </w:tc>
        <w:tc>
          <w:tcPr>
            <w:tcW w:w="278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-991,044.47</w:t>
            </w:r>
          </w:p>
        </w:tc>
      </w:tr>
      <w:tr>
        <w:trPr>
          <w:trHeight w:val="319" w:hRule="exact"/>
        </w:trPr>
        <w:tc>
          <w:tcPr>
            <w:tcW w:w="441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77"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39,907,216.35</w:t>
            </w:r>
          </w:p>
        </w:tc>
        <w:tc>
          <w:tcPr>
            <w:tcW w:w="2784"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28,839,684.45</w:t>
            </w:r>
          </w:p>
        </w:tc>
      </w:tr>
    </w:tbl>
    <w:p>
      <w:pPr>
        <w:spacing w:before="6"/>
        <w:ind w:left="544" w:right="4204" w:firstLine="0"/>
        <w:jc w:val="left"/>
        <w:rPr>
          <w:rFonts w:ascii="宋体" w:hAnsi="宋体" w:cs="宋体" w:eastAsia="宋体" w:hint="default"/>
          <w:sz w:val="21"/>
          <w:szCs w:val="21"/>
        </w:rPr>
      </w:pPr>
      <w:r>
        <w:rPr>
          <w:rFonts w:ascii="宋体" w:hAnsi="宋体" w:cs="宋体" w:eastAsia="宋体" w:hint="default"/>
          <w:sz w:val="21"/>
          <w:szCs w:val="21"/>
        </w:rPr>
        <w:t>所得税费用的说明：</w:t>
      </w:r>
    </w:p>
    <w:p>
      <w:pPr>
        <w:spacing w:line="288" w:lineRule="auto" w:before="92"/>
        <w:ind w:left="124" w:right="1712" w:firstLine="419"/>
        <w:jc w:val="left"/>
        <w:rPr>
          <w:rFonts w:ascii="宋体" w:hAnsi="宋体" w:cs="宋体" w:eastAsia="宋体" w:hint="default"/>
          <w:sz w:val="21"/>
          <w:szCs w:val="21"/>
        </w:rPr>
      </w:pPr>
      <w:r>
        <w:rPr>
          <w:rFonts w:ascii="宋体" w:hAnsi="宋体" w:cs="宋体" w:eastAsia="宋体" w:hint="default"/>
          <w:sz w:val="21"/>
          <w:szCs w:val="21"/>
        </w:rPr>
        <w:t>公司本期所得税费用较上期增加</w:t>
      </w:r>
      <w:r>
        <w:rPr>
          <w:rFonts w:ascii="宋体" w:hAnsi="宋体" w:cs="宋体" w:eastAsia="宋体" w:hint="default"/>
          <w:spacing w:val="-55"/>
          <w:sz w:val="21"/>
          <w:szCs w:val="21"/>
        </w:rPr>
        <w:t> </w:t>
      </w:r>
      <w:r>
        <w:rPr>
          <w:rFonts w:ascii="宋体" w:hAnsi="宋体" w:cs="宋体" w:eastAsia="宋体" w:hint="default"/>
          <w:sz w:val="21"/>
          <w:szCs w:val="21"/>
        </w:rPr>
        <w:t>11,067,531.90</w:t>
      </w:r>
      <w:r>
        <w:rPr>
          <w:rFonts w:ascii="宋体" w:hAnsi="宋体" w:cs="宋体" w:eastAsia="宋体" w:hint="default"/>
          <w:spacing w:val="-55"/>
          <w:sz w:val="21"/>
          <w:szCs w:val="21"/>
        </w:rPr>
        <w:t> </w:t>
      </w:r>
      <w:r>
        <w:rPr>
          <w:rFonts w:ascii="宋体" w:hAnsi="宋体" w:cs="宋体" w:eastAsia="宋体" w:hint="default"/>
          <w:sz w:val="21"/>
          <w:szCs w:val="21"/>
        </w:rPr>
        <w:t>元，增加的比例为</w:t>
      </w:r>
      <w:r>
        <w:rPr>
          <w:rFonts w:ascii="宋体" w:hAnsi="宋体" w:cs="宋体" w:eastAsia="宋体" w:hint="default"/>
          <w:spacing w:val="-55"/>
          <w:sz w:val="21"/>
          <w:szCs w:val="21"/>
        </w:rPr>
        <w:t> </w:t>
      </w:r>
      <w:r>
        <w:rPr>
          <w:rFonts w:ascii="宋体" w:hAnsi="宋体" w:cs="宋体" w:eastAsia="宋体" w:hint="default"/>
          <w:sz w:val="21"/>
          <w:szCs w:val="21"/>
        </w:rPr>
        <w:t>38.38%</w:t>
      </w:r>
      <w:r>
        <w:rPr>
          <w:rFonts w:ascii="宋体" w:hAnsi="宋体" w:cs="宋体" w:eastAsia="宋体" w:hint="default"/>
          <w:sz w:val="21"/>
          <w:szCs w:val="21"/>
        </w:rPr>
        <w:t>，增加的主要原因</w:t>
      </w:r>
      <w:r>
        <w:rPr>
          <w:rFonts w:ascii="宋体" w:hAnsi="宋体" w:cs="宋体" w:eastAsia="宋体" w:hint="default"/>
          <w:w w:val="100"/>
          <w:sz w:val="21"/>
          <w:szCs w:val="21"/>
        </w:rPr>
        <w:t> </w:t>
      </w:r>
      <w:r>
        <w:rPr>
          <w:rFonts w:ascii="宋体" w:hAnsi="宋体" w:cs="宋体" w:eastAsia="宋体" w:hint="default"/>
          <w:sz w:val="21"/>
          <w:szCs w:val="21"/>
        </w:rPr>
        <w:t>系本期公司盈利能力提高，导致应缴纳的企业所得税增加所致。</w:t>
      </w:r>
    </w:p>
    <w:p>
      <w:pPr>
        <w:spacing w:before="69"/>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621"/>
        <w:gridCol w:w="2312"/>
        <w:gridCol w:w="1500"/>
        <w:gridCol w:w="1440"/>
      </w:tblGrid>
      <w:tr>
        <w:trPr>
          <w:trHeight w:val="322" w:hRule="exact"/>
        </w:trPr>
        <w:tc>
          <w:tcPr>
            <w:tcW w:w="4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left="3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420,955,251.13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317,334,381.80</w:t>
            </w:r>
          </w:p>
        </w:tc>
      </w:tr>
      <w:tr>
        <w:trPr>
          <w:trHeight w:val="49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85"/>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扣除所得税影响后归属于母公司普通股股东净利润的非经 常性损益</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6" w:right="0"/>
              <w:jc w:val="left"/>
              <w:rPr>
                <w:rFonts w:ascii="宋体" w:hAnsi="宋体" w:cs="宋体" w:eastAsia="宋体" w:hint="default"/>
                <w:sz w:val="18"/>
                <w:szCs w:val="18"/>
              </w:rPr>
            </w:pPr>
            <w:r>
              <w:rPr>
                <w:rFonts w:ascii="宋体"/>
                <w:sz w:val="18"/>
              </w:rPr>
              <w:t>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9,920,199.46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
              <w:jc w:val="right"/>
              <w:rPr>
                <w:rFonts w:ascii="宋体" w:hAnsi="宋体" w:cs="宋体" w:eastAsia="宋体" w:hint="default"/>
                <w:sz w:val="18"/>
                <w:szCs w:val="18"/>
              </w:rPr>
            </w:pPr>
            <w:r>
              <w:rPr>
                <w:rFonts w:ascii="宋体"/>
                <w:spacing w:val="-1"/>
                <w:sz w:val="18"/>
              </w:rPr>
              <w:t>1,306,999.29</w:t>
            </w:r>
          </w:p>
        </w:tc>
      </w:tr>
      <w:tr>
        <w:trPr>
          <w:trHeight w:val="25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归属于本公司普通股股东、扣除非经常性损益后的净利润</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6" w:right="0"/>
              <w:jc w:val="left"/>
              <w:rPr>
                <w:rFonts w:ascii="宋体" w:hAnsi="宋体" w:cs="宋体" w:eastAsia="宋体" w:hint="default"/>
                <w:sz w:val="18"/>
                <w:szCs w:val="18"/>
              </w:rPr>
            </w:pPr>
            <w:r>
              <w:rPr>
                <w:rFonts w:ascii="宋体"/>
                <w:sz w:val="18"/>
              </w:rPr>
              <w:t>3=1-2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411,035,051.67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316,027,382.51</w:t>
            </w: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pacing w:val="-1"/>
                <w:sz w:val="18"/>
              </w:rPr>
              <w:t>425,985,090.00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pacing w:val="-1"/>
                <w:sz w:val="18"/>
              </w:rPr>
              <w:t>425,985,090.00</w:t>
            </w:r>
          </w:p>
        </w:tc>
      </w:tr>
      <w:tr>
        <w:trPr>
          <w:trHeight w:val="49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05"/>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 加股份数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6" w:right="0"/>
              <w:jc w:val="left"/>
              <w:rPr>
                <w:rFonts w:ascii="宋体" w:hAnsi="宋体" w:cs="宋体" w:eastAsia="宋体" w:hint="default"/>
                <w:sz w:val="18"/>
                <w:szCs w:val="18"/>
              </w:rPr>
            </w:pPr>
            <w:r>
              <w:rPr>
                <w:rFonts w:ascii="宋体"/>
                <w:sz w:val="18"/>
              </w:rPr>
              <w:t>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18"/>
                <w:szCs w:val="18"/>
              </w:rPr>
            </w:pPr>
            <w:r>
              <w:rPr>
                <w:rFonts w:ascii="宋体"/>
                <w:spacing w:val="-1"/>
                <w:sz w:val="18"/>
              </w:rPr>
              <w:t>88,457,333</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6" w:right="0"/>
              <w:jc w:val="left"/>
              <w:rPr>
                <w:rFonts w:ascii="宋体" w:hAnsi="宋体" w:cs="宋体" w:eastAsia="宋体" w:hint="default"/>
                <w:sz w:val="18"/>
                <w:szCs w:val="18"/>
              </w:rPr>
            </w:pPr>
            <w:r>
              <w:rPr>
                <w:rFonts w:ascii="宋体"/>
                <w:sz w:val="18"/>
              </w:rPr>
              <w:t>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宋体" w:hAnsi="宋体" w:cs="宋体" w:eastAsia="宋体" w:hint="default"/>
                <w:sz w:val="18"/>
                <w:szCs w:val="18"/>
              </w:rPr>
            </w:pPr>
            <w:r>
              <w:rPr>
                <w:rFonts w:ascii="宋体"/>
                <w:spacing w:val="-1"/>
                <w:sz w:val="18"/>
              </w:rPr>
              <w:t>16,301,577</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84"/>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发行新股或债转股等增加股份下一月份起至报告期年末的 月份数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6" w:right="0"/>
              <w:jc w:val="left"/>
              <w:rPr>
                <w:rFonts w:ascii="宋体" w:hAnsi="宋体" w:cs="宋体" w:eastAsia="宋体" w:hint="default"/>
                <w:sz w:val="18"/>
                <w:szCs w:val="18"/>
              </w:rPr>
            </w:pPr>
            <w:r>
              <w:rPr>
                <w:rFonts w:ascii="宋体"/>
                <w:sz w:val="18"/>
              </w:rPr>
              <w:t>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18"/>
                <w:szCs w:val="18"/>
              </w:rPr>
            </w:pPr>
            <w:r>
              <w:rPr>
                <w:rFonts w:ascii="宋体"/>
                <w:sz w:val="18"/>
              </w:rPr>
              <w:t>10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8</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05"/>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 月份数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6" w:right="0"/>
              <w:jc w:val="left"/>
              <w:rPr>
                <w:rFonts w:ascii="宋体" w:hAnsi="宋体" w:cs="宋体" w:eastAsia="宋体" w:hint="default"/>
                <w:sz w:val="18"/>
                <w:szCs w:val="18"/>
              </w:rPr>
            </w:pPr>
            <w:r>
              <w:rPr>
                <w:rFonts w:ascii="宋体"/>
                <w:sz w:val="18"/>
              </w:rPr>
              <w:t>9</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宋体" w:hAnsi="宋体" w:cs="宋体" w:eastAsia="宋体" w:hint="default"/>
                <w:sz w:val="18"/>
                <w:szCs w:val="18"/>
              </w:rPr>
            </w:pPr>
            <w:r>
              <w:rPr>
                <w:rFonts w:ascii="宋体"/>
                <w:sz w:val="18"/>
              </w:rPr>
              <w:t>12</w:t>
            </w: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hAnsi="宋体" w:cs="宋体" w:eastAsia="宋体" w:hint="default"/>
                <w:sz w:val="18"/>
                <w:szCs w:val="18"/>
              </w:rPr>
              <w:t>11=4+5+6×7÷10</w:t>
            </w:r>
            <w:r>
              <w:rPr>
                <w:rFonts w:ascii="宋体" w:hAnsi="宋体" w:cs="宋体" w:eastAsia="宋体" w:hint="default"/>
                <w:sz w:val="18"/>
                <w:szCs w:val="18"/>
              </w:rPr>
              <w:t>-</w:t>
            </w:r>
            <w:r>
              <w:rPr>
                <w:rFonts w:ascii="宋体" w:hAnsi="宋体" w:cs="宋体" w:eastAsia="宋体" w:hint="default"/>
                <w:sz w:val="18"/>
                <w:szCs w:val="18"/>
              </w:rPr>
              <w:t>8×9÷10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宋体" w:hAnsi="宋体" w:cs="宋体" w:eastAsia="宋体" w:hint="default"/>
                <w:sz w:val="18"/>
                <w:szCs w:val="18"/>
              </w:rPr>
            </w:pPr>
            <w:r>
              <w:rPr>
                <w:rFonts w:ascii="宋体"/>
                <w:spacing w:val="-1"/>
                <w:sz w:val="18"/>
              </w:rPr>
              <w:t>528,027,070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宋体" w:hAnsi="宋体" w:cs="宋体" w:eastAsia="宋体" w:hint="default"/>
                <w:sz w:val="18"/>
                <w:szCs w:val="18"/>
              </w:rPr>
            </w:pPr>
            <w:r>
              <w:rPr>
                <w:rFonts w:ascii="宋体"/>
                <w:spacing w:val="-1"/>
                <w:sz w:val="18"/>
              </w:rPr>
              <w:t>511,182,108</w:t>
            </w:r>
          </w:p>
        </w:tc>
      </w:tr>
      <w:tr>
        <w:trPr>
          <w:trHeight w:val="31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6" w:right="0"/>
              <w:jc w:val="left"/>
              <w:rPr>
                <w:rFonts w:ascii="宋体" w:hAnsi="宋体" w:cs="宋体" w:eastAsia="宋体" w:hint="default"/>
                <w:sz w:val="18"/>
                <w:szCs w:val="18"/>
              </w:rPr>
            </w:pPr>
            <w:r>
              <w:rPr>
                <w:rFonts w:ascii="宋体" w:hAnsi="宋体" w:cs="宋体" w:eastAsia="宋体" w:hint="default"/>
                <w:sz w:val="18"/>
                <w:szCs w:val="18"/>
              </w:rPr>
              <w:t>12=1÷11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0.7972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0.6208</w:t>
            </w: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hAnsi="宋体" w:cs="宋体" w:eastAsia="宋体" w:hint="default"/>
                <w:sz w:val="18"/>
                <w:szCs w:val="18"/>
              </w:rPr>
              <w:t>13=3</w:t>
            </w:r>
            <w:r>
              <w:rPr>
                <w:rFonts w:ascii="宋体" w:hAnsi="宋体" w:cs="宋体" w:eastAsia="宋体" w:hint="default"/>
                <w:sz w:val="18"/>
                <w:szCs w:val="18"/>
              </w:rPr>
              <w:t>÷</w:t>
            </w:r>
            <w:r>
              <w:rPr>
                <w:rFonts w:ascii="宋体" w:hAnsi="宋体" w:cs="宋体" w:eastAsia="宋体" w:hint="default"/>
                <w:sz w:val="18"/>
                <w:szCs w:val="18"/>
              </w:rPr>
              <w:t>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0.7784</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0.6182</w:t>
            </w: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14</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15</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16</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sz w:val="18"/>
              </w:rPr>
              <w:t>17</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2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312" w:type="dxa"/>
            <w:tcBorders>
              <w:top w:val="single" w:sz="4" w:space="0" w:color="000000"/>
              <w:left w:val="single" w:sz="4" w:space="0" w:color="000000"/>
              <w:bottom w:val="single" w:sz="2" w:space="0" w:color="000000"/>
              <w:right w:val="single" w:sz="4" w:space="0" w:color="000000"/>
            </w:tcBorders>
          </w:tcPr>
          <w:p>
            <w:pPr>
              <w:pStyle w:val="TableParagraph"/>
              <w:spacing w:line="220" w:lineRule="exact"/>
              <w:ind w:left="96" w:right="0"/>
              <w:jc w:val="left"/>
              <w:rPr>
                <w:rFonts w:ascii="宋体" w:hAnsi="宋体" w:cs="宋体" w:eastAsia="宋体" w:hint="default"/>
                <w:sz w:val="18"/>
                <w:szCs w:val="18"/>
              </w:rPr>
            </w:pPr>
            <w:r>
              <w:rPr>
                <w:rFonts w:ascii="宋体" w:hAnsi="宋体" w:cs="宋体" w:eastAsia="宋体" w:hint="default"/>
                <w:sz w:val="18"/>
                <w:szCs w:val="18"/>
              </w:rPr>
              <w:t>18=[1+(14-16)</w:t>
            </w:r>
            <w:r>
              <w:rPr>
                <w:rFonts w:ascii="宋体" w:hAnsi="宋体" w:cs="宋体" w:eastAsia="宋体" w:hint="default"/>
                <w:sz w:val="18"/>
                <w:szCs w:val="18"/>
              </w:rPr>
              <w:t>×</w:t>
            </w:r>
            <w:r>
              <w:rPr>
                <w:rFonts w:ascii="宋体" w:hAnsi="宋体" w:cs="宋体" w:eastAsia="宋体" w:hint="default"/>
                <w:sz w:val="18"/>
                <w:szCs w:val="18"/>
              </w:rPr>
              <w:t>(1-15)]</w:t>
            </w:r>
            <w:r>
              <w:rPr>
                <w:rFonts w:ascii="宋体" w:hAnsi="宋体" w:cs="宋体" w:eastAsia="宋体" w:hint="default"/>
                <w:sz w:val="18"/>
                <w:szCs w:val="18"/>
              </w:rPr>
              <w:t>÷</w:t>
            </w:r>
          </w:p>
          <w:p>
            <w:pPr>
              <w:pStyle w:val="TableParagraph"/>
              <w:spacing w:line="240" w:lineRule="auto" w:before="4"/>
              <w:ind w:left="96" w:right="0"/>
              <w:jc w:val="left"/>
              <w:rPr>
                <w:rFonts w:ascii="宋体" w:hAnsi="宋体" w:cs="宋体" w:eastAsia="宋体" w:hint="default"/>
                <w:sz w:val="18"/>
                <w:szCs w:val="18"/>
              </w:rPr>
            </w:pPr>
            <w:r>
              <w:rPr>
                <w:rFonts w:ascii="宋体"/>
                <w:sz w:val="18"/>
              </w:rPr>
              <w:t>(11+17)</w:t>
            </w:r>
          </w:p>
        </w:tc>
        <w:tc>
          <w:tcPr>
            <w:tcW w:w="150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4"/>
              <w:ind w:right="26"/>
              <w:jc w:val="right"/>
              <w:rPr>
                <w:rFonts w:ascii="宋体" w:hAnsi="宋体" w:cs="宋体" w:eastAsia="宋体" w:hint="default"/>
                <w:sz w:val="18"/>
                <w:szCs w:val="18"/>
              </w:rPr>
            </w:pPr>
            <w:r>
              <w:rPr>
                <w:rFonts w:ascii="宋体"/>
                <w:spacing w:val="-1"/>
                <w:sz w:val="18"/>
              </w:rPr>
              <w:t>0.7972</w:t>
            </w:r>
          </w:p>
        </w:tc>
        <w:tc>
          <w:tcPr>
            <w:tcW w:w="144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04"/>
              <w:ind w:right="26"/>
              <w:jc w:val="right"/>
              <w:rPr>
                <w:rFonts w:ascii="宋体" w:hAnsi="宋体" w:cs="宋体" w:eastAsia="宋体" w:hint="default"/>
                <w:sz w:val="18"/>
                <w:szCs w:val="18"/>
              </w:rPr>
            </w:pPr>
            <w:r>
              <w:rPr>
                <w:rFonts w:ascii="宋体"/>
                <w:spacing w:val="-1"/>
                <w:sz w:val="18"/>
              </w:rPr>
              <w:t>0.6208</w:t>
            </w:r>
          </w:p>
        </w:tc>
      </w:tr>
      <w:tr>
        <w:trPr>
          <w:trHeight w:val="494" w:hRule="exact"/>
        </w:trPr>
        <w:tc>
          <w:tcPr>
            <w:tcW w:w="4621"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312" w:type="dxa"/>
            <w:tcBorders>
              <w:top w:val="single" w:sz="2" w:space="0" w:color="000000"/>
              <w:left w:val="single" w:sz="4" w:space="0" w:color="000000"/>
              <w:bottom w:val="single" w:sz="12" w:space="0" w:color="000000"/>
              <w:right w:val="single" w:sz="4" w:space="0" w:color="000000"/>
            </w:tcBorders>
          </w:tcPr>
          <w:p>
            <w:pPr>
              <w:pStyle w:val="TableParagraph"/>
              <w:spacing w:line="217" w:lineRule="exact"/>
              <w:ind w:left="96" w:right="0"/>
              <w:jc w:val="left"/>
              <w:rPr>
                <w:rFonts w:ascii="宋体" w:hAnsi="宋体" w:cs="宋体" w:eastAsia="宋体" w:hint="default"/>
                <w:sz w:val="18"/>
                <w:szCs w:val="18"/>
              </w:rPr>
            </w:pPr>
            <w:r>
              <w:rPr>
                <w:rFonts w:ascii="宋体" w:hAnsi="宋体" w:cs="宋体" w:eastAsia="宋体" w:hint="default"/>
                <w:sz w:val="18"/>
                <w:szCs w:val="18"/>
              </w:rPr>
              <w:t>19=[3+(14</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z w:val="18"/>
                <w:szCs w:val="18"/>
              </w:rPr>
              <w:t>(1-15)]</w:t>
            </w:r>
          </w:p>
          <w:p>
            <w:pPr>
              <w:pStyle w:val="TableParagraph"/>
              <w:spacing w:line="240" w:lineRule="auto" w:before="4"/>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(11+17)</w:t>
            </w:r>
          </w:p>
        </w:tc>
        <w:tc>
          <w:tcPr>
            <w:tcW w:w="150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0.7784</w:t>
            </w:r>
            <w:r>
              <w:rPr>
                <w:rFonts w:ascii="宋体"/>
                <w:sz w:val="18"/>
              </w:rPr>
            </w:r>
          </w:p>
        </w:tc>
        <w:tc>
          <w:tcPr>
            <w:tcW w:w="144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0.6182</w:t>
            </w:r>
          </w:p>
        </w:tc>
      </w:tr>
    </w:tbl>
    <w:p>
      <w:pPr>
        <w:spacing w:line="261" w:lineRule="auto" w:before="9"/>
        <w:ind w:left="124" w:right="1635" w:firstLine="419"/>
        <w:jc w:val="both"/>
        <w:rPr>
          <w:rFonts w:ascii="宋体" w:hAnsi="宋体" w:cs="宋体" w:eastAsia="宋体" w:hint="default"/>
          <w:sz w:val="21"/>
          <w:szCs w:val="21"/>
        </w:rPr>
      </w:pPr>
      <w:r>
        <w:rPr>
          <w:rFonts w:ascii="宋体" w:hAnsi="宋体" w:cs="宋体" w:eastAsia="宋体" w:hint="default"/>
          <w:spacing w:val="-5"/>
          <w:sz w:val="21"/>
          <w:szCs w:val="21"/>
        </w:rPr>
        <w:t>注：</w:t>
      </w:r>
      <w:r>
        <w:rPr>
          <w:rFonts w:ascii="宋体" w:hAnsi="宋体" w:cs="宋体" w:eastAsia="宋体" w:hint="default"/>
          <w:spacing w:val="-5"/>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年公司以</w:t>
      </w:r>
      <w:r>
        <w:rPr>
          <w:rFonts w:ascii="宋体" w:hAnsi="宋体" w:cs="宋体" w:eastAsia="宋体" w:hint="default"/>
          <w:spacing w:val="-50"/>
          <w:sz w:val="21"/>
          <w:szCs w:val="21"/>
        </w:rPr>
        <w:t> </w:t>
      </w:r>
      <w:r>
        <w:rPr>
          <w:rFonts w:ascii="宋体" w:hAnsi="宋体" w:cs="宋体" w:eastAsia="宋体" w:hint="default"/>
          <w:sz w:val="21"/>
          <w:szCs w:val="21"/>
        </w:rPr>
        <w:t>442,286,667</w:t>
      </w:r>
      <w:r>
        <w:rPr>
          <w:rFonts w:ascii="宋体" w:hAnsi="宋体" w:cs="宋体" w:eastAsia="宋体" w:hint="default"/>
          <w:spacing w:val="-52"/>
          <w:sz w:val="21"/>
          <w:szCs w:val="21"/>
        </w:rPr>
        <w:t> </w:t>
      </w:r>
      <w:r>
        <w:rPr>
          <w:rFonts w:ascii="宋体" w:hAnsi="宋体" w:cs="宋体" w:eastAsia="宋体" w:hint="default"/>
          <w:spacing w:val="-4"/>
          <w:sz w:val="21"/>
          <w:szCs w:val="21"/>
        </w:rPr>
        <w:t>股为基数，向全体股东每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股送</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5"/>
          <w:sz w:val="21"/>
          <w:szCs w:val="21"/>
        </w:rPr>
        <w:t>股红股。</w:t>
      </w:r>
      <w:r>
        <w:rPr>
          <w:rFonts w:ascii="宋体" w:hAnsi="宋体" w:cs="宋体" w:eastAsia="宋体" w:hint="default"/>
          <w:spacing w:val="-5"/>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年度的基本</w:t>
      </w:r>
      <w:r>
        <w:rPr>
          <w:rFonts w:ascii="宋体" w:hAnsi="宋体" w:cs="宋体" w:eastAsia="宋体" w:hint="default"/>
          <w:w w:val="100"/>
          <w:sz w:val="21"/>
          <w:szCs w:val="21"/>
        </w:rPr>
        <w:t> </w:t>
      </w:r>
      <w:r>
        <w:rPr>
          <w:rFonts w:ascii="宋体" w:hAnsi="宋体" w:cs="宋体" w:eastAsia="宋体" w:hint="default"/>
          <w:sz w:val="21"/>
          <w:szCs w:val="21"/>
        </w:rPr>
        <w:t>每股收益及稀释每股收益按调整后的股数重新计算，调整系数为</w:t>
      </w:r>
      <w:r>
        <w:rPr>
          <w:rFonts w:ascii="宋体" w:hAnsi="宋体" w:cs="宋体" w:eastAsia="宋体" w:hint="default"/>
          <w:spacing w:val="-44"/>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。调整前发行在外的普通股加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权平均数为</w:t>
      </w:r>
      <w:r>
        <w:rPr>
          <w:rFonts w:ascii="宋体" w:hAnsi="宋体" w:cs="宋体" w:eastAsia="宋体" w:hint="default"/>
          <w:spacing w:val="-54"/>
          <w:sz w:val="21"/>
          <w:szCs w:val="21"/>
        </w:rPr>
        <w:t> </w:t>
      </w:r>
      <w:r>
        <w:rPr>
          <w:rFonts w:ascii="宋体" w:hAnsi="宋体" w:cs="宋体" w:eastAsia="宋体" w:hint="default"/>
          <w:sz w:val="21"/>
          <w:szCs w:val="21"/>
        </w:rPr>
        <w:t>425,985,090</w:t>
      </w:r>
      <w:r>
        <w:rPr>
          <w:rFonts w:ascii="宋体" w:hAnsi="宋体" w:cs="宋体" w:eastAsia="宋体" w:hint="default"/>
          <w:spacing w:val="-56"/>
          <w:sz w:val="21"/>
          <w:szCs w:val="21"/>
        </w:rPr>
        <w:t> </w:t>
      </w:r>
      <w:r>
        <w:rPr>
          <w:rFonts w:ascii="宋体" w:hAnsi="宋体" w:cs="宋体" w:eastAsia="宋体" w:hint="default"/>
          <w:sz w:val="21"/>
          <w:szCs w:val="21"/>
        </w:rPr>
        <w:t>股，调整后发行在外的普通股加权平均数为</w:t>
      </w:r>
      <w:r>
        <w:rPr>
          <w:rFonts w:ascii="宋体" w:hAnsi="宋体" w:cs="宋体" w:eastAsia="宋体" w:hint="default"/>
          <w:spacing w:val="-54"/>
          <w:sz w:val="21"/>
          <w:szCs w:val="21"/>
        </w:rPr>
        <w:t> </w:t>
      </w:r>
      <w:r>
        <w:rPr>
          <w:rFonts w:ascii="宋体" w:hAnsi="宋体" w:cs="宋体" w:eastAsia="宋体" w:hint="default"/>
          <w:sz w:val="21"/>
          <w:szCs w:val="21"/>
        </w:rPr>
        <w:t>511,182,108</w:t>
      </w:r>
      <w:r>
        <w:rPr>
          <w:rFonts w:ascii="宋体" w:hAnsi="宋体" w:cs="宋体" w:eastAsia="宋体" w:hint="default"/>
          <w:spacing w:val="-56"/>
          <w:sz w:val="21"/>
          <w:szCs w:val="21"/>
        </w:rPr>
        <w:t> </w:t>
      </w:r>
      <w:r>
        <w:rPr>
          <w:rFonts w:ascii="宋体" w:hAnsi="宋体" w:cs="宋体" w:eastAsia="宋体" w:hint="default"/>
          <w:sz w:val="21"/>
          <w:szCs w:val="21"/>
        </w:rPr>
        <w:t>股。</w:t>
      </w:r>
    </w:p>
    <w:p>
      <w:pPr>
        <w:spacing w:after="0" w:line="261" w:lineRule="auto"/>
        <w:jc w:val="both"/>
        <w:rPr>
          <w:rFonts w:ascii="宋体" w:hAnsi="宋体" w:cs="宋体" w:eastAsia="宋体" w:hint="default"/>
          <w:sz w:val="21"/>
          <w:szCs w:val="21"/>
        </w:rPr>
        <w:sectPr>
          <w:pgSz w:w="12240" w:h="15840"/>
          <w:pgMar w:header="850" w:footer="956" w:top="1360" w:bottom="1140" w:left="1520" w:right="0"/>
        </w:sectPr>
      </w:pPr>
    </w:p>
    <w:p>
      <w:pPr>
        <w:spacing w:before="15"/>
        <w:ind w:left="566" w:right="1697" w:firstLine="0"/>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336"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39" w:type="dxa"/>
        <w:tblLayout w:type="fixed"/>
        <w:tblCellMar>
          <w:top w:w="0" w:type="dxa"/>
          <w:left w:w="0" w:type="dxa"/>
          <w:bottom w:w="0" w:type="dxa"/>
          <w:right w:w="0" w:type="dxa"/>
        </w:tblCellMar>
        <w:tblLook w:val="01E0"/>
      </w:tblPr>
      <w:tblGrid>
        <w:gridCol w:w="5252"/>
        <w:gridCol w:w="2415"/>
        <w:gridCol w:w="2206"/>
      </w:tblGrid>
      <w:tr>
        <w:trPr>
          <w:trHeight w:val="322" w:hRule="exact"/>
        </w:trPr>
        <w:tc>
          <w:tcPr>
            <w:tcW w:w="5252"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78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67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9" w:hRule="exact"/>
        </w:trPr>
        <w:tc>
          <w:tcPr>
            <w:tcW w:w="52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、外币财务报表折算差额</w:t>
            </w:r>
          </w:p>
        </w:tc>
        <w:tc>
          <w:tcPr>
            <w:tcW w:w="2415" w:type="dxa"/>
            <w:vMerge w:val="restart"/>
            <w:tcBorders>
              <w:top w:val="single" w:sz="4" w:space="0" w:color="000000"/>
              <w:left w:val="single" w:sz="4" w:space="0" w:color="000000"/>
              <w:right w:val="single" w:sz="4" w:space="0" w:color="000000"/>
            </w:tcBorders>
          </w:tcPr>
          <w:p>
            <w:pPr>
              <w:pStyle w:val="TableParagraph"/>
              <w:spacing w:line="270" w:lineRule="exact"/>
              <w:ind w:left="1320" w:right="0"/>
              <w:jc w:val="left"/>
              <w:rPr>
                <w:rFonts w:ascii="宋体" w:hAnsi="宋体" w:cs="宋体" w:eastAsia="宋体" w:hint="default"/>
                <w:sz w:val="21"/>
                <w:szCs w:val="21"/>
              </w:rPr>
            </w:pPr>
            <w:r>
              <w:rPr>
                <w:rFonts w:ascii="宋体"/>
                <w:sz w:val="21"/>
              </w:rPr>
              <w:t>-20,898.63</w:t>
            </w:r>
          </w:p>
        </w:tc>
        <w:tc>
          <w:tcPr>
            <w:tcW w:w="2206" w:type="dxa"/>
            <w:vMerge w:val="restart"/>
            <w:tcBorders>
              <w:top w:val="single" w:sz="4" w:space="0" w:color="000000"/>
              <w:left w:val="single" w:sz="4" w:space="0" w:color="000000"/>
              <w:right w:val="single" w:sz="4" w:space="0" w:color="000000"/>
            </w:tcBorders>
          </w:tcPr>
          <w:p>
            <w:pPr>
              <w:pStyle w:val="TableParagraph"/>
              <w:spacing w:line="270" w:lineRule="exact"/>
              <w:ind w:left="1216" w:right="0"/>
              <w:jc w:val="left"/>
              <w:rPr>
                <w:rFonts w:ascii="宋体" w:hAnsi="宋体" w:cs="宋体" w:eastAsia="宋体" w:hint="default"/>
                <w:sz w:val="21"/>
                <w:szCs w:val="21"/>
              </w:rPr>
            </w:pPr>
            <w:r>
              <w:rPr>
                <w:rFonts w:ascii="宋体"/>
                <w:sz w:val="21"/>
              </w:rPr>
              <w:t>-7,870.75</w:t>
            </w:r>
          </w:p>
        </w:tc>
      </w:tr>
      <w:tr>
        <w:trPr>
          <w:trHeight w:val="291" w:hRule="exact"/>
        </w:trPr>
        <w:tc>
          <w:tcPr>
            <w:tcW w:w="52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94"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415" w:type="dxa"/>
            <w:vMerge/>
            <w:tcBorders>
              <w:left w:val="single" w:sz="4" w:space="0" w:color="000000"/>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r>
      <w:tr>
        <w:trPr>
          <w:trHeight w:val="310" w:hRule="exact"/>
        </w:trPr>
        <w:tc>
          <w:tcPr>
            <w:tcW w:w="525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right="117"/>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-20,898.63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-7,870.75</w:t>
            </w:r>
          </w:p>
        </w:tc>
      </w:tr>
      <w:tr>
        <w:trPr>
          <w:trHeight w:val="319" w:hRule="exact"/>
        </w:trPr>
        <w:tc>
          <w:tcPr>
            <w:tcW w:w="52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2415" w:type="dxa"/>
            <w:vMerge w:val="restart"/>
            <w:tcBorders>
              <w:top w:val="single" w:sz="4" w:space="0" w:color="000000"/>
              <w:left w:val="single" w:sz="4" w:space="0" w:color="000000"/>
              <w:right w:val="single" w:sz="4" w:space="0" w:color="000000"/>
            </w:tcBorders>
          </w:tcPr>
          <w:p>
            <w:pPr/>
          </w:p>
        </w:tc>
        <w:tc>
          <w:tcPr>
            <w:tcW w:w="2206" w:type="dxa"/>
            <w:vMerge w:val="restart"/>
            <w:tcBorders>
              <w:top w:val="single" w:sz="4" w:space="0" w:color="000000"/>
              <w:left w:val="single" w:sz="4" w:space="0" w:color="000000"/>
              <w:right w:val="single" w:sz="4" w:space="0" w:color="000000"/>
            </w:tcBorders>
          </w:tcPr>
          <w:p>
            <w:pPr/>
          </w:p>
        </w:tc>
      </w:tr>
      <w:tr>
        <w:trPr>
          <w:trHeight w:val="300" w:hRule="exact"/>
        </w:trPr>
        <w:tc>
          <w:tcPr>
            <w:tcW w:w="525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94"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2415" w:type="dxa"/>
            <w:vMerge/>
            <w:tcBorders>
              <w:left w:val="single" w:sz="4" w:space="0" w:color="000000"/>
              <w:right w:val="single" w:sz="4" w:space="0" w:color="000000"/>
            </w:tcBorders>
          </w:tcPr>
          <w:p>
            <w:pPr/>
          </w:p>
        </w:tc>
        <w:tc>
          <w:tcPr>
            <w:tcW w:w="2206" w:type="dxa"/>
            <w:vMerge/>
            <w:tcBorders>
              <w:left w:val="single" w:sz="4" w:space="0" w:color="000000"/>
              <w:right w:val="single" w:sz="4" w:space="0" w:color="000000"/>
            </w:tcBorders>
          </w:tcPr>
          <w:p>
            <w:pPr/>
          </w:p>
        </w:tc>
      </w:tr>
      <w:tr>
        <w:trPr>
          <w:trHeight w:val="291" w:hRule="exact"/>
        </w:trPr>
        <w:tc>
          <w:tcPr>
            <w:tcW w:w="525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614"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2415" w:type="dxa"/>
            <w:vMerge/>
            <w:tcBorders>
              <w:left w:val="single" w:sz="4" w:space="0" w:color="000000"/>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r>
      <w:tr>
        <w:trPr>
          <w:trHeight w:val="310" w:hRule="exact"/>
        </w:trPr>
        <w:tc>
          <w:tcPr>
            <w:tcW w:w="525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right="117"/>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15"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252"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11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-20,898.63</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-7,870.75</w:t>
            </w:r>
          </w:p>
        </w:tc>
      </w:tr>
    </w:tbl>
    <w:p>
      <w:pPr>
        <w:spacing w:before="8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19"/>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）收到的其他与经营活动有关的现金：</w:t>
      </w:r>
    </w:p>
    <w:p>
      <w:pPr>
        <w:spacing w:line="240" w:lineRule="auto" w:before="7"/>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4621"/>
        <w:gridCol w:w="2573"/>
        <w:gridCol w:w="2679"/>
      </w:tblGrid>
      <w:tr>
        <w:trPr>
          <w:trHeight w:val="302" w:hRule="exact"/>
        </w:trPr>
        <w:tc>
          <w:tcPr>
            <w:tcW w:w="4621" w:type="dxa"/>
            <w:tcBorders>
              <w:top w:val="single" w:sz="12" w:space="0" w:color="000000"/>
              <w:left w:val="single" w:sz="4" w:space="0" w:color="000000"/>
              <w:bottom w:val="single" w:sz="6" w:space="0" w:color="000000"/>
              <w:right w:val="single" w:sz="4" w:space="0" w:color="000000"/>
            </w:tcBorders>
          </w:tcPr>
          <w:p>
            <w:pPr>
              <w:pStyle w:val="TableParagraph"/>
              <w:tabs>
                <w:tab w:pos="525" w:val="left" w:leader="none"/>
              </w:tabs>
              <w:spacing w:line="253" w:lineRule="exact"/>
              <w:ind w:right="193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73" w:type="dxa"/>
            <w:tcBorders>
              <w:top w:val="single" w:sz="12" w:space="0" w:color="000000"/>
              <w:left w:val="single" w:sz="4" w:space="0" w:color="000000"/>
              <w:bottom w:val="single" w:sz="6"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79" w:type="dxa"/>
            <w:tcBorders>
              <w:top w:val="single" w:sz="12" w:space="0" w:color="000000"/>
              <w:left w:val="single" w:sz="4" w:space="0" w:color="000000"/>
              <w:bottom w:val="single" w:sz="6"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1" w:hRule="exact"/>
        </w:trPr>
        <w:tc>
          <w:tcPr>
            <w:tcW w:w="4621"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73"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928,121.06</w:t>
            </w:r>
          </w:p>
        </w:tc>
        <w:tc>
          <w:tcPr>
            <w:tcW w:w="2679"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2,441,939.16</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30,094,500.00</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12,764,323.00</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其他应收款、其他应付款</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24,625,371.22</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8,070,542.12</w:t>
            </w:r>
          </w:p>
        </w:tc>
      </w:tr>
      <w:tr>
        <w:trPr>
          <w:trHeight w:val="291" w:hRule="exact"/>
        </w:trPr>
        <w:tc>
          <w:tcPr>
            <w:tcW w:w="462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13,741.66</w:t>
            </w:r>
          </w:p>
        </w:tc>
        <w:tc>
          <w:tcPr>
            <w:tcW w:w="267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spacing w:val="-1"/>
                <w:sz w:val="21"/>
              </w:rPr>
              <w:t>161,336.43</w:t>
            </w:r>
          </w:p>
        </w:tc>
      </w:tr>
      <w:tr>
        <w:trPr>
          <w:trHeight w:val="319" w:hRule="exact"/>
        </w:trPr>
        <w:tc>
          <w:tcPr>
            <w:tcW w:w="4621" w:type="dxa"/>
            <w:tcBorders>
              <w:top w:val="single" w:sz="4" w:space="0" w:color="000000"/>
              <w:left w:val="single" w:sz="4" w:space="0" w:color="000000"/>
              <w:bottom w:val="single" w:sz="12" w:space="0" w:color="000000"/>
              <w:right w:val="single" w:sz="4" w:space="0" w:color="000000"/>
            </w:tcBorders>
          </w:tcPr>
          <w:p>
            <w:pPr>
              <w:pStyle w:val="TableParagraph"/>
              <w:tabs>
                <w:tab w:pos="525" w:val="left" w:leader="none"/>
              </w:tabs>
              <w:spacing w:line="270" w:lineRule="exact"/>
              <w:ind w:right="19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7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55,661,733.94</w:t>
            </w:r>
          </w:p>
        </w:tc>
        <w:tc>
          <w:tcPr>
            <w:tcW w:w="267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23,438,140.71</w:t>
            </w:r>
          </w:p>
        </w:tc>
      </w:tr>
    </w:tbl>
    <w:p>
      <w:pPr>
        <w:spacing w:before="9"/>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4621"/>
        <w:gridCol w:w="2573"/>
        <w:gridCol w:w="2679"/>
      </w:tblGrid>
      <w:tr>
        <w:trPr>
          <w:trHeight w:val="305" w:hRule="exact"/>
        </w:trPr>
        <w:tc>
          <w:tcPr>
            <w:tcW w:w="4621" w:type="dxa"/>
            <w:tcBorders>
              <w:top w:val="single" w:sz="12" w:space="0" w:color="000000"/>
              <w:left w:val="single" w:sz="4" w:space="0" w:color="000000"/>
              <w:bottom w:val="single" w:sz="6" w:space="0" w:color="000000"/>
              <w:right w:val="single" w:sz="4" w:space="0" w:color="000000"/>
            </w:tcBorders>
          </w:tcPr>
          <w:p>
            <w:pPr>
              <w:pStyle w:val="TableParagraph"/>
              <w:tabs>
                <w:tab w:pos="525" w:val="left" w:leader="none"/>
              </w:tabs>
              <w:spacing w:line="255" w:lineRule="exact"/>
              <w:ind w:right="193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73" w:type="dxa"/>
            <w:tcBorders>
              <w:top w:val="single" w:sz="12" w:space="0" w:color="000000"/>
              <w:left w:val="single" w:sz="4" w:space="0" w:color="000000"/>
              <w:bottom w:val="single" w:sz="6"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79" w:type="dxa"/>
            <w:tcBorders>
              <w:top w:val="single" w:sz="12" w:space="0" w:color="000000"/>
              <w:left w:val="single" w:sz="4" w:space="0" w:color="000000"/>
              <w:bottom w:val="single" w:sz="6"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2" w:hRule="exact"/>
        </w:trPr>
        <w:tc>
          <w:tcPr>
            <w:tcW w:w="4621"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技术服务成本</w:t>
            </w:r>
          </w:p>
        </w:tc>
        <w:tc>
          <w:tcPr>
            <w:tcW w:w="2573"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28,220,904.73</w:t>
            </w:r>
          </w:p>
        </w:tc>
        <w:tc>
          <w:tcPr>
            <w:tcW w:w="2679" w:type="dxa"/>
            <w:tcBorders>
              <w:top w:val="single" w:sz="6"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18,467,289.34</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spacing w:val="-1"/>
                <w:sz w:val="21"/>
              </w:rPr>
              <w:t>81,713,159.35</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spacing w:val="-1"/>
                <w:sz w:val="21"/>
              </w:rPr>
              <w:t>51,089,306.39</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37,655,421.58</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25,086,337.15</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银行手续费等</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2,012,817.28</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824,206.99</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其他应收款、其他应付款</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48,019,479.81</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31,279,379.68</w:t>
            </w:r>
          </w:p>
        </w:tc>
      </w:tr>
      <w:tr>
        <w:trPr>
          <w:trHeight w:val="300" w:hRule="exact"/>
        </w:trPr>
        <w:tc>
          <w:tcPr>
            <w:tcW w:w="462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174,987.24</w:t>
            </w:r>
          </w:p>
        </w:tc>
        <w:tc>
          <w:tcPr>
            <w:tcW w:w="267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394,560.00</w:t>
            </w:r>
          </w:p>
        </w:tc>
      </w:tr>
      <w:tr>
        <w:trPr>
          <w:trHeight w:val="291" w:hRule="exact"/>
        </w:trPr>
        <w:tc>
          <w:tcPr>
            <w:tcW w:w="462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57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宋体"/>
                <w:spacing w:val="-1"/>
                <w:sz w:val="21"/>
              </w:rPr>
              <w:t>3,393,971.33</w:t>
            </w:r>
          </w:p>
        </w:tc>
        <w:tc>
          <w:tcPr>
            <w:tcW w:w="2679"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4621" w:type="dxa"/>
            <w:tcBorders>
              <w:top w:val="single" w:sz="4" w:space="0" w:color="000000"/>
              <w:left w:val="single" w:sz="4" w:space="0" w:color="000000"/>
              <w:bottom w:val="single" w:sz="12" w:space="0" w:color="000000"/>
              <w:right w:val="single" w:sz="4" w:space="0" w:color="000000"/>
            </w:tcBorders>
          </w:tcPr>
          <w:p>
            <w:pPr>
              <w:pStyle w:val="TableParagraph"/>
              <w:tabs>
                <w:tab w:pos="525" w:val="left" w:leader="none"/>
              </w:tabs>
              <w:spacing w:line="270" w:lineRule="exact"/>
              <w:ind w:right="19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7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201,190,741.32</w:t>
            </w:r>
          </w:p>
        </w:tc>
        <w:tc>
          <w:tcPr>
            <w:tcW w:w="267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127,141,079.55</w:t>
            </w:r>
          </w:p>
        </w:tc>
      </w:tr>
    </w:tbl>
    <w:p>
      <w:pPr>
        <w:spacing w:before="28"/>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）收到其他与投资活动有关的现金：</w:t>
      </w:r>
    </w:p>
    <w:p>
      <w:pPr>
        <w:spacing w:line="240" w:lineRule="auto" w:before="7"/>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4621"/>
        <w:gridCol w:w="2573"/>
        <w:gridCol w:w="2679"/>
      </w:tblGrid>
      <w:tr>
        <w:trPr>
          <w:trHeight w:val="322" w:hRule="exact"/>
        </w:trPr>
        <w:tc>
          <w:tcPr>
            <w:tcW w:w="4621" w:type="dxa"/>
            <w:tcBorders>
              <w:top w:val="single" w:sz="12" w:space="0" w:color="000000"/>
              <w:left w:val="single" w:sz="4" w:space="0" w:color="000000"/>
              <w:bottom w:val="single" w:sz="6" w:space="0" w:color="000000"/>
              <w:right w:val="single" w:sz="4" w:space="0" w:color="000000"/>
            </w:tcBorders>
          </w:tcPr>
          <w:p>
            <w:pPr>
              <w:pStyle w:val="TableParagraph"/>
              <w:tabs>
                <w:tab w:pos="525"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73"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79" w:type="dxa"/>
            <w:tcBorders>
              <w:top w:val="single" w:sz="12" w:space="0" w:color="000000"/>
              <w:left w:val="single" w:sz="4" w:space="0" w:color="000000"/>
              <w:bottom w:val="single" w:sz="6"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4621"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非同一控制企业合并时点收到的现金</w:t>
            </w:r>
          </w:p>
        </w:tc>
        <w:tc>
          <w:tcPr>
            <w:tcW w:w="2573"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17,123,118.42</w:t>
            </w:r>
          </w:p>
        </w:tc>
        <w:tc>
          <w:tcPr>
            <w:tcW w:w="2679" w:type="dxa"/>
            <w:tcBorders>
              <w:top w:val="single" w:sz="6" w:space="0" w:color="000000"/>
              <w:left w:val="single" w:sz="4" w:space="0" w:color="000000"/>
              <w:bottom w:val="single" w:sz="4" w:space="0" w:color="000000"/>
              <w:right w:val="single" w:sz="4" w:space="0" w:color="000000"/>
            </w:tcBorders>
          </w:tcPr>
          <w:p>
            <w:pPr/>
          </w:p>
        </w:tc>
      </w:tr>
      <w:tr>
        <w:trPr>
          <w:trHeight w:val="319" w:hRule="exact"/>
        </w:trPr>
        <w:tc>
          <w:tcPr>
            <w:tcW w:w="4621" w:type="dxa"/>
            <w:tcBorders>
              <w:top w:val="single" w:sz="4" w:space="0" w:color="000000"/>
              <w:left w:val="single" w:sz="4" w:space="0" w:color="000000"/>
              <w:bottom w:val="single" w:sz="12" w:space="0" w:color="000000"/>
              <w:right w:val="single" w:sz="4" w:space="0" w:color="000000"/>
            </w:tcBorders>
          </w:tcPr>
          <w:p>
            <w:pPr>
              <w:pStyle w:val="TableParagraph"/>
              <w:tabs>
                <w:tab w:pos="525"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73"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17,123,118.42</w:t>
            </w:r>
          </w:p>
        </w:tc>
        <w:tc>
          <w:tcPr>
            <w:tcW w:w="2679" w:type="dxa"/>
            <w:tcBorders>
              <w:top w:val="single" w:sz="4" w:space="0" w:color="000000"/>
              <w:left w:val="single" w:sz="4" w:space="0" w:color="000000"/>
              <w:bottom w:val="single" w:sz="12" w:space="0" w:color="000000"/>
              <w:right w:val="single" w:sz="4" w:space="0" w:color="000000"/>
            </w:tcBorders>
          </w:tcPr>
          <w:p>
            <w:pPr/>
          </w:p>
        </w:tc>
      </w:tr>
    </w:tbl>
    <w:p>
      <w:pPr>
        <w:spacing w:before="29"/>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）支付其他与筹资活动有关的现金：</w:t>
      </w:r>
    </w:p>
    <w:p>
      <w:pPr>
        <w:spacing w:line="240" w:lineRule="auto" w:before="7"/>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4621"/>
        <w:gridCol w:w="2573"/>
        <w:gridCol w:w="2679"/>
      </w:tblGrid>
      <w:tr>
        <w:trPr>
          <w:trHeight w:val="324" w:hRule="exact"/>
        </w:trPr>
        <w:tc>
          <w:tcPr>
            <w:tcW w:w="4621" w:type="dxa"/>
            <w:tcBorders>
              <w:top w:val="single" w:sz="12" w:space="0" w:color="000000"/>
              <w:left w:val="single" w:sz="4" w:space="0" w:color="000000"/>
              <w:bottom w:val="single" w:sz="6" w:space="0" w:color="000000"/>
              <w:right w:val="single" w:sz="4" w:space="0" w:color="000000"/>
            </w:tcBorders>
          </w:tcPr>
          <w:p>
            <w:pPr>
              <w:pStyle w:val="TableParagraph"/>
              <w:tabs>
                <w:tab w:pos="525" w:val="left" w:leader="none"/>
              </w:tabs>
              <w:spacing w:line="272" w:lineRule="exact"/>
              <w:ind w:right="193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73" w:type="dxa"/>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79" w:type="dxa"/>
            <w:tcBorders>
              <w:top w:val="single" w:sz="12" w:space="0" w:color="000000"/>
              <w:left w:val="single" w:sz="4"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4621"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贷款担保费</w:t>
            </w:r>
          </w:p>
        </w:tc>
        <w:tc>
          <w:tcPr>
            <w:tcW w:w="2573"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854,300.00</w:t>
            </w:r>
          </w:p>
        </w:tc>
        <w:tc>
          <w:tcPr>
            <w:tcW w:w="2679" w:type="dxa"/>
            <w:tcBorders>
              <w:top w:val="single" w:sz="6" w:space="0" w:color="000000"/>
              <w:left w:val="single" w:sz="4" w:space="0" w:color="000000"/>
              <w:bottom w:val="single" w:sz="4" w:space="0" w:color="000000"/>
              <w:right w:val="single" w:sz="4" w:space="0" w:color="000000"/>
            </w:tcBorders>
          </w:tcPr>
          <w:p>
            <w:pPr/>
          </w:p>
        </w:tc>
      </w:tr>
      <w:tr>
        <w:trPr>
          <w:trHeight w:val="319" w:hRule="exact"/>
        </w:trPr>
        <w:tc>
          <w:tcPr>
            <w:tcW w:w="4621" w:type="dxa"/>
            <w:tcBorders>
              <w:top w:val="single" w:sz="4" w:space="0" w:color="000000"/>
              <w:left w:val="single" w:sz="4" w:space="0" w:color="000000"/>
              <w:bottom w:val="single" w:sz="12" w:space="0" w:color="000000"/>
              <w:right w:val="single" w:sz="4" w:space="0" w:color="000000"/>
            </w:tcBorders>
          </w:tcPr>
          <w:p>
            <w:pPr>
              <w:pStyle w:val="TableParagraph"/>
              <w:tabs>
                <w:tab w:pos="525" w:val="left" w:leader="none"/>
              </w:tabs>
              <w:spacing w:line="270" w:lineRule="exact"/>
              <w:ind w:right="19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7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pacing w:val="-1"/>
                <w:sz w:val="21"/>
              </w:rPr>
              <w:t>854,300.00</w:t>
            </w:r>
          </w:p>
        </w:tc>
        <w:tc>
          <w:tcPr>
            <w:tcW w:w="2679" w:type="dxa"/>
            <w:tcBorders>
              <w:top w:val="single" w:sz="4" w:space="0" w:color="000000"/>
              <w:left w:val="single" w:sz="4" w:space="0" w:color="000000"/>
              <w:bottom w:val="single" w:sz="12" w:space="0" w:color="000000"/>
              <w:right w:val="single" w:sz="4" w:space="0" w:color="000000"/>
            </w:tcBorders>
          </w:tcPr>
          <w:p>
            <w:pPr/>
          </w:p>
        </w:tc>
      </w:tr>
    </w:tbl>
    <w:p>
      <w:pPr>
        <w:spacing w:before="88"/>
        <w:ind w:left="566" w:right="1697" w:firstLine="0"/>
        <w:jc w:val="left"/>
        <w:rPr>
          <w:rFonts w:ascii="宋体" w:hAnsi="宋体" w:cs="宋体" w:eastAsia="宋体" w:hint="default"/>
          <w:sz w:val="21"/>
          <w:szCs w:val="21"/>
        </w:rPr>
      </w:pPr>
      <w:r>
        <w:rPr>
          <w:rFonts w:ascii="宋体" w:hAnsi="宋体" w:cs="宋体" w:eastAsia="宋体" w:hint="default"/>
          <w:b/>
          <w:bCs/>
          <w:sz w:val="21"/>
          <w:szCs w:val="21"/>
        </w:rPr>
        <w:t>45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90"/>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）现金流量表补充资料</w:t>
      </w:r>
    </w:p>
    <w:p>
      <w:pPr>
        <w:spacing w:line="240" w:lineRule="auto" w:before="9"/>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5886"/>
        <w:gridCol w:w="1995"/>
        <w:gridCol w:w="1997"/>
      </w:tblGrid>
      <w:tr>
        <w:trPr>
          <w:trHeight w:val="319" w:hRule="exact"/>
        </w:trPr>
        <w:tc>
          <w:tcPr>
            <w:tcW w:w="5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63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631"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footerReference w:type="even" r:id="rId92"/>
          <w:footerReference w:type="default" r:id="rId93"/>
          <w:pgSz w:w="12240" w:h="15840"/>
          <w:pgMar w:footer="956" w:header="850" w:top="1360" w:bottom="1140" w:left="1500" w:right="0"/>
          <w:pgNumType w:start="142"/>
        </w:sectPr>
      </w:pPr>
    </w:p>
    <w:tbl>
      <w:tblPr>
        <w:tblW w:w="0" w:type="auto"/>
        <w:jc w:val="left"/>
        <w:tblInd w:w="114" w:type="dxa"/>
        <w:tblLayout w:type="fixed"/>
        <w:tblCellMar>
          <w:top w:w="0" w:type="dxa"/>
          <w:left w:w="0" w:type="dxa"/>
          <w:bottom w:w="0" w:type="dxa"/>
          <w:right w:w="0" w:type="dxa"/>
        </w:tblCellMar>
        <w:tblLook w:val="01E0"/>
      </w:tblPr>
      <w:tblGrid>
        <w:gridCol w:w="5886"/>
        <w:gridCol w:w="1995"/>
        <w:gridCol w:w="1997"/>
      </w:tblGrid>
      <w:tr>
        <w:trPr>
          <w:trHeight w:val="340" w:hRule="exact"/>
        </w:trPr>
        <w:tc>
          <w:tcPr>
            <w:tcW w:w="588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995" w:type="dxa"/>
            <w:tcBorders>
              <w:top w:val="single" w:sz="6" w:space="0" w:color="000000"/>
              <w:left w:val="single" w:sz="4" w:space="0" w:color="000000"/>
              <w:bottom w:val="nil" w:sz="6" w:space="0" w:color="auto"/>
              <w:right w:val="single" w:sz="4" w:space="0" w:color="000000"/>
            </w:tcBorders>
          </w:tcPr>
          <w:p>
            <w:pPr/>
          </w:p>
        </w:tc>
        <w:tc>
          <w:tcPr>
            <w:tcW w:w="1997" w:type="dxa"/>
            <w:tcBorders>
              <w:top w:val="single" w:sz="6" w:space="0" w:color="000000"/>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420,905,376.65</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317,334,125.39</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18,254,157.95</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9,981,257.90</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28,845,503.40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25,514,007.21</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549,862.18</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470,691.72</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744,191.67</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659,683.13</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w:t>
            </w:r>
            <w:r>
              <w:rPr>
                <w:rFonts w:ascii="宋体" w:hAnsi="宋体" w:cs="宋体" w:eastAsia="宋体" w:hint="default"/>
                <w:sz w:val="18"/>
                <w:szCs w:val="18"/>
              </w:rPr>
              <w:t>收益以“</w:t>
            </w:r>
            <w:r>
              <w:rPr>
                <w:rFonts w:ascii="宋体" w:hAnsi="宋体" w:cs="宋体" w:eastAsia="宋体" w:hint="default"/>
                <w:sz w:val="18"/>
                <w:szCs w:val="18"/>
              </w:rPr>
              <w:t>-</w:t>
            </w:r>
            <w:r>
              <w:rPr>
                <w:rFonts w:ascii="宋体" w:hAnsi="宋体" w:cs="宋体" w:eastAsia="宋体" w:hint="default"/>
                <w:sz w:val="18"/>
                <w:szCs w:val="18"/>
              </w:rPr>
              <w:t>”填列</w:t>
            </w:r>
            <w:r>
              <w:rPr>
                <w:rFonts w:ascii="宋体" w:hAnsi="宋体" w:cs="宋体" w:eastAsia="宋体" w:hint="default"/>
                <w:sz w:val="18"/>
                <w:szCs w:val="18"/>
              </w:rPr>
              <w:t>)</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宋体" w:hAnsi="宋体" w:cs="宋体" w:eastAsia="宋体" w:hint="default"/>
                <w:sz w:val="18"/>
                <w:szCs w:val="18"/>
              </w:rPr>
            </w:pPr>
            <w:r>
              <w:rPr>
                <w:rFonts w:ascii="宋体"/>
                <w:sz w:val="18"/>
              </w:rPr>
              <w:t>47.50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226,067.99</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6,469,690.41</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1,681,375.01</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-49,535.15</w:t>
            </w: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-1,786,714.89</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-991,044.47</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-308,581,940.23</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-123,733,234.10</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5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-72,797,752.90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-315,741,398.20</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-16,875,298.55</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111,813,787.36</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75,677,588.04</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27,215,318.94</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不涉及现金收支的投资和筹资活动：</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现金及现金等价物净增加情况：</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446,327,810.90</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432,230,533.86</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432,230,533.86</w:t>
            </w:r>
          </w:p>
        </w:tc>
        <w:tc>
          <w:tcPr>
            <w:tcW w:w="19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6"/>
              <w:jc w:val="right"/>
              <w:rPr>
                <w:rFonts w:ascii="宋体" w:hAnsi="宋体" w:cs="宋体" w:eastAsia="宋体" w:hint="default"/>
                <w:sz w:val="18"/>
                <w:szCs w:val="18"/>
              </w:rPr>
            </w:pPr>
            <w:r>
              <w:rPr>
                <w:rFonts w:ascii="宋体"/>
                <w:spacing w:val="-1"/>
                <w:sz w:val="18"/>
              </w:rPr>
              <w:t>411,987,150.28</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95"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5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95" w:type="dxa"/>
            <w:tcBorders>
              <w:top w:val="nil" w:sz="6" w:space="0" w:color="auto"/>
              <w:left w:val="single" w:sz="4" w:space="0" w:color="000000"/>
              <w:bottom w:val="single" w:sz="4" w:space="0" w:color="000000"/>
              <w:right w:val="single" w:sz="4" w:space="0" w:color="000000"/>
            </w:tcBorders>
          </w:tcPr>
          <w:p>
            <w:pPr/>
          </w:p>
        </w:tc>
        <w:tc>
          <w:tcPr>
            <w:tcW w:w="1997"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5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5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14,097,277.04</w:t>
            </w:r>
          </w:p>
        </w:tc>
        <w:tc>
          <w:tcPr>
            <w:tcW w:w="19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20,243,383.58</w:t>
            </w:r>
          </w:p>
        </w:tc>
      </w:tr>
    </w:tbl>
    <w:p>
      <w:pPr>
        <w:spacing w:before="9"/>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）现金和现金等价物：</w:t>
      </w:r>
    </w:p>
    <w:p>
      <w:pPr>
        <w:spacing w:line="240" w:lineRule="auto" w:before="7"/>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5886"/>
        <w:gridCol w:w="1942"/>
        <w:gridCol w:w="2050"/>
      </w:tblGrid>
      <w:tr>
        <w:trPr>
          <w:trHeight w:val="319" w:hRule="exact"/>
        </w:trPr>
        <w:tc>
          <w:tcPr>
            <w:tcW w:w="5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补充资料</w:t>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left="56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left="619"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11" w:hRule="exact"/>
        </w:trPr>
        <w:tc>
          <w:tcPr>
            <w:tcW w:w="5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5"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94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48" w:right="0"/>
              <w:jc w:val="left"/>
              <w:rPr>
                <w:rFonts w:ascii="宋体" w:hAnsi="宋体" w:cs="宋体" w:eastAsia="宋体" w:hint="default"/>
                <w:sz w:val="24"/>
                <w:szCs w:val="24"/>
              </w:rPr>
            </w:pPr>
            <w:r>
              <w:rPr>
                <w:rFonts w:ascii="宋体"/>
                <w:sz w:val="24"/>
              </w:rPr>
              <w:t>446,327,810.90</w:t>
            </w:r>
          </w:p>
        </w:tc>
        <w:tc>
          <w:tcPr>
            <w:tcW w:w="2050"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432,230,533.86</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388"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01"/>
              <w:jc w:val="right"/>
              <w:rPr>
                <w:rFonts w:ascii="宋体" w:hAnsi="宋体" w:cs="宋体" w:eastAsia="宋体" w:hint="default"/>
                <w:sz w:val="24"/>
                <w:szCs w:val="24"/>
              </w:rPr>
            </w:pPr>
            <w:r>
              <w:rPr>
                <w:rFonts w:ascii="宋体"/>
                <w:sz w:val="24"/>
              </w:rPr>
              <w:t>1,286,446.47</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05"/>
              <w:jc w:val="right"/>
              <w:rPr>
                <w:rFonts w:ascii="宋体" w:hAnsi="宋体" w:cs="宋体" w:eastAsia="宋体" w:hint="default"/>
                <w:sz w:val="24"/>
                <w:szCs w:val="24"/>
              </w:rPr>
            </w:pPr>
            <w:r>
              <w:rPr>
                <w:rFonts w:ascii="宋体"/>
                <w:sz w:val="24"/>
              </w:rPr>
              <w:t>469,014.38</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887"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48" w:right="0"/>
              <w:jc w:val="left"/>
              <w:rPr>
                <w:rFonts w:ascii="宋体" w:hAnsi="宋体" w:cs="宋体" w:eastAsia="宋体" w:hint="default"/>
                <w:sz w:val="24"/>
                <w:szCs w:val="24"/>
              </w:rPr>
            </w:pPr>
            <w:r>
              <w:rPr>
                <w:rFonts w:ascii="宋体"/>
                <w:sz w:val="24"/>
              </w:rPr>
              <w:t>444,268,792.70</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05"/>
              <w:jc w:val="right"/>
              <w:rPr>
                <w:rFonts w:ascii="宋体" w:hAnsi="宋体" w:cs="宋体" w:eastAsia="宋体" w:hint="default"/>
                <w:sz w:val="24"/>
                <w:szCs w:val="24"/>
              </w:rPr>
            </w:pPr>
            <w:r>
              <w:rPr>
                <w:rFonts w:ascii="宋体"/>
                <w:sz w:val="24"/>
              </w:rPr>
              <w:t>430,020,867.54</w:t>
            </w:r>
          </w:p>
        </w:tc>
      </w:tr>
      <w:tr>
        <w:trPr>
          <w:trHeight w:val="318"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2193"/>
              <w:jc w:val="right"/>
              <w:rPr>
                <w:rFonts w:ascii="宋体" w:hAnsi="宋体" w:cs="宋体" w:eastAsia="宋体" w:hint="default"/>
                <w:sz w:val="20"/>
                <w:szCs w:val="20"/>
              </w:rPr>
            </w:pPr>
            <w:r>
              <w:rPr>
                <w:rFonts w:ascii="宋体" w:hAnsi="宋体" w:cs="宋体" w:eastAsia="宋体" w:hint="default"/>
                <w:w w:val="95"/>
                <w:sz w:val="20"/>
                <w:szCs w:val="20"/>
              </w:rPr>
              <w:t>可随时用于支付的其他货币资金</w:t>
            </w:r>
            <w:r>
              <w:rPr>
                <w:rFonts w:ascii="宋体" w:hAnsi="宋体" w:cs="宋体" w:eastAsia="宋体" w:hint="default"/>
                <w:sz w:val="20"/>
                <w:szCs w:val="20"/>
              </w:rPr>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01"/>
              <w:jc w:val="right"/>
              <w:rPr>
                <w:rFonts w:ascii="宋体" w:hAnsi="宋体" w:cs="宋体" w:eastAsia="宋体" w:hint="default"/>
                <w:sz w:val="24"/>
                <w:szCs w:val="24"/>
              </w:rPr>
            </w:pPr>
            <w:r>
              <w:rPr>
                <w:rFonts w:ascii="宋体"/>
                <w:sz w:val="24"/>
              </w:rPr>
              <w:t>772,571.73</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05"/>
              <w:jc w:val="right"/>
              <w:rPr>
                <w:rFonts w:ascii="宋体" w:hAnsi="宋体" w:cs="宋体" w:eastAsia="宋体" w:hint="default"/>
                <w:sz w:val="24"/>
                <w:szCs w:val="24"/>
              </w:rPr>
            </w:pPr>
            <w:r>
              <w:rPr>
                <w:rFonts w:ascii="宋体"/>
                <w:sz w:val="24"/>
              </w:rPr>
              <w:t>1,740,651.94</w:t>
            </w:r>
          </w:p>
        </w:tc>
      </w:tr>
      <w:tr>
        <w:trPr>
          <w:trHeight w:val="297"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193"/>
              <w:jc w:val="right"/>
              <w:rPr>
                <w:rFonts w:ascii="宋体" w:hAnsi="宋体" w:cs="宋体" w:eastAsia="宋体" w:hint="default"/>
                <w:sz w:val="20"/>
                <w:szCs w:val="20"/>
              </w:rPr>
            </w:pPr>
            <w:r>
              <w:rPr>
                <w:rFonts w:ascii="宋体" w:hAnsi="宋体" w:cs="宋体" w:eastAsia="宋体" w:hint="default"/>
                <w:w w:val="95"/>
                <w:sz w:val="20"/>
                <w:szCs w:val="20"/>
              </w:rPr>
              <w:t>可用于支付的存放中央银行存款</w:t>
            </w:r>
            <w:r>
              <w:rPr>
                <w:rFonts w:ascii="宋体" w:hAnsi="宋体" w:cs="宋体" w:eastAsia="宋体" w:hint="default"/>
                <w:sz w:val="20"/>
                <w:szCs w:val="20"/>
              </w:rPr>
            </w:r>
          </w:p>
        </w:tc>
        <w:tc>
          <w:tcPr>
            <w:tcW w:w="1942" w:type="dxa"/>
            <w:tcBorders>
              <w:top w:val="nil" w:sz="6" w:space="0" w:color="auto"/>
              <w:left w:val="single" w:sz="4" w:space="0" w:color="000000"/>
              <w:bottom w:val="nil" w:sz="6" w:space="0" w:color="auto"/>
              <w:right w:val="single" w:sz="4" w:space="0" w:color="000000"/>
            </w:tcBorders>
          </w:tcPr>
          <w:p>
            <w:pPr/>
          </w:p>
        </w:tc>
        <w:tc>
          <w:tcPr>
            <w:tcW w:w="2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887"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942" w:type="dxa"/>
            <w:tcBorders>
              <w:top w:val="nil" w:sz="6" w:space="0" w:color="auto"/>
              <w:left w:val="single" w:sz="4" w:space="0" w:color="000000"/>
              <w:bottom w:val="nil" w:sz="6" w:space="0" w:color="auto"/>
              <w:right w:val="single" w:sz="4" w:space="0" w:color="000000"/>
            </w:tcBorders>
          </w:tcPr>
          <w:p>
            <w:pPr/>
          </w:p>
        </w:tc>
        <w:tc>
          <w:tcPr>
            <w:tcW w:w="2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887"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942" w:type="dxa"/>
            <w:tcBorders>
              <w:top w:val="nil" w:sz="6" w:space="0" w:color="auto"/>
              <w:left w:val="single" w:sz="4" w:space="0" w:color="000000"/>
              <w:bottom w:val="nil" w:sz="6" w:space="0" w:color="auto"/>
              <w:right w:val="single" w:sz="4" w:space="0" w:color="000000"/>
            </w:tcBorders>
          </w:tcPr>
          <w:p>
            <w:pPr/>
          </w:p>
        </w:tc>
        <w:tc>
          <w:tcPr>
            <w:tcW w:w="2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5" w:right="0"/>
              <w:jc w:val="left"/>
              <w:rPr>
                <w:rFonts w:ascii="宋体" w:hAnsi="宋体" w:cs="宋体" w:eastAsia="宋体" w:hint="default"/>
                <w:sz w:val="20"/>
                <w:szCs w:val="20"/>
              </w:rPr>
            </w:pPr>
            <w:r>
              <w:rPr>
                <w:rFonts w:ascii="宋体" w:hAnsi="宋体" w:cs="宋体" w:eastAsia="宋体" w:hint="default"/>
                <w:sz w:val="20"/>
                <w:szCs w:val="20"/>
              </w:rPr>
              <w:t>二、现金等价物</w:t>
            </w:r>
          </w:p>
        </w:tc>
        <w:tc>
          <w:tcPr>
            <w:tcW w:w="1942" w:type="dxa"/>
            <w:tcBorders>
              <w:top w:val="nil" w:sz="6" w:space="0" w:color="auto"/>
              <w:left w:val="single" w:sz="4" w:space="0" w:color="000000"/>
              <w:bottom w:val="nil" w:sz="6" w:space="0" w:color="auto"/>
              <w:right w:val="single" w:sz="4" w:space="0" w:color="000000"/>
            </w:tcBorders>
          </w:tcPr>
          <w:p>
            <w:pPr/>
          </w:p>
        </w:tc>
        <w:tc>
          <w:tcPr>
            <w:tcW w:w="20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388" w:right="0"/>
              <w:jc w:val="left"/>
              <w:rPr>
                <w:rFonts w:ascii="宋体" w:hAnsi="宋体" w:cs="宋体" w:eastAsia="宋体" w:hint="default"/>
                <w:sz w:val="20"/>
                <w:szCs w:val="20"/>
              </w:rPr>
            </w:pPr>
            <w:r>
              <w:rPr>
                <w:rFonts w:ascii="宋体" w:hAnsi="宋体" w:cs="宋体" w:eastAsia="宋体" w:hint="default"/>
                <w:sz w:val="20"/>
                <w:szCs w:val="20"/>
              </w:rPr>
              <w:t>其中：三个月到期的债券投资</w:t>
            </w:r>
          </w:p>
        </w:tc>
        <w:tc>
          <w:tcPr>
            <w:tcW w:w="1942" w:type="dxa"/>
            <w:tcBorders>
              <w:top w:val="nil" w:sz="6" w:space="0" w:color="auto"/>
              <w:left w:val="single" w:sz="4" w:space="0" w:color="000000"/>
              <w:bottom w:val="nil" w:sz="6" w:space="0" w:color="auto"/>
              <w:right w:val="single" w:sz="4" w:space="0" w:color="000000"/>
            </w:tcBorders>
          </w:tcPr>
          <w:p>
            <w:pPr/>
          </w:p>
        </w:tc>
        <w:tc>
          <w:tcPr>
            <w:tcW w:w="2050"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5886" w:type="dxa"/>
            <w:tcBorders>
              <w:top w:val="nil" w:sz="6" w:space="0" w:color="auto"/>
              <w:left w:val="single" w:sz="4" w:space="0" w:color="000000"/>
              <w:bottom w:val="single" w:sz="12" w:space="0" w:color="000000"/>
              <w:right w:val="single" w:sz="4" w:space="0" w:color="000000"/>
            </w:tcBorders>
          </w:tcPr>
          <w:p>
            <w:pPr>
              <w:pStyle w:val="TableParagraph"/>
              <w:spacing w:line="250" w:lineRule="exact"/>
              <w:ind w:left="-15"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194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29"/>
              <w:jc w:val="right"/>
              <w:rPr>
                <w:rFonts w:ascii="宋体" w:hAnsi="宋体" w:cs="宋体" w:eastAsia="宋体" w:hint="default"/>
                <w:sz w:val="24"/>
                <w:szCs w:val="24"/>
              </w:rPr>
            </w:pPr>
            <w:r>
              <w:rPr>
                <w:rFonts w:ascii="宋体"/>
                <w:sz w:val="24"/>
              </w:rPr>
              <w:t>446,327,810.90</w:t>
            </w:r>
          </w:p>
        </w:tc>
        <w:tc>
          <w:tcPr>
            <w:tcW w:w="205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33"/>
              <w:jc w:val="right"/>
              <w:rPr>
                <w:rFonts w:ascii="宋体" w:hAnsi="宋体" w:cs="宋体" w:eastAsia="宋体" w:hint="default"/>
                <w:sz w:val="24"/>
                <w:szCs w:val="24"/>
              </w:rPr>
            </w:pPr>
            <w:r>
              <w:rPr>
                <w:rFonts w:ascii="宋体"/>
                <w:sz w:val="24"/>
              </w:rPr>
              <w:t>432,230,533.86</w:t>
            </w:r>
          </w:p>
        </w:tc>
      </w:tr>
    </w:tbl>
    <w:p>
      <w:pPr>
        <w:spacing w:line="309" w:lineRule="auto" w:before="26"/>
        <w:ind w:left="124" w:right="1634" w:firstLine="419"/>
        <w:jc w:val="left"/>
        <w:rPr>
          <w:rFonts w:ascii="宋体" w:hAnsi="宋体" w:cs="宋体" w:eastAsia="宋体" w:hint="default"/>
          <w:sz w:val="21"/>
          <w:szCs w:val="21"/>
        </w:rPr>
      </w:pPr>
      <w:r>
        <w:rPr>
          <w:rFonts w:ascii="宋体" w:hAnsi="宋体" w:cs="宋体" w:eastAsia="宋体" w:hint="default"/>
          <w:spacing w:val="-4"/>
          <w:sz w:val="21"/>
          <w:szCs w:val="21"/>
        </w:rPr>
        <w:t>注：现金流量表中现金的期初、期末余额以本公司货币资金减去其他货币资金中在资产负债表</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个月后不可以用于支付的保函保证金列示：</w:t>
      </w:r>
    </w:p>
    <w:p>
      <w:pPr>
        <w:spacing w:after="0" w:line="309" w:lineRule="auto"/>
        <w:jc w:val="left"/>
        <w:rPr>
          <w:rFonts w:ascii="宋体" w:hAnsi="宋体" w:cs="宋体" w:eastAsia="宋体" w:hint="default"/>
          <w:sz w:val="21"/>
          <w:szCs w:val="21"/>
        </w:rPr>
        <w:sectPr>
          <w:pgSz w:w="12240" w:h="15840"/>
          <w:pgMar w:header="850" w:footer="956" w:top="1380" w:bottom="1140" w:left="1520" w:right="0"/>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365"/>
        <w:gridCol w:w="3152"/>
        <w:gridCol w:w="3361"/>
      </w:tblGrid>
      <w:tr>
        <w:trPr>
          <w:trHeight w:val="330" w:hRule="exact"/>
        </w:trPr>
        <w:tc>
          <w:tcPr>
            <w:tcW w:w="3365" w:type="dxa"/>
            <w:tcBorders>
              <w:top w:val="single" w:sz="20"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2"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61"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9" w:hRule="exact"/>
        </w:trPr>
        <w:tc>
          <w:tcPr>
            <w:tcW w:w="336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货币资金余额</w:t>
            </w:r>
          </w:p>
        </w:tc>
        <w:tc>
          <w:tcPr>
            <w:tcW w:w="315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449,721,782.23</w:t>
            </w:r>
          </w:p>
        </w:tc>
        <w:tc>
          <w:tcPr>
            <w:tcW w:w="3361" w:type="dxa"/>
            <w:vMerge w:val="restart"/>
            <w:tcBorders>
              <w:top w:val="single" w:sz="4" w:space="0" w:color="000000"/>
              <w:left w:val="single" w:sz="4" w:space="0" w:color="000000"/>
              <w:right w:val="single" w:sz="4" w:space="0" w:color="000000"/>
            </w:tcBorders>
          </w:tcPr>
          <w:p>
            <w:pPr>
              <w:pStyle w:val="TableParagraph"/>
              <w:spacing w:line="270" w:lineRule="exact"/>
              <w:ind w:left="1846" w:right="0"/>
              <w:jc w:val="left"/>
              <w:rPr>
                <w:rFonts w:ascii="宋体" w:hAnsi="宋体" w:cs="宋体" w:eastAsia="宋体" w:hint="default"/>
                <w:sz w:val="21"/>
                <w:szCs w:val="21"/>
              </w:rPr>
            </w:pPr>
            <w:r>
              <w:rPr>
                <w:rFonts w:ascii="宋体"/>
                <w:sz w:val="21"/>
              </w:rPr>
              <w:t>432,230,533.86</w:t>
            </w:r>
          </w:p>
        </w:tc>
      </w:tr>
      <w:tr>
        <w:trPr>
          <w:trHeight w:val="300" w:hRule="exact"/>
        </w:trPr>
        <w:tc>
          <w:tcPr>
            <w:tcW w:w="336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减：保证金</w:t>
            </w:r>
          </w:p>
        </w:tc>
        <w:tc>
          <w:tcPr>
            <w:tcW w:w="315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3,393,971.33</w:t>
            </w:r>
          </w:p>
        </w:tc>
        <w:tc>
          <w:tcPr>
            <w:tcW w:w="3361" w:type="dxa"/>
            <w:vMerge/>
            <w:tcBorders>
              <w:left w:val="single" w:sz="4" w:space="0" w:color="000000"/>
              <w:right w:val="single" w:sz="4" w:space="0" w:color="000000"/>
            </w:tcBorders>
          </w:tcPr>
          <w:p>
            <w:pPr/>
          </w:p>
        </w:tc>
      </w:tr>
      <w:tr>
        <w:trPr>
          <w:trHeight w:val="303" w:hRule="exact"/>
        </w:trPr>
        <w:tc>
          <w:tcPr>
            <w:tcW w:w="3365"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现金流量中列示的现金</w:t>
            </w:r>
          </w:p>
        </w:tc>
        <w:tc>
          <w:tcPr>
            <w:tcW w:w="3152"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446,327,810.90</w:t>
            </w:r>
          </w:p>
        </w:tc>
        <w:tc>
          <w:tcPr>
            <w:tcW w:w="3361" w:type="dxa"/>
            <w:vMerge/>
            <w:tcBorders>
              <w:left w:val="single" w:sz="4" w:space="0" w:color="000000"/>
              <w:bottom w:val="single" w:sz="12"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before="36"/>
        <w:ind w:left="124" w:right="4204" w:firstLine="0"/>
        <w:jc w:val="left"/>
        <w:rPr>
          <w:rFonts w:ascii="宋体" w:hAnsi="宋体" w:cs="宋体" w:eastAsia="宋体" w:hint="default"/>
          <w:sz w:val="21"/>
          <w:szCs w:val="21"/>
        </w:rPr>
      </w:pPr>
      <w:r>
        <w:rPr>
          <w:rFonts w:ascii="宋体" w:hAnsi="宋体" w:cs="宋体" w:eastAsia="宋体" w:hint="default"/>
          <w:b/>
          <w:bCs/>
          <w:sz w:val="21"/>
          <w:szCs w:val="21"/>
        </w:rPr>
        <w:t>六、关联方关系及交易</w:t>
      </w:r>
      <w:r>
        <w:rPr>
          <w:rFonts w:ascii="宋体" w:hAnsi="宋体" w:cs="宋体" w:eastAsia="宋体" w:hint="default"/>
          <w:sz w:val="21"/>
          <w:szCs w:val="21"/>
        </w:rPr>
      </w:r>
    </w:p>
    <w:p>
      <w:pPr>
        <w:tabs>
          <w:tab w:pos="7117" w:val="left" w:leader="none"/>
        </w:tabs>
        <w:spacing w:before="118"/>
        <w:ind w:left="546" w:right="1265" w:firstLine="0"/>
        <w:jc w:val="left"/>
        <w:rPr>
          <w:rFonts w:ascii="宋体" w:hAnsi="宋体" w:cs="宋体" w:eastAsia="宋体" w:hint="default"/>
          <w:sz w:val="21"/>
          <w:szCs w:val="21"/>
        </w:rPr>
      </w:pPr>
      <w:r>
        <w:rPr>
          <w:rFonts w:ascii="宋体" w:hAnsi="宋体" w:cs="宋体" w:eastAsia="宋体" w:hint="default"/>
          <w:b/>
          <w:bCs/>
          <w:spacing w:val="-3"/>
          <w:sz w:val="21"/>
          <w:szCs w:val="21"/>
        </w:rPr>
        <w:t>1</w:t>
      </w:r>
      <w:r>
        <w:rPr>
          <w:rFonts w:ascii="宋体" w:hAnsi="宋体" w:cs="宋体" w:eastAsia="宋体" w:hint="default"/>
          <w:b/>
          <w:bCs/>
          <w:spacing w:val="-3"/>
          <w:sz w:val="21"/>
          <w:szCs w:val="21"/>
        </w:rPr>
        <w:t>、本公司第一大股东的有关信息</w:t>
        <w:tab/>
      </w:r>
      <w:r>
        <w:rPr>
          <w:rFonts w:ascii="宋体" w:hAnsi="宋体" w:cs="宋体" w:eastAsia="宋体" w:hint="default"/>
          <w:b/>
          <w:bCs/>
          <w:spacing w:val="-5"/>
          <w:sz w:val="21"/>
          <w:szCs w:val="21"/>
        </w:rPr>
        <w:t>（单位：人民币万元）</w:t>
      </w:r>
      <w:r>
        <w:rPr>
          <w:rFonts w:ascii="宋体" w:hAnsi="宋体" w:cs="宋体" w:eastAsia="宋体" w:hint="default"/>
          <w:spacing w:val="-5"/>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1363"/>
        <w:gridCol w:w="617"/>
        <w:gridCol w:w="617"/>
        <w:gridCol w:w="617"/>
        <w:gridCol w:w="778"/>
        <w:gridCol w:w="776"/>
        <w:gridCol w:w="874"/>
        <w:gridCol w:w="775"/>
        <w:gridCol w:w="778"/>
        <w:gridCol w:w="756"/>
        <w:gridCol w:w="936"/>
      </w:tblGrid>
      <w:tr>
        <w:trPr>
          <w:trHeight w:val="682" w:hRule="exact"/>
        </w:trPr>
        <w:tc>
          <w:tcPr>
            <w:tcW w:w="1363"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left="22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61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before="1"/>
              <w:ind w:left="122" w:right="12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1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before="1"/>
              <w:ind w:left="122" w:right="122"/>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17"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776"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74"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75"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对本企业</w:t>
            </w:r>
          </w:p>
          <w:p>
            <w:pPr>
              <w:pStyle w:val="TableParagraph"/>
              <w:spacing w:line="218" w:lineRule="exact" w:before="28"/>
              <w:ind w:left="21" w:right="23"/>
              <w:jc w:val="center"/>
              <w:rPr>
                <w:rFonts w:ascii="宋体" w:hAnsi="宋体" w:cs="宋体" w:eastAsia="宋体" w:hint="default"/>
                <w:sz w:val="18"/>
                <w:szCs w:val="18"/>
              </w:rPr>
            </w:pPr>
            <w:r>
              <w:rPr>
                <w:rFonts w:ascii="宋体" w:hAnsi="宋体" w:cs="宋体" w:eastAsia="宋体" w:hint="default"/>
                <w:sz w:val="18"/>
                <w:szCs w:val="18"/>
              </w:rPr>
              <w:t>的持股比 例</w:t>
            </w:r>
            <w:r>
              <w:rPr>
                <w:rFonts w:ascii="宋体" w:hAnsi="宋体" w:cs="宋体" w:eastAsia="宋体" w:hint="default"/>
                <w:sz w:val="18"/>
                <w:szCs w:val="18"/>
              </w:rPr>
              <w:t>(%)</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对本企业</w:t>
            </w:r>
          </w:p>
          <w:p>
            <w:pPr>
              <w:pStyle w:val="TableParagraph"/>
              <w:spacing w:line="218" w:lineRule="exact" w:before="28"/>
              <w:ind w:left="67" w:right="26" w:hanging="46"/>
              <w:jc w:val="left"/>
              <w:rPr>
                <w:rFonts w:ascii="宋体" w:hAnsi="宋体" w:cs="宋体" w:eastAsia="宋体" w:hint="default"/>
                <w:sz w:val="18"/>
                <w:szCs w:val="18"/>
              </w:rPr>
            </w:pPr>
            <w:r>
              <w:rPr>
                <w:rFonts w:ascii="宋体" w:hAnsi="宋体" w:cs="宋体" w:eastAsia="宋体" w:hint="default"/>
                <w:sz w:val="18"/>
                <w:szCs w:val="18"/>
              </w:rPr>
              <w:t>的表决权 比例</w:t>
            </w:r>
            <w:r>
              <w:rPr>
                <w:rFonts w:ascii="宋体" w:hAnsi="宋体" w:cs="宋体" w:eastAsia="宋体" w:hint="default"/>
                <w:sz w:val="18"/>
                <w:szCs w:val="18"/>
              </w:rPr>
              <w:t>(%)</w:t>
            </w:r>
          </w:p>
        </w:tc>
        <w:tc>
          <w:tcPr>
            <w:tcW w:w="756"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w:t>
            </w:r>
          </w:p>
          <w:p>
            <w:pPr>
              <w:pStyle w:val="TableParagraph"/>
              <w:spacing w:line="218" w:lineRule="exact" w:before="28"/>
              <w:ind w:left="192" w:right="101" w:hanging="89"/>
              <w:jc w:val="left"/>
              <w:rPr>
                <w:rFonts w:ascii="宋体" w:hAnsi="宋体" w:cs="宋体" w:eastAsia="宋体" w:hint="default"/>
                <w:sz w:val="18"/>
                <w:szCs w:val="18"/>
              </w:rPr>
            </w:pPr>
            <w:r>
              <w:rPr>
                <w:rFonts w:ascii="宋体" w:hAnsi="宋体" w:cs="宋体" w:eastAsia="宋体" w:hint="default"/>
                <w:sz w:val="18"/>
                <w:szCs w:val="18"/>
              </w:rPr>
              <w:t>最终控 制方</w:t>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before="1"/>
              <w:ind w:left="283" w:right="10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80" w:hRule="exact"/>
        </w:trPr>
        <w:tc>
          <w:tcPr>
            <w:tcW w:w="1363" w:type="dxa"/>
            <w:tcBorders>
              <w:top w:val="single" w:sz="4" w:space="0" w:color="000000"/>
              <w:left w:val="single" w:sz="4" w:space="0" w:color="000000"/>
              <w:bottom w:val="single" w:sz="12" w:space="0" w:color="000000"/>
              <w:right w:val="single" w:sz="4" w:space="0" w:color="000000"/>
            </w:tcBorders>
          </w:tcPr>
          <w:p>
            <w:pPr>
              <w:pStyle w:val="TableParagraph"/>
              <w:spacing w:line="193" w:lineRule="exact"/>
              <w:ind w:left="45" w:right="0"/>
              <w:jc w:val="left"/>
              <w:rPr>
                <w:rFonts w:ascii="宋体" w:hAnsi="宋体" w:cs="宋体" w:eastAsia="宋体" w:hint="default"/>
                <w:sz w:val="18"/>
                <w:szCs w:val="18"/>
              </w:rPr>
            </w:pPr>
            <w:r>
              <w:rPr>
                <w:rFonts w:ascii="宋体" w:hAnsi="宋体" w:cs="宋体" w:eastAsia="宋体" w:hint="default"/>
                <w:sz w:val="18"/>
                <w:szCs w:val="18"/>
              </w:rPr>
              <w:t>北京东华诚信电</w:t>
            </w:r>
          </w:p>
          <w:p>
            <w:pPr>
              <w:pStyle w:val="TableParagraph"/>
              <w:spacing w:line="218" w:lineRule="exact" w:before="28"/>
              <w:ind w:left="496" w:right="45" w:hanging="452"/>
              <w:jc w:val="left"/>
              <w:rPr>
                <w:rFonts w:ascii="宋体" w:hAnsi="宋体" w:cs="宋体" w:eastAsia="宋体" w:hint="default"/>
                <w:sz w:val="18"/>
                <w:szCs w:val="18"/>
              </w:rPr>
            </w:pPr>
            <w:r>
              <w:rPr>
                <w:rFonts w:ascii="宋体" w:hAnsi="宋体" w:cs="宋体" w:eastAsia="宋体" w:hint="default"/>
                <w:sz w:val="18"/>
                <w:szCs w:val="18"/>
              </w:rPr>
              <w:t>脑科技发展有限 公司</w:t>
            </w:r>
          </w:p>
        </w:tc>
        <w:tc>
          <w:tcPr>
            <w:tcW w:w="617" w:type="dxa"/>
            <w:tcBorders>
              <w:top w:val="single" w:sz="4" w:space="0" w:color="000000"/>
              <w:left w:val="single" w:sz="4" w:space="0" w:color="000000"/>
              <w:bottom w:val="single" w:sz="12" w:space="0" w:color="000000"/>
              <w:right w:val="single" w:sz="4" w:space="0" w:color="000000"/>
            </w:tcBorders>
          </w:tcPr>
          <w:p>
            <w:pPr>
              <w:pStyle w:val="TableParagraph"/>
              <w:spacing w:line="193" w:lineRule="exact"/>
              <w:ind w:left="122" w:right="0" w:hanging="92"/>
              <w:jc w:val="left"/>
              <w:rPr>
                <w:rFonts w:ascii="宋体" w:hAnsi="宋体" w:cs="宋体" w:eastAsia="宋体" w:hint="default"/>
                <w:sz w:val="18"/>
                <w:szCs w:val="18"/>
              </w:rPr>
            </w:pPr>
            <w:r>
              <w:rPr>
                <w:rFonts w:ascii="宋体" w:hAnsi="宋体" w:cs="宋体" w:eastAsia="宋体" w:hint="default"/>
                <w:sz w:val="18"/>
                <w:szCs w:val="18"/>
              </w:rPr>
              <w:t>第一大</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17" w:type="dxa"/>
            <w:tcBorders>
              <w:top w:val="single" w:sz="4" w:space="0" w:color="000000"/>
              <w:left w:val="single" w:sz="4" w:space="0" w:color="000000"/>
              <w:bottom w:val="single" w:sz="12"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民营</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617" w:type="dxa"/>
            <w:tcBorders>
              <w:top w:val="single" w:sz="4" w:space="0" w:color="000000"/>
              <w:left w:val="single" w:sz="4" w:space="0" w:color="000000"/>
              <w:bottom w:val="single" w:sz="12" w:space="0" w:color="000000"/>
              <w:right w:val="single" w:sz="4" w:space="0" w:color="000000"/>
            </w:tcBorders>
          </w:tcPr>
          <w:p>
            <w:pPr>
              <w:pStyle w:val="TableParagraph"/>
              <w:spacing w:line="220" w:lineRule="exact" w:before="109"/>
              <w:ind w:left="33" w:right="31"/>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郭玉梅</w:t>
            </w:r>
          </w:p>
        </w:tc>
        <w:tc>
          <w:tcPr>
            <w:tcW w:w="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服务业</w:t>
            </w:r>
          </w:p>
        </w:tc>
        <w:tc>
          <w:tcPr>
            <w:tcW w:w="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sz w:val="18"/>
              </w:rPr>
              <w:t>23.04%</w:t>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sz w:val="18"/>
              </w:rPr>
              <w:t>23.04%</w:t>
            </w:r>
          </w:p>
        </w:tc>
        <w:tc>
          <w:tcPr>
            <w:tcW w:w="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before="75"/>
              <w:ind w:left="117" w:right="-4"/>
              <w:jc w:val="center"/>
              <w:rPr>
                <w:rFonts w:ascii="宋体" w:hAnsi="宋体" w:cs="宋体" w:eastAsia="宋体" w:hint="default"/>
                <w:sz w:val="18"/>
                <w:szCs w:val="18"/>
              </w:rPr>
            </w:pPr>
            <w:r>
              <w:rPr>
                <w:rFonts w:ascii="宋体"/>
                <w:sz w:val="18"/>
              </w:rPr>
              <w:t>10204779-</w:t>
            </w:r>
          </w:p>
          <w:p>
            <w:pPr>
              <w:pStyle w:val="TableParagraph"/>
              <w:spacing w:line="228" w:lineRule="exact"/>
              <w:ind w:left="118" w:right="0"/>
              <w:jc w:val="center"/>
              <w:rPr>
                <w:rFonts w:ascii="宋体" w:hAnsi="宋体" w:cs="宋体" w:eastAsia="宋体" w:hint="default"/>
                <w:sz w:val="18"/>
                <w:szCs w:val="18"/>
              </w:rPr>
            </w:pPr>
            <w:r>
              <w:rPr>
                <w:rFonts w:ascii="宋体"/>
                <w:sz w:val="18"/>
              </w:rPr>
              <w:t>0</w:t>
            </w:r>
          </w:p>
        </w:tc>
      </w:tr>
    </w:tbl>
    <w:p>
      <w:pPr>
        <w:tabs>
          <w:tab w:pos="7078" w:val="left" w:leader="none"/>
        </w:tabs>
        <w:spacing w:before="6"/>
        <w:ind w:left="546" w:right="1265"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、本公司的子公司情况</w:t>
        <w:tab/>
        <w:t>（单位：人民币万元）</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2571"/>
        <w:gridCol w:w="1171"/>
        <w:gridCol w:w="1311"/>
        <w:gridCol w:w="1027"/>
        <w:gridCol w:w="845"/>
        <w:gridCol w:w="1961"/>
      </w:tblGrid>
      <w:tr>
        <w:trPr>
          <w:trHeight w:val="322" w:hRule="exact"/>
        </w:trPr>
        <w:tc>
          <w:tcPr>
            <w:tcW w:w="2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83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630" w:hRule="exact"/>
        </w:trPr>
        <w:tc>
          <w:tcPr>
            <w:tcW w:w="2571" w:type="dxa"/>
            <w:tcBorders>
              <w:top w:val="single" w:sz="4" w:space="0" w:color="000000"/>
              <w:left w:val="single" w:sz="4" w:space="0" w:color="000000"/>
              <w:bottom w:val="nil" w:sz="6" w:space="0" w:color="auto"/>
              <w:right w:val="single" w:sz="4" w:space="0" w:color="000000"/>
            </w:tcBorders>
          </w:tcPr>
          <w:p>
            <w:pPr>
              <w:pStyle w:val="TableParagraph"/>
              <w:spacing w:line="304" w:lineRule="auto" w:before="29"/>
              <w:ind w:left="79" w:right="140"/>
              <w:jc w:val="left"/>
              <w:rPr>
                <w:rFonts w:ascii="宋体" w:hAnsi="宋体" w:cs="宋体" w:eastAsia="宋体" w:hint="default"/>
                <w:sz w:val="18"/>
                <w:szCs w:val="18"/>
              </w:rPr>
            </w:pPr>
            <w:r>
              <w:rPr>
                <w:rFonts w:ascii="宋体" w:hAnsi="宋体" w:cs="宋体" w:eastAsia="宋体" w:hint="default"/>
                <w:sz w:val="18"/>
                <w:szCs w:val="18"/>
              </w:rPr>
              <w:t>广州东华合创数码科技有限公 司</w:t>
            </w:r>
          </w:p>
        </w:tc>
        <w:tc>
          <w:tcPr>
            <w:tcW w:w="1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8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贸易</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297"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8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4"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84"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北京顺义</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北京顺义</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北京密云</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南昌市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0"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太原市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19"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张建华</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24" w:hRule="exact"/>
        </w:trPr>
        <w:tc>
          <w:tcPr>
            <w:tcW w:w="25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5"/>
              <w:jc w:val="center"/>
              <w:rPr>
                <w:rFonts w:ascii="宋体" w:hAnsi="宋体" w:cs="宋体" w:eastAsia="宋体" w:hint="default"/>
                <w:sz w:val="18"/>
                <w:szCs w:val="18"/>
              </w:rPr>
            </w:pPr>
            <w:r>
              <w:rPr>
                <w:rFonts w:ascii="宋体" w:hAnsi="宋体" w:cs="宋体" w:eastAsia="宋体" w:hint="default"/>
                <w:sz w:val="18"/>
                <w:szCs w:val="18"/>
              </w:rPr>
              <w:t>薛向东</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r>
        <w:trPr>
          <w:trHeight w:val="308" w:hRule="exact"/>
        </w:trPr>
        <w:tc>
          <w:tcPr>
            <w:tcW w:w="25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left="71"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1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25"/>
              <w:jc w:val="center"/>
              <w:rPr>
                <w:rFonts w:ascii="宋体" w:hAnsi="宋体" w:cs="宋体" w:eastAsia="宋体" w:hint="default"/>
                <w:sz w:val="18"/>
                <w:szCs w:val="18"/>
              </w:rPr>
            </w:pPr>
            <w:r>
              <w:rPr>
                <w:rFonts w:ascii="宋体" w:hAnsi="宋体" w:cs="宋体" w:eastAsia="宋体" w:hint="default"/>
                <w:sz w:val="18"/>
                <w:szCs w:val="18"/>
              </w:rPr>
              <w:t>郑一友</w:t>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23"/>
              <w:jc w:val="center"/>
              <w:rPr>
                <w:rFonts w:ascii="宋体" w:hAnsi="宋体" w:cs="宋体" w:eastAsia="宋体" w:hint="default"/>
                <w:sz w:val="18"/>
                <w:szCs w:val="18"/>
              </w:rPr>
            </w:pPr>
            <w:r>
              <w:rPr>
                <w:rFonts w:ascii="宋体" w:hAnsi="宋体" w:cs="宋体" w:eastAsia="宋体" w:hint="default"/>
                <w:sz w:val="18"/>
                <w:szCs w:val="18"/>
              </w:rPr>
              <w:t>系统集成和软件开发</w:t>
            </w:r>
          </w:p>
        </w:tc>
      </w:tr>
    </w:tbl>
    <w:p>
      <w:pPr>
        <w:spacing w:before="26"/>
        <w:ind w:left="544" w:right="4204"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51"/>
        <w:gridCol w:w="1198"/>
        <w:gridCol w:w="1248"/>
        <w:gridCol w:w="1567"/>
        <w:gridCol w:w="2422"/>
      </w:tblGrid>
      <w:tr>
        <w:trPr>
          <w:trHeight w:val="322" w:hRule="exact"/>
        </w:trPr>
        <w:tc>
          <w:tcPr>
            <w:tcW w:w="24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2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24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92" w:hRule="exact"/>
        </w:trPr>
        <w:tc>
          <w:tcPr>
            <w:tcW w:w="245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79" w:right="200"/>
              <w:jc w:val="left"/>
              <w:rPr>
                <w:rFonts w:ascii="宋体" w:hAnsi="宋体" w:cs="宋体" w:eastAsia="宋体" w:hint="default"/>
                <w:sz w:val="18"/>
                <w:szCs w:val="18"/>
              </w:rPr>
            </w:pPr>
            <w:r>
              <w:rPr>
                <w:rFonts w:ascii="宋体" w:hAnsi="宋体" w:cs="宋体" w:eastAsia="宋体" w:hint="default"/>
                <w:sz w:val="18"/>
                <w:szCs w:val="18"/>
              </w:rPr>
              <w:t>广州东华合创数码科技有限 公司</w:t>
            </w:r>
          </w:p>
        </w:tc>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78"/>
              <w:jc w:val="right"/>
              <w:rPr>
                <w:rFonts w:ascii="宋体" w:hAnsi="宋体" w:cs="宋体" w:eastAsia="宋体" w:hint="default"/>
                <w:sz w:val="18"/>
                <w:szCs w:val="18"/>
              </w:rPr>
            </w:pPr>
            <w:r>
              <w:rPr>
                <w:rFonts w:ascii="宋体"/>
                <w:spacing w:val="-1"/>
                <w:sz w:val="18"/>
              </w:rPr>
              <w:t>RMB100</w:t>
            </w:r>
          </w:p>
        </w:tc>
        <w:tc>
          <w:tcPr>
            <w:tcW w:w="124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56"/>
              <w:jc w:val="center"/>
              <w:rPr>
                <w:rFonts w:ascii="宋体" w:hAnsi="宋体" w:cs="宋体" w:eastAsia="宋体" w:hint="default"/>
                <w:sz w:val="18"/>
                <w:szCs w:val="18"/>
              </w:rPr>
            </w:pPr>
            <w:r>
              <w:rPr>
                <w:rFonts w:ascii="宋体"/>
                <w:sz w:val="18"/>
              </w:rPr>
              <w:t>90%</w:t>
            </w:r>
          </w:p>
        </w:tc>
        <w:tc>
          <w:tcPr>
            <w:tcW w:w="1567"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53"/>
              <w:jc w:val="center"/>
              <w:rPr>
                <w:rFonts w:ascii="宋体" w:hAnsi="宋体" w:cs="宋体" w:eastAsia="宋体" w:hint="default"/>
                <w:sz w:val="18"/>
                <w:szCs w:val="18"/>
              </w:rPr>
            </w:pPr>
            <w:r>
              <w:rPr>
                <w:rFonts w:ascii="宋体"/>
                <w:sz w:val="18"/>
              </w:rPr>
              <w:t>90%</w:t>
            </w:r>
          </w:p>
        </w:tc>
        <w:tc>
          <w:tcPr>
            <w:tcW w:w="24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3"/>
              <w:jc w:val="center"/>
              <w:rPr>
                <w:rFonts w:ascii="宋体" w:hAnsi="宋体" w:cs="宋体" w:eastAsia="宋体" w:hint="default"/>
                <w:sz w:val="18"/>
                <w:szCs w:val="18"/>
              </w:rPr>
            </w:pPr>
            <w:r>
              <w:rPr>
                <w:rFonts w:ascii="宋体"/>
                <w:sz w:val="18"/>
              </w:rPr>
              <w:t>73155656-3</w:t>
            </w:r>
          </w:p>
        </w:tc>
      </w:tr>
      <w:tr>
        <w:trPr>
          <w:trHeight w:val="233"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20"/>
              <w:jc w:val="center"/>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79"/>
              <w:jc w:val="right"/>
              <w:rPr>
                <w:rFonts w:ascii="宋体" w:hAnsi="宋体" w:cs="宋体" w:eastAsia="宋体" w:hint="default"/>
                <w:sz w:val="18"/>
                <w:szCs w:val="18"/>
              </w:rPr>
            </w:pPr>
            <w:r>
              <w:rPr>
                <w:rFonts w:ascii="宋体"/>
                <w:spacing w:val="-1"/>
                <w:sz w:val="18"/>
              </w:rPr>
              <w:t>RMB10,000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59"/>
              <w:jc w:val="center"/>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52"/>
              <w:jc w:val="center"/>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53"/>
              <w:jc w:val="center"/>
              <w:rPr>
                <w:rFonts w:ascii="宋体" w:hAnsi="宋体" w:cs="宋体" w:eastAsia="宋体" w:hint="default"/>
                <w:sz w:val="18"/>
                <w:szCs w:val="18"/>
              </w:rPr>
            </w:pPr>
            <w:r>
              <w:rPr>
                <w:rFonts w:ascii="宋体"/>
                <w:sz w:val="18"/>
              </w:rPr>
              <w:t>79514524-5</w:t>
            </w:r>
          </w:p>
        </w:tc>
      </w:tr>
    </w:tbl>
    <w:p>
      <w:pPr>
        <w:spacing w:after="0" w:line="210" w:lineRule="exact"/>
        <w:jc w:val="center"/>
        <w:rPr>
          <w:rFonts w:ascii="宋体" w:hAnsi="宋体" w:cs="宋体" w:eastAsia="宋体" w:hint="default"/>
          <w:sz w:val="18"/>
          <w:szCs w:val="18"/>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51"/>
        <w:gridCol w:w="1198"/>
        <w:gridCol w:w="1248"/>
        <w:gridCol w:w="1567"/>
        <w:gridCol w:w="2422"/>
      </w:tblGrid>
      <w:tr>
        <w:trPr>
          <w:trHeight w:val="278" w:hRule="exact"/>
        </w:trPr>
        <w:tc>
          <w:tcPr>
            <w:tcW w:w="2451" w:type="dxa"/>
            <w:tcBorders>
              <w:top w:val="single" w:sz="6" w:space="0" w:color="000000"/>
              <w:left w:val="single" w:sz="4" w:space="0" w:color="000000"/>
              <w:bottom w:val="nil" w:sz="6" w:space="0" w:color="auto"/>
              <w:right w:val="single" w:sz="4" w:space="0" w:color="000000"/>
            </w:tcBorders>
          </w:tcPr>
          <w:p>
            <w:pPr>
              <w:pStyle w:val="TableParagraph"/>
              <w:spacing w:line="225" w:lineRule="exact"/>
              <w:ind w:left="79"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198" w:type="dxa"/>
            <w:tcBorders>
              <w:top w:val="single" w:sz="6" w:space="0" w:color="000000"/>
              <w:left w:val="single" w:sz="4" w:space="0" w:color="000000"/>
              <w:bottom w:val="nil" w:sz="6" w:space="0" w:color="auto"/>
              <w:right w:val="single" w:sz="4" w:space="0" w:color="000000"/>
            </w:tcBorders>
          </w:tcPr>
          <w:p>
            <w:pPr>
              <w:pStyle w:val="TableParagraph"/>
              <w:spacing w:line="225" w:lineRule="exact"/>
              <w:ind w:right="79"/>
              <w:jc w:val="right"/>
              <w:rPr>
                <w:rFonts w:ascii="宋体" w:hAnsi="宋体" w:cs="宋体" w:eastAsia="宋体" w:hint="default"/>
                <w:sz w:val="18"/>
                <w:szCs w:val="18"/>
              </w:rPr>
            </w:pPr>
            <w:r>
              <w:rPr>
                <w:rFonts w:ascii="宋体"/>
                <w:spacing w:val="-1"/>
                <w:sz w:val="18"/>
              </w:rPr>
              <w:t>RMB3,800</w:t>
            </w:r>
          </w:p>
        </w:tc>
        <w:tc>
          <w:tcPr>
            <w:tcW w:w="1248" w:type="dxa"/>
            <w:tcBorders>
              <w:top w:val="single" w:sz="6" w:space="0" w:color="000000"/>
              <w:left w:val="single" w:sz="4" w:space="0" w:color="000000"/>
              <w:bottom w:val="nil" w:sz="6" w:space="0" w:color="auto"/>
              <w:right w:val="single" w:sz="4" w:space="0" w:color="000000"/>
            </w:tcBorders>
          </w:tcPr>
          <w:p>
            <w:pPr>
              <w:pStyle w:val="TableParagraph"/>
              <w:spacing w:line="225" w:lineRule="exact"/>
              <w:ind w:left="407" w:right="0"/>
              <w:jc w:val="left"/>
              <w:rPr>
                <w:rFonts w:ascii="宋体" w:hAnsi="宋体" w:cs="宋体" w:eastAsia="宋体" w:hint="default"/>
                <w:sz w:val="18"/>
                <w:szCs w:val="18"/>
              </w:rPr>
            </w:pPr>
            <w:r>
              <w:rPr>
                <w:rFonts w:ascii="宋体"/>
                <w:sz w:val="18"/>
              </w:rPr>
              <w:t>100%</w:t>
            </w:r>
          </w:p>
        </w:tc>
        <w:tc>
          <w:tcPr>
            <w:tcW w:w="1567" w:type="dxa"/>
            <w:tcBorders>
              <w:top w:val="single" w:sz="6" w:space="0" w:color="000000"/>
              <w:left w:val="single" w:sz="4" w:space="0" w:color="000000"/>
              <w:bottom w:val="nil" w:sz="6" w:space="0" w:color="auto"/>
              <w:right w:val="single" w:sz="4" w:space="0" w:color="000000"/>
            </w:tcBorders>
          </w:tcPr>
          <w:p>
            <w:pPr>
              <w:pStyle w:val="TableParagraph"/>
              <w:spacing w:line="225" w:lineRule="exact"/>
              <w:ind w:left="571" w:right="0"/>
              <w:jc w:val="left"/>
              <w:rPr>
                <w:rFonts w:ascii="宋体" w:hAnsi="宋体" w:cs="宋体" w:eastAsia="宋体" w:hint="default"/>
                <w:sz w:val="18"/>
                <w:szCs w:val="18"/>
              </w:rPr>
            </w:pPr>
            <w:r>
              <w:rPr>
                <w:rFonts w:ascii="宋体"/>
                <w:sz w:val="18"/>
              </w:rPr>
              <w:t>100%</w:t>
            </w:r>
          </w:p>
        </w:tc>
        <w:tc>
          <w:tcPr>
            <w:tcW w:w="2422" w:type="dxa"/>
            <w:tcBorders>
              <w:top w:val="single" w:sz="6" w:space="0" w:color="000000"/>
              <w:left w:val="single" w:sz="4" w:space="0" w:color="000000"/>
              <w:bottom w:val="nil" w:sz="6" w:space="0" w:color="auto"/>
              <w:right w:val="single" w:sz="4" w:space="0" w:color="000000"/>
            </w:tcBorders>
          </w:tcPr>
          <w:p>
            <w:pPr>
              <w:pStyle w:val="TableParagraph"/>
              <w:spacing w:line="225" w:lineRule="exact"/>
              <w:ind w:right="53"/>
              <w:jc w:val="center"/>
              <w:rPr>
                <w:rFonts w:ascii="宋体" w:hAnsi="宋体" w:cs="宋体" w:eastAsia="宋体" w:hint="default"/>
                <w:sz w:val="18"/>
                <w:szCs w:val="18"/>
              </w:rPr>
            </w:pPr>
            <w:r>
              <w:rPr>
                <w:rFonts w:ascii="宋体"/>
                <w:sz w:val="18"/>
              </w:rPr>
              <w:t>78927075-2</w:t>
            </w:r>
          </w:p>
        </w:tc>
      </w:tr>
      <w:tr>
        <w:trPr>
          <w:trHeight w:val="259"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79"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79"/>
              <w:jc w:val="right"/>
              <w:rPr>
                <w:rFonts w:ascii="宋体" w:hAnsi="宋体" w:cs="宋体" w:eastAsia="宋体" w:hint="default"/>
                <w:sz w:val="18"/>
                <w:szCs w:val="18"/>
              </w:rPr>
            </w:pPr>
            <w:r>
              <w:rPr>
                <w:rFonts w:ascii="宋体"/>
                <w:spacing w:val="-1"/>
                <w:sz w:val="18"/>
              </w:rPr>
              <w:t>HK$1,000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4"/>
              <w:jc w:val="center"/>
              <w:rPr>
                <w:rFonts w:ascii="宋体" w:hAnsi="宋体" w:cs="宋体" w:eastAsia="宋体" w:hint="default"/>
                <w:sz w:val="18"/>
                <w:szCs w:val="18"/>
              </w:rPr>
            </w:pPr>
            <w:r>
              <w:rPr>
                <w:rFonts w:ascii="宋体"/>
                <w:sz w:val="18"/>
              </w:rPr>
              <w:t>1252172</w:t>
            </w:r>
          </w:p>
        </w:tc>
      </w:tr>
      <w:tr>
        <w:trPr>
          <w:trHeight w:val="244"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79"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79"/>
              <w:jc w:val="right"/>
              <w:rPr>
                <w:rFonts w:ascii="宋体" w:hAnsi="宋体" w:cs="宋体" w:eastAsia="宋体" w:hint="default"/>
                <w:sz w:val="18"/>
                <w:szCs w:val="18"/>
              </w:rPr>
            </w:pPr>
            <w:r>
              <w:rPr>
                <w:rFonts w:ascii="宋体"/>
                <w:spacing w:val="-1"/>
                <w:sz w:val="18"/>
              </w:rPr>
              <w:t>RMB8,000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53"/>
              <w:jc w:val="center"/>
              <w:rPr>
                <w:rFonts w:ascii="宋体" w:hAnsi="宋体" w:cs="宋体" w:eastAsia="宋体" w:hint="default"/>
                <w:sz w:val="18"/>
                <w:szCs w:val="18"/>
              </w:rPr>
            </w:pPr>
            <w:r>
              <w:rPr>
                <w:rFonts w:ascii="宋体"/>
                <w:sz w:val="18"/>
              </w:rPr>
              <w:t>71877946-3</w:t>
            </w:r>
          </w:p>
        </w:tc>
      </w:tr>
      <w:tr>
        <w:trPr>
          <w:trHeight w:val="276"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8"/>
              <w:jc w:val="right"/>
              <w:rPr>
                <w:rFonts w:ascii="宋体" w:hAnsi="宋体" w:cs="宋体" w:eastAsia="宋体" w:hint="default"/>
                <w:sz w:val="18"/>
                <w:szCs w:val="18"/>
              </w:rPr>
            </w:pPr>
            <w:r>
              <w:rPr>
                <w:rFonts w:ascii="宋体"/>
                <w:spacing w:val="-1"/>
                <w:sz w:val="18"/>
              </w:rPr>
              <w:t>RMB500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3"/>
              <w:jc w:val="center"/>
              <w:rPr>
                <w:rFonts w:ascii="宋体" w:hAnsi="宋体" w:cs="宋体" w:eastAsia="宋体" w:hint="default"/>
                <w:sz w:val="18"/>
                <w:szCs w:val="18"/>
              </w:rPr>
            </w:pPr>
            <w:r>
              <w:rPr>
                <w:rFonts w:ascii="宋体"/>
                <w:sz w:val="18"/>
              </w:rPr>
              <w:t>75418571-8</w:t>
            </w:r>
          </w:p>
        </w:tc>
      </w:tr>
      <w:tr>
        <w:trPr>
          <w:trHeight w:val="28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8"/>
              <w:jc w:val="right"/>
              <w:rPr>
                <w:rFonts w:ascii="宋体" w:hAnsi="宋体" w:cs="宋体" w:eastAsia="宋体" w:hint="default"/>
                <w:sz w:val="18"/>
                <w:szCs w:val="18"/>
              </w:rPr>
            </w:pPr>
            <w:r>
              <w:rPr>
                <w:rFonts w:ascii="宋体"/>
                <w:spacing w:val="-1"/>
                <w:sz w:val="18"/>
              </w:rPr>
              <w:t>RMB200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sz w:val="18"/>
              </w:rPr>
              <w:t>79597488-7</w:t>
            </w:r>
          </w:p>
        </w:tc>
      </w:tr>
      <w:tr>
        <w:trPr>
          <w:trHeight w:val="263"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79"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sz w:val="18"/>
              </w:rPr>
              <w:t>69896157-4</w:t>
            </w:r>
          </w:p>
        </w:tc>
      </w:tr>
      <w:tr>
        <w:trPr>
          <w:trHeight w:val="26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79"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
              <w:jc w:val="right"/>
              <w:rPr>
                <w:rFonts w:ascii="宋体" w:hAnsi="宋体" w:cs="宋体" w:eastAsia="宋体" w:hint="default"/>
                <w:sz w:val="18"/>
                <w:szCs w:val="18"/>
              </w:rPr>
            </w:pPr>
            <w:r>
              <w:rPr>
                <w:rFonts w:ascii="宋体"/>
                <w:spacing w:val="-1"/>
                <w:sz w:val="18"/>
              </w:rPr>
              <w:t>RMB2,000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sz w:val="18"/>
              </w:rPr>
              <w:t>69682435-7</w:t>
            </w:r>
          </w:p>
        </w:tc>
      </w:tr>
      <w:tr>
        <w:trPr>
          <w:trHeight w:val="281"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8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center"/>
              <w:rPr>
                <w:rFonts w:ascii="宋体" w:hAnsi="宋体" w:cs="宋体" w:eastAsia="宋体" w:hint="default"/>
                <w:sz w:val="18"/>
                <w:szCs w:val="18"/>
              </w:rPr>
            </w:pPr>
            <w:r>
              <w:rPr>
                <w:rFonts w:ascii="宋体"/>
                <w:sz w:val="18"/>
              </w:rPr>
              <w:t>55035041-9</w:t>
            </w:r>
          </w:p>
        </w:tc>
      </w:tr>
      <w:tr>
        <w:trPr>
          <w:trHeight w:val="28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84"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55554561-0</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55922261-6</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2"/>
              <w:jc w:val="right"/>
              <w:rPr>
                <w:rFonts w:ascii="宋体" w:hAnsi="宋体" w:cs="宋体" w:eastAsia="宋体" w:hint="default"/>
                <w:sz w:val="18"/>
                <w:szCs w:val="18"/>
              </w:rPr>
            </w:pPr>
            <w:r>
              <w:rPr>
                <w:rFonts w:ascii="宋体"/>
                <w:spacing w:val="-1"/>
                <w:sz w:val="18"/>
              </w:rPr>
              <w:t>RMB1,000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55851488-7</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RMB2,000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56040653-5</w:t>
            </w:r>
          </w:p>
        </w:tc>
      </w:tr>
      <w:tr>
        <w:trPr>
          <w:trHeight w:val="315"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RMB2,000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56575663-0</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pacing w:val="-1"/>
                <w:sz w:val="18"/>
              </w:rPr>
              <w:t>RMB2,000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sz w:val="18"/>
              </w:rPr>
              <w:t>56942761-5</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57023075-6</w:t>
            </w:r>
          </w:p>
        </w:tc>
      </w:tr>
      <w:tr>
        <w:trPr>
          <w:trHeight w:val="30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58659746-4</w:t>
            </w:r>
          </w:p>
        </w:tc>
      </w:tr>
      <w:tr>
        <w:trPr>
          <w:trHeight w:val="305"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right"/>
              <w:rPr>
                <w:rFonts w:ascii="宋体" w:hAnsi="宋体" w:cs="宋体" w:eastAsia="宋体" w:hint="default"/>
                <w:sz w:val="18"/>
                <w:szCs w:val="18"/>
              </w:rPr>
            </w:pPr>
            <w:r>
              <w:rPr>
                <w:rFonts w:ascii="宋体"/>
                <w:spacing w:val="-1"/>
                <w:sz w:val="18"/>
              </w:rPr>
              <w:t>RMB5,000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58852683-8</w:t>
            </w:r>
          </w:p>
        </w:tc>
      </w:tr>
      <w:tr>
        <w:trPr>
          <w:trHeight w:val="320"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pacing w:val="-1"/>
                <w:sz w:val="18"/>
              </w:rPr>
              <w:t>RMB9,000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80212393-4</w:t>
            </w:r>
          </w:p>
        </w:tc>
      </w:tr>
      <w:tr>
        <w:trPr>
          <w:trHeight w:val="328" w:hRule="exact"/>
        </w:trPr>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pacing w:val="-1"/>
                <w:sz w:val="18"/>
              </w:rPr>
              <w:t>RMB200</w:t>
            </w:r>
            <w:r>
              <w:rPr>
                <w:rFonts w:ascii="宋体"/>
                <w:sz w:val="18"/>
              </w:rPr>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sz w:val="18"/>
              </w:rPr>
              <w:t>78776052-0</w:t>
            </w:r>
          </w:p>
        </w:tc>
      </w:tr>
      <w:tr>
        <w:trPr>
          <w:trHeight w:val="302" w:hRule="exact"/>
        </w:trPr>
        <w:tc>
          <w:tcPr>
            <w:tcW w:w="24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left="71"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1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pacing w:val="-1"/>
                <w:sz w:val="18"/>
              </w:rPr>
              <w:t>RMB108</w:t>
            </w:r>
          </w:p>
        </w:tc>
        <w:tc>
          <w:tcPr>
            <w:tcW w:w="12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407" w:right="0"/>
              <w:jc w:val="left"/>
              <w:rPr>
                <w:rFonts w:ascii="宋体" w:hAnsi="宋体" w:cs="宋体" w:eastAsia="宋体" w:hint="default"/>
                <w:sz w:val="18"/>
                <w:szCs w:val="18"/>
              </w:rPr>
            </w:pPr>
            <w:r>
              <w:rPr>
                <w:rFonts w:ascii="宋体"/>
                <w:sz w:val="18"/>
              </w:rPr>
              <w:t>100%</w:t>
            </w:r>
          </w:p>
        </w:tc>
        <w:tc>
          <w:tcPr>
            <w:tcW w:w="15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571" w:right="0"/>
              <w:jc w:val="left"/>
              <w:rPr>
                <w:rFonts w:ascii="宋体" w:hAnsi="宋体" w:cs="宋体" w:eastAsia="宋体" w:hint="default"/>
                <w:sz w:val="18"/>
                <w:szCs w:val="18"/>
              </w:rPr>
            </w:pPr>
            <w:r>
              <w:rPr>
                <w:rFonts w:ascii="宋体"/>
                <w:sz w:val="18"/>
              </w:rPr>
              <w:t>100%</w:t>
            </w:r>
          </w:p>
        </w:tc>
        <w:tc>
          <w:tcPr>
            <w:tcW w:w="24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56948971-X</w:t>
            </w:r>
          </w:p>
        </w:tc>
      </w:tr>
    </w:tbl>
    <w:p>
      <w:pPr>
        <w:spacing w:before="23"/>
        <w:ind w:left="527" w:right="420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198"/>
        <w:gridCol w:w="2943"/>
        <w:gridCol w:w="2626"/>
      </w:tblGrid>
      <w:tr>
        <w:trPr>
          <w:trHeight w:val="319" w:hRule="exact"/>
        </w:trPr>
        <w:tc>
          <w:tcPr>
            <w:tcW w:w="419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2943"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626"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727"/>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319" w:hRule="exact"/>
        </w:trPr>
        <w:tc>
          <w:tcPr>
            <w:tcW w:w="419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北京东华诚信工业设备有限公司</w:t>
            </w:r>
          </w:p>
        </w:tc>
        <w:tc>
          <w:tcPr>
            <w:tcW w:w="294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本公司参股股东</w:t>
            </w:r>
          </w:p>
        </w:tc>
        <w:tc>
          <w:tcPr>
            <w:tcW w:w="262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778"/>
              <w:jc w:val="right"/>
              <w:rPr>
                <w:rFonts w:ascii="宋体" w:hAnsi="宋体" w:cs="宋体" w:eastAsia="宋体" w:hint="default"/>
                <w:sz w:val="21"/>
                <w:szCs w:val="21"/>
              </w:rPr>
            </w:pPr>
            <w:r>
              <w:rPr>
                <w:rFonts w:ascii="宋体"/>
                <w:spacing w:val="-1"/>
                <w:sz w:val="21"/>
              </w:rPr>
              <w:t>80201385-8</w:t>
            </w: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北京合创电商投资顾问有限公司</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本公司参股股东</w:t>
            </w:r>
          </w:p>
        </w:tc>
        <w:tc>
          <w:tcPr>
            <w:tcW w:w="262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778"/>
              <w:jc w:val="right"/>
              <w:rPr>
                <w:rFonts w:ascii="宋体" w:hAnsi="宋体" w:cs="宋体" w:eastAsia="宋体" w:hint="default"/>
                <w:sz w:val="21"/>
                <w:szCs w:val="21"/>
              </w:rPr>
            </w:pPr>
            <w:r>
              <w:rPr>
                <w:rFonts w:ascii="宋体"/>
                <w:spacing w:val="-1"/>
                <w:sz w:val="21"/>
              </w:rPr>
              <w:t>80204091-X</w:t>
            </w: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吕</w:t>
              <w:tab/>
              <w:t>波</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健</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秦</w:t>
              <w:tab/>
              <w:t>劳</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柏</w:t>
              <w:tab/>
              <w:t>红</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翟曙春</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张秀珍</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张建华</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江海标</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王</w:t>
              <w:tab/>
              <w:t>佺</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419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吕兴海</w:t>
            </w:r>
          </w:p>
        </w:tc>
        <w:tc>
          <w:tcPr>
            <w:tcW w:w="294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本公司自然人股东</w:t>
            </w:r>
          </w:p>
        </w:tc>
        <w:tc>
          <w:tcPr>
            <w:tcW w:w="2626"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4198" w:type="dxa"/>
            <w:tcBorders>
              <w:top w:val="nil" w:sz="6" w:space="0" w:color="auto"/>
              <w:left w:val="single" w:sz="4" w:space="0" w:color="000000"/>
              <w:bottom w:val="single" w:sz="12" w:space="0" w:color="000000"/>
              <w:right w:val="single" w:sz="4" w:space="0" w:color="000000"/>
            </w:tcBorders>
          </w:tcPr>
          <w:p>
            <w:pPr>
              <w:pStyle w:val="TableParagraph"/>
              <w:tabs>
                <w:tab w:pos="525" w:val="left" w:leader="none"/>
              </w:tabs>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乔</w:t>
              <w:tab/>
              <w:t>迁</w:t>
            </w:r>
          </w:p>
        </w:tc>
        <w:tc>
          <w:tcPr>
            <w:tcW w:w="2943"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股东的家庭成员</w:t>
            </w:r>
          </w:p>
        </w:tc>
        <w:tc>
          <w:tcPr>
            <w:tcW w:w="2626" w:type="dxa"/>
            <w:tcBorders>
              <w:top w:val="nil" w:sz="6" w:space="0" w:color="auto"/>
              <w:left w:val="single" w:sz="4" w:space="0" w:color="000000"/>
              <w:bottom w:val="single" w:sz="12" w:space="0" w:color="000000"/>
              <w:right w:val="single" w:sz="4" w:space="0" w:color="000000"/>
            </w:tcBorders>
          </w:tcPr>
          <w:p>
            <w:pPr/>
          </w:p>
        </w:tc>
      </w:tr>
    </w:tbl>
    <w:p>
      <w:pPr>
        <w:spacing w:before="83"/>
        <w:ind w:left="527" w:right="42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171"/>
        <w:ind w:left="527"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）关联租赁情况</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433"/>
        <w:gridCol w:w="1040"/>
        <w:gridCol w:w="1627"/>
        <w:gridCol w:w="1001"/>
        <w:gridCol w:w="924"/>
        <w:gridCol w:w="1496"/>
        <w:gridCol w:w="1325"/>
      </w:tblGrid>
      <w:tr>
        <w:trPr>
          <w:trHeight w:val="660" w:hRule="exact"/>
        </w:trPr>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9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租赁收益确定依据</w:t>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326" w:lineRule="auto" w:before="49"/>
              <w:ind w:left="563" w:right="29" w:hanging="540"/>
              <w:jc w:val="left"/>
              <w:rPr>
                <w:rFonts w:ascii="宋体" w:hAnsi="宋体" w:cs="宋体" w:eastAsia="宋体" w:hint="default"/>
                <w:sz w:val="18"/>
                <w:szCs w:val="18"/>
              </w:rPr>
            </w:pPr>
            <w:r>
              <w:rPr>
                <w:rFonts w:ascii="宋体" w:hAnsi="宋体" w:cs="宋体" w:eastAsia="宋体" w:hint="default"/>
                <w:sz w:val="18"/>
                <w:szCs w:val="18"/>
              </w:rPr>
              <w:t>本期确认的租赁 费</w:t>
            </w:r>
          </w:p>
        </w:tc>
      </w:tr>
    </w:tbl>
    <w:p>
      <w:pPr>
        <w:spacing w:after="0" w:line="326" w:lineRule="auto"/>
        <w:jc w:val="left"/>
        <w:rPr>
          <w:rFonts w:ascii="宋体" w:hAnsi="宋体" w:cs="宋体" w:eastAsia="宋体" w:hint="default"/>
          <w:sz w:val="18"/>
          <w:szCs w:val="18"/>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433"/>
        <w:gridCol w:w="1040"/>
        <w:gridCol w:w="1627"/>
        <w:gridCol w:w="1001"/>
        <w:gridCol w:w="924"/>
        <w:gridCol w:w="1496"/>
        <w:gridCol w:w="1325"/>
      </w:tblGrid>
      <w:tr>
        <w:trPr>
          <w:trHeight w:val="988" w:hRule="exact"/>
        </w:trPr>
        <w:tc>
          <w:tcPr>
            <w:tcW w:w="143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9"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2"/>
                <w:sz w:val="18"/>
                <w:szCs w:val="18"/>
              </w:rPr>
              <w:t> </w:t>
            </w:r>
            <w:r>
              <w:rPr>
                <w:rFonts w:ascii="宋体" w:hAnsi="宋体" w:cs="宋体" w:eastAsia="宋体" w:hint="default"/>
                <w:sz w:val="18"/>
                <w:szCs w:val="18"/>
              </w:rPr>
              <w:t>迁</w:t>
            </w:r>
          </w:p>
        </w:tc>
        <w:tc>
          <w:tcPr>
            <w:tcW w:w="1040" w:type="dxa"/>
            <w:tcBorders>
              <w:top w:val="single" w:sz="12" w:space="0" w:color="000000"/>
              <w:left w:val="single" w:sz="4" w:space="0" w:color="000000"/>
              <w:bottom w:val="single" w:sz="12" w:space="0" w:color="000000"/>
              <w:right w:val="single" w:sz="4" w:space="0" w:color="000000"/>
            </w:tcBorders>
          </w:tcPr>
          <w:p>
            <w:pPr>
              <w:pStyle w:val="TableParagraph"/>
              <w:spacing w:line="326" w:lineRule="auto" w:before="47"/>
              <w:ind w:left="64" w:right="63"/>
              <w:jc w:val="center"/>
              <w:rPr>
                <w:rFonts w:ascii="宋体" w:hAnsi="宋体" w:cs="宋体" w:eastAsia="宋体" w:hint="default"/>
                <w:sz w:val="18"/>
                <w:szCs w:val="18"/>
              </w:rPr>
            </w:pPr>
            <w:r>
              <w:rPr>
                <w:rFonts w:ascii="宋体" w:hAnsi="宋体" w:cs="宋体" w:eastAsia="宋体" w:hint="default"/>
                <w:sz w:val="18"/>
                <w:szCs w:val="18"/>
              </w:rPr>
              <w:t>北京神州新 桥科技有限 公司</w:t>
            </w:r>
          </w:p>
        </w:tc>
        <w:tc>
          <w:tcPr>
            <w:tcW w:w="162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48"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10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5" w:right="0"/>
              <w:jc w:val="left"/>
              <w:rPr>
                <w:rFonts w:ascii="宋体" w:hAnsi="宋体" w:cs="宋体" w:eastAsia="宋体" w:hint="default"/>
                <w:sz w:val="18"/>
                <w:szCs w:val="18"/>
              </w:rPr>
            </w:pPr>
            <w:r>
              <w:rPr>
                <w:rFonts w:ascii="宋体"/>
                <w:sz w:val="18"/>
              </w:rPr>
              <w:t>2011.02.27</w:t>
            </w:r>
          </w:p>
        </w:tc>
        <w:tc>
          <w:tcPr>
            <w:tcW w:w="92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left"/>
              <w:rPr>
                <w:rFonts w:ascii="宋体" w:hAnsi="宋体" w:cs="宋体" w:eastAsia="宋体" w:hint="default"/>
                <w:sz w:val="18"/>
                <w:szCs w:val="18"/>
              </w:rPr>
            </w:pPr>
            <w:r>
              <w:rPr>
                <w:rFonts w:ascii="宋体"/>
                <w:sz w:val="18"/>
              </w:rPr>
              <w:t>2012.02.26</w:t>
            </w:r>
          </w:p>
        </w:tc>
        <w:tc>
          <w:tcPr>
            <w:tcW w:w="149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79"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3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88" w:right="0"/>
              <w:jc w:val="left"/>
              <w:rPr>
                <w:rFonts w:ascii="宋体" w:hAnsi="宋体" w:cs="宋体" w:eastAsia="宋体" w:hint="default"/>
                <w:sz w:val="18"/>
                <w:szCs w:val="18"/>
              </w:rPr>
            </w:pPr>
            <w:r>
              <w:rPr>
                <w:rFonts w:ascii="宋体"/>
                <w:sz w:val="18"/>
              </w:rPr>
              <w:t>713,564.00</w:t>
            </w:r>
          </w:p>
        </w:tc>
      </w:tr>
    </w:tbl>
    <w:p>
      <w:pPr>
        <w:spacing w:before="28"/>
        <w:ind w:left="564" w:right="1697" w:firstLine="0"/>
        <w:jc w:val="left"/>
        <w:rPr>
          <w:rFonts w:ascii="宋体" w:hAnsi="宋体" w:cs="宋体" w:eastAsia="宋体" w:hint="default"/>
          <w:sz w:val="21"/>
          <w:szCs w:val="21"/>
        </w:rPr>
      </w:pPr>
      <w:r>
        <w:rPr/>
        <w:pict>
          <v:group style="position:absolute;margin-left:80.783997pt;margin-top:-50.556305pt;width:450.6pt;height:.1pt;mso-position-horizontal-relative:page;mso-position-vertical-relative:paragraph;z-index:-862312" coordorigin="1616,-1011" coordsize="9012,2">
            <v:shape style="position:absolute;left:1616;top:-1011;width:9012;height:2" coordorigin="1616,-1011" coordsize="9012,0" path="m1616,-1011l10627,-1011e" filled="false" stroked="true" strokeweight=".71999pt" strokecolor="#000000">
              <v:path arrowok="t"/>
            </v:shape>
            <w10:wrap type="none"/>
          </v:group>
        </w:pic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月，公司股东</w:t>
      </w:r>
      <w:r>
        <w:rPr>
          <w:rFonts w:ascii="宋体" w:hAnsi="宋体" w:cs="宋体" w:eastAsia="宋体" w:hint="default"/>
          <w:sz w:val="21"/>
          <w:szCs w:val="21"/>
        </w:rPr>
        <w:t>-</w:t>
      </w:r>
      <w:r>
        <w:rPr>
          <w:rFonts w:ascii="宋体" w:hAnsi="宋体" w:cs="宋体" w:eastAsia="宋体" w:hint="default"/>
          <w:sz w:val="21"/>
          <w:szCs w:val="21"/>
        </w:rPr>
        <w:t>张秀珍的家庭成员乔迁先生与公司的全资子公司</w:t>
      </w:r>
      <w:r>
        <w:rPr>
          <w:rFonts w:ascii="宋体" w:hAnsi="宋体" w:cs="宋体" w:eastAsia="宋体" w:hint="default"/>
          <w:sz w:val="21"/>
          <w:szCs w:val="21"/>
        </w:rPr>
        <w:t>-</w:t>
      </w:r>
      <w:r>
        <w:rPr>
          <w:rFonts w:ascii="宋体" w:hAnsi="宋体" w:cs="宋体" w:eastAsia="宋体" w:hint="default"/>
          <w:sz w:val="21"/>
          <w:szCs w:val="21"/>
        </w:rPr>
        <w:t>北京神州新桥科</w:t>
      </w:r>
    </w:p>
    <w:p>
      <w:pPr>
        <w:spacing w:line="309" w:lineRule="auto" w:before="80"/>
        <w:ind w:left="144" w:right="1870" w:firstLine="0"/>
        <w:jc w:val="both"/>
        <w:rPr>
          <w:rFonts w:ascii="宋体" w:hAnsi="宋体" w:cs="宋体" w:eastAsia="宋体" w:hint="default"/>
          <w:sz w:val="21"/>
          <w:szCs w:val="21"/>
        </w:rPr>
      </w:pPr>
      <w:r>
        <w:rPr>
          <w:rFonts w:ascii="宋体" w:hAnsi="宋体" w:cs="宋体" w:eastAsia="宋体" w:hint="default"/>
          <w:sz w:val="21"/>
          <w:szCs w:val="21"/>
        </w:rPr>
        <w:t>技有限公司签订《房屋租赁合同》。根据合同规定：乔迁先生将位于北京市海淀区大钟寺</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华杰大厦</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7"/>
          <w:sz w:val="21"/>
          <w:szCs w:val="21"/>
        </w:rPr>
        <w:t> </w:t>
      </w:r>
      <w:r>
        <w:rPr>
          <w:rFonts w:ascii="宋体" w:hAnsi="宋体" w:cs="宋体" w:eastAsia="宋体" w:hint="default"/>
          <w:sz w:val="21"/>
          <w:szCs w:val="21"/>
        </w:rPr>
        <w:t>B1</w:t>
      </w:r>
      <w:r>
        <w:rPr>
          <w:rFonts w:ascii="宋体" w:hAnsi="宋体" w:cs="宋体" w:eastAsia="宋体" w:hint="default"/>
          <w:sz w:val="21"/>
          <w:szCs w:val="21"/>
        </w:rPr>
        <w:t>、</w:t>
      </w:r>
      <w:r>
        <w:rPr>
          <w:rFonts w:ascii="宋体" w:hAnsi="宋体" w:cs="宋体" w:eastAsia="宋体" w:hint="default"/>
          <w:sz w:val="21"/>
          <w:szCs w:val="21"/>
        </w:rPr>
        <w:t>B2</w:t>
      </w:r>
      <w:r>
        <w:rPr>
          <w:rFonts w:ascii="宋体" w:hAnsi="宋体" w:cs="宋体" w:eastAsia="宋体" w:hint="default"/>
          <w:sz w:val="21"/>
          <w:szCs w:val="21"/>
        </w:rPr>
        <w:t>、</w:t>
      </w:r>
      <w:r>
        <w:rPr>
          <w:rFonts w:ascii="宋体" w:hAnsi="宋体" w:cs="宋体" w:eastAsia="宋体" w:hint="default"/>
          <w:sz w:val="21"/>
          <w:szCs w:val="21"/>
        </w:rPr>
        <w:t>B3</w:t>
      </w:r>
      <w:r>
        <w:rPr>
          <w:rFonts w:ascii="宋体" w:hAnsi="宋体" w:cs="宋体" w:eastAsia="宋体" w:hint="default"/>
          <w:spacing w:val="-55"/>
          <w:sz w:val="21"/>
          <w:szCs w:val="21"/>
        </w:rPr>
        <w:t> </w:t>
      </w:r>
      <w:r>
        <w:rPr>
          <w:rFonts w:ascii="宋体" w:hAnsi="宋体" w:cs="宋体" w:eastAsia="宋体" w:hint="default"/>
          <w:sz w:val="21"/>
          <w:szCs w:val="21"/>
        </w:rPr>
        <w:t>租赁给北京神州新桥科技有限公司做办公用房，使用面积</w:t>
      </w:r>
      <w:r>
        <w:rPr>
          <w:rFonts w:ascii="宋体" w:hAnsi="宋体" w:cs="宋体" w:eastAsia="宋体" w:hint="default"/>
          <w:spacing w:val="-54"/>
          <w:sz w:val="21"/>
          <w:szCs w:val="21"/>
        </w:rPr>
        <w:t> </w:t>
      </w:r>
      <w:r>
        <w:rPr>
          <w:rFonts w:ascii="宋体" w:hAnsi="宋体" w:cs="宋体" w:eastAsia="宋体" w:hint="default"/>
          <w:sz w:val="21"/>
          <w:szCs w:val="21"/>
        </w:rPr>
        <w:t>566.32</w:t>
      </w:r>
      <w:r>
        <w:rPr>
          <w:rFonts w:ascii="宋体" w:hAnsi="宋体" w:cs="宋体" w:eastAsia="宋体" w:hint="default"/>
          <w:spacing w:val="-55"/>
          <w:sz w:val="21"/>
          <w:szCs w:val="21"/>
        </w:rPr>
        <w:t> </w:t>
      </w:r>
      <w:r>
        <w:rPr>
          <w:rFonts w:ascii="宋体" w:hAnsi="宋体" w:cs="宋体" w:eastAsia="宋体" w:hint="default"/>
          <w:sz w:val="21"/>
          <w:szCs w:val="21"/>
        </w:rPr>
        <w:t>平</w:t>
      </w:r>
      <w:r>
        <w:rPr>
          <w:rFonts w:ascii="宋体" w:hAnsi="宋体" w:cs="宋体" w:eastAsia="宋体" w:hint="default"/>
          <w:w w:val="100"/>
          <w:sz w:val="21"/>
          <w:szCs w:val="21"/>
        </w:rPr>
        <w:t> </w:t>
      </w:r>
      <w:r>
        <w:rPr>
          <w:rFonts w:ascii="宋体" w:hAnsi="宋体" w:cs="宋体" w:eastAsia="宋体" w:hint="default"/>
          <w:sz w:val="21"/>
          <w:szCs w:val="21"/>
        </w:rPr>
        <w:t>方米，租赁时间自</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日止，年租金</w:t>
      </w:r>
      <w:r>
        <w:rPr>
          <w:rFonts w:ascii="宋体" w:hAnsi="宋体" w:cs="宋体" w:eastAsia="宋体" w:hint="default"/>
          <w:spacing w:val="-54"/>
          <w:sz w:val="21"/>
          <w:szCs w:val="21"/>
        </w:rPr>
        <w:t> </w:t>
      </w:r>
      <w:r>
        <w:rPr>
          <w:rFonts w:ascii="宋体" w:hAnsi="宋体" w:cs="宋体" w:eastAsia="宋体" w:hint="default"/>
          <w:sz w:val="21"/>
          <w:szCs w:val="21"/>
        </w:rPr>
        <w:t>713,564.00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37"/>
        <w:ind w:left="650" w:right="169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关联担保情况</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698"/>
        <w:gridCol w:w="2060"/>
        <w:gridCol w:w="1774"/>
        <w:gridCol w:w="1198"/>
        <w:gridCol w:w="1265"/>
        <w:gridCol w:w="950"/>
        <w:gridCol w:w="900"/>
      </w:tblGrid>
      <w:tr>
        <w:trPr>
          <w:trHeight w:val="341" w:hRule="exact"/>
        </w:trPr>
        <w:tc>
          <w:tcPr>
            <w:tcW w:w="6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Calibri" w:hAnsi="Calibri" w:cs="Calibri" w:eastAsia="Calibri" w:hint="default"/>
                <w:sz w:val="18"/>
                <w:szCs w:val="18"/>
              </w:rPr>
              <w:t>/</w:t>
            </w:r>
            <w:r>
              <w:rPr>
                <w:rFonts w:ascii="宋体" w:hAnsi="宋体" w:cs="宋体" w:eastAsia="宋体" w:hint="default"/>
                <w:sz w:val="18"/>
                <w:szCs w:val="18"/>
              </w:rPr>
              <w:t>借款银行</w:t>
            </w:r>
          </w:p>
        </w:tc>
        <w:tc>
          <w:tcPr>
            <w:tcW w:w="17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18"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72"/>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7" w:right="55"/>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1" w:right="29"/>
              <w:jc w:val="right"/>
              <w:rPr>
                <w:rFonts w:ascii="宋体" w:hAnsi="宋体" w:cs="宋体" w:eastAsia="宋体" w:hint="default"/>
                <w:sz w:val="18"/>
                <w:szCs w:val="18"/>
              </w:rPr>
            </w:pPr>
            <w:r>
              <w:rPr>
                <w:rFonts w:ascii="宋体" w:hAnsi="宋体" w:cs="宋体" w:eastAsia="宋体" w:hint="default"/>
                <w:sz w:val="18"/>
                <w:szCs w:val="18"/>
              </w:rPr>
              <w:t>担保到期日</w:t>
            </w:r>
          </w:p>
        </w:tc>
      </w:tr>
      <w:tr>
        <w:trPr>
          <w:trHeight w:val="329"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b/>
                <w:bCs/>
                <w:sz w:val="18"/>
                <w:szCs w:val="18"/>
              </w:rPr>
              <w:t>东华软件股份公司</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89" w:hRule="exact"/>
        </w:trPr>
        <w:tc>
          <w:tcPr>
            <w:tcW w:w="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4" w:right="122"/>
              <w:jc w:val="left"/>
              <w:rPr>
                <w:rFonts w:ascii="宋体" w:hAnsi="宋体" w:cs="宋体" w:eastAsia="宋体" w:hint="default"/>
                <w:sz w:val="18"/>
                <w:szCs w:val="18"/>
              </w:rPr>
            </w:pPr>
            <w:r>
              <w:rPr>
                <w:rFonts w:ascii="宋体" w:hAnsi="宋体" w:cs="宋体" w:eastAsia="宋体" w:hint="default"/>
                <w:sz w:val="18"/>
                <w:szCs w:val="18"/>
              </w:rPr>
              <w:t>短期借 款</w:t>
            </w:r>
          </w:p>
        </w:tc>
        <w:tc>
          <w:tcPr>
            <w:tcW w:w="2060" w:type="dxa"/>
            <w:tcBorders>
              <w:top w:val="single" w:sz="4" w:space="0" w:color="000000"/>
              <w:left w:val="single" w:sz="4" w:space="0" w:color="000000"/>
              <w:bottom w:val="nil" w:sz="6" w:space="0" w:color="auto"/>
              <w:right w:val="single" w:sz="4" w:space="0" w:color="000000"/>
            </w:tcBorders>
          </w:tcPr>
          <w:p>
            <w:pPr>
              <w:pStyle w:val="TableParagraph"/>
              <w:spacing w:line="328" w:lineRule="auto" w:before="47"/>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 w:right="-1"/>
              <w:jc w:val="left"/>
              <w:rPr>
                <w:rFonts w:ascii="Calibri" w:hAnsi="Calibri" w:cs="Calibri" w:eastAsia="Calibri" w:hint="default"/>
                <w:sz w:val="18"/>
                <w:szCs w:val="18"/>
              </w:rPr>
            </w:pPr>
            <w:r>
              <w:rPr>
                <w:rFonts w:ascii="Calibri"/>
                <w:sz w:val="18"/>
              </w:rPr>
              <w:t>330,000,000.00</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18"/>
                <w:szCs w:val="18"/>
              </w:rPr>
            </w:pPr>
            <w:r>
              <w:rPr>
                <w:rFonts w:ascii="Calibri"/>
                <w:sz w:val="18"/>
              </w:rPr>
              <w:t>9,000,000.00</w:t>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2011-10-19</w:t>
            </w:r>
            <w:r>
              <w:rPr>
                <w:rFonts w:ascii="Calibri"/>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2012-10-19</w:t>
            </w:r>
            <w:r>
              <w:rPr>
                <w:rFonts w:ascii="Calibri"/>
                <w:sz w:val="18"/>
              </w:rPr>
            </w:r>
          </w:p>
        </w:tc>
      </w:tr>
      <w:tr>
        <w:trPr>
          <w:trHeight w:val="336" w:hRule="exact"/>
        </w:trPr>
        <w:tc>
          <w:tcPr>
            <w:tcW w:w="698"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single" w:sz="4" w:space="0" w:color="000000"/>
            </w:tcBorders>
          </w:tcPr>
          <w:p>
            <w:pPr/>
          </w:p>
        </w:tc>
        <w:tc>
          <w:tcPr>
            <w:tcW w:w="177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
              <w:jc w:val="right"/>
              <w:rPr>
                <w:rFonts w:ascii="Calibri" w:hAnsi="Calibri" w:cs="Calibri" w:eastAsia="Calibri" w:hint="default"/>
                <w:sz w:val="18"/>
                <w:szCs w:val="18"/>
              </w:rPr>
            </w:pPr>
            <w:r>
              <w:rPr>
                <w:rFonts w:ascii="Calibri"/>
                <w:sz w:val="18"/>
              </w:rPr>
              <w:t>20,000,000.00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24"/>
              <w:jc w:val="right"/>
              <w:rPr>
                <w:rFonts w:ascii="Calibri" w:hAnsi="Calibri" w:cs="Calibri" w:eastAsia="Calibri" w:hint="default"/>
                <w:sz w:val="18"/>
                <w:szCs w:val="18"/>
              </w:rPr>
            </w:pPr>
            <w:r>
              <w:rPr>
                <w:rFonts w:ascii="Calibri"/>
                <w:spacing w:val="-1"/>
                <w:sz w:val="18"/>
              </w:rPr>
              <w:t>2011-11-01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24"/>
              <w:jc w:val="right"/>
              <w:rPr>
                <w:rFonts w:ascii="Calibri" w:hAnsi="Calibri" w:cs="Calibri" w:eastAsia="Calibri" w:hint="default"/>
                <w:sz w:val="18"/>
                <w:szCs w:val="18"/>
              </w:rPr>
            </w:pPr>
            <w:r>
              <w:rPr>
                <w:rFonts w:ascii="Calibri"/>
                <w:spacing w:val="-1"/>
                <w:sz w:val="18"/>
              </w:rPr>
              <w:t>2012-05-01</w:t>
            </w:r>
          </w:p>
        </w:tc>
      </w:tr>
      <w:tr>
        <w:trPr>
          <w:trHeight w:val="320" w:hRule="exact"/>
        </w:trPr>
        <w:tc>
          <w:tcPr>
            <w:tcW w:w="698"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single" w:sz="4" w:space="0" w:color="000000"/>
            </w:tcBorders>
          </w:tcPr>
          <w:p>
            <w:pPr/>
          </w:p>
        </w:tc>
        <w:tc>
          <w:tcPr>
            <w:tcW w:w="177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
              <w:jc w:val="right"/>
              <w:rPr>
                <w:rFonts w:ascii="Calibri" w:hAnsi="Calibri" w:cs="Calibri" w:eastAsia="Calibri" w:hint="default"/>
                <w:sz w:val="18"/>
                <w:szCs w:val="18"/>
              </w:rPr>
            </w:pPr>
            <w:r>
              <w:rPr>
                <w:rFonts w:ascii="Calibri"/>
                <w:sz w:val="18"/>
              </w:rPr>
              <w:t>20,000,000.00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4"/>
              <w:jc w:val="right"/>
              <w:rPr>
                <w:rFonts w:ascii="Calibri" w:hAnsi="Calibri" w:cs="Calibri" w:eastAsia="Calibri" w:hint="default"/>
                <w:sz w:val="18"/>
                <w:szCs w:val="18"/>
              </w:rPr>
            </w:pPr>
            <w:r>
              <w:rPr>
                <w:rFonts w:ascii="Calibri"/>
                <w:spacing w:val="-1"/>
                <w:sz w:val="18"/>
              </w:rPr>
              <w:t>2011-11-10</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4"/>
              <w:jc w:val="right"/>
              <w:rPr>
                <w:rFonts w:ascii="Calibri" w:hAnsi="Calibri" w:cs="Calibri" w:eastAsia="Calibri" w:hint="default"/>
                <w:sz w:val="18"/>
                <w:szCs w:val="18"/>
              </w:rPr>
            </w:pPr>
            <w:r>
              <w:rPr>
                <w:rFonts w:ascii="Calibri"/>
                <w:spacing w:val="-1"/>
                <w:sz w:val="18"/>
              </w:rPr>
              <w:t>2012-05-10</w:t>
            </w:r>
            <w:r>
              <w:rPr>
                <w:rFonts w:ascii="Calibri"/>
                <w:sz w:val="18"/>
              </w:rPr>
            </w:r>
          </w:p>
        </w:tc>
      </w:tr>
      <w:tr>
        <w:trPr>
          <w:trHeight w:val="319" w:hRule="exact"/>
        </w:trPr>
        <w:tc>
          <w:tcPr>
            <w:tcW w:w="698"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single" w:sz="4" w:space="0" w:color="000000"/>
            </w:tcBorders>
          </w:tcPr>
          <w:p>
            <w:pPr/>
          </w:p>
        </w:tc>
        <w:tc>
          <w:tcPr>
            <w:tcW w:w="177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
              <w:jc w:val="right"/>
              <w:rPr>
                <w:rFonts w:ascii="Calibri" w:hAnsi="Calibri" w:cs="Calibri" w:eastAsia="Calibri" w:hint="default"/>
                <w:sz w:val="18"/>
                <w:szCs w:val="18"/>
              </w:rPr>
            </w:pPr>
            <w:r>
              <w:rPr>
                <w:rFonts w:ascii="Calibri"/>
                <w:sz w:val="18"/>
              </w:rPr>
              <w:t>9,000,000.00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24"/>
              <w:jc w:val="right"/>
              <w:rPr>
                <w:rFonts w:ascii="Calibri" w:hAnsi="Calibri" w:cs="Calibri" w:eastAsia="Calibri" w:hint="default"/>
                <w:sz w:val="18"/>
                <w:szCs w:val="18"/>
              </w:rPr>
            </w:pPr>
            <w:r>
              <w:rPr>
                <w:rFonts w:ascii="Calibri"/>
                <w:spacing w:val="-1"/>
                <w:sz w:val="18"/>
              </w:rPr>
              <w:t>2011-11-16</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24"/>
              <w:jc w:val="right"/>
              <w:rPr>
                <w:rFonts w:ascii="Calibri" w:hAnsi="Calibri" w:cs="Calibri" w:eastAsia="Calibri" w:hint="default"/>
                <w:sz w:val="18"/>
                <w:szCs w:val="18"/>
              </w:rPr>
            </w:pPr>
            <w:r>
              <w:rPr>
                <w:rFonts w:ascii="Calibri"/>
                <w:spacing w:val="-1"/>
                <w:sz w:val="18"/>
              </w:rPr>
              <w:t>2012-05-16</w:t>
            </w:r>
            <w:r>
              <w:rPr>
                <w:rFonts w:ascii="Calibri"/>
                <w:sz w:val="18"/>
              </w:rPr>
            </w:r>
          </w:p>
        </w:tc>
      </w:tr>
      <w:tr>
        <w:trPr>
          <w:trHeight w:val="313" w:hRule="exact"/>
        </w:trPr>
        <w:tc>
          <w:tcPr>
            <w:tcW w:w="698" w:type="dxa"/>
            <w:tcBorders>
              <w:top w:val="nil" w:sz="6" w:space="0" w:color="auto"/>
              <w:left w:val="single" w:sz="4" w:space="0" w:color="000000"/>
              <w:bottom w:val="nil" w:sz="6" w:space="0" w:color="auto"/>
              <w:right w:val="single" w:sz="4" w:space="0" w:color="000000"/>
            </w:tcBorders>
          </w:tcPr>
          <w:p>
            <w:pPr/>
          </w:p>
        </w:tc>
        <w:tc>
          <w:tcPr>
            <w:tcW w:w="2060" w:type="dxa"/>
            <w:tcBorders>
              <w:top w:val="nil" w:sz="6" w:space="0" w:color="auto"/>
              <w:left w:val="single" w:sz="4" w:space="0" w:color="000000"/>
              <w:bottom w:val="nil" w:sz="6" w:space="0" w:color="auto"/>
              <w:right w:val="single" w:sz="4" w:space="0" w:color="000000"/>
            </w:tcBorders>
          </w:tcPr>
          <w:p>
            <w:pPr/>
          </w:p>
        </w:tc>
        <w:tc>
          <w:tcPr>
            <w:tcW w:w="177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
              <w:jc w:val="right"/>
              <w:rPr>
                <w:rFonts w:ascii="Calibri" w:hAnsi="Calibri" w:cs="Calibri" w:eastAsia="Calibri" w:hint="default"/>
                <w:sz w:val="18"/>
                <w:szCs w:val="18"/>
              </w:rPr>
            </w:pPr>
            <w:r>
              <w:rPr>
                <w:rFonts w:ascii="Calibri"/>
                <w:sz w:val="18"/>
              </w:rPr>
              <w:t>7,000,000.00</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4"/>
              <w:jc w:val="right"/>
              <w:rPr>
                <w:rFonts w:ascii="Calibri" w:hAnsi="Calibri" w:cs="Calibri" w:eastAsia="Calibri" w:hint="default"/>
                <w:sz w:val="18"/>
                <w:szCs w:val="18"/>
              </w:rPr>
            </w:pPr>
            <w:r>
              <w:rPr>
                <w:rFonts w:ascii="Calibri"/>
                <w:spacing w:val="-1"/>
                <w:sz w:val="18"/>
              </w:rPr>
              <w:t>2011-10-31</w:t>
            </w:r>
            <w:r>
              <w:rPr>
                <w:rFonts w:ascii="Calibri"/>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4"/>
              <w:jc w:val="right"/>
              <w:rPr>
                <w:rFonts w:ascii="Calibri" w:hAnsi="Calibri" w:cs="Calibri" w:eastAsia="Calibri" w:hint="default"/>
                <w:sz w:val="18"/>
                <w:szCs w:val="18"/>
              </w:rPr>
            </w:pPr>
            <w:r>
              <w:rPr>
                <w:rFonts w:ascii="Calibri"/>
                <w:spacing w:val="-1"/>
                <w:sz w:val="18"/>
              </w:rPr>
              <w:t>2012-10-31</w:t>
            </w:r>
            <w:r>
              <w:rPr>
                <w:rFonts w:ascii="Calibri"/>
                <w:sz w:val="18"/>
              </w:rPr>
            </w:r>
          </w:p>
        </w:tc>
      </w:tr>
      <w:tr>
        <w:trPr>
          <w:trHeight w:val="771" w:hRule="exact"/>
        </w:trPr>
        <w:tc>
          <w:tcPr>
            <w:tcW w:w="698" w:type="dxa"/>
            <w:tcBorders>
              <w:top w:val="nil" w:sz="6" w:space="0" w:color="auto"/>
              <w:left w:val="single" w:sz="4" w:space="0" w:color="000000"/>
              <w:bottom w:val="nil" w:sz="6" w:space="0" w:color="auto"/>
              <w:right w:val="single" w:sz="4" w:space="0" w:color="000000"/>
            </w:tcBorders>
          </w:tcPr>
          <w:p>
            <w:pPr>
              <w:pStyle w:val="TableParagraph"/>
              <w:spacing w:line="328" w:lineRule="auto"/>
              <w:ind w:left="24" w:right="122"/>
              <w:jc w:val="left"/>
              <w:rPr>
                <w:rFonts w:ascii="宋体" w:hAnsi="宋体" w:cs="宋体" w:eastAsia="宋体" w:hint="default"/>
                <w:sz w:val="18"/>
                <w:szCs w:val="18"/>
              </w:rPr>
            </w:pPr>
            <w:r>
              <w:rPr>
                <w:rFonts w:ascii="宋体" w:hAnsi="宋体" w:cs="宋体" w:eastAsia="宋体" w:hint="default"/>
                <w:sz w:val="18"/>
                <w:szCs w:val="18"/>
              </w:rPr>
              <w:t>应付票 据</w:t>
            </w:r>
          </w:p>
        </w:tc>
        <w:tc>
          <w:tcPr>
            <w:tcW w:w="2060" w:type="dxa"/>
            <w:tcBorders>
              <w:top w:val="nil" w:sz="6" w:space="0" w:color="auto"/>
              <w:left w:val="single" w:sz="4" w:space="0" w:color="000000"/>
              <w:bottom w:val="nil" w:sz="6" w:space="0" w:color="auto"/>
              <w:right w:val="single" w:sz="4" w:space="0" w:color="000000"/>
            </w:tcBorders>
          </w:tcPr>
          <w:p>
            <w:pPr>
              <w:pStyle w:val="TableParagraph"/>
              <w:spacing w:line="328" w:lineRule="auto"/>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
              <w:jc w:val="right"/>
              <w:rPr>
                <w:rFonts w:ascii="Calibri" w:hAnsi="Calibri" w:cs="Calibri" w:eastAsia="Calibri" w:hint="default"/>
                <w:sz w:val="18"/>
                <w:szCs w:val="18"/>
              </w:rPr>
            </w:pPr>
            <w:r>
              <w:rPr>
                <w:rFonts w:ascii="Calibri"/>
                <w:spacing w:val="-1"/>
                <w:sz w:val="18"/>
              </w:rPr>
              <w:t>68,805,991.00</w:t>
            </w:r>
            <w:r>
              <w:rPr>
                <w:rFonts w:ascii="Calibri"/>
                <w:sz w:val="18"/>
              </w:rPr>
            </w:r>
          </w:p>
        </w:tc>
        <w:tc>
          <w:tcPr>
            <w:tcW w:w="9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783" w:hRule="exact"/>
        </w:trPr>
        <w:tc>
          <w:tcPr>
            <w:tcW w:w="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28" w:lineRule="auto"/>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right"/>
              <w:rPr>
                <w:rFonts w:ascii="Calibri" w:hAnsi="Calibri" w:cs="Calibri" w:eastAsia="Calibri" w:hint="default"/>
                <w:sz w:val="18"/>
                <w:szCs w:val="18"/>
              </w:rPr>
            </w:pPr>
            <w:r>
              <w:rPr>
                <w:rFonts w:ascii="Calibri"/>
                <w:sz w:val="18"/>
              </w:rPr>
              <w:t>3,115,365.00</w:t>
            </w:r>
          </w:p>
        </w:tc>
        <w:tc>
          <w:tcPr>
            <w:tcW w:w="9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650"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3" w:right="37"/>
              <w:jc w:val="left"/>
              <w:rPr>
                <w:rFonts w:ascii="宋体" w:hAnsi="宋体" w:cs="宋体" w:eastAsia="宋体" w:hint="default"/>
                <w:sz w:val="18"/>
                <w:szCs w:val="18"/>
              </w:rPr>
            </w:pPr>
            <w:r>
              <w:rPr>
                <w:rFonts w:ascii="宋体" w:hAnsi="宋体" w:cs="宋体" w:eastAsia="宋体" w:hint="default"/>
                <w:b/>
                <w:bCs/>
                <w:sz w:val="18"/>
                <w:szCs w:val="18"/>
              </w:rPr>
              <w:t>北京东华合创科技有限公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75"/>
              <w:ind w:left="24" w:right="122"/>
              <w:jc w:val="left"/>
              <w:rPr>
                <w:rFonts w:ascii="宋体" w:hAnsi="宋体" w:cs="宋体" w:eastAsia="宋体" w:hint="default"/>
                <w:sz w:val="18"/>
                <w:szCs w:val="18"/>
              </w:rPr>
            </w:pPr>
            <w:r>
              <w:rPr>
                <w:rFonts w:ascii="宋体" w:hAnsi="宋体" w:cs="宋体" w:eastAsia="宋体" w:hint="default"/>
                <w:sz w:val="18"/>
                <w:szCs w:val="18"/>
              </w:rPr>
              <w:t>短期借 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06"/>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北京东华诚信电脑科</w:t>
            </w:r>
          </w:p>
          <w:p>
            <w:pPr>
              <w:pStyle w:val="TableParagraph"/>
              <w:spacing w:line="232" w:lineRule="exact" w:before="23"/>
              <w:ind w:left="26" w:right="0"/>
              <w:jc w:val="left"/>
              <w:rPr>
                <w:rFonts w:ascii="宋体" w:hAnsi="宋体" w:cs="宋体" w:eastAsia="宋体" w:hint="default"/>
                <w:sz w:val="18"/>
                <w:szCs w:val="18"/>
              </w:rPr>
            </w:pP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东、东华软件股份公司</w:t>
            </w:r>
          </w:p>
        </w:tc>
        <w:tc>
          <w:tcPr>
            <w:tcW w:w="1198"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Calibri" w:hAnsi="Calibri" w:cs="Calibri" w:eastAsia="Calibri" w:hint="default"/>
                <w:sz w:val="18"/>
                <w:szCs w:val="18"/>
              </w:rPr>
            </w:pPr>
            <w:r>
              <w:rPr>
                <w:rFonts w:ascii="Calibri"/>
                <w:spacing w:val="-1"/>
                <w:sz w:val="18"/>
              </w:rPr>
              <w:t>9,000,000.00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Calibri" w:hAnsi="Calibri" w:cs="Calibri" w:eastAsia="Calibri" w:hint="default"/>
                <w:sz w:val="18"/>
                <w:szCs w:val="18"/>
              </w:rPr>
            </w:pPr>
            <w:r>
              <w:rPr>
                <w:rFonts w:ascii="Calibri"/>
                <w:spacing w:val="-1"/>
                <w:sz w:val="18"/>
              </w:rPr>
              <w:t>2011-07-29</w:t>
            </w:r>
            <w:r>
              <w:rPr>
                <w:rFonts w:ascii="Calibr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Calibri" w:hAnsi="Calibri" w:cs="Calibri" w:eastAsia="Calibri" w:hint="default"/>
                <w:sz w:val="18"/>
                <w:szCs w:val="18"/>
              </w:rPr>
            </w:pPr>
            <w:r>
              <w:rPr>
                <w:rFonts w:ascii="Calibri"/>
                <w:spacing w:val="-1"/>
                <w:sz w:val="18"/>
              </w:rPr>
              <w:t>2012-07-29</w:t>
            </w:r>
            <w:r>
              <w:rPr>
                <w:rFonts w:ascii="Calibri"/>
                <w:sz w:val="18"/>
              </w:rPr>
            </w:r>
          </w:p>
        </w:tc>
      </w:tr>
      <w:tr>
        <w:trPr>
          <w:trHeight w:val="329"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b/>
                <w:bCs/>
                <w:sz w:val="18"/>
                <w:szCs w:val="18"/>
              </w:rPr>
              <w:t>北京联银通科技有限公司</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200" w:hRule="exact"/>
        </w:trPr>
        <w:tc>
          <w:tcPr>
            <w:tcW w:w="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2060" w:type="dxa"/>
            <w:tcBorders>
              <w:top w:val="single" w:sz="4" w:space="0" w:color="000000"/>
              <w:left w:val="single" w:sz="4" w:space="0" w:color="000000"/>
              <w:bottom w:val="nil" w:sz="6" w:space="0" w:color="auto"/>
              <w:right w:val="single" w:sz="4" w:space="0" w:color="000000"/>
            </w:tcBorders>
          </w:tcPr>
          <w:p>
            <w:pPr>
              <w:pStyle w:val="TableParagraph"/>
              <w:spacing w:line="328" w:lineRule="auto" w:before="46"/>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26"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东、东华软件股份公司</w:t>
            </w:r>
          </w:p>
        </w:tc>
        <w:tc>
          <w:tcPr>
            <w:tcW w:w="1198" w:type="dxa"/>
            <w:vMerge/>
            <w:tcBorders>
              <w:left w:val="single" w:sz="4" w:space="0" w:color="000000"/>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3"/>
              <w:jc w:val="right"/>
              <w:rPr>
                <w:rFonts w:ascii="宋体" w:hAnsi="宋体" w:cs="宋体" w:eastAsia="宋体" w:hint="default"/>
                <w:sz w:val="18"/>
                <w:szCs w:val="18"/>
              </w:rPr>
            </w:pPr>
            <w:r>
              <w:rPr>
                <w:rFonts w:ascii="Calibri" w:hAnsi="Calibri" w:cs="Calibri" w:eastAsia="Calibri" w:hint="default"/>
                <w:sz w:val="18"/>
                <w:szCs w:val="18"/>
              </w:rPr>
              <w:t>1,455,400</w:t>
            </w:r>
            <w:r>
              <w:rPr>
                <w:rFonts w:ascii="Calibri" w:hAnsi="Calibri" w:cs="Calibri" w:eastAsia="Calibri" w:hint="default"/>
                <w:spacing w:val="-1"/>
                <w:sz w:val="18"/>
                <w:szCs w:val="18"/>
              </w:rPr>
              <w:t> </w:t>
            </w:r>
            <w:r>
              <w:rPr>
                <w:rFonts w:ascii="宋体" w:hAnsi="宋体" w:cs="宋体" w:eastAsia="宋体" w:hint="default"/>
                <w:sz w:val="18"/>
                <w:szCs w:val="18"/>
              </w:rPr>
              <w:t>欧元</w:t>
            </w:r>
          </w:p>
        </w:tc>
        <w:tc>
          <w:tcPr>
            <w:tcW w:w="95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1133" w:hRule="exact"/>
        </w:trPr>
        <w:tc>
          <w:tcPr>
            <w:tcW w:w="6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26" w:lineRule="auto"/>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北京银行股份有限公司中 关村科技园区支行</w:t>
            </w:r>
          </w:p>
        </w:tc>
        <w:tc>
          <w:tcPr>
            <w:tcW w:w="177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
              <w:jc w:val="right"/>
              <w:rPr>
                <w:rFonts w:ascii="Calibri" w:hAnsi="Calibri" w:cs="Calibri" w:eastAsia="Calibri" w:hint="default"/>
                <w:sz w:val="18"/>
                <w:szCs w:val="18"/>
              </w:rPr>
            </w:pPr>
            <w:r>
              <w:rPr>
                <w:rFonts w:ascii="Calibri"/>
                <w:sz w:val="18"/>
              </w:rPr>
              <w:t>6,507,083.20</w:t>
            </w:r>
          </w:p>
        </w:tc>
        <w:tc>
          <w:tcPr>
            <w:tcW w:w="95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331"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b/>
                <w:bCs/>
                <w:sz w:val="18"/>
                <w:szCs w:val="18"/>
              </w:rPr>
              <w:t>东华软件股份公司</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3" w:right="43"/>
              <w:jc w:val="left"/>
              <w:rPr>
                <w:rFonts w:ascii="宋体" w:hAnsi="宋体" w:cs="宋体" w:eastAsia="宋体" w:hint="default"/>
                <w:sz w:val="18"/>
                <w:szCs w:val="18"/>
              </w:rPr>
            </w:pPr>
            <w:r>
              <w:rPr>
                <w:rFonts w:ascii="宋体" w:hAnsi="宋体" w:cs="宋体" w:eastAsia="宋体" w:hint="default"/>
                <w:sz w:val="18"/>
                <w:szCs w:val="18"/>
              </w:rPr>
              <w:t>中国民生银行股份有限公 司总行营业部</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北京东华诚信电脑科 </w:t>
            </w:r>
            <w:r>
              <w:rPr>
                <w:rFonts w:ascii="宋体" w:hAnsi="宋体" w:cs="宋体" w:eastAsia="宋体" w:hint="default"/>
                <w:spacing w:val="-7"/>
                <w:sz w:val="18"/>
                <w:szCs w:val="18"/>
              </w:rPr>
              <w:t>技发展有限公司、薛向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东、郭玉梅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Calibri" w:hAnsi="Calibri" w:cs="Calibri" w:eastAsia="Calibri" w:hint="default"/>
                <w:sz w:val="18"/>
                <w:szCs w:val="18"/>
              </w:rPr>
            </w:pPr>
            <w:r>
              <w:rPr>
                <w:rFonts w:ascii="Calibri"/>
                <w:sz w:val="18"/>
              </w:rPr>
              <w:t>200,000,000.00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18"/>
                <w:szCs w:val="18"/>
              </w:rPr>
            </w:pPr>
            <w:r>
              <w:rPr>
                <w:rFonts w:ascii="Calibri"/>
                <w:sz w:val="18"/>
              </w:rPr>
              <w:t>5,594,480.52</w:t>
            </w: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b/>
                <w:bCs/>
                <w:sz w:val="18"/>
                <w:szCs w:val="18"/>
              </w:rPr>
              <w:t>北京神州新桥科技有限公</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698"/>
        <w:gridCol w:w="2060"/>
        <w:gridCol w:w="1774"/>
        <w:gridCol w:w="1198"/>
        <w:gridCol w:w="1265"/>
        <w:gridCol w:w="950"/>
        <w:gridCol w:w="900"/>
      </w:tblGrid>
      <w:tr>
        <w:trPr>
          <w:trHeight w:val="340" w:hRule="exact"/>
        </w:trPr>
        <w:tc>
          <w:tcPr>
            <w:tcW w:w="698" w:type="dxa"/>
            <w:tcBorders>
              <w:top w:val="single" w:sz="12" w:space="0" w:color="000000"/>
              <w:left w:val="single" w:sz="4" w:space="0" w:color="000000"/>
              <w:bottom w:val="single" w:sz="4" w:space="0" w:color="000000"/>
              <w:right w:val="single" w:sz="4" w:space="0" w:color="000000"/>
            </w:tcBorders>
          </w:tcPr>
          <w:p>
            <w:pP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b/>
                <w:bCs/>
                <w:w w:val="99"/>
                <w:sz w:val="18"/>
                <w:szCs w:val="18"/>
              </w:rPr>
              <w:t>司</w:t>
            </w:r>
            <w:r>
              <w:rPr>
                <w:rFonts w:ascii="宋体" w:hAnsi="宋体" w:cs="宋体" w:eastAsia="宋体" w:hint="default"/>
                <w:sz w:val="18"/>
                <w:szCs w:val="18"/>
              </w:rPr>
            </w:r>
          </w:p>
        </w:tc>
        <w:tc>
          <w:tcPr>
            <w:tcW w:w="1774" w:type="dxa"/>
            <w:tcBorders>
              <w:top w:val="single" w:sz="12" w:space="0" w:color="000000"/>
              <w:left w:val="single" w:sz="4" w:space="0" w:color="000000"/>
              <w:bottom w:val="single" w:sz="4" w:space="0" w:color="000000"/>
              <w:right w:val="single" w:sz="4" w:space="0" w:color="000000"/>
            </w:tcBorders>
          </w:tcPr>
          <w:p>
            <w:pPr/>
          </w:p>
        </w:tc>
        <w:tc>
          <w:tcPr>
            <w:tcW w:w="1198" w:type="dxa"/>
            <w:tcBorders>
              <w:top w:val="single" w:sz="12" w:space="0" w:color="000000"/>
              <w:left w:val="single" w:sz="4" w:space="0" w:color="000000"/>
              <w:bottom w:val="single" w:sz="4" w:space="0" w:color="000000"/>
              <w:right w:val="single" w:sz="4" w:space="0" w:color="000000"/>
            </w:tcBorders>
          </w:tcPr>
          <w:p>
            <w:pPr/>
          </w:p>
        </w:tc>
        <w:tc>
          <w:tcPr>
            <w:tcW w:w="1265" w:type="dxa"/>
            <w:tcBorders>
              <w:top w:val="single" w:sz="12" w:space="0" w:color="000000"/>
              <w:left w:val="single" w:sz="4" w:space="0" w:color="000000"/>
              <w:bottom w:val="single" w:sz="4" w:space="0" w:color="000000"/>
              <w:right w:val="single" w:sz="4" w:space="0" w:color="000000"/>
            </w:tcBorders>
          </w:tcPr>
          <w:p>
            <w:pPr/>
          </w:p>
        </w:tc>
        <w:tc>
          <w:tcPr>
            <w:tcW w:w="950" w:type="dxa"/>
            <w:tcBorders>
              <w:top w:val="single" w:sz="12" w:space="0" w:color="000000"/>
              <w:left w:val="single" w:sz="4" w:space="0" w:color="000000"/>
              <w:bottom w:val="single" w:sz="4" w:space="0" w:color="000000"/>
              <w:right w:val="single" w:sz="4" w:space="0" w:color="000000"/>
            </w:tcBorders>
          </w:tcPr>
          <w:p>
            <w:pPr/>
          </w:p>
        </w:tc>
        <w:tc>
          <w:tcPr>
            <w:tcW w:w="900" w:type="dxa"/>
            <w:tcBorders>
              <w:top w:val="single" w:sz="12" w:space="0" w:color="000000"/>
              <w:left w:val="single" w:sz="4" w:space="0" w:color="000000"/>
              <w:bottom w:val="single" w:sz="4" w:space="0" w:color="000000"/>
              <w:right w:val="single" w:sz="4" w:space="0" w:color="000000"/>
            </w:tcBorders>
          </w:tcPr>
          <w:p>
            <w:pPr/>
          </w:p>
        </w:tc>
      </w:tr>
      <w:tr>
        <w:trPr>
          <w:trHeight w:val="650"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4" w:right="122"/>
              <w:jc w:val="left"/>
              <w:rPr>
                <w:rFonts w:ascii="宋体" w:hAnsi="宋体" w:cs="宋体" w:eastAsia="宋体" w:hint="default"/>
                <w:sz w:val="18"/>
                <w:szCs w:val="18"/>
              </w:rPr>
            </w:pPr>
            <w:r>
              <w:rPr>
                <w:rFonts w:ascii="宋体" w:hAnsi="宋体" w:cs="宋体" w:eastAsia="宋体" w:hint="default"/>
                <w:sz w:val="18"/>
                <w:szCs w:val="18"/>
              </w:rPr>
              <w:t>短期借 款</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北京银行股份有限公司大 钟寺支行</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Calibri" w:hAnsi="Calibri" w:cs="Calibri" w:eastAsia="Calibri" w:hint="default"/>
                <w:sz w:val="18"/>
                <w:szCs w:val="18"/>
              </w:rPr>
            </w:pPr>
            <w:r>
              <w:rPr>
                <w:rFonts w:ascii="Calibri"/>
                <w:sz w:val="18"/>
              </w:rPr>
              <w:t>20,000,000.00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right"/>
              <w:rPr>
                <w:rFonts w:ascii="Calibri" w:hAnsi="Calibri" w:cs="Calibri" w:eastAsia="Calibri" w:hint="default"/>
                <w:sz w:val="18"/>
                <w:szCs w:val="18"/>
              </w:rPr>
            </w:pPr>
            <w:r>
              <w:rPr>
                <w:rFonts w:ascii="Calibri"/>
                <w:spacing w:val="-1"/>
                <w:sz w:val="18"/>
              </w:rPr>
              <w:t>9,900,000.00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2011-11-25</w:t>
            </w:r>
            <w:r>
              <w:rPr>
                <w:rFonts w:ascii="Calibr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2012-05-25</w:t>
            </w:r>
            <w:r>
              <w:rPr>
                <w:rFonts w:ascii="Calibri"/>
                <w:sz w:val="18"/>
              </w:rPr>
            </w:r>
          </w:p>
        </w:tc>
      </w:tr>
      <w:tr>
        <w:trPr>
          <w:trHeight w:val="658" w:hRule="exact"/>
        </w:trPr>
        <w:tc>
          <w:tcPr>
            <w:tcW w:w="698" w:type="dxa"/>
            <w:tcBorders>
              <w:top w:val="single" w:sz="4" w:space="0" w:color="000000"/>
              <w:left w:val="single" w:sz="4" w:space="0" w:color="000000"/>
              <w:bottom w:val="single" w:sz="12" w:space="0" w:color="000000"/>
              <w:right w:val="single" w:sz="4" w:space="0" w:color="000000"/>
            </w:tcBorders>
          </w:tcPr>
          <w:p>
            <w:pPr>
              <w:pStyle w:val="TableParagraph"/>
              <w:spacing w:line="328" w:lineRule="auto" w:before="46"/>
              <w:ind w:left="24" w:right="122"/>
              <w:jc w:val="left"/>
              <w:rPr>
                <w:rFonts w:ascii="宋体" w:hAnsi="宋体" w:cs="宋体" w:eastAsia="宋体" w:hint="default"/>
                <w:sz w:val="18"/>
                <w:szCs w:val="18"/>
              </w:rPr>
            </w:pPr>
            <w:r>
              <w:rPr>
                <w:rFonts w:ascii="宋体" w:hAnsi="宋体" w:cs="宋体" w:eastAsia="宋体" w:hint="default"/>
                <w:sz w:val="18"/>
                <w:szCs w:val="18"/>
              </w:rPr>
              <w:t>短期借 款</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328" w:lineRule="auto" w:before="46"/>
              <w:ind w:left="23" w:right="44"/>
              <w:jc w:val="left"/>
              <w:rPr>
                <w:rFonts w:ascii="宋体" w:hAnsi="宋体" w:cs="宋体" w:eastAsia="宋体" w:hint="default"/>
                <w:sz w:val="18"/>
                <w:szCs w:val="18"/>
              </w:rPr>
            </w:pPr>
            <w:r>
              <w:rPr>
                <w:rFonts w:ascii="宋体" w:hAnsi="宋体" w:cs="宋体" w:eastAsia="宋体" w:hint="default"/>
                <w:sz w:val="18"/>
                <w:szCs w:val="18"/>
              </w:rPr>
              <w:t>北京银行股份有限公司大 钟寺支行</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328" w:lineRule="auto" w:before="46"/>
              <w:ind w:left="26" w:right="0"/>
              <w:jc w:val="left"/>
              <w:rPr>
                <w:rFonts w:ascii="宋体" w:hAnsi="宋体" w:cs="宋体" w:eastAsia="宋体" w:hint="default"/>
                <w:sz w:val="18"/>
                <w:szCs w:val="18"/>
              </w:rPr>
            </w:pPr>
            <w:r>
              <w:rPr>
                <w:rFonts w:ascii="宋体" w:hAnsi="宋体" w:cs="宋体" w:eastAsia="宋体" w:hint="default"/>
                <w:spacing w:val="-7"/>
                <w:sz w:val="18"/>
                <w:szCs w:val="18"/>
              </w:rPr>
              <w:t>张建华先生、张秀珍女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士（反担保）</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Calibri" w:hAnsi="Calibri" w:cs="Calibri" w:eastAsia="Calibri" w:hint="default"/>
                <w:sz w:val="18"/>
                <w:szCs w:val="18"/>
              </w:rPr>
            </w:pPr>
            <w:r>
              <w:rPr>
                <w:rFonts w:ascii="Calibri"/>
                <w:spacing w:val="-1"/>
                <w:sz w:val="18"/>
              </w:rPr>
              <w:t>50,000,000.00</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right"/>
              <w:rPr>
                <w:rFonts w:ascii="Calibri" w:hAnsi="Calibri" w:cs="Calibri" w:eastAsia="Calibri" w:hint="default"/>
                <w:sz w:val="18"/>
                <w:szCs w:val="18"/>
              </w:rPr>
            </w:pPr>
            <w:r>
              <w:rPr>
                <w:rFonts w:ascii="Calibri"/>
                <w:spacing w:val="-1"/>
                <w:sz w:val="18"/>
              </w:rPr>
              <w:t>30,000,000.00</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2011-06-01</w:t>
            </w:r>
            <w:r>
              <w:rPr>
                <w:rFonts w:ascii="Calibri"/>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18"/>
                <w:szCs w:val="18"/>
              </w:rPr>
            </w:pPr>
            <w:r>
              <w:rPr>
                <w:rFonts w:ascii="Calibri"/>
                <w:spacing w:val="-1"/>
                <w:sz w:val="18"/>
              </w:rPr>
              <w:t>2012-05-31</w:t>
            </w:r>
            <w:r>
              <w:rPr>
                <w:rFonts w:ascii="Calibri"/>
                <w:sz w:val="18"/>
              </w:rPr>
            </w:r>
          </w:p>
        </w:tc>
      </w:tr>
    </w:tbl>
    <w:p>
      <w:pPr>
        <w:spacing w:before="28"/>
        <w:ind w:left="744" w:right="1697" w:firstLine="0"/>
        <w:jc w:val="left"/>
        <w:rPr>
          <w:rFonts w:ascii="宋体" w:hAnsi="宋体" w:cs="宋体" w:eastAsia="宋体" w:hint="default"/>
          <w:sz w:val="21"/>
          <w:szCs w:val="21"/>
        </w:rPr>
      </w:pPr>
      <w:r>
        <w:rPr/>
        <w:pict>
          <v:group style="position:absolute;margin-left:80.783997pt;margin-top:-83.556305pt;width:450.6pt;height:.1pt;mso-position-horizontal-relative:page;mso-position-vertical-relative:paragraph;z-index:-862288" coordorigin="1616,-1671" coordsize="9012,2">
            <v:shape style="position:absolute;left:1616;top:-1671;width:9012;height:2" coordorigin="1616,-1671" coordsize="9012,0" path="m1616,-1671l10627,-1671e" filled="false" stroked="true" strokeweight=".71999pt" strokecolor="#000000">
              <v:path arrowok="t"/>
            </v:shape>
            <w10:wrap type="none"/>
          </v:group>
        </w:pict>
      </w:r>
      <w:r>
        <w:rPr>
          <w:rFonts w:ascii="宋体" w:hAnsi="宋体" w:cs="宋体" w:eastAsia="宋体" w:hint="default"/>
          <w:sz w:val="21"/>
          <w:szCs w:val="21"/>
        </w:rPr>
        <w:t>关联担保情况说明：</w:t>
      </w:r>
    </w:p>
    <w:p>
      <w:pPr>
        <w:spacing w:line="309" w:lineRule="auto" w:before="140"/>
        <w:ind w:left="144" w:right="155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日，公司股东</w:t>
      </w:r>
      <w:r>
        <w:rPr>
          <w:rFonts w:ascii="宋体" w:hAnsi="宋体" w:cs="宋体" w:eastAsia="宋体" w:hint="default"/>
          <w:sz w:val="21"/>
          <w:szCs w:val="21"/>
        </w:rPr>
        <w:t>-</w:t>
      </w:r>
      <w:r>
        <w:rPr>
          <w:rFonts w:ascii="宋体" w:hAnsi="宋体" w:cs="宋体" w:eastAsia="宋体" w:hint="default"/>
          <w:sz w:val="21"/>
          <w:szCs w:val="21"/>
        </w:rPr>
        <w:t>北京东华诚信电脑科技发展有限公司、薛向东分别与北</w:t>
      </w:r>
      <w:r>
        <w:rPr>
          <w:rFonts w:ascii="宋体" w:hAnsi="宋体" w:cs="宋体" w:eastAsia="宋体" w:hint="default"/>
          <w:w w:val="100"/>
          <w:sz w:val="21"/>
          <w:szCs w:val="21"/>
        </w:rPr>
        <w:t> </w:t>
      </w:r>
      <w:r>
        <w:rPr>
          <w:rFonts w:ascii="宋体" w:hAnsi="宋体" w:cs="宋体" w:eastAsia="宋体" w:hint="default"/>
          <w:sz w:val="21"/>
          <w:szCs w:val="21"/>
        </w:rPr>
        <w:t>京银行中关村科技园支行签订《最高额保证合同》，合同规定：北京东华诚信电脑科技发展有限</w:t>
      </w:r>
      <w:r>
        <w:rPr>
          <w:rFonts w:ascii="宋体" w:hAnsi="宋体" w:cs="宋体" w:eastAsia="宋体" w:hint="default"/>
          <w:w w:val="100"/>
          <w:sz w:val="21"/>
          <w:szCs w:val="21"/>
        </w:rPr>
        <w:t> </w:t>
      </w:r>
      <w:r>
        <w:rPr>
          <w:rFonts w:ascii="宋体" w:hAnsi="宋体" w:cs="宋体" w:eastAsia="宋体" w:hint="default"/>
          <w:spacing w:val="-5"/>
          <w:sz w:val="21"/>
          <w:szCs w:val="21"/>
        </w:rPr>
        <w:t>公司、薛向东为本公司与该行签订的编号为“</w:t>
      </w:r>
      <w:r>
        <w:rPr>
          <w:rFonts w:ascii="宋体" w:hAnsi="宋体" w:cs="宋体" w:eastAsia="宋体" w:hint="default"/>
          <w:spacing w:val="-5"/>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0103669</w:t>
      </w:r>
      <w:r>
        <w:rPr>
          <w:rFonts w:ascii="宋体" w:hAnsi="宋体" w:cs="宋体" w:eastAsia="宋体" w:hint="default"/>
          <w:spacing w:val="-33"/>
          <w:sz w:val="21"/>
          <w:szCs w:val="21"/>
        </w:rPr>
        <w:t> </w:t>
      </w:r>
      <w:r>
        <w:rPr>
          <w:rFonts w:ascii="宋体" w:hAnsi="宋体" w:cs="宋体" w:eastAsia="宋体" w:hint="default"/>
          <w:spacing w:val="-8"/>
          <w:sz w:val="21"/>
          <w:szCs w:val="21"/>
        </w:rPr>
        <w:t>号”的《综合授信合同》提供担保，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保证期限为债务履行期限届满之日后两年止。截至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日，公司在该行短期借款余</w:t>
      </w:r>
    </w:p>
    <w:p>
      <w:pPr>
        <w:spacing w:line="309" w:lineRule="auto" w:before="17"/>
        <w:ind w:left="144" w:right="1697" w:firstLine="0"/>
        <w:jc w:val="left"/>
        <w:rPr>
          <w:rFonts w:ascii="宋体" w:hAnsi="宋体" w:cs="宋体" w:eastAsia="宋体" w:hint="default"/>
          <w:sz w:val="21"/>
          <w:szCs w:val="21"/>
        </w:rPr>
      </w:pPr>
      <w:r>
        <w:rPr>
          <w:rFonts w:ascii="宋体" w:hAnsi="宋体" w:cs="宋体" w:eastAsia="宋体" w:hint="default"/>
          <w:sz w:val="21"/>
          <w:szCs w:val="21"/>
        </w:rPr>
        <w:t>额为人民币</w:t>
      </w:r>
      <w:r>
        <w:rPr>
          <w:rFonts w:ascii="宋体" w:hAnsi="宋体" w:cs="宋体" w:eastAsia="宋体" w:hint="default"/>
          <w:spacing w:val="-55"/>
          <w:sz w:val="21"/>
          <w:szCs w:val="21"/>
        </w:rPr>
        <w:t> </w:t>
      </w:r>
      <w:r>
        <w:rPr>
          <w:rFonts w:ascii="宋体" w:hAnsi="宋体" w:cs="宋体" w:eastAsia="宋体" w:hint="default"/>
          <w:sz w:val="21"/>
          <w:szCs w:val="21"/>
        </w:rPr>
        <w:t>6,500</w:t>
      </w:r>
      <w:r>
        <w:rPr>
          <w:rFonts w:ascii="宋体" w:hAnsi="宋体" w:cs="宋体" w:eastAsia="宋体" w:hint="default"/>
          <w:spacing w:val="-55"/>
          <w:sz w:val="21"/>
          <w:szCs w:val="21"/>
        </w:rPr>
        <w:t> </w:t>
      </w:r>
      <w:r>
        <w:rPr>
          <w:rFonts w:ascii="宋体" w:hAnsi="宋体" w:cs="宋体" w:eastAsia="宋体" w:hint="default"/>
          <w:sz w:val="21"/>
          <w:szCs w:val="21"/>
        </w:rPr>
        <w:t>万元、应付票据余额为</w:t>
      </w:r>
      <w:r>
        <w:rPr>
          <w:rFonts w:ascii="宋体" w:hAnsi="宋体" w:cs="宋体" w:eastAsia="宋体" w:hint="default"/>
          <w:spacing w:val="-54"/>
          <w:sz w:val="21"/>
          <w:szCs w:val="21"/>
        </w:rPr>
        <w:t> </w:t>
      </w:r>
      <w:r>
        <w:rPr>
          <w:rFonts w:ascii="宋体" w:hAnsi="宋体" w:cs="宋体" w:eastAsia="宋体" w:hint="default"/>
          <w:sz w:val="21"/>
          <w:szCs w:val="21"/>
        </w:rPr>
        <w:t>68,805,991.00</w:t>
      </w:r>
      <w:r>
        <w:rPr>
          <w:rFonts w:ascii="宋体" w:hAnsi="宋体" w:cs="宋体" w:eastAsia="宋体" w:hint="default"/>
          <w:spacing w:val="-57"/>
          <w:sz w:val="21"/>
          <w:szCs w:val="21"/>
        </w:rPr>
        <w:t> </w:t>
      </w:r>
      <w:r>
        <w:rPr>
          <w:rFonts w:ascii="宋体" w:hAnsi="宋体" w:cs="宋体" w:eastAsia="宋体" w:hint="default"/>
          <w:sz w:val="21"/>
          <w:szCs w:val="21"/>
        </w:rPr>
        <w:t>元、未结清保函余额为</w:t>
      </w:r>
      <w:r>
        <w:rPr>
          <w:rFonts w:ascii="宋体" w:hAnsi="宋体" w:cs="宋体" w:eastAsia="宋体" w:hint="default"/>
          <w:spacing w:val="-54"/>
          <w:sz w:val="21"/>
          <w:szCs w:val="21"/>
        </w:rPr>
        <w:t> </w:t>
      </w:r>
      <w:r>
        <w:rPr>
          <w:rFonts w:ascii="宋体" w:hAnsi="宋体" w:cs="宋体" w:eastAsia="宋体" w:hint="default"/>
          <w:sz w:val="21"/>
          <w:szCs w:val="21"/>
        </w:rPr>
        <w:t>3,115,365.00</w:t>
      </w:r>
      <w:r>
        <w:rPr>
          <w:rFonts w:ascii="宋体" w:hAnsi="宋体" w:cs="宋体" w:eastAsia="宋体" w:hint="default"/>
          <w:w w:val="100"/>
          <w:sz w:val="21"/>
          <w:szCs w:val="21"/>
        </w:rPr>
        <w:t> </w:t>
      </w:r>
      <w:r>
        <w:rPr>
          <w:rFonts w:ascii="宋体" w:hAnsi="宋体" w:cs="宋体" w:eastAsia="宋体" w:hint="default"/>
          <w:sz w:val="21"/>
          <w:szCs w:val="21"/>
        </w:rPr>
        <w:t>元。</w:t>
      </w:r>
    </w:p>
    <w:p>
      <w:pPr>
        <w:spacing w:line="309" w:lineRule="auto" w:before="77"/>
        <w:ind w:left="144" w:right="1779"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北京东华合创科技有限公司与北京银行股份有限公司中关村科技园</w:t>
      </w:r>
      <w:r>
        <w:rPr>
          <w:rFonts w:ascii="宋体" w:hAnsi="宋体" w:cs="宋体" w:eastAsia="宋体" w:hint="default"/>
          <w:w w:val="100"/>
          <w:sz w:val="21"/>
          <w:szCs w:val="21"/>
        </w:rPr>
        <w:t> </w:t>
      </w:r>
      <w:r>
        <w:rPr>
          <w:rFonts w:ascii="宋体" w:hAnsi="宋体" w:cs="宋体" w:eastAsia="宋体" w:hint="default"/>
          <w:sz w:val="21"/>
          <w:szCs w:val="21"/>
        </w:rPr>
        <w:t>区支行签订编号为“</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0099347</w:t>
      </w:r>
      <w:r>
        <w:rPr>
          <w:rFonts w:ascii="宋体" w:hAnsi="宋体" w:cs="宋体" w:eastAsia="宋体" w:hint="default"/>
          <w:spacing w:val="-55"/>
          <w:sz w:val="21"/>
          <w:szCs w:val="21"/>
        </w:rPr>
        <w:t> </w:t>
      </w:r>
      <w:r>
        <w:rPr>
          <w:rFonts w:ascii="宋体" w:hAnsi="宋体" w:cs="宋体" w:eastAsia="宋体" w:hint="default"/>
          <w:sz w:val="21"/>
          <w:szCs w:val="21"/>
        </w:rPr>
        <w:t>号”的借款合同占用“</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0103669</w:t>
      </w:r>
      <w:r>
        <w:rPr>
          <w:rFonts w:ascii="宋体" w:hAnsi="宋体" w:cs="宋体" w:eastAsia="宋体" w:hint="default"/>
          <w:spacing w:val="-55"/>
          <w:sz w:val="21"/>
          <w:szCs w:val="21"/>
        </w:rPr>
        <w:t> </w:t>
      </w:r>
      <w:r>
        <w:rPr>
          <w:rFonts w:ascii="宋体" w:hAnsi="宋体" w:cs="宋体" w:eastAsia="宋体" w:hint="default"/>
          <w:sz w:val="21"/>
          <w:szCs w:val="21"/>
        </w:rPr>
        <w:t>号”《综合授信合</w:t>
      </w:r>
      <w:r>
        <w:rPr>
          <w:rFonts w:ascii="宋体" w:hAnsi="宋体" w:cs="宋体" w:eastAsia="宋体" w:hint="default"/>
          <w:w w:val="100"/>
          <w:sz w:val="21"/>
          <w:szCs w:val="21"/>
        </w:rPr>
        <w:t> </w:t>
      </w:r>
      <w:r>
        <w:rPr>
          <w:rFonts w:ascii="宋体" w:hAnsi="宋体" w:cs="宋体" w:eastAsia="宋体" w:hint="default"/>
          <w:spacing w:val="-2"/>
          <w:sz w:val="21"/>
          <w:szCs w:val="21"/>
        </w:rPr>
        <w:t>同》的授信额度。如（</w:t>
      </w:r>
      <w:r>
        <w:rPr>
          <w:rFonts w:ascii="宋体" w:hAnsi="宋体" w:cs="宋体" w:eastAsia="宋体" w:hint="default"/>
          <w:spacing w:val="-2"/>
          <w:sz w:val="21"/>
          <w:szCs w:val="21"/>
        </w:rPr>
        <w:t>1</w:t>
      </w:r>
      <w:r>
        <w:rPr>
          <w:rFonts w:ascii="宋体" w:hAnsi="宋体" w:cs="宋体" w:eastAsia="宋体" w:hint="default"/>
          <w:spacing w:val="-2"/>
          <w:sz w:val="21"/>
          <w:szCs w:val="21"/>
        </w:rPr>
        <w:t>）所述，公司股东</w:t>
      </w:r>
      <w:r>
        <w:rPr>
          <w:rFonts w:ascii="宋体" w:hAnsi="宋体" w:cs="宋体" w:eastAsia="宋体" w:hint="default"/>
          <w:spacing w:val="-2"/>
          <w:sz w:val="21"/>
          <w:szCs w:val="21"/>
        </w:rPr>
        <w:t>-</w:t>
      </w:r>
      <w:r>
        <w:rPr>
          <w:rFonts w:ascii="宋体" w:hAnsi="宋体" w:cs="宋体" w:eastAsia="宋体" w:hint="default"/>
          <w:spacing w:val="-2"/>
          <w:sz w:val="21"/>
          <w:szCs w:val="21"/>
        </w:rPr>
        <w:t>北京东华诚信电脑科技发展有限公司、薛向东为该借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款提供担保，同时本公司为北京东华合创科技有限公司所占用的授信额度提供保证。截至</w:t>
      </w:r>
      <w:r>
        <w:rPr>
          <w:rFonts w:ascii="宋体" w:hAnsi="宋体" w:cs="宋体" w:eastAsia="宋体" w:hint="default"/>
          <w:spacing w:val="25"/>
          <w:sz w:val="21"/>
          <w:szCs w:val="21"/>
        </w:rPr>
        <w:t> </w:t>
      </w:r>
      <w:r>
        <w:rPr>
          <w:rFonts w:ascii="宋体" w:hAnsi="宋体" w:cs="宋体" w:eastAsia="宋体" w:hint="default"/>
          <w:spacing w:val="-1"/>
          <w:sz w:val="21"/>
          <w:szCs w:val="21"/>
        </w:rPr>
        <w:t>2011</w:t>
      </w:r>
    </w:p>
    <w:p>
      <w:pPr>
        <w:spacing w:before="17"/>
        <w:ind w:left="144" w:right="169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日，北京东华合创科技有限公司在该行短期借款余额为人民币</w:t>
      </w:r>
      <w:r>
        <w:rPr>
          <w:rFonts w:ascii="宋体" w:hAnsi="宋体" w:cs="宋体" w:eastAsia="宋体" w:hint="default"/>
          <w:spacing w:val="-53"/>
          <w:sz w:val="21"/>
          <w:szCs w:val="21"/>
        </w:rPr>
        <w:t> </w:t>
      </w:r>
      <w:r>
        <w:rPr>
          <w:rFonts w:ascii="宋体" w:hAnsi="宋体" w:cs="宋体" w:eastAsia="宋体" w:hint="default"/>
          <w:sz w:val="21"/>
          <w:szCs w:val="21"/>
        </w:rPr>
        <w:t>900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309" w:lineRule="auto" w:before="140"/>
        <w:ind w:left="144" w:right="1779"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）如（</w:t>
      </w:r>
      <w:r>
        <w:rPr>
          <w:rFonts w:ascii="宋体" w:hAnsi="宋体" w:cs="宋体" w:eastAsia="宋体" w:hint="default"/>
          <w:spacing w:val="-2"/>
          <w:sz w:val="21"/>
          <w:szCs w:val="21"/>
        </w:rPr>
        <w:t>1</w:t>
      </w:r>
      <w:r>
        <w:rPr>
          <w:rFonts w:ascii="宋体" w:hAnsi="宋体" w:cs="宋体" w:eastAsia="宋体" w:hint="default"/>
          <w:spacing w:val="-2"/>
          <w:sz w:val="21"/>
          <w:szCs w:val="21"/>
        </w:rPr>
        <w:t>）所述，北京东华诚信电脑科技发展有限公司、薛向东为本公司与该行签订的编</w:t>
      </w:r>
      <w:r>
        <w:rPr>
          <w:rFonts w:ascii="宋体" w:hAnsi="宋体" w:cs="宋体" w:eastAsia="宋体" w:hint="default"/>
          <w:w w:val="100"/>
          <w:sz w:val="21"/>
          <w:szCs w:val="21"/>
        </w:rPr>
        <w:t> </w:t>
      </w:r>
      <w:r>
        <w:rPr>
          <w:rFonts w:ascii="宋体" w:hAnsi="宋体" w:cs="宋体" w:eastAsia="宋体" w:hint="default"/>
          <w:sz w:val="21"/>
          <w:szCs w:val="21"/>
        </w:rPr>
        <w:t>号为“</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0103669</w:t>
      </w:r>
      <w:r>
        <w:rPr>
          <w:rFonts w:ascii="宋体" w:hAnsi="宋体" w:cs="宋体" w:eastAsia="宋体" w:hint="default"/>
          <w:spacing w:val="-57"/>
          <w:sz w:val="21"/>
          <w:szCs w:val="21"/>
        </w:rPr>
        <w:t> </w:t>
      </w:r>
      <w:r>
        <w:rPr>
          <w:rFonts w:ascii="宋体" w:hAnsi="宋体" w:cs="宋体" w:eastAsia="宋体" w:hint="default"/>
          <w:sz w:val="21"/>
          <w:szCs w:val="21"/>
        </w:rPr>
        <w:t>号”的《综合授信合同》提供担保，此授信合同规定公司的全资子公司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北京联银通科技有限公司在北京银行的人民币贷款、开立的保函和信用证占用“</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0103669</w:t>
      </w:r>
      <w:r>
        <w:rPr>
          <w:rFonts w:ascii="宋体" w:hAnsi="宋体" w:cs="宋体" w:eastAsia="宋体" w:hint="default"/>
          <w:w w:val="100"/>
          <w:sz w:val="21"/>
          <w:szCs w:val="21"/>
        </w:rPr>
        <w:t> </w:t>
      </w:r>
      <w:r>
        <w:rPr>
          <w:rFonts w:ascii="宋体" w:hAnsi="宋体" w:cs="宋体" w:eastAsia="宋体" w:hint="default"/>
          <w:spacing w:val="-2"/>
          <w:sz w:val="21"/>
          <w:szCs w:val="21"/>
        </w:rPr>
        <w:t>号”《综合授信合同》的授信额度，同时本公司为北京联银通科技有限公司所占用的授信额度提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供保证。截至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日，北京联银通科技有限公司在该行的未结清保函余额为</w:t>
      </w:r>
    </w:p>
    <w:p>
      <w:pPr>
        <w:spacing w:before="17"/>
        <w:ind w:left="144" w:right="1697" w:firstLine="0"/>
        <w:jc w:val="left"/>
        <w:rPr>
          <w:rFonts w:ascii="宋体" w:hAnsi="宋体" w:cs="宋体" w:eastAsia="宋体" w:hint="default"/>
          <w:sz w:val="21"/>
          <w:szCs w:val="21"/>
        </w:rPr>
      </w:pPr>
      <w:r>
        <w:rPr>
          <w:rFonts w:ascii="宋体" w:hAnsi="宋体" w:cs="宋体" w:eastAsia="宋体" w:hint="default"/>
          <w:sz w:val="21"/>
          <w:szCs w:val="21"/>
        </w:rPr>
        <w:t>6,507,083.20</w:t>
      </w:r>
      <w:r>
        <w:rPr>
          <w:rFonts w:ascii="宋体" w:hAnsi="宋体" w:cs="宋体" w:eastAsia="宋体" w:hint="default"/>
          <w:spacing w:val="-55"/>
          <w:sz w:val="21"/>
          <w:szCs w:val="21"/>
        </w:rPr>
        <w:t> </w:t>
      </w:r>
      <w:r>
        <w:rPr>
          <w:rFonts w:ascii="宋体" w:hAnsi="宋体" w:cs="宋体" w:eastAsia="宋体" w:hint="default"/>
          <w:sz w:val="21"/>
          <w:szCs w:val="21"/>
        </w:rPr>
        <w:t>元、信用证余额为</w:t>
      </w:r>
      <w:r>
        <w:rPr>
          <w:rFonts w:ascii="宋体" w:hAnsi="宋体" w:cs="宋体" w:eastAsia="宋体" w:hint="default"/>
          <w:spacing w:val="-52"/>
          <w:sz w:val="21"/>
          <w:szCs w:val="21"/>
        </w:rPr>
        <w:t> </w:t>
      </w:r>
      <w:r>
        <w:rPr>
          <w:rFonts w:ascii="宋体" w:hAnsi="宋体" w:cs="宋体" w:eastAsia="宋体" w:hint="default"/>
          <w:sz w:val="21"/>
          <w:szCs w:val="21"/>
        </w:rPr>
        <w:t>145.54</w:t>
      </w:r>
      <w:r>
        <w:rPr>
          <w:rFonts w:ascii="宋体" w:hAnsi="宋体" w:cs="宋体" w:eastAsia="宋体" w:hint="default"/>
          <w:spacing w:val="-55"/>
          <w:sz w:val="21"/>
          <w:szCs w:val="21"/>
        </w:rPr>
        <w:t> </w:t>
      </w:r>
      <w:r>
        <w:rPr>
          <w:rFonts w:ascii="宋体" w:hAnsi="宋体" w:cs="宋体" w:eastAsia="宋体" w:hint="default"/>
          <w:sz w:val="21"/>
          <w:szCs w:val="21"/>
        </w:rPr>
        <w:t>万欧元。</w:t>
      </w:r>
    </w:p>
    <w:p>
      <w:pPr>
        <w:spacing w:line="309" w:lineRule="auto" w:before="140"/>
        <w:ind w:left="144" w:right="169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日，公司股东</w:t>
      </w:r>
      <w:r>
        <w:rPr>
          <w:rFonts w:ascii="宋体" w:hAnsi="宋体" w:cs="宋体" w:eastAsia="宋体" w:hint="default"/>
          <w:sz w:val="21"/>
          <w:szCs w:val="21"/>
        </w:rPr>
        <w:t>-</w:t>
      </w:r>
      <w:r>
        <w:rPr>
          <w:rFonts w:ascii="宋体" w:hAnsi="宋体" w:cs="宋体" w:eastAsia="宋体" w:hint="default"/>
          <w:sz w:val="21"/>
          <w:szCs w:val="21"/>
        </w:rPr>
        <w:t>北京东华诚信电脑科技发展有限公司、薛向东及妻子</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郭玉梅分别与中国民生银行股份公司签订《最高额保证合同》，合同规定：北京东华诚信电脑科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技发展有限公司、薛向东、郭玉梅为本公司与该行签订的编号为“公授信字第</w:t>
      </w:r>
      <w:r>
        <w:rPr>
          <w:rFonts w:ascii="宋体" w:hAnsi="宋体" w:cs="宋体" w:eastAsia="宋体" w:hint="default"/>
          <w:spacing w:val="25"/>
          <w:sz w:val="21"/>
          <w:szCs w:val="21"/>
        </w:rPr>
        <w:t> </w:t>
      </w:r>
      <w:r>
        <w:rPr>
          <w:rFonts w:ascii="宋体" w:hAnsi="宋体" w:cs="宋体" w:eastAsia="宋体" w:hint="default"/>
          <w:spacing w:val="-1"/>
          <w:sz w:val="21"/>
          <w:szCs w:val="21"/>
        </w:rPr>
        <w:t>01052011289601</w:t>
      </w:r>
    </w:p>
    <w:p>
      <w:pPr>
        <w:spacing w:before="17"/>
        <w:ind w:left="144" w:right="1697" w:firstLine="0"/>
        <w:jc w:val="left"/>
        <w:rPr>
          <w:rFonts w:ascii="宋体" w:hAnsi="宋体" w:cs="宋体" w:eastAsia="宋体" w:hint="default"/>
          <w:sz w:val="21"/>
          <w:szCs w:val="21"/>
        </w:rPr>
      </w:pPr>
      <w:r>
        <w:rPr>
          <w:rFonts w:ascii="宋体" w:hAnsi="宋体" w:cs="宋体" w:eastAsia="宋体" w:hint="default"/>
          <w:sz w:val="21"/>
          <w:szCs w:val="21"/>
        </w:rPr>
        <w:t>号”的《综合授信合同》提供担保，保证期限为债务履行期限届满之日后两年止。截至</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p>
    <w:p>
      <w:pPr>
        <w:spacing w:before="80"/>
        <w:ind w:left="144" w:right="1697"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日，公司在该行未结清保函余额为</w:t>
      </w:r>
      <w:r>
        <w:rPr>
          <w:rFonts w:ascii="宋体" w:hAnsi="宋体" w:cs="宋体" w:eastAsia="宋体" w:hint="default"/>
          <w:spacing w:val="-54"/>
          <w:sz w:val="21"/>
          <w:szCs w:val="21"/>
        </w:rPr>
        <w:t> </w:t>
      </w:r>
      <w:r>
        <w:rPr>
          <w:rFonts w:ascii="宋体" w:hAnsi="宋体" w:cs="宋体" w:eastAsia="宋体" w:hint="default"/>
          <w:sz w:val="21"/>
          <w:szCs w:val="21"/>
        </w:rPr>
        <w:t>5,594,480.52</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09" w:lineRule="auto" w:before="138"/>
        <w:ind w:left="144" w:right="169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公司与北京银行股份有限公司大钟寺支行签订编号为“</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0106006 </w:t>
      </w:r>
      <w:r>
        <w:rPr>
          <w:rFonts w:ascii="宋体" w:hAnsi="宋体" w:cs="宋体" w:eastAsia="宋体" w:hint="default"/>
          <w:spacing w:val="-4"/>
          <w:sz w:val="21"/>
          <w:szCs w:val="21"/>
        </w:rPr>
        <w:t>号”的《最高额保证合同》。该合同规定：公司为全资子公司</w:t>
      </w:r>
      <w:r>
        <w:rPr>
          <w:rFonts w:ascii="宋体" w:hAnsi="宋体" w:cs="宋体" w:eastAsia="宋体" w:hint="default"/>
          <w:spacing w:val="-4"/>
          <w:sz w:val="21"/>
          <w:szCs w:val="21"/>
        </w:rPr>
        <w:t>-</w:t>
      </w:r>
      <w:r>
        <w:rPr>
          <w:rFonts w:ascii="宋体" w:hAnsi="宋体" w:cs="宋体" w:eastAsia="宋体" w:hint="default"/>
          <w:spacing w:val="-4"/>
          <w:sz w:val="21"/>
          <w:szCs w:val="21"/>
        </w:rPr>
        <w:t>北京神州新桥科技有限公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司与该行签订的编号为“</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0106006</w:t>
      </w:r>
      <w:r>
        <w:rPr>
          <w:rFonts w:ascii="宋体" w:hAnsi="宋体" w:cs="宋体" w:eastAsia="宋体" w:hint="default"/>
          <w:spacing w:val="-48"/>
          <w:sz w:val="21"/>
          <w:szCs w:val="21"/>
        </w:rPr>
        <w:t> </w:t>
      </w:r>
      <w:r>
        <w:rPr>
          <w:rFonts w:ascii="宋体" w:hAnsi="宋体" w:cs="宋体" w:eastAsia="宋体" w:hint="default"/>
          <w:spacing w:val="-4"/>
          <w:sz w:val="21"/>
          <w:szCs w:val="21"/>
        </w:rPr>
        <w:t>号”的《综合授信合同》提供担保，担保期限为债务履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行期限届满之日后两年止。截至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日，北京神州新桥科技有限公司在该行短期借</w:t>
      </w:r>
    </w:p>
    <w:p>
      <w:pPr>
        <w:spacing w:before="19"/>
        <w:ind w:left="144" w:right="1697" w:firstLine="0"/>
        <w:jc w:val="left"/>
        <w:rPr>
          <w:rFonts w:ascii="宋体" w:hAnsi="宋体" w:cs="宋体" w:eastAsia="宋体" w:hint="default"/>
          <w:sz w:val="21"/>
          <w:szCs w:val="21"/>
        </w:rPr>
      </w:pPr>
      <w:r>
        <w:rPr>
          <w:rFonts w:ascii="宋体" w:hAnsi="宋体" w:cs="宋体" w:eastAsia="宋体" w:hint="default"/>
          <w:sz w:val="21"/>
          <w:szCs w:val="21"/>
        </w:rPr>
        <w:t>款余额为人民币</w:t>
      </w:r>
      <w:r>
        <w:rPr>
          <w:rFonts w:ascii="宋体" w:hAnsi="宋体" w:cs="宋体" w:eastAsia="宋体" w:hint="default"/>
          <w:spacing w:val="-53"/>
          <w:sz w:val="21"/>
          <w:szCs w:val="21"/>
        </w:rPr>
        <w:t> </w:t>
      </w:r>
      <w:r>
        <w:rPr>
          <w:rFonts w:ascii="宋体" w:hAnsi="宋体" w:cs="宋体" w:eastAsia="宋体" w:hint="default"/>
          <w:sz w:val="21"/>
          <w:szCs w:val="21"/>
        </w:rPr>
        <w:t>990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309" w:lineRule="auto" w:before="138"/>
        <w:ind w:left="144" w:right="1822"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日，公司股东</w:t>
      </w:r>
      <w:r>
        <w:rPr>
          <w:rFonts w:ascii="宋体" w:hAnsi="宋体" w:cs="宋体" w:eastAsia="宋体" w:hint="default"/>
          <w:sz w:val="21"/>
          <w:szCs w:val="21"/>
        </w:rPr>
        <w:t>-</w:t>
      </w:r>
      <w:r>
        <w:rPr>
          <w:rFonts w:ascii="宋体" w:hAnsi="宋体" w:cs="宋体" w:eastAsia="宋体" w:hint="default"/>
          <w:sz w:val="21"/>
          <w:szCs w:val="21"/>
        </w:rPr>
        <w:t>张建华先生、张秀珍女士及其家庭成员</w:t>
      </w:r>
      <w:r>
        <w:rPr>
          <w:rFonts w:ascii="宋体" w:hAnsi="宋体" w:cs="宋体" w:eastAsia="宋体" w:hint="default"/>
          <w:sz w:val="21"/>
          <w:szCs w:val="21"/>
        </w:rPr>
        <w:t>-</w:t>
      </w:r>
      <w:r>
        <w:rPr>
          <w:rFonts w:ascii="宋体" w:hAnsi="宋体" w:cs="宋体" w:eastAsia="宋体" w:hint="default"/>
          <w:sz w:val="21"/>
          <w:szCs w:val="21"/>
        </w:rPr>
        <w:t>乔迁先生与北京</w:t>
      </w:r>
      <w:r>
        <w:rPr>
          <w:rFonts w:ascii="宋体" w:hAnsi="宋体" w:cs="宋体" w:eastAsia="宋体" w:hint="default"/>
          <w:w w:val="100"/>
          <w:sz w:val="21"/>
          <w:szCs w:val="21"/>
        </w:rPr>
        <w:t> </w:t>
      </w:r>
      <w:r>
        <w:rPr>
          <w:rFonts w:ascii="宋体" w:hAnsi="宋体" w:cs="宋体" w:eastAsia="宋体" w:hint="default"/>
          <w:sz w:val="21"/>
          <w:szCs w:val="21"/>
        </w:rPr>
        <w:t>中关村科技担保有限公司签订编号为“</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BZ0155</w:t>
      </w:r>
      <w:r>
        <w:rPr>
          <w:rFonts w:ascii="宋体" w:hAnsi="宋体" w:cs="宋体" w:eastAsia="宋体" w:hint="default"/>
          <w:spacing w:val="-56"/>
          <w:sz w:val="21"/>
          <w:szCs w:val="21"/>
        </w:rPr>
        <w:t> </w:t>
      </w:r>
      <w:r>
        <w:rPr>
          <w:rFonts w:ascii="宋体" w:hAnsi="宋体" w:cs="宋体" w:eastAsia="宋体" w:hint="default"/>
          <w:sz w:val="21"/>
          <w:szCs w:val="21"/>
        </w:rPr>
        <w:t>号”的《最高额反担保（保证）合同》。</w:t>
      </w:r>
      <w:r>
        <w:rPr>
          <w:rFonts w:ascii="宋体" w:hAnsi="宋体" w:cs="宋体" w:eastAsia="宋体" w:hint="default"/>
          <w:w w:val="100"/>
          <w:sz w:val="21"/>
          <w:szCs w:val="21"/>
        </w:rPr>
        <w:t> </w:t>
      </w:r>
      <w:r>
        <w:rPr>
          <w:rFonts w:ascii="宋体" w:hAnsi="宋体" w:cs="宋体" w:eastAsia="宋体" w:hint="default"/>
          <w:spacing w:val="-2"/>
          <w:sz w:val="21"/>
          <w:szCs w:val="21"/>
        </w:rPr>
        <w:t>该合同规定：张建华先生、张秀珍女士及乔迁先生共同为公司的全资子公司</w:t>
      </w:r>
      <w:r>
        <w:rPr>
          <w:rFonts w:ascii="宋体" w:hAnsi="宋体" w:cs="宋体" w:eastAsia="宋体" w:hint="default"/>
          <w:spacing w:val="-2"/>
          <w:sz w:val="21"/>
          <w:szCs w:val="21"/>
        </w:rPr>
        <w:t>-</w:t>
      </w:r>
      <w:r>
        <w:rPr>
          <w:rFonts w:ascii="宋体" w:hAnsi="宋体" w:cs="宋体" w:eastAsia="宋体" w:hint="default"/>
          <w:spacing w:val="-2"/>
          <w:sz w:val="21"/>
          <w:szCs w:val="21"/>
        </w:rPr>
        <w:t>北京神州新桥科技</w:t>
      </w:r>
    </w:p>
    <w:p>
      <w:pPr>
        <w:spacing w:after="0" w:line="309" w:lineRule="auto"/>
        <w:jc w:val="both"/>
        <w:rPr>
          <w:rFonts w:ascii="宋体" w:hAnsi="宋体" w:cs="宋体" w:eastAsia="宋体" w:hint="default"/>
          <w:sz w:val="21"/>
          <w:szCs w:val="21"/>
        </w:rPr>
        <w:sectPr>
          <w:pgSz w:w="12240" w:h="15840"/>
          <w:pgMar w:header="850" w:footer="956" w:top="1360" w:bottom="1140" w:left="1500" w:right="0"/>
        </w:sectPr>
      </w:pPr>
    </w:p>
    <w:p>
      <w:pPr>
        <w:spacing w:line="309" w:lineRule="auto" w:before="15"/>
        <w:ind w:left="224" w:right="1671" w:firstLine="0"/>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264"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有限公司与北京中关村科技担保有限公司签订的编号为“</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WT0155</w:t>
      </w:r>
      <w:r>
        <w:rPr>
          <w:rFonts w:ascii="宋体" w:hAnsi="宋体" w:cs="宋体" w:eastAsia="宋体" w:hint="default"/>
          <w:spacing w:val="-54"/>
          <w:sz w:val="21"/>
          <w:szCs w:val="21"/>
        </w:rPr>
        <w:t> </w:t>
      </w:r>
      <w:r>
        <w:rPr>
          <w:rFonts w:ascii="宋体" w:hAnsi="宋体" w:cs="宋体" w:eastAsia="宋体" w:hint="default"/>
          <w:spacing w:val="-6"/>
          <w:sz w:val="21"/>
          <w:szCs w:val="21"/>
        </w:rPr>
        <w:t>号”的《委托保证合同》</w:t>
      </w:r>
      <w:r>
        <w:rPr>
          <w:rFonts w:ascii="宋体" w:hAnsi="宋体" w:cs="宋体" w:eastAsia="宋体" w:hint="default"/>
          <w:w w:val="100"/>
          <w:sz w:val="21"/>
          <w:szCs w:val="21"/>
        </w:rPr>
        <w:t> </w:t>
      </w:r>
      <w:r>
        <w:rPr>
          <w:rFonts w:ascii="宋体" w:hAnsi="宋体" w:cs="宋体" w:eastAsia="宋体" w:hint="default"/>
          <w:sz w:val="21"/>
          <w:szCs w:val="21"/>
        </w:rPr>
        <w:t>提供反担保，担保期限为</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日，北</w:t>
      </w:r>
    </w:p>
    <w:p>
      <w:pPr>
        <w:spacing w:line="410" w:lineRule="auto" w:before="19"/>
        <w:ind w:left="627" w:right="4070" w:hanging="404"/>
        <w:jc w:val="left"/>
        <w:rPr>
          <w:rFonts w:ascii="宋体" w:hAnsi="宋体" w:cs="宋体" w:eastAsia="宋体" w:hint="default"/>
          <w:sz w:val="21"/>
          <w:szCs w:val="21"/>
        </w:rPr>
      </w:pPr>
      <w:r>
        <w:rPr/>
        <w:pict>
          <v:shape style="position:absolute;margin-left:81.984001pt;margin-top:43.333649pt;width:494.4pt;height:194.4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1"/>
                    <w:gridCol w:w="1620"/>
                    <w:gridCol w:w="1621"/>
                    <w:gridCol w:w="1260"/>
                    <w:gridCol w:w="1772"/>
                  </w:tblGrid>
                  <w:tr>
                    <w:trPr>
                      <w:trHeight w:val="312" w:hRule="exact"/>
                    </w:trPr>
                    <w:tc>
                      <w:tcPr>
                        <w:tcW w:w="3601"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账龄分析</w:t>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经济内容</w:t>
                        </w:r>
                      </w:p>
                    </w:tc>
                  </w:tr>
                  <w:tr>
                    <w:trPr>
                      <w:trHeight w:val="300"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3601"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left="88"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right="2"/>
                          <w:jc w:val="right"/>
                          <w:rPr>
                            <w:rFonts w:ascii="宋体" w:hAnsi="宋体" w:cs="宋体" w:eastAsia="宋体" w:hint="default"/>
                            <w:sz w:val="21"/>
                            <w:szCs w:val="21"/>
                          </w:rPr>
                        </w:pPr>
                        <w:r>
                          <w:rPr>
                            <w:rFonts w:ascii="宋体"/>
                            <w:spacing w:val="-1"/>
                            <w:sz w:val="21"/>
                          </w:rPr>
                          <w:t>75,570.00</w:t>
                        </w:r>
                      </w:p>
                    </w:tc>
                    <w:tc>
                      <w:tcPr>
                        <w:tcW w:w="1621" w:type="dxa"/>
                        <w:tcBorders>
                          <w:top w:val="single" w:sz="4" w:space="0" w:color="000000"/>
                          <w:left w:val="single" w:sz="4" w:space="0" w:color="000000"/>
                          <w:bottom w:val="nil" w:sz="6" w:space="0" w:color="auto"/>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75,000.00</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1</w:t>
                        </w:r>
                      </w:p>
                    </w:tc>
                    <w:tc>
                      <w:tcPr>
                        <w:tcW w:w="1772"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89" w:hRule="exact"/>
                    </w:trPr>
                    <w:tc>
                      <w:tcPr>
                        <w:tcW w:w="3601" w:type="dxa"/>
                        <w:tcBorders>
                          <w:top w:val="nil" w:sz="6" w:space="0" w:color="auto"/>
                          <w:left w:val="single" w:sz="4" w:space="0" w:color="000000"/>
                          <w:bottom w:val="nil" w:sz="6" w:space="0" w:color="auto"/>
                          <w:right w:val="single" w:sz="4" w:space="0" w:color="000000"/>
                        </w:tcBorders>
                      </w:tcPr>
                      <w:p>
                        <w:pPr>
                          <w:pStyle w:val="TableParagraph"/>
                          <w:tabs>
                            <w:tab w:pos="511" w:val="left" w:leader="none"/>
                          </w:tabs>
                          <w:spacing w:line="265" w:lineRule="exact"/>
                          <w:ind w:left="88" w:right="0"/>
                          <w:jc w:val="left"/>
                          <w:rPr>
                            <w:rFonts w:ascii="宋体" w:hAnsi="宋体" w:cs="宋体" w:eastAsia="宋体" w:hint="default"/>
                            <w:sz w:val="21"/>
                            <w:szCs w:val="21"/>
                          </w:rPr>
                        </w:pPr>
                        <w:r>
                          <w:rPr>
                            <w:rFonts w:ascii="宋体" w:hAnsi="宋体" w:cs="宋体" w:eastAsia="宋体" w:hint="default"/>
                            <w:sz w:val="21"/>
                            <w:szCs w:val="21"/>
                          </w:rPr>
                          <w:t>杨</w:t>
                          <w:tab/>
                          <w:t>健</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46,946.17</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5"/>
                          <w:jc w:val="right"/>
                          <w:rPr>
                            <w:rFonts w:ascii="宋体" w:hAnsi="宋体" w:cs="宋体" w:eastAsia="宋体" w:hint="default"/>
                            <w:sz w:val="21"/>
                            <w:szCs w:val="21"/>
                          </w:rPr>
                        </w:pPr>
                        <w:r>
                          <w:rPr>
                            <w:rFonts w:ascii="宋体"/>
                            <w:spacing w:val="-1"/>
                            <w:sz w:val="21"/>
                          </w:rPr>
                          <w:t>51,116.23</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2</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90" w:hRule="exact"/>
                    </w:trPr>
                    <w:tc>
                      <w:tcPr>
                        <w:tcW w:w="360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88" w:right="0"/>
                          <w:jc w:val="left"/>
                          <w:rPr>
                            <w:rFonts w:ascii="宋体" w:hAnsi="宋体" w:cs="宋体" w:eastAsia="宋体" w:hint="default"/>
                            <w:sz w:val="21"/>
                            <w:szCs w:val="21"/>
                          </w:rPr>
                        </w:pPr>
                        <w:r>
                          <w:rPr>
                            <w:rFonts w:ascii="宋体" w:hAnsi="宋体" w:cs="宋体" w:eastAsia="宋体" w:hint="default"/>
                            <w:sz w:val="21"/>
                            <w:szCs w:val="21"/>
                          </w:rPr>
                          <w:t>李建国</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32,243.15</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5"/>
                          <w:jc w:val="right"/>
                          <w:rPr>
                            <w:rFonts w:ascii="宋体" w:hAnsi="宋体" w:cs="宋体" w:eastAsia="宋体" w:hint="default"/>
                            <w:sz w:val="21"/>
                            <w:szCs w:val="21"/>
                          </w:rPr>
                        </w:pPr>
                        <w:r>
                          <w:rPr>
                            <w:rFonts w:ascii="宋体"/>
                            <w:spacing w:val="-1"/>
                            <w:sz w:val="21"/>
                          </w:rPr>
                          <w:t>56,270.44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90" w:hRule="exact"/>
                    </w:trPr>
                    <w:tc>
                      <w:tcPr>
                        <w:tcW w:w="3601" w:type="dxa"/>
                        <w:tcBorders>
                          <w:top w:val="nil" w:sz="6" w:space="0" w:color="auto"/>
                          <w:left w:val="single" w:sz="4" w:space="0" w:color="000000"/>
                          <w:bottom w:val="nil" w:sz="6" w:space="0" w:color="auto"/>
                          <w:right w:val="single" w:sz="4" w:space="0" w:color="000000"/>
                        </w:tcBorders>
                      </w:tcPr>
                      <w:p>
                        <w:pPr>
                          <w:pStyle w:val="TableParagraph"/>
                          <w:tabs>
                            <w:tab w:pos="511" w:val="left" w:leader="none"/>
                          </w:tabs>
                          <w:spacing w:line="266" w:lineRule="exact"/>
                          <w:ind w:left="88" w:right="0"/>
                          <w:jc w:val="left"/>
                          <w:rPr>
                            <w:rFonts w:ascii="宋体" w:hAnsi="宋体" w:cs="宋体" w:eastAsia="宋体" w:hint="default"/>
                            <w:sz w:val="21"/>
                            <w:szCs w:val="21"/>
                          </w:rPr>
                        </w:pPr>
                        <w:r>
                          <w:rPr>
                            <w:rFonts w:ascii="宋体" w:hAnsi="宋体" w:cs="宋体" w:eastAsia="宋体" w:hint="default"/>
                            <w:sz w:val="21"/>
                            <w:szCs w:val="21"/>
                          </w:rPr>
                          <w:t>吕</w:t>
                          <w:tab/>
                          <w:t>波</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3"/>
                          <w:jc w:val="right"/>
                          <w:rPr>
                            <w:rFonts w:ascii="宋体" w:hAnsi="宋体" w:cs="宋体" w:eastAsia="宋体" w:hint="default"/>
                            <w:sz w:val="21"/>
                            <w:szCs w:val="21"/>
                          </w:rPr>
                        </w:pPr>
                        <w:r>
                          <w:rPr>
                            <w:rFonts w:ascii="宋体"/>
                            <w:spacing w:val="-1"/>
                            <w:sz w:val="21"/>
                          </w:rPr>
                          <w:t>237,270.00</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284,954.48</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98" w:hRule="exact"/>
                    </w:trPr>
                    <w:tc>
                      <w:tcPr>
                        <w:tcW w:w="360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88" w:right="0"/>
                          <w:jc w:val="left"/>
                          <w:rPr>
                            <w:rFonts w:ascii="宋体" w:hAnsi="宋体" w:cs="宋体" w:eastAsia="宋体" w:hint="default"/>
                            <w:sz w:val="21"/>
                            <w:szCs w:val="21"/>
                          </w:rPr>
                        </w:pPr>
                        <w:r>
                          <w:rPr>
                            <w:rFonts w:ascii="宋体" w:hAnsi="宋体" w:cs="宋体" w:eastAsia="宋体" w:hint="default"/>
                            <w:sz w:val="21"/>
                            <w:szCs w:val="21"/>
                          </w:rPr>
                          <w:t>夏金崇</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
                          <w:jc w:val="right"/>
                          <w:rPr>
                            <w:rFonts w:ascii="宋体" w:hAnsi="宋体" w:cs="宋体" w:eastAsia="宋体" w:hint="default"/>
                            <w:sz w:val="21"/>
                            <w:szCs w:val="21"/>
                          </w:rPr>
                        </w:pPr>
                        <w:r>
                          <w:rPr>
                            <w:rFonts w:ascii="宋体"/>
                            <w:spacing w:val="-1"/>
                            <w:sz w:val="21"/>
                          </w:rPr>
                          <w:t>49,306.96</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9" w:lineRule="exact"/>
                          <w:ind w:right="5"/>
                          <w:jc w:val="right"/>
                          <w:rPr>
                            <w:rFonts w:ascii="宋体" w:hAnsi="宋体" w:cs="宋体" w:eastAsia="宋体" w:hint="default"/>
                            <w:sz w:val="21"/>
                            <w:szCs w:val="21"/>
                          </w:rPr>
                        </w:pPr>
                        <w:r>
                          <w:rPr>
                            <w:rFonts w:ascii="宋体"/>
                            <w:spacing w:val="-1"/>
                            <w:sz w:val="21"/>
                          </w:rPr>
                          <w:t>49,775.04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90" w:hRule="exact"/>
                    </w:trPr>
                    <w:tc>
                      <w:tcPr>
                        <w:tcW w:w="360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88" w:right="0"/>
                          <w:jc w:val="left"/>
                          <w:rPr>
                            <w:rFonts w:ascii="宋体" w:hAnsi="宋体" w:cs="宋体" w:eastAsia="宋体" w:hint="default"/>
                            <w:sz w:val="21"/>
                            <w:szCs w:val="21"/>
                          </w:rPr>
                        </w:pPr>
                        <w:r>
                          <w:rPr>
                            <w:rFonts w:ascii="宋体" w:hAnsi="宋体" w:cs="宋体" w:eastAsia="宋体" w:hint="default"/>
                            <w:sz w:val="21"/>
                            <w:szCs w:val="21"/>
                          </w:rPr>
                          <w:t>江海标</w:t>
                        </w:r>
                      </w:p>
                    </w:tc>
                    <w:tc>
                      <w:tcPr>
                        <w:tcW w:w="1620"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4,960.00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286" w:hRule="exact"/>
                    </w:trPr>
                    <w:tc>
                      <w:tcPr>
                        <w:tcW w:w="3601" w:type="dxa"/>
                        <w:tcBorders>
                          <w:top w:val="nil" w:sz="6" w:space="0" w:color="auto"/>
                          <w:left w:val="single" w:sz="4" w:space="0" w:color="000000"/>
                          <w:bottom w:val="single" w:sz="4" w:space="0" w:color="000000"/>
                          <w:right w:val="single" w:sz="4" w:space="0" w:color="000000"/>
                        </w:tcBorders>
                      </w:tcPr>
                      <w:p>
                        <w:pPr>
                          <w:pStyle w:val="TableParagraph"/>
                          <w:tabs>
                            <w:tab w:pos="525" w:val="left" w:leader="none"/>
                          </w:tabs>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柏</w:t>
                          <w:tab/>
                          <w:t>红</w:t>
                        </w:r>
                      </w:p>
                    </w:tc>
                    <w:tc>
                      <w:tcPr>
                        <w:tcW w:w="1620" w:type="dxa"/>
                        <w:tcBorders>
                          <w:top w:val="nil" w:sz="6" w:space="0" w:color="auto"/>
                          <w:left w:val="single" w:sz="4" w:space="0" w:color="000000"/>
                          <w:bottom w:val="single" w:sz="4" w:space="0" w:color="000000"/>
                          <w:right w:val="single" w:sz="4" w:space="0" w:color="000000"/>
                        </w:tcBorders>
                      </w:tcPr>
                      <w:p>
                        <w:pP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50,000.00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300"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441,336.28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572,076.19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88" w:right="0"/>
                          <w:jc w:val="left"/>
                          <w:rPr>
                            <w:rFonts w:ascii="宋体" w:hAnsi="宋体" w:cs="宋体" w:eastAsia="宋体" w:hint="default"/>
                            <w:sz w:val="21"/>
                            <w:szCs w:val="21"/>
                          </w:rPr>
                        </w:pPr>
                        <w:r>
                          <w:rPr>
                            <w:rFonts w:ascii="宋体" w:hAnsi="宋体" w:cs="宋体" w:eastAsia="宋体" w:hint="default"/>
                            <w:sz w:val="21"/>
                            <w:szCs w:val="21"/>
                          </w:rPr>
                          <w:t>北京东华诚信电脑科技发展有限公司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3,180,000.00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07" w:hRule="exact"/>
                    </w:trPr>
                    <w:tc>
                      <w:tcPr>
                        <w:tcW w:w="3601"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12" w:space="0" w:color="000000"/>
                          <w:right w:val="single" w:sz="4" w:space="0" w:color="000000"/>
                        </w:tcBorders>
                      </w:tcPr>
                      <w:p>
                        <w:pP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3,180,000.00</w:t>
                        </w:r>
                      </w:p>
                    </w:tc>
                    <w:tc>
                      <w:tcPr>
                        <w:tcW w:w="1260" w:type="dxa"/>
                        <w:tcBorders>
                          <w:top w:val="single" w:sz="4" w:space="0" w:color="000000"/>
                          <w:left w:val="single" w:sz="4" w:space="0" w:color="000000"/>
                          <w:bottom w:val="single" w:sz="12" w:space="0" w:color="000000"/>
                          <w:right w:val="single" w:sz="4" w:space="0" w:color="000000"/>
                        </w:tcBorders>
                      </w:tcPr>
                      <w:p>
                        <w:pPr/>
                      </w:p>
                    </w:tc>
                    <w:tc>
                      <w:tcPr>
                        <w:tcW w:w="1772" w:type="dxa"/>
                        <w:tcBorders>
                          <w:top w:val="single" w:sz="4" w:space="0" w:color="000000"/>
                          <w:left w:val="single" w:sz="4" w:space="0" w:color="000000"/>
                          <w:bottom w:val="single" w:sz="12"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京神州新桥科技有限公司在该行的短期借款余额为人民币</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644" w:right="157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、其中一年以内</w:t>
      </w:r>
      <w:r>
        <w:rPr>
          <w:rFonts w:ascii="宋体" w:hAnsi="宋体" w:cs="宋体" w:eastAsia="宋体" w:hint="default"/>
          <w:spacing w:val="-53"/>
          <w:sz w:val="21"/>
          <w:szCs w:val="21"/>
        </w:rPr>
        <w:t> </w:t>
      </w:r>
      <w:r>
        <w:rPr>
          <w:rFonts w:ascii="宋体" w:hAnsi="宋体" w:cs="宋体" w:eastAsia="宋体" w:hint="default"/>
          <w:sz w:val="21"/>
          <w:szCs w:val="21"/>
        </w:rPr>
        <w:t>6,540.00</w:t>
      </w:r>
      <w:r>
        <w:rPr>
          <w:rFonts w:ascii="宋体" w:hAnsi="宋体" w:cs="宋体" w:eastAsia="宋体" w:hint="default"/>
          <w:spacing w:val="-54"/>
          <w:sz w:val="21"/>
          <w:szCs w:val="21"/>
        </w:rPr>
        <w:t> </w:t>
      </w:r>
      <w:r>
        <w:rPr>
          <w:rFonts w:ascii="宋体" w:hAnsi="宋体" w:cs="宋体" w:eastAsia="宋体" w:hint="default"/>
          <w:sz w:val="21"/>
          <w:szCs w:val="21"/>
        </w:rPr>
        <w:t>元、一至二年</w:t>
      </w:r>
      <w:r>
        <w:rPr>
          <w:rFonts w:ascii="宋体" w:hAnsi="宋体" w:cs="宋体" w:eastAsia="宋体" w:hint="default"/>
          <w:spacing w:val="-54"/>
          <w:sz w:val="21"/>
          <w:szCs w:val="21"/>
        </w:rPr>
        <w:t> </w:t>
      </w:r>
      <w:r>
        <w:rPr>
          <w:rFonts w:ascii="宋体" w:hAnsi="宋体" w:cs="宋体" w:eastAsia="宋体" w:hint="default"/>
          <w:sz w:val="21"/>
          <w:szCs w:val="21"/>
        </w:rPr>
        <w:t>32,500.00</w:t>
      </w:r>
      <w:r>
        <w:rPr>
          <w:rFonts w:ascii="宋体" w:hAnsi="宋体" w:cs="宋体" w:eastAsia="宋体" w:hint="default"/>
          <w:spacing w:val="-54"/>
          <w:sz w:val="21"/>
          <w:szCs w:val="21"/>
        </w:rPr>
        <w:t> </w:t>
      </w:r>
      <w:r>
        <w:rPr>
          <w:rFonts w:ascii="宋体" w:hAnsi="宋体" w:cs="宋体" w:eastAsia="宋体" w:hint="default"/>
          <w:sz w:val="21"/>
          <w:szCs w:val="21"/>
        </w:rPr>
        <w:t>元、二至三年</w:t>
      </w:r>
      <w:r>
        <w:rPr>
          <w:rFonts w:ascii="宋体" w:hAnsi="宋体" w:cs="宋体" w:eastAsia="宋体" w:hint="default"/>
          <w:spacing w:val="-56"/>
          <w:sz w:val="21"/>
          <w:szCs w:val="21"/>
        </w:rPr>
        <w:t> </w:t>
      </w:r>
      <w:r>
        <w:rPr>
          <w:rFonts w:ascii="宋体" w:hAnsi="宋体" w:cs="宋体" w:eastAsia="宋体" w:hint="default"/>
          <w:sz w:val="21"/>
          <w:szCs w:val="21"/>
        </w:rPr>
        <w:t>35,960.00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92"/>
        <w:ind w:left="644" w:right="1575" w:firstLine="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、其中一年以内</w:t>
      </w:r>
      <w:r>
        <w:rPr>
          <w:rFonts w:ascii="宋体" w:hAnsi="宋体" w:cs="宋体" w:eastAsia="宋体" w:hint="default"/>
          <w:spacing w:val="-49"/>
          <w:sz w:val="21"/>
          <w:szCs w:val="21"/>
        </w:rPr>
        <w:t> </w:t>
      </w:r>
      <w:r>
        <w:rPr>
          <w:rFonts w:ascii="宋体" w:hAnsi="宋体" w:cs="宋体" w:eastAsia="宋体" w:hint="default"/>
          <w:sz w:val="21"/>
          <w:szCs w:val="21"/>
        </w:rPr>
        <w:t>10,000.00</w:t>
      </w:r>
      <w:r>
        <w:rPr>
          <w:rFonts w:ascii="宋体" w:hAnsi="宋体" w:cs="宋体" w:eastAsia="宋体" w:hint="default"/>
          <w:spacing w:val="-47"/>
          <w:sz w:val="21"/>
          <w:szCs w:val="21"/>
        </w:rPr>
        <w:t> </w:t>
      </w:r>
      <w:r>
        <w:rPr>
          <w:rFonts w:ascii="宋体" w:hAnsi="宋体" w:cs="宋体" w:eastAsia="宋体" w:hint="default"/>
          <w:spacing w:val="-5"/>
          <w:sz w:val="21"/>
          <w:szCs w:val="21"/>
        </w:rPr>
        <w:t>元、一至二年</w:t>
      </w:r>
      <w:r>
        <w:rPr>
          <w:rFonts w:ascii="宋体" w:hAnsi="宋体" w:cs="宋体" w:eastAsia="宋体" w:hint="default"/>
          <w:spacing w:val="-46"/>
          <w:sz w:val="21"/>
          <w:szCs w:val="21"/>
        </w:rPr>
        <w:t> </w:t>
      </w:r>
      <w:r>
        <w:rPr>
          <w:rFonts w:ascii="宋体" w:hAnsi="宋体" w:cs="宋体" w:eastAsia="宋体" w:hint="default"/>
          <w:sz w:val="21"/>
          <w:szCs w:val="21"/>
        </w:rPr>
        <w:t>13,420.00</w:t>
      </w:r>
      <w:r>
        <w:rPr>
          <w:rFonts w:ascii="宋体" w:hAnsi="宋体" w:cs="宋体" w:eastAsia="宋体" w:hint="default"/>
          <w:spacing w:val="-47"/>
          <w:sz w:val="21"/>
          <w:szCs w:val="21"/>
        </w:rPr>
        <w:t> </w:t>
      </w:r>
      <w:r>
        <w:rPr>
          <w:rFonts w:ascii="宋体" w:hAnsi="宋体" w:cs="宋体" w:eastAsia="宋体" w:hint="default"/>
          <w:spacing w:val="-5"/>
          <w:sz w:val="21"/>
          <w:szCs w:val="21"/>
        </w:rPr>
        <w:t>元、二至三年</w:t>
      </w:r>
      <w:r>
        <w:rPr>
          <w:rFonts w:ascii="宋体" w:hAnsi="宋体" w:cs="宋体" w:eastAsia="宋体" w:hint="default"/>
          <w:spacing w:val="-46"/>
          <w:sz w:val="21"/>
          <w:szCs w:val="21"/>
        </w:rPr>
        <w:t> </w:t>
      </w:r>
      <w:r>
        <w:rPr>
          <w:rFonts w:ascii="宋体" w:hAnsi="宋体" w:cs="宋体" w:eastAsia="宋体" w:hint="default"/>
          <w:sz w:val="21"/>
          <w:szCs w:val="21"/>
        </w:rPr>
        <w:t>10,000.00</w:t>
      </w:r>
      <w:r>
        <w:rPr>
          <w:rFonts w:ascii="宋体" w:hAnsi="宋体" w:cs="宋体" w:eastAsia="宋体" w:hint="default"/>
          <w:spacing w:val="-47"/>
          <w:sz w:val="21"/>
          <w:szCs w:val="21"/>
        </w:rPr>
        <w:t> </w:t>
      </w:r>
      <w:r>
        <w:rPr>
          <w:rFonts w:ascii="宋体" w:hAnsi="宋体" w:cs="宋体" w:eastAsia="宋体" w:hint="default"/>
          <w:spacing w:val="-5"/>
          <w:sz w:val="21"/>
          <w:szCs w:val="21"/>
        </w:rPr>
        <w:t>元、三年以上</w:t>
      </w:r>
    </w:p>
    <w:p>
      <w:pPr>
        <w:spacing w:before="54"/>
        <w:ind w:left="224" w:right="1575" w:firstLine="0"/>
        <w:jc w:val="left"/>
        <w:rPr>
          <w:rFonts w:ascii="宋体" w:hAnsi="宋体" w:cs="宋体" w:eastAsia="宋体" w:hint="default"/>
          <w:sz w:val="21"/>
          <w:szCs w:val="21"/>
        </w:rPr>
      </w:pPr>
      <w:r>
        <w:rPr>
          <w:rFonts w:ascii="宋体" w:hAnsi="宋体" w:cs="宋体" w:eastAsia="宋体" w:hint="default"/>
          <w:sz w:val="21"/>
          <w:szCs w:val="21"/>
        </w:rPr>
        <w:t>17,696.23</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7"/>
          <w:szCs w:val="17"/>
        </w:rPr>
      </w:pPr>
    </w:p>
    <w:p>
      <w:pPr>
        <w:spacing w:before="0"/>
        <w:ind w:left="224" w:right="1575"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before="116"/>
        <w:ind w:left="644" w:right="157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日，公司未结清保函金额</w:t>
      </w:r>
      <w:r>
        <w:rPr>
          <w:rFonts w:ascii="宋体" w:hAnsi="宋体" w:cs="宋体" w:eastAsia="宋体" w:hint="default"/>
          <w:spacing w:val="-55"/>
          <w:sz w:val="21"/>
          <w:szCs w:val="21"/>
        </w:rPr>
        <w:t> </w:t>
      </w:r>
      <w:r>
        <w:rPr>
          <w:rFonts w:ascii="宋体" w:hAnsi="宋体" w:cs="宋体" w:eastAsia="宋体" w:hint="default"/>
          <w:sz w:val="21"/>
          <w:szCs w:val="21"/>
        </w:rPr>
        <w:t>65,411,775.83</w:t>
      </w:r>
      <w:r>
        <w:rPr>
          <w:rFonts w:ascii="宋体" w:hAnsi="宋体" w:cs="宋体" w:eastAsia="宋体" w:hint="default"/>
          <w:spacing w:val="-2"/>
          <w:sz w:val="21"/>
          <w:szCs w:val="21"/>
        </w:rPr>
        <w:t> </w:t>
      </w:r>
      <w:r>
        <w:rPr>
          <w:rFonts w:ascii="宋体" w:hAnsi="宋体" w:cs="宋体" w:eastAsia="宋体" w:hint="default"/>
          <w:sz w:val="21"/>
          <w:szCs w:val="21"/>
        </w:rPr>
        <w:t>元，未结清信用证余额</w:t>
      </w:r>
    </w:p>
    <w:p>
      <w:pPr>
        <w:spacing w:before="54"/>
        <w:ind w:left="224" w:right="1575" w:firstLine="0"/>
        <w:jc w:val="left"/>
        <w:rPr>
          <w:rFonts w:ascii="宋体" w:hAnsi="宋体" w:cs="宋体" w:eastAsia="宋体" w:hint="default"/>
          <w:sz w:val="21"/>
          <w:szCs w:val="21"/>
        </w:rPr>
      </w:pPr>
      <w:r>
        <w:rPr>
          <w:rFonts w:ascii="宋体" w:hAnsi="宋体" w:cs="宋体" w:eastAsia="宋体" w:hint="default"/>
          <w:sz w:val="21"/>
          <w:szCs w:val="21"/>
        </w:rPr>
        <w:t>1,455,400.00</w:t>
      </w:r>
      <w:r>
        <w:rPr>
          <w:rFonts w:ascii="宋体" w:hAnsi="宋体" w:cs="宋体" w:eastAsia="宋体" w:hint="default"/>
          <w:spacing w:val="-2"/>
          <w:sz w:val="21"/>
          <w:szCs w:val="21"/>
        </w:rPr>
        <w:t> </w:t>
      </w:r>
      <w:r>
        <w:rPr>
          <w:rFonts w:ascii="宋体" w:hAnsi="宋体" w:cs="宋体" w:eastAsia="宋体" w:hint="default"/>
          <w:sz w:val="21"/>
          <w:szCs w:val="21"/>
        </w:rPr>
        <w:t>欧元。</w:t>
      </w:r>
    </w:p>
    <w:p>
      <w:pPr>
        <w:spacing w:before="90"/>
        <w:ind w:left="644" w:right="157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、本公司没有需说明的其他或有事项。</w:t>
      </w:r>
    </w:p>
    <w:p>
      <w:pPr>
        <w:spacing w:line="240" w:lineRule="auto" w:before="12"/>
        <w:rPr>
          <w:rFonts w:ascii="宋体" w:hAnsi="宋体" w:cs="宋体" w:eastAsia="宋体" w:hint="default"/>
          <w:sz w:val="17"/>
          <w:szCs w:val="17"/>
        </w:rPr>
      </w:pPr>
    </w:p>
    <w:p>
      <w:pPr>
        <w:spacing w:before="0"/>
        <w:ind w:left="224" w:right="1575" w:firstLine="0"/>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sz w:val="21"/>
          <w:szCs w:val="21"/>
        </w:rPr>
      </w:r>
    </w:p>
    <w:p>
      <w:pPr>
        <w:spacing w:before="118"/>
        <w:ind w:left="644" w:right="1575" w:firstLine="0"/>
        <w:jc w:val="left"/>
        <w:rPr>
          <w:rFonts w:ascii="宋体" w:hAnsi="宋体" w:cs="宋体" w:eastAsia="宋体" w:hint="default"/>
          <w:sz w:val="21"/>
          <w:szCs w:val="21"/>
        </w:rPr>
      </w:pPr>
      <w:r>
        <w:rPr>
          <w:rFonts w:ascii="宋体" w:hAnsi="宋体" w:cs="宋体" w:eastAsia="宋体" w:hint="default"/>
          <w:sz w:val="21"/>
          <w:szCs w:val="21"/>
        </w:rPr>
        <w:t>本公司没有需说明的承诺事项。</w:t>
      </w:r>
    </w:p>
    <w:p>
      <w:pPr>
        <w:spacing w:line="240" w:lineRule="auto" w:before="12"/>
        <w:rPr>
          <w:rFonts w:ascii="宋体" w:hAnsi="宋体" w:cs="宋体" w:eastAsia="宋体" w:hint="default"/>
          <w:sz w:val="17"/>
          <w:szCs w:val="17"/>
        </w:rPr>
      </w:pPr>
    </w:p>
    <w:p>
      <w:pPr>
        <w:spacing w:line="340" w:lineRule="auto" w:before="0"/>
        <w:ind w:left="644" w:right="6245" w:hanging="420"/>
        <w:jc w:val="left"/>
        <w:rPr>
          <w:rFonts w:ascii="宋体" w:hAnsi="宋体" w:cs="宋体" w:eastAsia="宋体" w:hint="default"/>
          <w:sz w:val="21"/>
          <w:szCs w:val="21"/>
        </w:rPr>
      </w:pPr>
      <w:r>
        <w:rPr>
          <w:rFonts w:ascii="宋体" w:hAnsi="宋体" w:cs="宋体" w:eastAsia="宋体" w:hint="default"/>
          <w:b/>
          <w:bCs/>
          <w:sz w:val="21"/>
          <w:szCs w:val="21"/>
        </w:rPr>
        <w:t>九、资产负债表日后事项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、资产负债表日后利润分配情况说明：</w:t>
      </w:r>
    </w:p>
    <w:tbl>
      <w:tblPr>
        <w:tblW w:w="0" w:type="auto"/>
        <w:jc w:val="left"/>
        <w:tblInd w:w="111" w:type="dxa"/>
        <w:tblLayout w:type="fixed"/>
        <w:tblCellMar>
          <w:top w:w="0" w:type="dxa"/>
          <w:left w:w="0" w:type="dxa"/>
          <w:bottom w:w="0" w:type="dxa"/>
          <w:right w:w="0" w:type="dxa"/>
        </w:tblCellMar>
        <w:tblLook w:val="01E0"/>
      </w:tblPr>
      <w:tblGrid>
        <w:gridCol w:w="3961"/>
        <w:gridCol w:w="5209"/>
      </w:tblGrid>
      <w:tr>
        <w:trPr>
          <w:trHeight w:val="341" w:hRule="exact"/>
        </w:trPr>
        <w:tc>
          <w:tcPr>
            <w:tcW w:w="3961"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209"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1136"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拟以</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年末总股本</w:t>
            </w:r>
            <w:r>
              <w:rPr>
                <w:rFonts w:ascii="宋体" w:hAnsi="宋体" w:cs="宋体" w:eastAsia="宋体" w:hint="default"/>
                <w:spacing w:val="-54"/>
                <w:sz w:val="21"/>
                <w:szCs w:val="21"/>
              </w:rPr>
              <w:t> </w:t>
            </w:r>
            <w:r>
              <w:rPr>
                <w:rFonts w:ascii="宋体" w:hAnsi="宋体" w:cs="宋体" w:eastAsia="宋体" w:hint="default"/>
                <w:sz w:val="21"/>
                <w:szCs w:val="21"/>
              </w:rPr>
              <w:t>530,744,000</w:t>
            </w:r>
            <w:r>
              <w:rPr>
                <w:rFonts w:ascii="宋体" w:hAnsi="宋体" w:cs="宋体" w:eastAsia="宋体" w:hint="default"/>
                <w:spacing w:val="-56"/>
                <w:sz w:val="21"/>
                <w:szCs w:val="21"/>
              </w:rPr>
              <w:t> </w:t>
            </w:r>
            <w:r>
              <w:rPr>
                <w:rFonts w:ascii="宋体" w:hAnsi="宋体" w:cs="宋体" w:eastAsia="宋体" w:hint="default"/>
                <w:sz w:val="21"/>
                <w:szCs w:val="21"/>
              </w:rPr>
              <w:t>股为基数，向全体</w:t>
            </w:r>
          </w:p>
          <w:p>
            <w:pPr>
              <w:pStyle w:val="TableParagraph"/>
              <w:spacing w:line="376" w:lineRule="exact" w:before="44"/>
              <w:ind w:left="103" w:right="101"/>
              <w:jc w:val="left"/>
              <w:rPr>
                <w:rFonts w:ascii="宋体" w:hAnsi="宋体" w:cs="宋体" w:eastAsia="宋体" w:hint="default"/>
                <w:sz w:val="21"/>
                <w:szCs w:val="21"/>
              </w:rPr>
            </w:pPr>
            <w:r>
              <w:rPr>
                <w:rFonts w:ascii="宋体" w:hAnsi="宋体" w:cs="宋体" w:eastAsia="宋体" w:hint="default"/>
                <w:w w:val="100"/>
                <w:sz w:val="21"/>
                <w:szCs w:val="21"/>
              </w:rPr>
              <w:t>股东每</w:t>
            </w:r>
            <w:r>
              <w:rPr>
                <w:rFonts w:ascii="宋体" w:hAnsi="宋体" w:cs="宋体" w:eastAsia="宋体" w:hint="default"/>
                <w:spacing w:val="-60"/>
                <w:w w:val="100"/>
                <w:sz w:val="21"/>
                <w:szCs w:val="21"/>
              </w:rPr>
              <w:t> </w:t>
            </w:r>
            <w:r>
              <w:rPr>
                <w:rFonts w:ascii="宋体" w:hAnsi="宋体" w:cs="宋体" w:eastAsia="宋体" w:hint="default"/>
                <w:w w:val="100"/>
                <w:sz w:val="21"/>
                <w:szCs w:val="21"/>
              </w:rPr>
              <w:t>10</w:t>
            </w:r>
            <w:r>
              <w:rPr>
                <w:rFonts w:ascii="宋体" w:hAnsi="宋体" w:cs="宋体" w:eastAsia="宋体" w:hint="default"/>
                <w:spacing w:val="-63"/>
                <w:w w:val="100"/>
                <w:sz w:val="21"/>
                <w:szCs w:val="21"/>
              </w:rPr>
              <w:t> </w:t>
            </w:r>
            <w:r>
              <w:rPr>
                <w:rFonts w:ascii="宋体" w:hAnsi="宋体" w:cs="宋体" w:eastAsia="宋体" w:hint="default"/>
                <w:w w:val="100"/>
                <w:sz w:val="21"/>
                <w:szCs w:val="21"/>
              </w:rPr>
              <w:t>股送</w:t>
            </w:r>
            <w:r>
              <w:rPr>
                <w:rFonts w:ascii="宋体" w:hAnsi="宋体" w:cs="宋体" w:eastAsia="宋体" w:hint="default"/>
                <w:spacing w:val="-61"/>
                <w:w w:val="100"/>
                <w:sz w:val="21"/>
                <w:szCs w:val="21"/>
              </w:rPr>
              <w:t> </w:t>
            </w:r>
            <w:r>
              <w:rPr>
                <w:rFonts w:ascii="宋体" w:hAnsi="宋体" w:cs="宋体" w:eastAsia="宋体" w:hint="default"/>
                <w:w w:val="100"/>
                <w:sz w:val="21"/>
                <w:szCs w:val="21"/>
              </w:rPr>
              <w:t>3</w:t>
            </w:r>
            <w:r>
              <w:rPr>
                <w:rFonts w:ascii="宋体" w:hAnsi="宋体" w:cs="宋体" w:eastAsia="宋体" w:hint="default"/>
                <w:spacing w:val="-61"/>
                <w:w w:val="100"/>
                <w:sz w:val="21"/>
                <w:szCs w:val="21"/>
              </w:rPr>
              <w:t> </w:t>
            </w:r>
            <w:r>
              <w:rPr>
                <w:rFonts w:ascii="宋体" w:hAnsi="宋体" w:cs="宋体" w:eastAsia="宋体" w:hint="default"/>
                <w:spacing w:val="-23"/>
                <w:w w:val="100"/>
                <w:sz w:val="21"/>
                <w:szCs w:val="21"/>
              </w:rPr>
              <w:t>股红股、每</w:t>
            </w:r>
            <w:r>
              <w:rPr>
                <w:rFonts w:ascii="宋体" w:hAnsi="宋体" w:cs="宋体" w:eastAsia="宋体" w:hint="default"/>
                <w:spacing w:val="-61"/>
                <w:w w:val="100"/>
                <w:sz w:val="21"/>
                <w:szCs w:val="21"/>
              </w:rPr>
              <w:t> </w:t>
            </w:r>
            <w:r>
              <w:rPr>
                <w:rFonts w:ascii="宋体" w:hAnsi="宋体" w:cs="宋体" w:eastAsia="宋体" w:hint="default"/>
                <w:w w:val="100"/>
                <w:sz w:val="21"/>
                <w:szCs w:val="21"/>
              </w:rPr>
              <w:t>10</w:t>
            </w:r>
            <w:r>
              <w:rPr>
                <w:rFonts w:ascii="宋体" w:hAnsi="宋体" w:cs="宋体" w:eastAsia="宋体" w:hint="default"/>
                <w:spacing w:val="-60"/>
                <w:w w:val="100"/>
                <w:sz w:val="21"/>
                <w:szCs w:val="21"/>
              </w:rPr>
              <w:t> </w:t>
            </w:r>
            <w:r>
              <w:rPr>
                <w:rFonts w:ascii="宋体" w:hAnsi="宋体" w:cs="宋体" w:eastAsia="宋体" w:hint="default"/>
                <w:spacing w:val="-1"/>
                <w:w w:val="100"/>
                <w:sz w:val="21"/>
                <w:szCs w:val="21"/>
              </w:rPr>
              <w:t>股派人民币现金</w:t>
            </w:r>
            <w:r>
              <w:rPr>
                <w:rFonts w:ascii="宋体" w:hAnsi="宋体" w:cs="宋体" w:eastAsia="宋体" w:hint="default"/>
                <w:spacing w:val="-61"/>
                <w:w w:val="100"/>
                <w:sz w:val="21"/>
                <w:szCs w:val="21"/>
              </w:rPr>
              <w:t> </w:t>
            </w:r>
            <w:r>
              <w:rPr>
                <w:rFonts w:ascii="宋体" w:hAnsi="宋体" w:cs="宋体" w:eastAsia="宋体" w:hint="default"/>
                <w:w w:val="100"/>
                <w:sz w:val="21"/>
                <w:szCs w:val="21"/>
              </w:rPr>
              <w:t>2</w:t>
            </w:r>
            <w:r>
              <w:rPr>
                <w:rFonts w:ascii="宋体" w:hAnsi="宋体" w:cs="宋体" w:eastAsia="宋体" w:hint="default"/>
                <w:spacing w:val="-63"/>
                <w:w w:val="100"/>
                <w:sz w:val="21"/>
                <w:szCs w:val="21"/>
              </w:rPr>
              <w:t> </w:t>
            </w:r>
            <w:r>
              <w:rPr>
                <w:rFonts w:ascii="宋体" w:hAnsi="宋体" w:cs="宋体" w:eastAsia="宋体" w:hint="default"/>
                <w:spacing w:val="-36"/>
                <w:w w:val="100"/>
                <w:sz w:val="21"/>
                <w:szCs w:val="21"/>
              </w:rPr>
              <w:t>元（含</w:t>
            </w:r>
            <w:r>
              <w:rPr>
                <w:rFonts w:ascii="宋体" w:hAnsi="宋体" w:cs="宋体" w:eastAsia="宋体" w:hint="default"/>
                <w:w w:val="100"/>
                <w:sz w:val="21"/>
                <w:szCs w:val="21"/>
              </w:rPr>
              <w:t> </w:t>
            </w:r>
            <w:r>
              <w:rPr>
                <w:rFonts w:ascii="宋体" w:hAnsi="宋体" w:cs="宋体" w:eastAsia="宋体" w:hint="default"/>
                <w:sz w:val="21"/>
                <w:szCs w:val="21"/>
              </w:rPr>
              <w:t>税）。</w:t>
            </w:r>
          </w:p>
        </w:tc>
      </w:tr>
      <w:tr>
        <w:trPr>
          <w:trHeight w:val="338" w:hRule="exact"/>
        </w:trPr>
        <w:tc>
          <w:tcPr>
            <w:tcW w:w="3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209" w:type="dxa"/>
            <w:tcBorders>
              <w:top w:val="single" w:sz="4" w:space="0" w:color="000000"/>
              <w:left w:val="single" w:sz="4" w:space="0" w:color="000000"/>
              <w:bottom w:val="single" w:sz="12" w:space="0" w:color="000000"/>
              <w:right w:val="single" w:sz="4" w:space="0" w:color="000000"/>
            </w:tcBorders>
          </w:tcPr>
          <w:p>
            <w:pPr/>
          </w:p>
        </w:tc>
      </w:tr>
    </w:tbl>
    <w:p>
      <w:pPr>
        <w:spacing w:before="6"/>
        <w:ind w:left="644" w:right="157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日，公司第四届董事会第十四次会议审议通过了《东华软件股份公司股票</w:t>
      </w:r>
    </w:p>
    <w:p>
      <w:pPr>
        <w:spacing w:line="285" w:lineRule="auto" w:before="54"/>
        <w:ind w:left="224" w:right="1575" w:firstLine="0"/>
        <w:jc w:val="left"/>
        <w:rPr>
          <w:rFonts w:ascii="宋体" w:hAnsi="宋体" w:cs="宋体" w:eastAsia="宋体" w:hint="default"/>
          <w:sz w:val="21"/>
          <w:szCs w:val="21"/>
        </w:rPr>
      </w:pPr>
      <w:r>
        <w:rPr>
          <w:rFonts w:ascii="宋体" w:hAnsi="宋体" w:cs="宋体" w:eastAsia="宋体" w:hint="default"/>
          <w:sz w:val="21"/>
          <w:szCs w:val="21"/>
        </w:rPr>
        <w:t>期权激励计划 </w:t>
      </w:r>
      <w:r>
        <w:rPr>
          <w:rFonts w:ascii="宋体" w:hAnsi="宋体" w:cs="宋体" w:eastAsia="宋体" w:hint="default"/>
          <w:sz w:val="21"/>
          <w:szCs w:val="21"/>
        </w:rPr>
        <w:t>(</w:t>
      </w:r>
      <w:r>
        <w:rPr>
          <w:rFonts w:ascii="宋体" w:hAnsi="宋体" w:cs="宋体" w:eastAsia="宋体" w:hint="default"/>
          <w:sz w:val="21"/>
          <w:szCs w:val="21"/>
        </w:rPr>
        <w:t>草案</w:t>
      </w:r>
      <w:r>
        <w:rPr>
          <w:rFonts w:ascii="宋体" w:hAnsi="宋体" w:cs="宋体" w:eastAsia="宋体" w:hint="default"/>
          <w:sz w:val="21"/>
          <w:szCs w:val="21"/>
        </w:rPr>
        <w:t>)</w:t>
      </w:r>
      <w:r>
        <w:rPr>
          <w:rFonts w:ascii="宋体" w:hAnsi="宋体" w:cs="宋体" w:eastAsia="宋体" w:hint="default"/>
          <w:sz w:val="21"/>
          <w:szCs w:val="21"/>
        </w:rPr>
        <w:t>》，并报中国证券监督管理委员会备案通过。</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日，公司</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pacing w:val="-4"/>
          <w:sz w:val="21"/>
          <w:szCs w:val="21"/>
        </w:rPr>
        <w:t>年第一次临时股东大会审议通过了《东华软件股份公司股票期权激励计划（草案）修订稿》，本次</w:t>
      </w:r>
    </w:p>
    <w:p>
      <w:pPr>
        <w:spacing w:after="0" w:line="285" w:lineRule="auto"/>
        <w:jc w:val="left"/>
        <w:rPr>
          <w:rFonts w:ascii="宋体" w:hAnsi="宋体" w:cs="宋体" w:eastAsia="宋体" w:hint="default"/>
          <w:sz w:val="21"/>
          <w:szCs w:val="21"/>
        </w:rPr>
        <w:sectPr>
          <w:pgSz w:w="12240" w:h="15840"/>
          <w:pgMar w:header="850" w:footer="956" w:top="1360" w:bottom="1140" w:left="1420" w:right="0"/>
        </w:sectPr>
      </w:pPr>
    </w:p>
    <w:p>
      <w:pPr>
        <w:spacing w:before="15"/>
        <w:ind w:left="144" w:right="1557" w:firstLine="0"/>
        <w:jc w:val="left"/>
        <w:rPr>
          <w:rFonts w:ascii="宋体" w:hAnsi="宋体" w:cs="宋体" w:eastAsia="宋体" w:hint="default"/>
          <w:sz w:val="21"/>
          <w:szCs w:val="21"/>
        </w:rPr>
      </w:pPr>
      <w:r>
        <w:rPr/>
        <w:pict>
          <v:group style="position:absolute;margin-left:80.783997pt;margin-top:1.733696pt;width:450.6pt;height:.1pt;mso-position-horizontal-relative:page;mso-position-vertical-relative:paragraph;z-index:-862216" coordorigin="1616,35" coordsize="9012,2">
            <v:shape style="position:absolute;left:1616;top:35;width:9012;height:2" coordorigin="1616,35" coordsize="9012,0" path="m1616,35l10627,35e" filled="false" stroked="true" strokeweight=".71999pt" strokecolor="#000000">
              <v:path arrowok="t"/>
            </v:shape>
            <w10:wrap type="none"/>
          </v:group>
        </w:pict>
      </w:r>
      <w:r>
        <w:rPr>
          <w:rFonts w:ascii="宋体" w:hAnsi="宋体" w:cs="宋体" w:eastAsia="宋体" w:hint="default"/>
          <w:sz w:val="21"/>
          <w:szCs w:val="21"/>
        </w:rPr>
        <w:t>股票期权激励计划获得批准。根据公司股票期权激励计划，公司授予激励对象 </w:t>
      </w:r>
      <w:r>
        <w:rPr>
          <w:rFonts w:ascii="宋体" w:hAnsi="宋体" w:cs="宋体" w:eastAsia="宋体" w:hint="default"/>
          <w:sz w:val="21"/>
          <w:szCs w:val="21"/>
        </w:rPr>
        <w:t>1,173.9</w:t>
      </w:r>
      <w:r>
        <w:rPr>
          <w:rFonts w:ascii="宋体" w:hAnsi="宋体" w:cs="宋体" w:eastAsia="宋体" w:hint="default"/>
          <w:spacing w:val="-59"/>
          <w:sz w:val="21"/>
          <w:szCs w:val="21"/>
        </w:rPr>
        <w:t> </w:t>
      </w:r>
      <w:r>
        <w:rPr>
          <w:rFonts w:ascii="宋体" w:hAnsi="宋体" w:cs="宋体" w:eastAsia="宋体" w:hint="default"/>
          <w:sz w:val="21"/>
          <w:szCs w:val="21"/>
        </w:rPr>
        <w:t>万份股票</w:t>
      </w:r>
    </w:p>
    <w:p>
      <w:pPr>
        <w:spacing w:before="52"/>
        <w:ind w:left="144" w:right="1557" w:firstLine="0"/>
        <w:jc w:val="left"/>
        <w:rPr>
          <w:rFonts w:ascii="宋体" w:hAnsi="宋体" w:cs="宋体" w:eastAsia="宋体" w:hint="default"/>
          <w:sz w:val="21"/>
          <w:szCs w:val="21"/>
        </w:rPr>
      </w:pPr>
      <w:r>
        <w:rPr>
          <w:rFonts w:ascii="宋体" w:hAnsi="宋体" w:cs="宋体" w:eastAsia="宋体" w:hint="default"/>
          <w:sz w:val="21"/>
          <w:szCs w:val="21"/>
        </w:rPr>
        <w:t>期权，每份股票期权拥有在可行权日以预先确定的行权价格和行权条件购买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股本公司人民币普</w:t>
      </w:r>
    </w:p>
    <w:p>
      <w:pPr>
        <w:spacing w:before="51"/>
        <w:ind w:left="144" w:right="1557" w:firstLine="0"/>
        <w:jc w:val="left"/>
        <w:rPr>
          <w:rFonts w:ascii="宋体" w:hAnsi="宋体" w:cs="宋体" w:eastAsia="宋体" w:hint="default"/>
          <w:sz w:val="21"/>
          <w:szCs w:val="21"/>
        </w:rPr>
      </w:pPr>
      <w:r>
        <w:rPr>
          <w:rFonts w:ascii="宋体" w:hAnsi="宋体" w:cs="宋体" w:eastAsia="宋体" w:hint="default"/>
          <w:sz w:val="21"/>
          <w:szCs w:val="21"/>
        </w:rPr>
        <w:t>通股的权利，</w:t>
      </w:r>
      <w:r>
        <w:rPr>
          <w:rFonts w:ascii="宋体" w:hAnsi="宋体" w:cs="宋体" w:eastAsia="宋体" w:hint="default"/>
          <w:spacing w:val="-5"/>
          <w:sz w:val="21"/>
          <w:szCs w:val="21"/>
        </w:rPr>
        <w:t> </w:t>
      </w:r>
      <w:r>
        <w:rPr>
          <w:rFonts w:ascii="宋体" w:hAnsi="宋体" w:cs="宋体" w:eastAsia="宋体" w:hint="default"/>
          <w:sz w:val="21"/>
          <w:szCs w:val="21"/>
        </w:rPr>
        <w:t>涉及标的股票数量为</w:t>
      </w:r>
      <w:r>
        <w:rPr>
          <w:rFonts w:ascii="宋体" w:hAnsi="宋体" w:cs="宋体" w:eastAsia="宋体" w:hint="default"/>
          <w:spacing w:val="-53"/>
          <w:sz w:val="21"/>
          <w:szCs w:val="21"/>
        </w:rPr>
        <w:t> </w:t>
      </w:r>
      <w:r>
        <w:rPr>
          <w:rFonts w:ascii="宋体" w:hAnsi="宋体" w:cs="宋体" w:eastAsia="宋体" w:hint="default"/>
          <w:sz w:val="21"/>
          <w:szCs w:val="21"/>
        </w:rPr>
        <w:t>1,173.9</w:t>
      </w:r>
      <w:r>
        <w:rPr>
          <w:rFonts w:ascii="宋体" w:hAnsi="宋体" w:cs="宋体" w:eastAsia="宋体" w:hint="default"/>
          <w:spacing w:val="-4"/>
          <w:sz w:val="21"/>
          <w:szCs w:val="21"/>
        </w:rPr>
        <w:t> </w:t>
      </w:r>
      <w:r>
        <w:rPr>
          <w:rFonts w:ascii="宋体" w:hAnsi="宋体" w:cs="宋体" w:eastAsia="宋体" w:hint="default"/>
          <w:sz w:val="21"/>
          <w:szCs w:val="21"/>
        </w:rPr>
        <w:t>万股，占本激励计划批准时公司股本总额</w:t>
      </w:r>
      <w:r>
        <w:rPr>
          <w:rFonts w:ascii="宋体" w:hAnsi="宋体" w:cs="宋体" w:eastAsia="宋体" w:hint="default"/>
          <w:spacing w:val="-53"/>
          <w:sz w:val="21"/>
          <w:szCs w:val="21"/>
        </w:rPr>
        <w:t> </w:t>
      </w:r>
      <w:r>
        <w:rPr>
          <w:rFonts w:ascii="宋体" w:hAnsi="宋体" w:cs="宋体" w:eastAsia="宋体" w:hint="default"/>
          <w:sz w:val="21"/>
          <w:szCs w:val="21"/>
        </w:rPr>
        <w:t>53,074.40</w:t>
      </w:r>
    </w:p>
    <w:p>
      <w:pPr>
        <w:spacing w:before="51"/>
        <w:ind w:left="144" w:right="1557" w:firstLine="0"/>
        <w:jc w:val="left"/>
        <w:rPr>
          <w:rFonts w:ascii="宋体" w:hAnsi="宋体" w:cs="宋体" w:eastAsia="宋体" w:hint="default"/>
          <w:sz w:val="21"/>
          <w:szCs w:val="21"/>
        </w:rPr>
      </w:pPr>
      <w:r>
        <w:rPr>
          <w:rFonts w:ascii="宋体" w:hAnsi="宋体" w:cs="宋体" w:eastAsia="宋体" w:hint="default"/>
          <w:sz w:val="21"/>
          <w:szCs w:val="21"/>
        </w:rPr>
        <w:t>万股的</w:t>
      </w:r>
      <w:r>
        <w:rPr>
          <w:rFonts w:ascii="宋体" w:hAnsi="宋体" w:cs="宋体" w:eastAsia="宋体" w:hint="default"/>
          <w:spacing w:val="-53"/>
          <w:sz w:val="21"/>
          <w:szCs w:val="21"/>
        </w:rPr>
        <w:t> </w:t>
      </w:r>
      <w:r>
        <w:rPr>
          <w:rFonts w:ascii="宋体" w:hAnsi="宋体" w:cs="宋体" w:eastAsia="宋体" w:hint="default"/>
          <w:sz w:val="21"/>
          <w:szCs w:val="21"/>
        </w:rPr>
        <w:t>2.2118%</w:t>
      </w:r>
      <w:r>
        <w:rPr>
          <w:rFonts w:ascii="宋体" w:hAnsi="宋体" w:cs="宋体" w:eastAsia="宋体" w:hint="default"/>
          <w:sz w:val="21"/>
          <w:szCs w:val="21"/>
        </w:rPr>
        <w:t>。本次股票期权授予日为</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1"/>
          <w:sz w:val="21"/>
          <w:szCs w:val="21"/>
        </w:rPr>
        <w:t> </w:t>
      </w:r>
      <w:r>
        <w:rPr>
          <w:rFonts w:ascii="宋体" w:hAnsi="宋体" w:cs="宋体" w:eastAsia="宋体" w:hint="default"/>
          <w:spacing w:val="-3"/>
          <w:sz w:val="21"/>
          <w:szCs w:val="21"/>
        </w:rPr>
        <w:t>日，行权价格为</w:t>
      </w:r>
      <w:r>
        <w:rPr>
          <w:rFonts w:ascii="宋体" w:hAnsi="宋体" w:cs="宋体" w:eastAsia="宋体" w:hint="default"/>
          <w:spacing w:val="-52"/>
          <w:sz w:val="21"/>
          <w:szCs w:val="21"/>
        </w:rPr>
        <w:t> </w:t>
      </w:r>
      <w:r>
        <w:rPr>
          <w:rFonts w:ascii="宋体" w:hAnsi="宋体" w:cs="宋体" w:eastAsia="宋体" w:hint="default"/>
          <w:sz w:val="21"/>
          <w:szCs w:val="21"/>
        </w:rPr>
        <w:t>21.59</w:t>
      </w:r>
      <w:r>
        <w:rPr>
          <w:rFonts w:ascii="宋体" w:hAnsi="宋体" w:cs="宋体" w:eastAsia="宋体" w:hint="default"/>
          <w:spacing w:val="1"/>
          <w:sz w:val="21"/>
          <w:szCs w:val="21"/>
        </w:rPr>
        <w:t> </w:t>
      </w:r>
      <w:r>
        <w:rPr>
          <w:rFonts w:ascii="宋体" w:hAnsi="宋体" w:cs="宋体" w:eastAsia="宋体" w:hint="default"/>
          <w:spacing w:val="-3"/>
          <w:sz w:val="21"/>
          <w:szCs w:val="21"/>
        </w:rPr>
        <w:t>元。股票期权激</w:t>
      </w:r>
    </w:p>
    <w:p>
      <w:pPr>
        <w:spacing w:line="285" w:lineRule="auto" w:before="54"/>
        <w:ind w:left="144" w:right="1637" w:firstLine="0"/>
        <w:jc w:val="both"/>
        <w:rPr>
          <w:rFonts w:ascii="宋体" w:hAnsi="宋体" w:cs="宋体" w:eastAsia="宋体" w:hint="default"/>
          <w:sz w:val="21"/>
          <w:szCs w:val="21"/>
        </w:rPr>
      </w:pPr>
      <w:r>
        <w:rPr>
          <w:rFonts w:ascii="宋体" w:hAnsi="宋体" w:cs="宋体" w:eastAsia="宋体" w:hint="default"/>
          <w:sz w:val="21"/>
          <w:szCs w:val="21"/>
        </w:rPr>
        <w:t>励计划有效期为授予股票期权的授权日起五年。本激励计划授予的股票期权自授权日起满</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19"/>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pacing w:val="-4"/>
          <w:sz w:val="21"/>
          <w:szCs w:val="21"/>
        </w:rPr>
        <w:t>后可以开始行权，激励对象应按本激励计划规定的行权比例分期行权，本次授予的股票期权计划分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四次行权。</w:t>
      </w:r>
    </w:p>
    <w:p>
      <w:pPr>
        <w:spacing w:before="47"/>
        <w:ind w:left="564" w:right="1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、本公司没有其他需要说明的重要的资产负债表日后事项。</w:t>
      </w:r>
    </w:p>
    <w:p>
      <w:pPr>
        <w:spacing w:line="240" w:lineRule="auto" w:before="1"/>
        <w:rPr>
          <w:rFonts w:ascii="宋体" w:hAnsi="宋体" w:cs="宋体" w:eastAsia="宋体" w:hint="default"/>
          <w:sz w:val="18"/>
          <w:szCs w:val="18"/>
        </w:rPr>
      </w:pPr>
    </w:p>
    <w:p>
      <w:pPr>
        <w:spacing w:line="340" w:lineRule="auto" w:before="0"/>
        <w:ind w:left="564" w:right="5776" w:hanging="420"/>
        <w:jc w:val="left"/>
        <w:rPr>
          <w:rFonts w:ascii="宋体" w:hAnsi="宋体" w:cs="宋体" w:eastAsia="宋体" w:hint="default"/>
          <w:sz w:val="21"/>
          <w:szCs w:val="21"/>
        </w:rPr>
      </w:pPr>
      <w:r>
        <w:rPr>
          <w:rFonts w:ascii="宋体" w:hAnsi="宋体" w:cs="宋体" w:eastAsia="宋体" w:hint="default"/>
          <w:b/>
          <w:bCs/>
          <w:sz w:val="21"/>
          <w:szCs w:val="21"/>
        </w:rPr>
        <w:t>十、其他重要事项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本公司没有需说明的其他重要事项。</w:t>
      </w:r>
    </w:p>
    <w:p>
      <w:pPr>
        <w:spacing w:line="340" w:lineRule="auto" w:before="148"/>
        <w:ind w:left="566" w:right="6809" w:hanging="423"/>
        <w:jc w:val="left"/>
        <w:rPr>
          <w:rFonts w:ascii="宋体" w:hAnsi="宋体" w:cs="宋体" w:eastAsia="宋体" w:hint="default"/>
          <w:sz w:val="21"/>
          <w:szCs w:val="21"/>
        </w:rPr>
      </w:pPr>
      <w:r>
        <w:rPr>
          <w:rFonts w:ascii="宋体" w:hAnsi="宋体" w:cs="宋体" w:eastAsia="宋体" w:hint="default"/>
          <w:b/>
          <w:bCs/>
          <w:spacing w:val="-1"/>
          <w:sz w:val="21"/>
          <w:szCs w:val="21"/>
        </w:rPr>
        <w:t>十一、母公司财务报表有关项目附注</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4"/>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）应收账款按种类披露如下：</w:t>
      </w:r>
    </w:p>
    <w:p>
      <w:pPr>
        <w:spacing w:line="240" w:lineRule="auto" w:before="10"/>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367"/>
        <w:gridCol w:w="1274"/>
        <w:gridCol w:w="735"/>
        <w:gridCol w:w="1099"/>
        <w:gridCol w:w="641"/>
        <w:gridCol w:w="1249"/>
        <w:gridCol w:w="816"/>
        <w:gridCol w:w="1167"/>
        <w:gridCol w:w="526"/>
      </w:tblGrid>
      <w:tr>
        <w:trPr>
          <w:trHeight w:val="322" w:hRule="exact"/>
        </w:trPr>
        <w:tc>
          <w:tcPr>
            <w:tcW w:w="2367" w:type="dxa"/>
            <w:vMerge w:val="restart"/>
            <w:tcBorders>
              <w:top w:val="single" w:sz="12" w:space="0" w:color="000000"/>
              <w:left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749" w:type="dxa"/>
            <w:gridSpan w:val="4"/>
            <w:tcBorders>
              <w:top w:val="single" w:sz="12"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757" w:type="dxa"/>
            <w:gridSpan w:val="4"/>
            <w:tcBorders>
              <w:top w:val="single" w:sz="12"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0" w:hRule="exact"/>
        </w:trPr>
        <w:tc>
          <w:tcPr>
            <w:tcW w:w="2367" w:type="dxa"/>
            <w:vMerge/>
            <w:tcBorders>
              <w:left w:val="single" w:sz="4" w:space="0" w:color="000000"/>
              <w:right w:val="single" w:sz="4" w:space="0" w:color="000000"/>
            </w:tcBorders>
          </w:tcPr>
          <w:p>
            <w:pP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0" w:hRule="exact"/>
        </w:trPr>
        <w:tc>
          <w:tcPr>
            <w:tcW w:w="236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36" w:hRule="exact"/>
        </w:trPr>
        <w:tc>
          <w:tcPr>
            <w:tcW w:w="2367" w:type="dxa"/>
            <w:tcBorders>
              <w:top w:val="single" w:sz="4" w:space="0" w:color="000000"/>
              <w:left w:val="single" w:sz="4" w:space="0" w:color="000000"/>
              <w:bottom w:val="nil" w:sz="6" w:space="0" w:color="auto"/>
              <w:right w:val="single" w:sz="4" w:space="0" w:color="000000"/>
            </w:tcBorders>
          </w:tcPr>
          <w:p>
            <w:pPr>
              <w:pStyle w:val="TableParagraph"/>
              <w:spacing w:line="304" w:lineRule="auto" w:before="17"/>
              <w:ind w:left="84" w:right="140" w:hanging="29"/>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账准备的应收账款</w:t>
            </w:r>
          </w:p>
        </w:tc>
        <w:tc>
          <w:tcPr>
            <w:tcW w:w="127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tcPr>
          <w:p>
            <w:pPr/>
          </w:p>
        </w:tc>
        <w:tc>
          <w:tcPr>
            <w:tcW w:w="526" w:type="dxa"/>
            <w:tcBorders>
              <w:top w:val="single" w:sz="4" w:space="0" w:color="000000"/>
              <w:left w:val="single" w:sz="4" w:space="0" w:color="000000"/>
              <w:bottom w:val="nil" w:sz="6" w:space="0" w:color="auto"/>
              <w:right w:val="single" w:sz="4" w:space="0" w:color="000000"/>
            </w:tcBorders>
          </w:tcPr>
          <w:p>
            <w:pPr/>
          </w:p>
        </w:tc>
      </w:tr>
      <w:tr>
        <w:trPr>
          <w:trHeight w:val="641" w:hRule="exact"/>
        </w:trPr>
        <w:tc>
          <w:tcPr>
            <w:tcW w:w="2367" w:type="dxa"/>
            <w:tcBorders>
              <w:top w:val="nil" w:sz="6" w:space="0" w:color="auto"/>
              <w:left w:val="single" w:sz="4" w:space="0" w:color="000000"/>
              <w:bottom w:val="nil" w:sz="6" w:space="0" w:color="auto"/>
              <w:right w:val="single" w:sz="4" w:space="0" w:color="000000"/>
            </w:tcBorders>
          </w:tcPr>
          <w:p>
            <w:pPr>
              <w:pStyle w:val="TableParagraph"/>
              <w:spacing w:line="304" w:lineRule="auto" w:before="22"/>
              <w:ind w:left="84" w:right="140" w:hanging="29"/>
              <w:jc w:val="left"/>
              <w:rPr>
                <w:rFonts w:ascii="宋体" w:hAnsi="宋体" w:cs="宋体" w:eastAsia="宋体" w:hint="default"/>
                <w:sz w:val="18"/>
                <w:szCs w:val="18"/>
              </w:rPr>
            </w:pPr>
            <w:r>
              <w:rPr>
                <w:rFonts w:ascii="宋体" w:hAnsi="宋体" w:cs="宋体" w:eastAsia="宋体" w:hint="default"/>
                <w:sz w:val="18"/>
                <w:szCs w:val="18"/>
              </w:rPr>
              <w:t>按组合计提坏账准备的应收 账款</w:t>
            </w:r>
          </w:p>
        </w:tc>
        <w:tc>
          <w:tcPr>
            <w:tcW w:w="1274"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tcPr>
          <w:p>
            <w:pPr/>
          </w:p>
        </w:tc>
        <w:tc>
          <w:tcPr>
            <w:tcW w:w="526"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2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35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110" w:right="0"/>
              <w:jc w:val="center"/>
              <w:rPr>
                <w:rFonts w:ascii="Calibri" w:hAnsi="Calibri" w:cs="Calibri" w:eastAsia="Calibri" w:hint="default"/>
                <w:sz w:val="18"/>
                <w:szCs w:val="18"/>
              </w:rPr>
            </w:pPr>
            <w:r>
              <w:rPr>
                <w:rFonts w:ascii="Calibri"/>
                <w:sz w:val="18"/>
              </w:rPr>
              <w:t>409,067,343.65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1" w:right="0"/>
              <w:jc w:val="center"/>
              <w:rPr>
                <w:rFonts w:ascii="Calibri" w:hAnsi="Calibri" w:cs="Calibri" w:eastAsia="Calibri" w:hint="default"/>
                <w:sz w:val="18"/>
                <w:szCs w:val="18"/>
              </w:rPr>
            </w:pPr>
            <w:r>
              <w:rPr>
                <w:rFonts w:ascii="Calibri"/>
                <w:sz w:val="18"/>
              </w:rPr>
              <w:t>27,322,556.52</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
              <w:jc w:val="right"/>
              <w:rPr>
                <w:rFonts w:ascii="宋体" w:hAnsi="宋体" w:cs="宋体" w:eastAsia="宋体" w:hint="default"/>
                <w:sz w:val="18"/>
                <w:szCs w:val="18"/>
              </w:rPr>
            </w:pPr>
            <w:r>
              <w:rPr>
                <w:rFonts w:ascii="Calibri"/>
                <w:spacing w:val="-1"/>
                <w:sz w:val="18"/>
              </w:rPr>
              <w:t>6.68</w:t>
            </w:r>
            <w:r>
              <w:rPr>
                <w:rFonts w:ascii="宋体"/>
                <w:spacing w:val="-1"/>
                <w:sz w:val="18"/>
              </w:rPr>
              <w:t>%</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83" w:right="0"/>
              <w:jc w:val="center"/>
              <w:rPr>
                <w:rFonts w:ascii="Calibri" w:hAnsi="Calibri" w:cs="Calibri" w:eastAsia="Calibri" w:hint="default"/>
                <w:sz w:val="18"/>
                <w:szCs w:val="18"/>
              </w:rPr>
            </w:pPr>
            <w:r>
              <w:rPr>
                <w:rFonts w:ascii="Calibri"/>
                <w:sz w:val="18"/>
              </w:rPr>
              <w:t>327,743,809.04</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06" w:right="0"/>
              <w:jc w:val="left"/>
              <w:rPr>
                <w:rFonts w:ascii="宋体" w:hAnsi="宋体" w:cs="宋体" w:eastAsia="宋体" w:hint="default"/>
                <w:sz w:val="18"/>
                <w:szCs w:val="18"/>
              </w:rPr>
            </w:pPr>
            <w:r>
              <w:rPr>
                <w:rFonts w:ascii="Calibri"/>
                <w:sz w:val="18"/>
              </w:rPr>
              <w:t>100.00</w:t>
            </w:r>
            <w:r>
              <w:rPr>
                <w:rFonts w:ascii="宋体"/>
                <w:sz w:val="18"/>
              </w:rPr>
              <w:t>%</w:t>
            </w:r>
          </w:p>
        </w:tc>
        <w:tc>
          <w:tcPr>
            <w:tcW w:w="1167"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88" w:right="0"/>
              <w:jc w:val="center"/>
              <w:rPr>
                <w:rFonts w:ascii="Calibri" w:hAnsi="Calibri" w:cs="Calibri" w:eastAsia="Calibri" w:hint="default"/>
                <w:sz w:val="18"/>
                <w:szCs w:val="18"/>
              </w:rPr>
            </w:pPr>
            <w:r>
              <w:rPr>
                <w:rFonts w:ascii="Calibri"/>
                <w:sz w:val="18"/>
              </w:rPr>
              <w:t>17,248,677.03</w:t>
            </w:r>
          </w:p>
        </w:tc>
        <w:tc>
          <w:tcPr>
            <w:tcW w:w="52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0" w:right="0"/>
              <w:jc w:val="left"/>
              <w:rPr>
                <w:rFonts w:ascii="宋体" w:hAnsi="宋体" w:cs="宋体" w:eastAsia="宋体" w:hint="default"/>
                <w:sz w:val="18"/>
                <w:szCs w:val="18"/>
              </w:rPr>
            </w:pPr>
            <w:r>
              <w:rPr>
                <w:rFonts w:ascii="Calibri"/>
                <w:sz w:val="18"/>
              </w:rPr>
              <w:t>5.26</w:t>
            </w:r>
            <w:r>
              <w:rPr>
                <w:rFonts w:ascii="宋体"/>
                <w:sz w:val="18"/>
              </w:rPr>
              <w:t>%</w:t>
            </w:r>
          </w:p>
        </w:tc>
      </w:tr>
      <w:tr>
        <w:trPr>
          <w:trHeight w:val="312" w:hRule="exact"/>
        </w:trPr>
        <w:tc>
          <w:tcPr>
            <w:tcW w:w="236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35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10" w:right="0"/>
              <w:jc w:val="center"/>
              <w:rPr>
                <w:rFonts w:ascii="Calibri" w:hAnsi="Calibri" w:cs="Calibri" w:eastAsia="Calibri" w:hint="default"/>
                <w:sz w:val="18"/>
                <w:szCs w:val="18"/>
              </w:rPr>
            </w:pPr>
            <w:r>
              <w:rPr>
                <w:rFonts w:ascii="Calibri"/>
                <w:sz w:val="18"/>
              </w:rPr>
              <w:t>409,067,343.65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1" w:right="0"/>
              <w:jc w:val="center"/>
              <w:rPr>
                <w:rFonts w:ascii="Calibri" w:hAnsi="Calibri" w:cs="Calibri" w:eastAsia="Calibri" w:hint="default"/>
                <w:sz w:val="18"/>
                <w:szCs w:val="18"/>
              </w:rPr>
            </w:pPr>
            <w:r>
              <w:rPr>
                <w:rFonts w:ascii="Calibri"/>
                <w:sz w:val="18"/>
              </w:rPr>
              <w:t>27,322,556.52</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Calibri"/>
                <w:spacing w:val="-1"/>
                <w:sz w:val="18"/>
              </w:rPr>
              <w:t>6.68</w:t>
            </w:r>
            <w:r>
              <w:rPr>
                <w:rFonts w:ascii="宋体"/>
                <w:spacing w:val="-1"/>
                <w:sz w:val="18"/>
              </w:rPr>
              <w:t>%</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83" w:right="0"/>
              <w:jc w:val="center"/>
              <w:rPr>
                <w:rFonts w:ascii="Calibri" w:hAnsi="Calibri" w:cs="Calibri" w:eastAsia="Calibri" w:hint="default"/>
                <w:sz w:val="18"/>
                <w:szCs w:val="18"/>
              </w:rPr>
            </w:pPr>
            <w:r>
              <w:rPr>
                <w:rFonts w:ascii="Calibri"/>
                <w:sz w:val="18"/>
              </w:rPr>
              <w:t>327,743,809.04</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06" w:right="0"/>
              <w:jc w:val="left"/>
              <w:rPr>
                <w:rFonts w:ascii="宋体" w:hAnsi="宋体" w:cs="宋体" w:eastAsia="宋体" w:hint="default"/>
                <w:sz w:val="18"/>
                <w:szCs w:val="18"/>
              </w:rPr>
            </w:pPr>
            <w:r>
              <w:rPr>
                <w:rFonts w:ascii="Calibri"/>
                <w:sz w:val="18"/>
              </w:rPr>
              <w:t>100.00</w:t>
            </w:r>
            <w:r>
              <w:rPr>
                <w:rFonts w:ascii="宋体"/>
                <w:sz w:val="18"/>
              </w:rPr>
              <w:t>%</w:t>
            </w:r>
          </w:p>
        </w:tc>
        <w:tc>
          <w:tcPr>
            <w:tcW w:w="116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88" w:right="0"/>
              <w:jc w:val="center"/>
              <w:rPr>
                <w:rFonts w:ascii="Calibri" w:hAnsi="Calibri" w:cs="Calibri" w:eastAsia="Calibri" w:hint="default"/>
                <w:sz w:val="18"/>
                <w:szCs w:val="18"/>
              </w:rPr>
            </w:pPr>
            <w:r>
              <w:rPr>
                <w:rFonts w:ascii="Calibri"/>
                <w:sz w:val="18"/>
              </w:rPr>
              <w:t>17,248,677.03</w:t>
            </w:r>
          </w:p>
        </w:tc>
        <w:tc>
          <w:tcPr>
            <w:tcW w:w="52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Calibri"/>
                <w:sz w:val="18"/>
              </w:rPr>
              <w:t>5.26</w:t>
            </w:r>
            <w:r>
              <w:rPr>
                <w:rFonts w:ascii="宋体"/>
                <w:sz w:val="18"/>
              </w:rPr>
              <w:t>%</w:t>
            </w:r>
          </w:p>
        </w:tc>
      </w:tr>
      <w:tr>
        <w:trPr>
          <w:trHeight w:val="620" w:hRule="exact"/>
        </w:trPr>
        <w:tc>
          <w:tcPr>
            <w:tcW w:w="2367" w:type="dxa"/>
            <w:tcBorders>
              <w:top w:val="nil" w:sz="6" w:space="0" w:color="auto"/>
              <w:left w:val="single" w:sz="4" w:space="0" w:color="000000"/>
              <w:bottom w:val="single" w:sz="4" w:space="0" w:color="000000"/>
              <w:right w:val="single" w:sz="4" w:space="0" w:color="000000"/>
            </w:tcBorders>
          </w:tcPr>
          <w:p>
            <w:pPr>
              <w:pStyle w:val="TableParagraph"/>
              <w:spacing w:line="304" w:lineRule="auto" w:before="26"/>
              <w:ind w:left="84" w:right="140" w:hanging="29"/>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提坏账准备的应收账款</w:t>
            </w:r>
          </w:p>
        </w:tc>
        <w:tc>
          <w:tcPr>
            <w:tcW w:w="127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tcPr>
          <w:p>
            <w:pPr/>
          </w:p>
        </w:tc>
        <w:tc>
          <w:tcPr>
            <w:tcW w:w="526"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2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10" w:right="0"/>
              <w:jc w:val="center"/>
              <w:rPr>
                <w:rFonts w:ascii="Calibri" w:hAnsi="Calibri" w:cs="Calibri" w:eastAsia="Calibri" w:hint="default"/>
                <w:sz w:val="18"/>
                <w:szCs w:val="18"/>
              </w:rPr>
            </w:pPr>
            <w:r>
              <w:rPr>
                <w:rFonts w:ascii="Calibri"/>
                <w:sz w:val="18"/>
              </w:rPr>
              <w:t>409,067,343.65</w:t>
            </w:r>
          </w:p>
        </w:tc>
        <w:tc>
          <w:tcPr>
            <w:tcW w:w="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21" w:right="0"/>
              <w:jc w:val="center"/>
              <w:rPr>
                <w:rFonts w:ascii="Calibri" w:hAnsi="Calibri" w:cs="Calibri" w:eastAsia="Calibri" w:hint="default"/>
                <w:sz w:val="18"/>
                <w:szCs w:val="18"/>
              </w:rPr>
            </w:pPr>
            <w:r>
              <w:rPr>
                <w:rFonts w:ascii="Calibri"/>
                <w:sz w:val="18"/>
              </w:rPr>
              <w:t>27,322,556.52</w:t>
            </w:r>
          </w:p>
        </w:tc>
        <w:tc>
          <w:tcPr>
            <w:tcW w:w="6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1"/>
              <w:jc w:val="right"/>
              <w:rPr>
                <w:rFonts w:ascii="宋体" w:hAnsi="宋体" w:cs="宋体" w:eastAsia="宋体" w:hint="default"/>
                <w:sz w:val="18"/>
                <w:szCs w:val="18"/>
              </w:rPr>
            </w:pPr>
            <w:r>
              <w:rPr>
                <w:rFonts w:ascii="Calibri"/>
                <w:spacing w:val="-1"/>
                <w:sz w:val="18"/>
              </w:rPr>
              <w:t>6.68</w:t>
            </w:r>
            <w:r>
              <w:rPr>
                <w:rFonts w:ascii="宋体"/>
                <w:spacing w:val="-1"/>
                <w:sz w:val="18"/>
              </w:rPr>
              <w:t>%</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83" w:right="0"/>
              <w:jc w:val="center"/>
              <w:rPr>
                <w:rFonts w:ascii="Calibri" w:hAnsi="Calibri" w:cs="Calibri" w:eastAsia="Calibri" w:hint="default"/>
                <w:sz w:val="18"/>
                <w:szCs w:val="18"/>
              </w:rPr>
            </w:pPr>
            <w:r>
              <w:rPr>
                <w:rFonts w:ascii="Calibri"/>
                <w:sz w:val="18"/>
              </w:rPr>
              <w:t>327,743,809.04</w:t>
            </w:r>
          </w:p>
        </w:tc>
        <w:tc>
          <w:tcPr>
            <w:tcW w:w="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206" w:right="0"/>
              <w:jc w:val="left"/>
              <w:rPr>
                <w:rFonts w:ascii="宋体" w:hAnsi="宋体" w:cs="宋体" w:eastAsia="宋体" w:hint="default"/>
                <w:sz w:val="18"/>
                <w:szCs w:val="18"/>
              </w:rPr>
            </w:pPr>
            <w:r>
              <w:rPr>
                <w:rFonts w:ascii="Calibri"/>
                <w:sz w:val="18"/>
              </w:rPr>
              <w:t>100.00</w:t>
            </w:r>
            <w:r>
              <w:rPr>
                <w:rFonts w:ascii="宋体"/>
                <w:sz w:val="18"/>
              </w:rPr>
              <w:t>%</w:t>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88" w:right="0"/>
              <w:jc w:val="center"/>
              <w:rPr>
                <w:rFonts w:ascii="Calibri" w:hAnsi="Calibri" w:cs="Calibri" w:eastAsia="Calibri" w:hint="default"/>
                <w:sz w:val="18"/>
                <w:szCs w:val="18"/>
              </w:rPr>
            </w:pPr>
            <w:r>
              <w:rPr>
                <w:rFonts w:ascii="Calibri"/>
                <w:sz w:val="18"/>
              </w:rPr>
              <w:t>17,248,677.03</w:t>
            </w:r>
          </w:p>
        </w:tc>
        <w:tc>
          <w:tcPr>
            <w:tcW w:w="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Calibri"/>
                <w:sz w:val="18"/>
              </w:rPr>
              <w:t>5.26</w:t>
            </w:r>
            <w:r>
              <w:rPr>
                <w:rFonts w:ascii="宋体"/>
                <w:sz w:val="18"/>
              </w:rPr>
              <w:t>%</w:t>
            </w:r>
          </w:p>
        </w:tc>
      </w:tr>
    </w:tbl>
    <w:p>
      <w:pPr>
        <w:spacing w:before="26"/>
        <w:ind w:left="547" w:right="1697"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按账龄分析法计提坏账准备的应收账款：</w:t>
      </w:r>
    </w:p>
    <w:p>
      <w:pPr>
        <w:spacing w:line="240" w:lineRule="auto" w:before="1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056"/>
        <w:gridCol w:w="1493"/>
        <w:gridCol w:w="960"/>
        <w:gridCol w:w="1388"/>
        <w:gridCol w:w="1548"/>
        <w:gridCol w:w="1023"/>
        <w:gridCol w:w="1418"/>
      </w:tblGrid>
      <w:tr>
        <w:trPr>
          <w:trHeight w:val="322" w:hRule="exact"/>
        </w:trPr>
        <w:tc>
          <w:tcPr>
            <w:tcW w:w="1056" w:type="dxa"/>
            <w:vMerge w:val="restart"/>
            <w:tcBorders>
              <w:top w:val="single" w:sz="12" w:space="0" w:color="000000"/>
              <w:left w:val="single" w:sz="4" w:space="0" w:color="000000"/>
              <w:right w:val="single" w:sz="4" w:space="0" w:color="000000"/>
            </w:tcBorders>
          </w:tcPr>
          <w:p>
            <w:pPr>
              <w:pStyle w:val="TableParagraph"/>
              <w:tabs>
                <w:tab w:pos="628" w:val="left" w:leader="none"/>
              </w:tabs>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4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1056" w:type="dxa"/>
            <w:vMerge/>
            <w:tcBorders>
              <w:left w:val="single" w:sz="4" w:space="0" w:color="000000"/>
              <w:right w:val="single" w:sz="4" w:space="0" w:color="000000"/>
            </w:tcBorders>
          </w:tcPr>
          <w:p>
            <w:pP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8" w:type="dxa"/>
            <w:vMerge w:val="restart"/>
            <w:tcBorders>
              <w:top w:val="single" w:sz="4" w:space="0" w:color="000000"/>
              <w:left w:val="single" w:sz="4"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4" w:space="0" w:color="000000"/>
              <w:left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0" w:hRule="exact"/>
        </w:trPr>
        <w:tc>
          <w:tcPr>
            <w:tcW w:w="1056"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88"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9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4" w:space="0" w:color="000000"/>
              <w:bottom w:val="single" w:sz="4" w:space="0" w:color="000000"/>
              <w:right w:val="single" w:sz="4" w:space="0" w:color="000000"/>
            </w:tcBorders>
          </w:tcPr>
          <w:p>
            <w:pPr/>
          </w:p>
        </w:tc>
      </w:tr>
      <w:tr>
        <w:trPr>
          <w:trHeight w:val="319" w:hRule="exact"/>
        </w:trPr>
        <w:tc>
          <w:tcPr>
            <w:tcW w:w="105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49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237,963,295.47</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58.17%</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2,379,632.96</w:t>
            </w:r>
          </w:p>
        </w:tc>
        <w:tc>
          <w:tcPr>
            <w:tcW w:w="154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254,222,409.09</w:t>
            </w:r>
          </w:p>
        </w:tc>
        <w:tc>
          <w:tcPr>
            <w:tcW w:w="102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77.57%</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2,542,224.09</w:t>
            </w:r>
          </w:p>
        </w:tc>
      </w:tr>
      <w:tr>
        <w:trPr>
          <w:trHeight w:val="300"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一至二年</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115,609,461.03</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
              <w:jc w:val="right"/>
              <w:rPr>
                <w:rFonts w:ascii="宋体" w:hAnsi="宋体" w:cs="宋体" w:eastAsia="宋体" w:hint="default"/>
                <w:sz w:val="21"/>
                <w:szCs w:val="21"/>
              </w:rPr>
            </w:pPr>
            <w:r>
              <w:rPr>
                <w:rFonts w:ascii="宋体"/>
                <w:sz w:val="21"/>
              </w:rPr>
              <w:t>28.26%</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right"/>
              <w:rPr>
                <w:rFonts w:ascii="宋体" w:hAnsi="宋体" w:cs="宋体" w:eastAsia="宋体" w:hint="default"/>
                <w:sz w:val="21"/>
                <w:szCs w:val="21"/>
              </w:rPr>
            </w:pPr>
            <w:r>
              <w:rPr>
                <w:rFonts w:ascii="宋体"/>
                <w:spacing w:val="-1"/>
                <w:sz w:val="21"/>
              </w:rPr>
              <w:t>5,780,473.05</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16,962,326.94</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right"/>
              <w:rPr>
                <w:rFonts w:ascii="宋体" w:hAnsi="宋体" w:cs="宋体" w:eastAsia="宋体" w:hint="default"/>
                <w:sz w:val="21"/>
                <w:szCs w:val="21"/>
              </w:rPr>
            </w:pPr>
            <w:r>
              <w:rPr>
                <w:rFonts w:ascii="宋体"/>
                <w:sz w:val="21"/>
              </w:rPr>
              <w:t>5.18%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5"/>
              <w:jc w:val="right"/>
              <w:rPr>
                <w:rFonts w:ascii="宋体" w:hAnsi="宋体" w:cs="宋体" w:eastAsia="宋体" w:hint="default"/>
                <w:sz w:val="21"/>
                <w:szCs w:val="21"/>
              </w:rPr>
            </w:pPr>
            <w:r>
              <w:rPr>
                <w:rFonts w:ascii="宋体"/>
                <w:spacing w:val="-1"/>
                <w:sz w:val="21"/>
              </w:rPr>
              <w:t>848,116.35</w:t>
            </w:r>
          </w:p>
        </w:tc>
      </w:tr>
      <w:tr>
        <w:trPr>
          <w:trHeight w:val="300"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二至三年</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9,115,295.78</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2.23%</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911,529.58</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19,394,601.92</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5.92%</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1,939,460.19</w:t>
            </w:r>
          </w:p>
        </w:tc>
      </w:tr>
      <w:tr>
        <w:trPr>
          <w:trHeight w:val="300"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三至四年</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12,179,682.74</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2.98%</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3,653,904.82</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30,960,327.15</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9.45%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9,288,098.15</w:t>
            </w:r>
          </w:p>
        </w:tc>
      </w:tr>
      <w:tr>
        <w:trPr>
          <w:trHeight w:val="300" w:hRule="exact"/>
        </w:trPr>
        <w:tc>
          <w:tcPr>
            <w:tcW w:w="105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四至五年</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28,003,703.60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6.85%</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8,401,111.08</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5,104,808.13</w:t>
            </w:r>
          </w:p>
        </w:tc>
        <w:tc>
          <w:tcPr>
            <w:tcW w:w="102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1.55%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1,531,442.44</w:t>
            </w:r>
          </w:p>
        </w:tc>
      </w:tr>
      <w:tr>
        <w:trPr>
          <w:trHeight w:val="291" w:hRule="exact"/>
        </w:trPr>
        <w:tc>
          <w:tcPr>
            <w:tcW w:w="1056"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49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6,195,905.03</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1.51%</w:t>
            </w: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6,195,905.03</w:t>
            </w:r>
          </w:p>
        </w:tc>
        <w:tc>
          <w:tcPr>
            <w:tcW w:w="154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1,099,335.81</w:t>
            </w:r>
          </w:p>
        </w:tc>
        <w:tc>
          <w:tcPr>
            <w:tcW w:w="102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0"/>
              <w:jc w:val="right"/>
              <w:rPr>
                <w:rFonts w:ascii="宋体" w:hAnsi="宋体" w:cs="宋体" w:eastAsia="宋体" w:hint="default"/>
                <w:sz w:val="21"/>
                <w:szCs w:val="21"/>
              </w:rPr>
            </w:pPr>
            <w:r>
              <w:rPr>
                <w:rFonts w:ascii="宋体"/>
                <w:sz w:val="21"/>
              </w:rPr>
              <w:t>0.33%</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1,099,335.81</w:t>
            </w:r>
          </w:p>
        </w:tc>
      </w:tr>
      <w:tr>
        <w:trPr>
          <w:trHeight w:val="319" w:hRule="exact"/>
        </w:trPr>
        <w:tc>
          <w:tcPr>
            <w:tcW w:w="1056"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20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409,067,343.65</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27,322,556.52</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327,743,809.04</w:t>
            </w:r>
          </w:p>
        </w:tc>
        <w:tc>
          <w:tcPr>
            <w:tcW w:w="102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100.00%</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17,248,677.03</w:t>
            </w:r>
          </w:p>
        </w:tc>
      </w:tr>
    </w:tbl>
    <w:p>
      <w:pPr>
        <w:spacing w:before="6"/>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）应收账款期末余额中，无应收持有公司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z w:val="21"/>
          <w:szCs w:val="21"/>
        </w:rPr>
        <w:t>）股份的股东单位的往来款项。</w:t>
      </w:r>
    </w:p>
    <w:p>
      <w:pPr>
        <w:spacing w:before="92"/>
        <w:ind w:left="564" w:right="16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）应收账款金额前五名单位情况如下：</w:t>
      </w:r>
    </w:p>
    <w:p>
      <w:pPr>
        <w:spacing w:after="0"/>
        <w:jc w:val="left"/>
        <w:rPr>
          <w:rFonts w:ascii="宋体" w:hAnsi="宋体" w:cs="宋体" w:eastAsia="宋体" w:hint="default"/>
          <w:sz w:val="21"/>
          <w:szCs w:val="21"/>
        </w:rPr>
        <w:sectPr>
          <w:pgSz w:w="12240" w:h="15840"/>
          <w:pgMar w:header="850" w:footer="956" w:top="1360" w:bottom="1140" w:left="150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45"/>
        <w:gridCol w:w="1236"/>
        <w:gridCol w:w="1430"/>
        <w:gridCol w:w="1013"/>
        <w:gridCol w:w="2062"/>
      </w:tblGrid>
      <w:tr>
        <w:trPr>
          <w:trHeight w:val="630" w:hRule="exact"/>
        </w:trPr>
        <w:tc>
          <w:tcPr>
            <w:tcW w:w="3145"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6" w:type="dxa"/>
            <w:tcBorders>
              <w:top w:val="single" w:sz="20" w:space="0" w:color="000000"/>
              <w:left w:val="single" w:sz="4" w:space="0" w:color="000000"/>
              <w:bottom w:val="single" w:sz="4" w:space="0" w:color="000000"/>
              <w:right w:val="single" w:sz="4" w:space="0" w:color="000000"/>
            </w:tcBorders>
          </w:tcPr>
          <w:p>
            <w:pPr>
              <w:pStyle w:val="TableParagraph"/>
              <w:spacing w:line="261" w:lineRule="auto"/>
              <w:ind w:left="508" w:right="82"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430"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3" w:type="dxa"/>
            <w:tcBorders>
              <w:top w:val="single" w:sz="2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062" w:type="dxa"/>
            <w:tcBorders>
              <w:top w:val="single" w:sz="20" w:space="0" w:color="000000"/>
              <w:left w:val="single" w:sz="4" w:space="0" w:color="000000"/>
              <w:bottom w:val="single" w:sz="4" w:space="0" w:color="000000"/>
              <w:right w:val="single" w:sz="4" w:space="0" w:color="000000"/>
            </w:tcBorders>
          </w:tcPr>
          <w:p>
            <w:pPr>
              <w:pStyle w:val="TableParagraph"/>
              <w:spacing w:line="261" w:lineRule="auto"/>
              <w:ind w:left="919" w:right="76" w:hanging="840"/>
              <w:jc w:val="left"/>
              <w:rPr>
                <w:rFonts w:ascii="宋体" w:hAnsi="宋体" w:cs="宋体" w:eastAsia="宋体" w:hint="default"/>
                <w:sz w:val="21"/>
                <w:szCs w:val="21"/>
              </w:rPr>
            </w:pPr>
            <w:r>
              <w:rPr>
                <w:rFonts w:ascii="宋体" w:hAnsi="宋体" w:cs="宋体" w:eastAsia="宋体" w:hint="default"/>
                <w:sz w:val="21"/>
                <w:szCs w:val="21"/>
              </w:rPr>
              <w:t>占应收账款总额的比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605" w:hRule="exact"/>
        </w:trPr>
        <w:tc>
          <w:tcPr>
            <w:tcW w:w="3145" w:type="dxa"/>
            <w:tcBorders>
              <w:top w:val="single" w:sz="4" w:space="0" w:color="000000"/>
              <w:left w:val="single" w:sz="4" w:space="0" w:color="000000"/>
              <w:bottom w:val="nil" w:sz="6" w:space="0" w:color="auto"/>
              <w:right w:val="single" w:sz="4" w:space="0" w:color="000000"/>
            </w:tcBorders>
          </w:tcPr>
          <w:p>
            <w:pPr>
              <w:pStyle w:val="TableParagraph"/>
              <w:spacing w:line="261" w:lineRule="auto"/>
              <w:ind w:left="7" w:right="180"/>
              <w:jc w:val="left"/>
              <w:rPr>
                <w:rFonts w:ascii="宋体" w:hAnsi="宋体" w:cs="宋体" w:eastAsia="宋体" w:hint="default"/>
                <w:sz w:val="21"/>
                <w:szCs w:val="21"/>
              </w:rPr>
            </w:pPr>
            <w:r>
              <w:rPr>
                <w:rFonts w:ascii="宋体" w:hAnsi="宋体" w:cs="宋体" w:eastAsia="宋体" w:hint="default"/>
                <w:spacing w:val="-2"/>
                <w:sz w:val="21"/>
                <w:szCs w:val="21"/>
              </w:rPr>
              <w:t>北京科东电力控制系统有限责任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3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22,713,000.00</w:t>
            </w:r>
          </w:p>
        </w:tc>
        <w:tc>
          <w:tcPr>
            <w:tcW w:w="101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left="763" w:right="0"/>
              <w:jc w:val="left"/>
              <w:rPr>
                <w:rFonts w:ascii="宋体" w:hAnsi="宋体" w:cs="宋体" w:eastAsia="宋体" w:hint="default"/>
                <w:sz w:val="21"/>
                <w:szCs w:val="21"/>
              </w:rPr>
            </w:pPr>
            <w:r>
              <w:rPr>
                <w:rFonts w:ascii="宋体"/>
                <w:sz w:val="21"/>
              </w:rPr>
              <w:t>5.55%</w:t>
            </w:r>
          </w:p>
        </w:tc>
      </w:tr>
      <w:tr>
        <w:trPr>
          <w:trHeight w:val="300" w:hRule="exact"/>
        </w:trPr>
        <w:tc>
          <w:tcPr>
            <w:tcW w:w="314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22,688,121.16</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63" w:right="0"/>
              <w:jc w:val="left"/>
              <w:rPr>
                <w:rFonts w:ascii="宋体" w:hAnsi="宋体" w:cs="宋体" w:eastAsia="宋体" w:hint="default"/>
                <w:sz w:val="21"/>
                <w:szCs w:val="21"/>
              </w:rPr>
            </w:pPr>
            <w:r>
              <w:rPr>
                <w:rFonts w:ascii="宋体"/>
                <w:sz w:val="21"/>
              </w:rPr>
              <w:t>5.55%</w:t>
            </w:r>
          </w:p>
        </w:tc>
      </w:tr>
      <w:tr>
        <w:trPr>
          <w:trHeight w:val="300" w:hRule="exact"/>
        </w:trPr>
        <w:tc>
          <w:tcPr>
            <w:tcW w:w="314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山西省物产集团进出口有限公司</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19,238,630.00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63" w:right="0"/>
              <w:jc w:val="left"/>
              <w:rPr>
                <w:rFonts w:ascii="宋体" w:hAnsi="宋体" w:cs="宋体" w:eastAsia="宋体" w:hint="default"/>
                <w:sz w:val="21"/>
                <w:szCs w:val="21"/>
              </w:rPr>
            </w:pPr>
            <w:r>
              <w:rPr>
                <w:rFonts w:ascii="宋体"/>
                <w:sz w:val="21"/>
              </w:rPr>
              <w:t>4.70%</w:t>
            </w:r>
          </w:p>
        </w:tc>
      </w:tr>
      <w:tr>
        <w:trPr>
          <w:trHeight w:val="300" w:hRule="exact"/>
        </w:trPr>
        <w:tc>
          <w:tcPr>
            <w:tcW w:w="314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18,397,001.75</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63" w:right="0"/>
              <w:jc w:val="left"/>
              <w:rPr>
                <w:rFonts w:ascii="宋体" w:hAnsi="宋体" w:cs="宋体" w:eastAsia="宋体" w:hint="default"/>
                <w:sz w:val="21"/>
                <w:szCs w:val="21"/>
              </w:rPr>
            </w:pPr>
            <w:r>
              <w:rPr>
                <w:rFonts w:ascii="宋体"/>
                <w:sz w:val="21"/>
              </w:rPr>
              <w:t>4.50%</w:t>
            </w:r>
          </w:p>
        </w:tc>
      </w:tr>
      <w:tr>
        <w:trPr>
          <w:trHeight w:val="305" w:hRule="exact"/>
        </w:trPr>
        <w:tc>
          <w:tcPr>
            <w:tcW w:w="3145"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黑龙江省农村信用社联合社</w:t>
            </w: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30"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6,966,443.18</w:t>
            </w:r>
          </w:p>
        </w:tc>
        <w:tc>
          <w:tcPr>
            <w:tcW w:w="1013"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97" w:right="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2062" w:type="dxa"/>
            <w:tcBorders>
              <w:top w:val="nil" w:sz="6" w:space="0" w:color="auto"/>
              <w:left w:val="single" w:sz="4" w:space="0" w:color="000000"/>
              <w:bottom w:val="single" w:sz="4" w:space="0" w:color="000000"/>
              <w:right w:val="single" w:sz="4" w:space="0" w:color="000000"/>
            </w:tcBorders>
          </w:tcPr>
          <w:p>
            <w:pPr>
              <w:pStyle w:val="TableParagraph"/>
              <w:spacing w:line="270" w:lineRule="exact"/>
              <w:ind w:left="763" w:right="0"/>
              <w:jc w:val="left"/>
              <w:rPr>
                <w:rFonts w:ascii="宋体" w:hAnsi="宋体" w:cs="宋体" w:eastAsia="宋体" w:hint="default"/>
                <w:sz w:val="21"/>
                <w:szCs w:val="21"/>
              </w:rPr>
            </w:pPr>
            <w:r>
              <w:rPr>
                <w:rFonts w:ascii="宋体"/>
                <w:sz w:val="21"/>
              </w:rPr>
              <w:t>1.70%</w:t>
            </w:r>
          </w:p>
        </w:tc>
      </w:tr>
      <w:tr>
        <w:trPr>
          <w:trHeight w:val="319" w:hRule="exact"/>
        </w:trPr>
        <w:tc>
          <w:tcPr>
            <w:tcW w:w="3145"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36" w:type="dxa"/>
            <w:tcBorders>
              <w:top w:val="single" w:sz="4" w:space="0" w:color="000000"/>
              <w:left w:val="single" w:sz="4" w:space="0" w:color="000000"/>
              <w:bottom w:val="single" w:sz="12" w:space="0" w:color="000000"/>
              <w:right w:val="single" w:sz="4" w:space="0" w:color="000000"/>
            </w:tcBorders>
          </w:tcPr>
          <w:p>
            <w:pPr/>
          </w:p>
        </w:tc>
        <w:tc>
          <w:tcPr>
            <w:tcW w:w="1430"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90,003,196.09</w:t>
            </w:r>
          </w:p>
        </w:tc>
        <w:tc>
          <w:tcPr>
            <w:tcW w:w="1013" w:type="dxa"/>
            <w:tcBorders>
              <w:top w:val="single" w:sz="4" w:space="0" w:color="000000"/>
              <w:left w:val="single" w:sz="4" w:space="0" w:color="000000"/>
              <w:bottom w:val="single" w:sz="12" w:space="0" w:color="000000"/>
              <w:right w:val="single" w:sz="4" w:space="0" w:color="000000"/>
            </w:tcBorders>
          </w:tcPr>
          <w:p>
            <w:pPr/>
          </w:p>
        </w:tc>
        <w:tc>
          <w:tcPr>
            <w:tcW w:w="2062"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left="710" w:right="0"/>
              <w:jc w:val="left"/>
              <w:rPr>
                <w:rFonts w:ascii="宋体" w:hAnsi="宋体" w:cs="宋体" w:eastAsia="宋体" w:hint="default"/>
                <w:sz w:val="21"/>
                <w:szCs w:val="21"/>
              </w:rPr>
            </w:pPr>
            <w:r>
              <w:rPr>
                <w:rFonts w:ascii="宋体"/>
                <w:sz w:val="21"/>
              </w:rPr>
              <w:t>22.00%</w:t>
            </w:r>
          </w:p>
        </w:tc>
      </w:tr>
    </w:tbl>
    <w:p>
      <w:pPr>
        <w:spacing w:before="6"/>
        <w:ind w:left="544" w:right="1265" w:firstLine="0"/>
        <w:jc w:val="left"/>
        <w:rPr>
          <w:rFonts w:ascii="宋体" w:hAnsi="宋体" w:cs="宋体" w:eastAsia="宋体" w:hint="default"/>
          <w:sz w:val="21"/>
          <w:szCs w:val="21"/>
        </w:rPr>
      </w:pPr>
      <w:r>
        <w:rPr>
          <w:rFonts w:ascii="宋体" w:hAnsi="宋体" w:cs="宋体" w:eastAsia="宋体" w:hint="default"/>
          <w:sz w:val="21"/>
          <w:szCs w:val="21"/>
        </w:rPr>
        <w:t>注：其中一年以内</w:t>
      </w:r>
      <w:r>
        <w:rPr>
          <w:rFonts w:ascii="宋体" w:hAnsi="宋体" w:cs="宋体" w:eastAsia="宋体" w:hint="default"/>
          <w:spacing w:val="-55"/>
          <w:sz w:val="21"/>
          <w:szCs w:val="21"/>
        </w:rPr>
        <w:t> </w:t>
      </w:r>
      <w:r>
        <w:rPr>
          <w:rFonts w:ascii="宋体" w:hAnsi="宋体" w:cs="宋体" w:eastAsia="宋体" w:hint="default"/>
          <w:sz w:val="21"/>
          <w:szCs w:val="21"/>
        </w:rPr>
        <w:t>11,568,021.13</w:t>
      </w:r>
      <w:r>
        <w:rPr>
          <w:rFonts w:ascii="宋体" w:hAnsi="宋体" w:cs="宋体" w:eastAsia="宋体" w:hint="default"/>
          <w:spacing w:val="-55"/>
          <w:sz w:val="21"/>
          <w:szCs w:val="21"/>
        </w:rPr>
        <w:t> </w:t>
      </w:r>
      <w:r>
        <w:rPr>
          <w:rFonts w:ascii="宋体" w:hAnsi="宋体" w:cs="宋体" w:eastAsia="宋体" w:hint="default"/>
          <w:sz w:val="21"/>
          <w:szCs w:val="21"/>
        </w:rPr>
        <w:t>元、一至二年</w:t>
      </w:r>
      <w:r>
        <w:rPr>
          <w:rFonts w:ascii="宋体" w:hAnsi="宋体" w:cs="宋体" w:eastAsia="宋体" w:hint="default"/>
          <w:spacing w:val="-55"/>
          <w:sz w:val="21"/>
          <w:szCs w:val="21"/>
        </w:rPr>
        <w:t> </w:t>
      </w:r>
      <w:r>
        <w:rPr>
          <w:rFonts w:ascii="宋体" w:hAnsi="宋体" w:cs="宋体" w:eastAsia="宋体" w:hint="default"/>
          <w:sz w:val="21"/>
          <w:szCs w:val="21"/>
        </w:rPr>
        <w:t>10,084,475.31</w:t>
      </w:r>
      <w:r>
        <w:rPr>
          <w:rFonts w:ascii="宋体" w:hAnsi="宋体" w:cs="宋体" w:eastAsia="宋体" w:hint="default"/>
          <w:spacing w:val="-55"/>
          <w:sz w:val="21"/>
          <w:szCs w:val="21"/>
        </w:rPr>
        <w:t> </w:t>
      </w:r>
      <w:r>
        <w:rPr>
          <w:rFonts w:ascii="宋体" w:hAnsi="宋体" w:cs="宋体" w:eastAsia="宋体" w:hint="default"/>
          <w:sz w:val="21"/>
          <w:szCs w:val="21"/>
        </w:rPr>
        <w:t>元、二至三年</w:t>
      </w:r>
      <w:r>
        <w:rPr>
          <w:rFonts w:ascii="宋体" w:hAnsi="宋体" w:cs="宋体" w:eastAsia="宋体" w:hint="default"/>
          <w:spacing w:val="-57"/>
          <w:sz w:val="21"/>
          <w:szCs w:val="21"/>
        </w:rPr>
        <w:t> </w:t>
      </w:r>
      <w:r>
        <w:rPr>
          <w:rFonts w:ascii="宋体" w:hAnsi="宋体" w:cs="宋体" w:eastAsia="宋体" w:hint="default"/>
          <w:sz w:val="21"/>
          <w:szCs w:val="21"/>
        </w:rPr>
        <w:t>226,542.00</w:t>
      </w:r>
      <w:r>
        <w:rPr>
          <w:rFonts w:ascii="宋体" w:hAnsi="宋体" w:cs="宋体" w:eastAsia="宋体" w:hint="default"/>
          <w:sz w:val="21"/>
          <w:szCs w:val="21"/>
        </w:rPr>
        <w:t>、</w:t>
      </w:r>
    </w:p>
    <w:p>
      <w:pPr>
        <w:spacing w:before="54"/>
        <w:ind w:left="124" w:right="4204" w:firstLine="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pacing w:val="-53"/>
          <w:sz w:val="21"/>
          <w:szCs w:val="21"/>
        </w:rPr>
        <w:t> </w:t>
      </w:r>
      <w:r>
        <w:rPr>
          <w:rFonts w:ascii="宋体" w:hAnsi="宋体" w:cs="宋体" w:eastAsia="宋体" w:hint="default"/>
          <w:sz w:val="21"/>
          <w:szCs w:val="21"/>
        </w:rPr>
        <w:t>809,082.72</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2"/>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）坏账准备</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77"/>
        <w:gridCol w:w="1714"/>
        <w:gridCol w:w="1553"/>
        <w:gridCol w:w="1553"/>
        <w:gridCol w:w="2364"/>
      </w:tblGrid>
      <w:tr>
        <w:trPr>
          <w:trHeight w:val="293" w:hRule="exact"/>
        </w:trPr>
        <w:tc>
          <w:tcPr>
            <w:tcW w:w="1877" w:type="dxa"/>
            <w:vMerge w:val="restart"/>
            <w:tcBorders>
              <w:top w:val="single" w:sz="12" w:space="0" w:color="000000"/>
              <w:left w:val="single" w:sz="4" w:space="0" w:color="000000"/>
              <w:right w:val="single" w:sz="4" w:space="0" w:color="000000"/>
            </w:tcBorders>
          </w:tcPr>
          <w:p>
            <w:pPr>
              <w:pStyle w:val="TableParagraph"/>
              <w:spacing w:line="240" w:lineRule="auto" w:before="107"/>
              <w:ind w:left="5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4" w:type="dxa"/>
            <w:vMerge w:val="restart"/>
            <w:tcBorders>
              <w:top w:val="single" w:sz="12" w:space="0" w:color="000000"/>
              <w:left w:val="single" w:sz="4" w:space="0" w:color="000000"/>
              <w:right w:val="single" w:sz="4" w:space="0" w:color="000000"/>
            </w:tcBorders>
          </w:tcPr>
          <w:p>
            <w:pPr>
              <w:pStyle w:val="TableParagraph"/>
              <w:spacing w:line="240" w:lineRule="auto" w:before="107"/>
              <w:ind w:left="4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0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364" w:type="dxa"/>
            <w:vMerge w:val="restart"/>
            <w:tcBorders>
              <w:top w:val="single" w:sz="12" w:space="0" w:color="000000"/>
              <w:left w:val="single" w:sz="4" w:space="0" w:color="000000"/>
              <w:right w:val="single" w:sz="4" w:space="0" w:color="000000"/>
            </w:tcBorders>
          </w:tcPr>
          <w:p>
            <w:pPr>
              <w:pStyle w:val="TableParagraph"/>
              <w:spacing w:line="240" w:lineRule="auto" w:before="107"/>
              <w:ind w:left="75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78" w:hRule="exact"/>
        </w:trPr>
        <w:tc>
          <w:tcPr>
            <w:tcW w:w="1877" w:type="dxa"/>
            <w:vMerge/>
            <w:tcBorders>
              <w:left w:val="single" w:sz="4" w:space="0" w:color="000000"/>
              <w:bottom w:val="single" w:sz="2" w:space="0" w:color="000000"/>
              <w:right w:val="single" w:sz="4" w:space="0" w:color="000000"/>
            </w:tcBorders>
          </w:tcPr>
          <w:p>
            <w:pPr/>
          </w:p>
        </w:tc>
        <w:tc>
          <w:tcPr>
            <w:tcW w:w="1714" w:type="dxa"/>
            <w:vMerge/>
            <w:tcBorders>
              <w:left w:val="single" w:sz="4" w:space="0" w:color="000000"/>
              <w:bottom w:val="single" w:sz="2" w:space="0" w:color="000000"/>
              <w:right w:val="single" w:sz="4" w:space="0" w:color="000000"/>
            </w:tcBorders>
          </w:tcPr>
          <w:p>
            <w:pPr/>
          </w:p>
        </w:tc>
        <w:tc>
          <w:tcPr>
            <w:tcW w:w="1553" w:type="dxa"/>
            <w:tcBorders>
              <w:top w:val="single" w:sz="4" w:space="0" w:color="000000"/>
              <w:left w:val="single" w:sz="4" w:space="0" w:color="000000"/>
              <w:bottom w:val="single" w:sz="2"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53" w:type="dxa"/>
            <w:tcBorders>
              <w:top w:val="single" w:sz="4" w:space="0" w:color="000000"/>
              <w:left w:val="single" w:sz="4" w:space="0" w:color="000000"/>
              <w:bottom w:val="single" w:sz="2"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2364" w:type="dxa"/>
            <w:vMerge/>
            <w:tcBorders>
              <w:left w:val="single" w:sz="4" w:space="0" w:color="000000"/>
              <w:bottom w:val="single" w:sz="2" w:space="0" w:color="000000"/>
              <w:right w:val="single" w:sz="4" w:space="0" w:color="000000"/>
            </w:tcBorders>
          </w:tcPr>
          <w:p>
            <w:pPr/>
          </w:p>
        </w:tc>
      </w:tr>
      <w:tr>
        <w:trPr>
          <w:trHeight w:val="319" w:hRule="exact"/>
        </w:trPr>
        <w:tc>
          <w:tcPr>
            <w:tcW w:w="1877" w:type="dxa"/>
            <w:tcBorders>
              <w:top w:val="single" w:sz="2" w:space="0" w:color="000000"/>
              <w:left w:val="single" w:sz="2" w:space="0" w:color="000000"/>
              <w:bottom w:val="single" w:sz="12" w:space="0" w:color="000000"/>
              <w:right w:val="single" w:sz="3" w:space="0" w:color="000000"/>
            </w:tcBorders>
          </w:tcPr>
          <w:p>
            <w:pPr>
              <w:pStyle w:val="TableParagraph"/>
              <w:spacing w:line="270" w:lineRule="exact"/>
              <w:ind w:left="496" w:right="0"/>
              <w:jc w:val="left"/>
              <w:rPr>
                <w:rFonts w:ascii="宋体" w:hAnsi="宋体" w:cs="宋体" w:eastAsia="宋体" w:hint="default"/>
                <w:sz w:val="21"/>
                <w:szCs w:val="21"/>
              </w:rPr>
            </w:pPr>
            <w:r>
              <w:rPr>
                <w:rFonts w:ascii="宋体"/>
                <w:sz w:val="21"/>
              </w:rPr>
              <w:t>17,248,677.03</w:t>
            </w:r>
          </w:p>
        </w:tc>
        <w:tc>
          <w:tcPr>
            <w:tcW w:w="1714" w:type="dxa"/>
            <w:tcBorders>
              <w:top w:val="single" w:sz="2" w:space="0" w:color="000000"/>
              <w:left w:val="single" w:sz="3" w:space="0" w:color="000000"/>
              <w:bottom w:val="single" w:sz="12" w:space="0" w:color="000000"/>
              <w:right w:val="single" w:sz="3" w:space="0" w:color="000000"/>
            </w:tcBorders>
          </w:tcPr>
          <w:p>
            <w:pPr>
              <w:pStyle w:val="TableParagraph"/>
              <w:spacing w:line="270" w:lineRule="exact"/>
              <w:ind w:left="335" w:right="0"/>
              <w:jc w:val="left"/>
              <w:rPr>
                <w:rFonts w:ascii="宋体" w:hAnsi="宋体" w:cs="宋体" w:eastAsia="宋体" w:hint="default"/>
                <w:sz w:val="21"/>
                <w:szCs w:val="21"/>
              </w:rPr>
            </w:pPr>
            <w:r>
              <w:rPr>
                <w:rFonts w:ascii="宋体"/>
                <w:sz w:val="21"/>
              </w:rPr>
              <w:t>10,073,879.49</w:t>
            </w:r>
          </w:p>
        </w:tc>
        <w:tc>
          <w:tcPr>
            <w:tcW w:w="1553" w:type="dxa"/>
            <w:tcBorders>
              <w:top w:val="single" w:sz="2" w:space="0" w:color="000000"/>
              <w:left w:val="single" w:sz="3" w:space="0" w:color="000000"/>
              <w:bottom w:val="single" w:sz="12" w:space="0" w:color="000000"/>
              <w:right w:val="single" w:sz="3" w:space="0" w:color="000000"/>
            </w:tcBorders>
          </w:tcPr>
          <w:p>
            <w:pPr/>
          </w:p>
        </w:tc>
        <w:tc>
          <w:tcPr>
            <w:tcW w:w="1553" w:type="dxa"/>
            <w:tcBorders>
              <w:top w:val="single" w:sz="2" w:space="0" w:color="000000"/>
              <w:left w:val="single" w:sz="3" w:space="0" w:color="000000"/>
              <w:bottom w:val="single" w:sz="12" w:space="0" w:color="000000"/>
              <w:right w:val="single" w:sz="3" w:space="0" w:color="000000"/>
            </w:tcBorders>
          </w:tcPr>
          <w:p>
            <w:pPr/>
          </w:p>
        </w:tc>
        <w:tc>
          <w:tcPr>
            <w:tcW w:w="2364" w:type="dxa"/>
            <w:tcBorders>
              <w:top w:val="single" w:sz="2" w:space="0" w:color="000000"/>
              <w:left w:val="single" w:sz="3" w:space="0" w:color="000000"/>
              <w:bottom w:val="single" w:sz="12" w:space="0" w:color="000000"/>
              <w:right w:val="single" w:sz="3" w:space="0" w:color="000000"/>
            </w:tcBorders>
          </w:tcPr>
          <w:p>
            <w:pPr>
              <w:pStyle w:val="TableParagraph"/>
              <w:spacing w:line="270" w:lineRule="exact"/>
              <w:ind w:left="982" w:right="0"/>
              <w:jc w:val="left"/>
              <w:rPr>
                <w:rFonts w:ascii="宋体" w:hAnsi="宋体" w:cs="宋体" w:eastAsia="宋体" w:hint="default"/>
                <w:sz w:val="21"/>
                <w:szCs w:val="21"/>
              </w:rPr>
            </w:pPr>
            <w:r>
              <w:rPr>
                <w:rFonts w:ascii="宋体"/>
                <w:sz w:val="21"/>
              </w:rPr>
              <w:t>27,322,556.52</w:t>
            </w:r>
          </w:p>
        </w:tc>
      </w:tr>
    </w:tbl>
    <w:p>
      <w:pPr>
        <w:spacing w:line="240" w:lineRule="auto" w:before="13"/>
        <w:rPr>
          <w:rFonts w:ascii="宋体" w:hAnsi="宋体" w:cs="宋体" w:eastAsia="宋体" w:hint="default"/>
          <w:sz w:val="12"/>
          <w:szCs w:val="12"/>
        </w:rPr>
      </w:pPr>
    </w:p>
    <w:p>
      <w:pPr>
        <w:spacing w:before="36"/>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90"/>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）其他应收款按种类披露如下：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41"/>
        <w:gridCol w:w="1260"/>
        <w:gridCol w:w="720"/>
        <w:gridCol w:w="1140"/>
        <w:gridCol w:w="631"/>
        <w:gridCol w:w="1261"/>
        <w:gridCol w:w="734"/>
        <w:gridCol w:w="1155"/>
        <w:gridCol w:w="526"/>
      </w:tblGrid>
      <w:tr>
        <w:trPr>
          <w:trHeight w:val="341" w:hRule="exact"/>
        </w:trPr>
        <w:tc>
          <w:tcPr>
            <w:tcW w:w="2341" w:type="dxa"/>
            <w:vMerge w:val="restart"/>
            <w:tcBorders>
              <w:top w:val="single" w:sz="12" w:space="0" w:color="000000"/>
              <w:left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75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75"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2341" w:type="dxa"/>
            <w:vMerge/>
            <w:tcBorders>
              <w:left w:val="single" w:sz="4" w:space="0" w:color="000000"/>
              <w:right w:val="single" w:sz="4" w:space="0" w:color="000000"/>
            </w:tcBorders>
          </w:tcPr>
          <w:p>
            <w:pP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51" w:hRule="exact"/>
        </w:trPr>
        <w:tc>
          <w:tcPr>
            <w:tcW w:w="2341"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29" w:right="13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76" w:right="77"/>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611" w:hRule="exact"/>
        </w:trPr>
        <w:tc>
          <w:tcPr>
            <w:tcW w:w="2341" w:type="dxa"/>
            <w:tcBorders>
              <w:top w:val="single" w:sz="4" w:space="0" w:color="000000"/>
              <w:left w:val="single" w:sz="4" w:space="0" w:color="000000"/>
              <w:bottom w:val="nil" w:sz="6" w:space="0" w:color="auto"/>
              <w:right w:val="single" w:sz="4" w:space="0" w:color="000000"/>
            </w:tcBorders>
          </w:tcPr>
          <w:p>
            <w:pPr>
              <w:pStyle w:val="TableParagraph"/>
              <w:spacing w:line="304" w:lineRule="auto" w:before="10"/>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c>
          <w:tcPr>
            <w:tcW w:w="1261"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526" w:type="dxa"/>
            <w:tcBorders>
              <w:top w:val="single" w:sz="4" w:space="0" w:color="000000"/>
              <w:left w:val="single" w:sz="4" w:space="0" w:color="000000"/>
              <w:bottom w:val="nil" w:sz="6" w:space="0" w:color="auto"/>
              <w:right w:val="single" w:sz="4" w:space="0" w:color="000000"/>
            </w:tcBorders>
          </w:tcPr>
          <w:p>
            <w:pPr/>
          </w:p>
        </w:tc>
      </w:tr>
      <w:tr>
        <w:trPr>
          <w:trHeight w:val="611"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84" w:right="113" w:hanging="29"/>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2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526"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96" w:right="0"/>
              <w:jc w:val="center"/>
              <w:rPr>
                <w:rFonts w:ascii="Calibri" w:hAnsi="Calibri" w:cs="Calibri" w:eastAsia="Calibri" w:hint="default"/>
                <w:sz w:val="18"/>
                <w:szCs w:val="18"/>
              </w:rPr>
            </w:pPr>
            <w:r>
              <w:rPr>
                <w:rFonts w:ascii="Calibri"/>
                <w:sz w:val="18"/>
              </w:rPr>
              <w:t>141,892,801.77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67" w:right="0"/>
              <w:jc w:val="center"/>
              <w:rPr>
                <w:rFonts w:ascii="Calibri" w:hAnsi="Calibri" w:cs="Calibri" w:eastAsia="Calibri" w:hint="default"/>
                <w:sz w:val="18"/>
                <w:szCs w:val="18"/>
              </w:rPr>
            </w:pPr>
            <w:r>
              <w:rPr>
                <w:rFonts w:ascii="Calibri"/>
                <w:sz w:val="18"/>
              </w:rPr>
              <w:t>12,046,146.58</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Calibri"/>
                <w:sz w:val="18"/>
              </w:rPr>
              <w:t>8.49</w:t>
            </w:r>
            <w:r>
              <w:rPr>
                <w:rFonts w:ascii="宋体"/>
                <w:sz w:val="18"/>
              </w:rPr>
              <w:t>%</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90" w:right="0"/>
              <w:jc w:val="center"/>
              <w:rPr>
                <w:rFonts w:ascii="Calibri" w:hAnsi="Calibri" w:cs="Calibri" w:eastAsia="Calibri" w:hint="default"/>
                <w:sz w:val="18"/>
                <w:szCs w:val="18"/>
              </w:rPr>
            </w:pPr>
            <w:r>
              <w:rPr>
                <w:rFonts w:ascii="Calibri"/>
                <w:sz w:val="18"/>
              </w:rPr>
              <w:t>135,493,396.01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5"/>
              <w:jc w:val="right"/>
              <w:rPr>
                <w:rFonts w:ascii="Calibri" w:hAnsi="Calibri" w:cs="Calibri" w:eastAsia="Calibri" w:hint="default"/>
                <w:sz w:val="18"/>
                <w:szCs w:val="18"/>
              </w:rPr>
            </w:pPr>
            <w:r>
              <w:rPr>
                <w:rFonts w:ascii="Calibri"/>
                <w:sz w:val="18"/>
              </w:rPr>
              <w:t>6,787,352.63</w:t>
            </w:r>
          </w:p>
        </w:tc>
        <w:tc>
          <w:tcPr>
            <w:tcW w:w="52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Calibri"/>
                <w:sz w:val="18"/>
              </w:rPr>
              <w:t>5.01</w:t>
            </w:r>
            <w:r>
              <w:rPr>
                <w:rFonts w:ascii="宋体"/>
                <w:sz w:val="18"/>
              </w:rPr>
              <w:t>%</w:t>
            </w:r>
          </w:p>
        </w:tc>
      </w:tr>
      <w:tr>
        <w:trPr>
          <w:trHeight w:val="293" w:hRule="exact"/>
        </w:trPr>
        <w:tc>
          <w:tcPr>
            <w:tcW w:w="23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35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96" w:right="0"/>
              <w:jc w:val="center"/>
              <w:rPr>
                <w:rFonts w:ascii="Calibri" w:hAnsi="Calibri" w:cs="Calibri" w:eastAsia="Calibri" w:hint="default"/>
                <w:sz w:val="18"/>
                <w:szCs w:val="18"/>
              </w:rPr>
            </w:pPr>
            <w:r>
              <w:rPr>
                <w:rFonts w:ascii="Calibri"/>
                <w:sz w:val="18"/>
              </w:rPr>
              <w:t>141,892,801.77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67" w:right="0"/>
              <w:jc w:val="center"/>
              <w:rPr>
                <w:rFonts w:ascii="Calibri" w:hAnsi="Calibri" w:cs="Calibri" w:eastAsia="Calibri" w:hint="default"/>
                <w:sz w:val="18"/>
                <w:szCs w:val="18"/>
              </w:rPr>
            </w:pPr>
            <w:r>
              <w:rPr>
                <w:rFonts w:ascii="Calibri"/>
                <w:sz w:val="18"/>
              </w:rPr>
              <w:t>12,046,146.58</w:t>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5"/>
              <w:jc w:val="right"/>
              <w:rPr>
                <w:rFonts w:ascii="宋体" w:hAnsi="宋体" w:cs="宋体" w:eastAsia="宋体" w:hint="default"/>
                <w:sz w:val="18"/>
                <w:szCs w:val="18"/>
              </w:rPr>
            </w:pPr>
            <w:r>
              <w:rPr>
                <w:rFonts w:ascii="Calibri"/>
                <w:sz w:val="18"/>
              </w:rPr>
              <w:t>8.49</w:t>
            </w:r>
            <w:r>
              <w:rPr>
                <w:rFonts w:ascii="宋体"/>
                <w:sz w:val="18"/>
              </w:rPr>
              <w:t>%</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90" w:right="0"/>
              <w:jc w:val="center"/>
              <w:rPr>
                <w:rFonts w:ascii="Calibri" w:hAnsi="Calibri" w:cs="Calibri" w:eastAsia="Calibri" w:hint="default"/>
                <w:sz w:val="18"/>
                <w:szCs w:val="18"/>
              </w:rPr>
            </w:pPr>
            <w:r>
              <w:rPr>
                <w:rFonts w:ascii="Calibri"/>
                <w:sz w:val="18"/>
              </w:rPr>
              <w:t>135,493,396.01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5"/>
              <w:jc w:val="right"/>
              <w:rPr>
                <w:rFonts w:ascii="Calibri" w:hAnsi="Calibri" w:cs="Calibri" w:eastAsia="Calibri" w:hint="default"/>
                <w:sz w:val="18"/>
                <w:szCs w:val="18"/>
              </w:rPr>
            </w:pPr>
            <w:r>
              <w:rPr>
                <w:rFonts w:ascii="Calibri"/>
                <w:sz w:val="18"/>
              </w:rPr>
              <w:t>6,787,352.63</w:t>
            </w:r>
          </w:p>
        </w:tc>
        <w:tc>
          <w:tcPr>
            <w:tcW w:w="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5"/>
              <w:jc w:val="right"/>
              <w:rPr>
                <w:rFonts w:ascii="宋体" w:hAnsi="宋体" w:cs="宋体" w:eastAsia="宋体" w:hint="default"/>
                <w:sz w:val="18"/>
                <w:szCs w:val="18"/>
              </w:rPr>
            </w:pPr>
            <w:r>
              <w:rPr>
                <w:rFonts w:ascii="Calibri"/>
                <w:sz w:val="18"/>
              </w:rPr>
              <w:t>5.01</w:t>
            </w:r>
            <w:r>
              <w:rPr>
                <w:rFonts w:ascii="宋体"/>
                <w:sz w:val="18"/>
              </w:rPr>
              <w:t>%</w:t>
            </w:r>
          </w:p>
        </w:tc>
      </w:tr>
      <w:tr>
        <w:trPr>
          <w:trHeight w:val="603" w:hRule="exact"/>
        </w:trPr>
        <w:tc>
          <w:tcPr>
            <w:tcW w:w="2341" w:type="dxa"/>
            <w:tcBorders>
              <w:top w:val="nil" w:sz="6" w:space="0" w:color="auto"/>
              <w:left w:val="single" w:sz="4" w:space="0" w:color="000000"/>
              <w:bottom w:val="single" w:sz="4" w:space="0" w:color="000000"/>
              <w:right w:val="single" w:sz="4" w:space="0" w:color="000000"/>
            </w:tcBorders>
          </w:tcPr>
          <w:p>
            <w:pPr>
              <w:pStyle w:val="TableParagraph"/>
              <w:spacing w:line="304" w:lineRule="auto" w:before="9"/>
              <w:ind w:left="84" w:right="113" w:hanging="29"/>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631" w:type="dxa"/>
            <w:tcBorders>
              <w:top w:val="nil" w:sz="6" w:space="0" w:color="auto"/>
              <w:left w:val="single" w:sz="4" w:space="0" w:color="000000"/>
              <w:bottom w:val="single" w:sz="4" w:space="0" w:color="000000"/>
              <w:right w:val="single" w:sz="4" w:space="0" w:color="000000"/>
            </w:tcBorders>
          </w:tcPr>
          <w:p>
            <w:pPr/>
          </w:p>
        </w:tc>
        <w:tc>
          <w:tcPr>
            <w:tcW w:w="1261"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526" w:type="dxa"/>
            <w:tcBorders>
              <w:top w:val="nil" w:sz="6" w:space="0" w:color="auto"/>
              <w:left w:val="single" w:sz="4" w:space="0" w:color="000000"/>
              <w:bottom w:val="single" w:sz="4" w:space="0" w:color="000000"/>
              <w:right w:val="single" w:sz="4" w:space="0" w:color="000000"/>
            </w:tcBorders>
          </w:tcPr>
          <w:p>
            <w:pPr/>
          </w:p>
        </w:tc>
      </w:tr>
      <w:tr>
        <w:trPr>
          <w:trHeight w:val="338" w:hRule="exact"/>
        </w:trPr>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96" w:right="0"/>
              <w:jc w:val="center"/>
              <w:rPr>
                <w:rFonts w:ascii="Calibri" w:hAnsi="Calibri" w:cs="Calibri" w:eastAsia="Calibri" w:hint="default"/>
                <w:sz w:val="18"/>
                <w:szCs w:val="18"/>
              </w:rPr>
            </w:pPr>
            <w:r>
              <w:rPr>
                <w:rFonts w:ascii="Calibri"/>
                <w:sz w:val="18"/>
              </w:rPr>
              <w:t>141,892,801.77</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01" w:right="0"/>
              <w:jc w:val="center"/>
              <w:rPr>
                <w:rFonts w:ascii="宋体" w:hAnsi="宋体" w:cs="宋体" w:eastAsia="宋体" w:hint="default"/>
                <w:sz w:val="18"/>
                <w:szCs w:val="18"/>
              </w:rPr>
            </w:pPr>
            <w:r>
              <w:rPr>
                <w:rFonts w:ascii="Calibri"/>
                <w:sz w:val="18"/>
              </w:rPr>
              <w:t>100.00</w:t>
            </w:r>
            <w:r>
              <w:rPr>
                <w:rFonts w:ascii="宋体"/>
                <w:sz w:val="18"/>
              </w:rPr>
              <w:t>%</w:t>
            </w:r>
          </w:p>
        </w:tc>
        <w:tc>
          <w:tcPr>
            <w:tcW w:w="1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67" w:right="0"/>
              <w:jc w:val="center"/>
              <w:rPr>
                <w:rFonts w:ascii="Calibri" w:hAnsi="Calibri" w:cs="Calibri" w:eastAsia="Calibri" w:hint="default"/>
                <w:sz w:val="18"/>
                <w:szCs w:val="18"/>
              </w:rPr>
            </w:pPr>
            <w:r>
              <w:rPr>
                <w:rFonts w:ascii="Calibri"/>
                <w:sz w:val="18"/>
              </w:rPr>
              <w:t>12,046,146.58</w:t>
            </w:r>
          </w:p>
        </w:tc>
        <w:tc>
          <w:tcPr>
            <w:tcW w:w="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Calibri"/>
                <w:sz w:val="18"/>
              </w:rPr>
              <w:t>8.49</w:t>
            </w:r>
            <w:r>
              <w:rPr>
                <w:rFonts w:ascii="宋体"/>
                <w:sz w:val="18"/>
              </w:rPr>
              <w:t>%</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90" w:right="0"/>
              <w:jc w:val="center"/>
              <w:rPr>
                <w:rFonts w:ascii="Calibri" w:hAnsi="Calibri" w:cs="Calibri" w:eastAsia="Calibri" w:hint="default"/>
                <w:sz w:val="18"/>
                <w:szCs w:val="18"/>
              </w:rPr>
            </w:pPr>
            <w:r>
              <w:rPr>
                <w:rFonts w:ascii="Calibri"/>
                <w:sz w:val="18"/>
              </w:rPr>
              <w:t>135,493,396.01</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Calibri"/>
                <w:sz w:val="18"/>
              </w:rPr>
              <w:t>100.00</w:t>
            </w:r>
            <w:r>
              <w:rPr>
                <w:rFonts w:ascii="宋体"/>
                <w:sz w:val="18"/>
              </w:rPr>
              <w:t>%</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5"/>
              <w:jc w:val="right"/>
              <w:rPr>
                <w:rFonts w:ascii="Calibri" w:hAnsi="Calibri" w:cs="Calibri" w:eastAsia="Calibri" w:hint="default"/>
                <w:sz w:val="18"/>
                <w:szCs w:val="18"/>
              </w:rPr>
            </w:pPr>
            <w:r>
              <w:rPr>
                <w:rFonts w:ascii="Calibri"/>
                <w:sz w:val="18"/>
              </w:rPr>
              <w:t>6,787,352.63</w:t>
            </w:r>
          </w:p>
        </w:tc>
        <w:tc>
          <w:tcPr>
            <w:tcW w:w="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Calibri"/>
                <w:sz w:val="18"/>
              </w:rPr>
              <w:t>5.01</w:t>
            </w:r>
            <w:r>
              <w:rPr>
                <w:rFonts w:ascii="宋体"/>
                <w:sz w:val="18"/>
              </w:rPr>
              <w:t>%</w:t>
            </w:r>
          </w:p>
        </w:tc>
      </w:tr>
    </w:tbl>
    <w:p>
      <w:pPr>
        <w:spacing w:before="26"/>
        <w:ind w:left="527" w:right="4204"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按账龄分析法计提坏账准备的其他应收款：</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97"/>
        <w:gridCol w:w="1568"/>
        <w:gridCol w:w="996"/>
        <w:gridCol w:w="1412"/>
        <w:gridCol w:w="1493"/>
        <w:gridCol w:w="987"/>
        <w:gridCol w:w="1308"/>
      </w:tblGrid>
      <w:tr>
        <w:trPr>
          <w:trHeight w:val="341" w:hRule="exact"/>
        </w:trPr>
        <w:tc>
          <w:tcPr>
            <w:tcW w:w="1097" w:type="dxa"/>
            <w:vMerge w:val="restart"/>
            <w:tcBorders>
              <w:top w:val="single" w:sz="12" w:space="0" w:color="000000"/>
              <w:left w:val="single" w:sz="4" w:space="0" w:color="000000"/>
              <w:right w:val="single" w:sz="4" w:space="0" w:color="000000"/>
            </w:tcBorders>
          </w:tcPr>
          <w:p>
            <w:pPr>
              <w:pStyle w:val="TableParagraph"/>
              <w:tabs>
                <w:tab w:pos="650" w:val="left" w:leader="none"/>
              </w:tabs>
              <w:spacing w:line="273" w:lineRule="exact"/>
              <w:ind w:left="22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1097" w:type="dxa"/>
            <w:vMerge/>
            <w:tcBorders>
              <w:left w:val="single" w:sz="4" w:space="0" w:color="000000"/>
              <w:right w:val="single" w:sz="4" w:space="0" w:color="000000"/>
            </w:tcBorders>
          </w:tcPr>
          <w:p>
            <w:pPr/>
          </w:p>
        </w:tc>
        <w:tc>
          <w:tcPr>
            <w:tcW w:w="2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2" w:type="dxa"/>
            <w:vMerge w:val="restart"/>
            <w:tcBorders>
              <w:top w:val="single" w:sz="4" w:space="0" w:color="000000"/>
              <w:left w:val="single" w:sz="4" w:space="0" w:color="000000"/>
              <w:right w:val="single" w:sz="4" w:space="0" w:color="000000"/>
            </w:tcBorders>
          </w:tcPr>
          <w:p>
            <w:pPr>
              <w:pStyle w:val="TableParagraph"/>
              <w:spacing w:line="270"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single" w:sz="4" w:space="0" w:color="000000"/>
              <w:left w:val="single" w:sz="4" w:space="0" w:color="000000"/>
              <w:right w:val="single" w:sz="4" w:space="0" w:color="000000"/>
            </w:tcBorders>
          </w:tcPr>
          <w:p>
            <w:pPr>
              <w:pStyle w:val="TableParagraph"/>
              <w:spacing w:line="270" w:lineRule="exact"/>
              <w:ind w:left="2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2" w:hRule="exact"/>
        </w:trPr>
        <w:tc>
          <w:tcPr>
            <w:tcW w:w="1097"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2"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08" w:type="dxa"/>
            <w:vMerge/>
            <w:tcBorders>
              <w:left w:val="single" w:sz="4" w:space="0" w:color="000000"/>
              <w:bottom w:val="single" w:sz="4" w:space="0" w:color="000000"/>
              <w:right w:val="single" w:sz="4" w:space="0" w:color="000000"/>
            </w:tcBorders>
          </w:tcPr>
          <w:p>
            <w:pPr/>
          </w:p>
        </w:tc>
      </w:tr>
      <w:tr>
        <w:trPr>
          <w:trHeight w:val="319" w:hRule="exact"/>
        </w:trPr>
        <w:tc>
          <w:tcPr>
            <w:tcW w:w="109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6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82,848,034.79</w:t>
            </w:r>
          </w:p>
        </w:tc>
        <w:tc>
          <w:tcPr>
            <w:tcW w:w="99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58.39%</w:t>
            </w:r>
          </w:p>
        </w:tc>
        <w:tc>
          <w:tcPr>
            <w:tcW w:w="1412"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828,480.35</w:t>
            </w:r>
          </w:p>
        </w:tc>
        <w:tc>
          <w:tcPr>
            <w:tcW w:w="149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100,193,199.14</w:t>
            </w:r>
          </w:p>
        </w:tc>
        <w:tc>
          <w:tcPr>
            <w:tcW w:w="98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73.95%</w:t>
            </w:r>
          </w:p>
        </w:tc>
        <w:tc>
          <w:tcPr>
            <w:tcW w:w="1308"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1,001,931.99</w:t>
            </w:r>
          </w:p>
        </w:tc>
      </w:tr>
      <w:tr>
        <w:trPr>
          <w:trHeight w:val="300" w:hRule="exact"/>
        </w:trPr>
        <w:tc>
          <w:tcPr>
            <w:tcW w:w="109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25,475,323.07</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17.95%</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1,273,766.15</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14,407,128.86</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10.63%</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720,356.44</w:t>
            </w:r>
          </w:p>
        </w:tc>
      </w:tr>
      <w:tr>
        <w:trPr>
          <w:trHeight w:val="300" w:hRule="exact"/>
        </w:trPr>
        <w:tc>
          <w:tcPr>
            <w:tcW w:w="109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10,093,700.64</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7.11%</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1,009,370.06</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11,968,340.41</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8.83%</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1,196,834.04</w:t>
            </w:r>
          </w:p>
        </w:tc>
      </w:tr>
      <w:tr>
        <w:trPr>
          <w:trHeight w:val="300" w:hRule="exact"/>
        </w:trPr>
        <w:tc>
          <w:tcPr>
            <w:tcW w:w="109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三至四年</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11,713,885.46</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8.26%</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3,514,165.64</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6,802,152.46</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5.02%</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2,040,645.74</w:t>
            </w:r>
          </w:p>
        </w:tc>
      </w:tr>
      <w:tr>
        <w:trPr>
          <w:trHeight w:val="286" w:hRule="exact"/>
        </w:trPr>
        <w:tc>
          <w:tcPr>
            <w:tcW w:w="109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四至五年</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9,059,276.33</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6.38%</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2,717,782.90</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421,415.32</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z w:val="21"/>
              </w:rPr>
              <w:t>0.31%</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right"/>
              <w:rPr>
                <w:rFonts w:ascii="宋体" w:hAnsi="宋体" w:cs="宋体" w:eastAsia="宋体" w:hint="default"/>
                <w:sz w:val="21"/>
                <w:szCs w:val="21"/>
              </w:rPr>
            </w:pPr>
            <w:r>
              <w:rPr>
                <w:rFonts w:ascii="宋体"/>
                <w:spacing w:val="-1"/>
                <w:sz w:val="21"/>
              </w:rPr>
              <w:t>126,424.60</w:t>
            </w:r>
          </w:p>
        </w:tc>
      </w:tr>
    </w:tbl>
    <w:p>
      <w:pPr>
        <w:spacing w:after="0" w:line="255" w:lineRule="exact"/>
        <w:jc w:val="right"/>
        <w:rPr>
          <w:rFonts w:ascii="宋体" w:hAnsi="宋体" w:cs="宋体" w:eastAsia="宋体" w:hint="default"/>
          <w:sz w:val="21"/>
          <w:szCs w:val="21"/>
        </w:rPr>
        <w:sectPr>
          <w:footerReference w:type="even" r:id="rId94"/>
          <w:footerReference w:type="default" r:id="rId95"/>
          <w:pgSz w:w="12240" w:h="15840"/>
          <w:pgMar w:footer="956" w:header="850" w:top="1360" w:bottom="1140" w:left="152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97"/>
        <w:gridCol w:w="1568"/>
        <w:gridCol w:w="996"/>
        <w:gridCol w:w="1412"/>
        <w:gridCol w:w="1493"/>
        <w:gridCol w:w="987"/>
        <w:gridCol w:w="1308"/>
      </w:tblGrid>
      <w:tr>
        <w:trPr>
          <w:trHeight w:val="320" w:hRule="exact"/>
        </w:trPr>
        <w:tc>
          <w:tcPr>
            <w:tcW w:w="10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35"/>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5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2,702,581.48</w:t>
            </w:r>
          </w:p>
        </w:tc>
        <w:tc>
          <w:tcPr>
            <w:tcW w:w="9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z w:val="21"/>
              </w:rPr>
              <w:t>1.91%</w:t>
            </w:r>
          </w:p>
        </w:tc>
        <w:tc>
          <w:tcPr>
            <w:tcW w:w="14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2,702,581.48</w:t>
            </w:r>
          </w:p>
        </w:tc>
        <w:tc>
          <w:tcPr>
            <w:tcW w:w="14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1,701,159.82</w:t>
            </w:r>
          </w:p>
        </w:tc>
        <w:tc>
          <w:tcPr>
            <w:tcW w:w="9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z w:val="21"/>
              </w:rPr>
              <w:t>1.26%</w:t>
            </w:r>
          </w:p>
        </w:tc>
        <w:tc>
          <w:tcPr>
            <w:tcW w:w="13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left="26" w:right="0"/>
              <w:jc w:val="center"/>
              <w:rPr>
                <w:rFonts w:ascii="宋体" w:hAnsi="宋体" w:cs="宋体" w:eastAsia="宋体" w:hint="default"/>
                <w:sz w:val="21"/>
                <w:szCs w:val="21"/>
              </w:rPr>
            </w:pPr>
            <w:r>
              <w:rPr>
                <w:rFonts w:ascii="宋体"/>
                <w:sz w:val="21"/>
              </w:rPr>
              <w:t>1,701,159.82</w:t>
            </w:r>
          </w:p>
        </w:tc>
      </w:tr>
      <w:tr>
        <w:trPr>
          <w:trHeight w:val="317" w:hRule="exact"/>
        </w:trPr>
        <w:tc>
          <w:tcPr>
            <w:tcW w:w="1097"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22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141,892,801.77</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12,046,146.58</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135,493,396.01</w:t>
            </w:r>
          </w:p>
        </w:tc>
        <w:tc>
          <w:tcPr>
            <w:tcW w:w="98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100.00%</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6" w:right="0"/>
              <w:jc w:val="center"/>
              <w:rPr>
                <w:rFonts w:ascii="宋体" w:hAnsi="宋体" w:cs="宋体" w:eastAsia="宋体" w:hint="default"/>
                <w:sz w:val="21"/>
                <w:szCs w:val="21"/>
              </w:rPr>
            </w:pPr>
            <w:r>
              <w:rPr>
                <w:rFonts w:ascii="宋体"/>
                <w:sz w:val="21"/>
              </w:rPr>
              <w:t>6,787,352.63</w:t>
            </w:r>
          </w:p>
        </w:tc>
      </w:tr>
    </w:tbl>
    <w:p>
      <w:pPr>
        <w:spacing w:before="4"/>
        <w:ind w:left="527"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）其他应收款期末余额中，应收持有公司</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z w:val="21"/>
          <w:szCs w:val="21"/>
        </w:rPr>
        <w:t>5%</w:t>
      </w:r>
      <w:r>
        <w:rPr>
          <w:rFonts w:ascii="宋体" w:hAnsi="宋体" w:cs="宋体" w:eastAsia="宋体" w:hint="default"/>
          <w:sz w:val="21"/>
          <w:szCs w:val="21"/>
        </w:rPr>
        <w:t>）股份的股东的往来款项如下：</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307"/>
        <w:gridCol w:w="1819"/>
        <w:gridCol w:w="1820"/>
        <w:gridCol w:w="1822"/>
      </w:tblGrid>
      <w:tr>
        <w:trPr>
          <w:trHeight w:val="326" w:hRule="exact"/>
        </w:trPr>
        <w:tc>
          <w:tcPr>
            <w:tcW w:w="4307" w:type="dxa"/>
            <w:tcBorders>
              <w:top w:val="single" w:sz="12" w:space="0" w:color="000000"/>
              <w:left w:val="single" w:sz="4" w:space="0" w:color="000000"/>
              <w:bottom w:val="single" w:sz="8"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19" w:type="dxa"/>
            <w:tcBorders>
              <w:top w:val="single" w:sz="12" w:space="0" w:color="000000"/>
              <w:left w:val="single" w:sz="4" w:space="0" w:color="000000"/>
              <w:bottom w:val="single" w:sz="8"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20" w:type="dxa"/>
            <w:tcBorders>
              <w:top w:val="single" w:sz="12" w:space="0" w:color="000000"/>
              <w:left w:val="single" w:sz="4" w:space="0" w:color="000000"/>
              <w:bottom w:val="single" w:sz="8"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22" w:type="dxa"/>
            <w:tcBorders>
              <w:top w:val="single" w:sz="12" w:space="0" w:color="000000"/>
              <w:left w:val="single" w:sz="4" w:space="0" w:color="000000"/>
              <w:bottom w:val="single" w:sz="8"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r>
      <w:tr>
        <w:trPr>
          <w:trHeight w:val="314" w:hRule="exact"/>
        </w:trPr>
        <w:tc>
          <w:tcPr>
            <w:tcW w:w="4307" w:type="dxa"/>
            <w:tcBorders>
              <w:top w:val="single" w:sz="8" w:space="0" w:color="000000"/>
              <w:left w:val="single" w:sz="4" w:space="0" w:color="000000"/>
              <w:bottom w:val="single" w:sz="4" w:space="0" w:color="000000"/>
              <w:right w:val="single" w:sz="4" w:space="0" w:color="000000"/>
            </w:tcBorders>
          </w:tcPr>
          <w:p>
            <w:pPr>
              <w:pStyle w:val="TableParagraph"/>
              <w:spacing w:line="253" w:lineRule="exact"/>
              <w:ind w:left="88" w:right="0"/>
              <w:jc w:val="left"/>
              <w:rPr>
                <w:rFonts w:ascii="宋体" w:hAnsi="宋体" w:cs="宋体" w:eastAsia="宋体" w:hint="default"/>
                <w:sz w:val="21"/>
                <w:szCs w:val="21"/>
              </w:rPr>
            </w:pPr>
            <w:r>
              <w:rPr>
                <w:rFonts w:ascii="宋体" w:hAnsi="宋体" w:cs="宋体" w:eastAsia="宋体" w:hint="default"/>
                <w:sz w:val="21"/>
                <w:szCs w:val="21"/>
              </w:rPr>
              <w:t>薛向东</w:t>
            </w:r>
          </w:p>
        </w:tc>
        <w:tc>
          <w:tcPr>
            <w:tcW w:w="1819"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75,000.00</w:t>
            </w:r>
          </w:p>
        </w:tc>
        <w:tc>
          <w:tcPr>
            <w:tcW w:w="1820" w:type="dxa"/>
            <w:tcBorders>
              <w:top w:val="single" w:sz="8" w:space="0" w:color="000000"/>
              <w:left w:val="single" w:sz="4" w:space="0" w:color="000000"/>
              <w:bottom w:val="single" w:sz="4" w:space="0" w:color="000000"/>
              <w:right w:val="single" w:sz="4" w:space="0" w:color="000000"/>
            </w:tcBorders>
          </w:tcPr>
          <w:p>
            <w:pPr>
              <w:pStyle w:val="TableParagraph"/>
              <w:spacing w:line="248" w:lineRule="exact"/>
              <w:ind w:left="14" w:right="0"/>
              <w:jc w:val="center"/>
              <w:rPr>
                <w:rFonts w:ascii="宋体" w:hAnsi="宋体" w:cs="宋体" w:eastAsia="宋体" w:hint="default"/>
                <w:sz w:val="21"/>
                <w:szCs w:val="21"/>
              </w:rPr>
            </w:pPr>
            <w:r>
              <w:rPr>
                <w:rFonts w:ascii="宋体"/>
                <w:w w:val="100"/>
                <w:sz w:val="21"/>
              </w:rPr>
              <w:t>*</w:t>
            </w:r>
          </w:p>
        </w:tc>
        <w:tc>
          <w:tcPr>
            <w:tcW w:w="1822" w:type="dxa"/>
            <w:tcBorders>
              <w:top w:val="single" w:sz="8" w:space="0" w:color="000000"/>
              <w:left w:val="single" w:sz="4" w:space="0" w:color="000000"/>
              <w:bottom w:val="single" w:sz="4" w:space="0" w:color="000000"/>
              <w:right w:val="single" w:sz="4" w:space="0" w:color="000000"/>
            </w:tcBorders>
          </w:tcPr>
          <w:p>
            <w:pPr>
              <w:pStyle w:val="TableParagraph"/>
              <w:spacing w:line="248" w:lineRule="exact"/>
              <w:ind w:left="16"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319" w:hRule="exact"/>
        </w:trPr>
        <w:tc>
          <w:tcPr>
            <w:tcW w:w="4307" w:type="dxa"/>
            <w:tcBorders>
              <w:top w:val="single" w:sz="4" w:space="0" w:color="000000"/>
              <w:left w:val="single" w:sz="4" w:space="0" w:color="000000"/>
              <w:bottom w:val="single" w:sz="12" w:space="0" w:color="000000"/>
              <w:right w:val="single" w:sz="4" w:space="0" w:color="000000"/>
            </w:tcBorders>
          </w:tcPr>
          <w:p>
            <w:pPr>
              <w:pStyle w:val="TableParagraph"/>
              <w:tabs>
                <w:tab w:pos="441" w:val="left" w:leader="none"/>
              </w:tabs>
              <w:spacing w:line="270"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75,000.00</w:t>
            </w:r>
          </w:p>
        </w:tc>
        <w:tc>
          <w:tcPr>
            <w:tcW w:w="1820" w:type="dxa"/>
            <w:tcBorders>
              <w:top w:val="single" w:sz="4" w:space="0" w:color="000000"/>
              <w:left w:val="single" w:sz="4" w:space="0" w:color="000000"/>
              <w:bottom w:val="single" w:sz="12" w:space="0" w:color="000000"/>
              <w:right w:val="single" w:sz="4" w:space="0" w:color="000000"/>
            </w:tcBorders>
          </w:tcPr>
          <w:p>
            <w:pPr/>
          </w:p>
        </w:tc>
        <w:tc>
          <w:tcPr>
            <w:tcW w:w="1822" w:type="dxa"/>
            <w:tcBorders>
              <w:top w:val="single" w:sz="4" w:space="0" w:color="000000"/>
              <w:left w:val="single" w:sz="4" w:space="0" w:color="000000"/>
              <w:bottom w:val="single" w:sz="12" w:space="0" w:color="000000"/>
              <w:right w:val="single" w:sz="4" w:space="0" w:color="000000"/>
            </w:tcBorders>
          </w:tcPr>
          <w:p>
            <w:pPr/>
          </w:p>
        </w:tc>
      </w:tr>
    </w:tbl>
    <w:p>
      <w:pPr>
        <w:spacing w:before="6"/>
        <w:ind w:left="438" w:right="266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其中一年以内</w:t>
      </w:r>
      <w:r>
        <w:rPr>
          <w:rFonts w:ascii="宋体" w:hAnsi="宋体" w:cs="宋体" w:eastAsia="宋体" w:hint="default"/>
          <w:spacing w:val="-54"/>
          <w:sz w:val="21"/>
          <w:szCs w:val="21"/>
        </w:rPr>
        <w:t> </w:t>
      </w:r>
      <w:r>
        <w:rPr>
          <w:rFonts w:ascii="宋体" w:hAnsi="宋体" w:cs="宋体" w:eastAsia="宋体" w:hint="default"/>
          <w:sz w:val="21"/>
          <w:szCs w:val="21"/>
        </w:rPr>
        <w:t>6,540.00</w:t>
      </w:r>
      <w:r>
        <w:rPr>
          <w:rFonts w:ascii="宋体" w:hAnsi="宋体" w:cs="宋体" w:eastAsia="宋体" w:hint="default"/>
          <w:spacing w:val="-54"/>
          <w:sz w:val="21"/>
          <w:szCs w:val="21"/>
        </w:rPr>
        <w:t> </w:t>
      </w:r>
      <w:r>
        <w:rPr>
          <w:rFonts w:ascii="宋体" w:hAnsi="宋体" w:cs="宋体" w:eastAsia="宋体" w:hint="default"/>
          <w:sz w:val="21"/>
          <w:szCs w:val="21"/>
        </w:rPr>
        <w:t>元、一至二年</w:t>
      </w:r>
      <w:r>
        <w:rPr>
          <w:rFonts w:ascii="宋体" w:hAnsi="宋体" w:cs="宋体" w:eastAsia="宋体" w:hint="default"/>
          <w:spacing w:val="-52"/>
          <w:sz w:val="21"/>
          <w:szCs w:val="21"/>
        </w:rPr>
        <w:t> </w:t>
      </w:r>
      <w:r>
        <w:rPr>
          <w:rFonts w:ascii="宋体" w:hAnsi="宋体" w:cs="宋体" w:eastAsia="宋体" w:hint="default"/>
          <w:sz w:val="21"/>
          <w:szCs w:val="21"/>
        </w:rPr>
        <w:t>32,500.00</w:t>
      </w:r>
      <w:r>
        <w:rPr>
          <w:rFonts w:ascii="宋体" w:hAnsi="宋体" w:cs="宋体" w:eastAsia="宋体" w:hint="default"/>
          <w:spacing w:val="-54"/>
          <w:sz w:val="21"/>
          <w:szCs w:val="21"/>
        </w:rPr>
        <w:t> </w:t>
      </w:r>
      <w:r>
        <w:rPr>
          <w:rFonts w:ascii="宋体" w:hAnsi="宋体" w:cs="宋体" w:eastAsia="宋体" w:hint="default"/>
          <w:sz w:val="21"/>
          <w:szCs w:val="21"/>
        </w:rPr>
        <w:t>元、二至三年</w:t>
      </w:r>
      <w:r>
        <w:rPr>
          <w:rFonts w:ascii="宋体" w:hAnsi="宋体" w:cs="宋体" w:eastAsia="宋体" w:hint="default"/>
          <w:spacing w:val="-52"/>
          <w:sz w:val="21"/>
          <w:szCs w:val="21"/>
        </w:rPr>
        <w:t> </w:t>
      </w:r>
      <w:r>
        <w:rPr>
          <w:rFonts w:ascii="宋体" w:hAnsi="宋体" w:cs="宋体" w:eastAsia="宋体" w:hint="default"/>
          <w:sz w:val="21"/>
          <w:szCs w:val="21"/>
        </w:rPr>
        <w:t>35,960.00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1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）其他应收款金额前五名单位情况如下：</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509"/>
        <w:gridCol w:w="1334"/>
        <w:gridCol w:w="1503"/>
        <w:gridCol w:w="1335"/>
        <w:gridCol w:w="2179"/>
      </w:tblGrid>
      <w:tr>
        <w:trPr>
          <w:trHeight w:val="619" w:hRule="exact"/>
        </w:trPr>
        <w:tc>
          <w:tcPr>
            <w:tcW w:w="250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82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03"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61" w:lineRule="auto"/>
              <w:ind w:left="979" w:right="31" w:hanging="946"/>
              <w:jc w:val="left"/>
              <w:rPr>
                <w:rFonts w:ascii="宋体" w:hAnsi="宋体" w:cs="宋体" w:eastAsia="宋体" w:hint="default"/>
                <w:sz w:val="21"/>
                <w:szCs w:val="21"/>
              </w:rPr>
            </w:pPr>
            <w:r>
              <w:rPr>
                <w:rFonts w:ascii="宋体" w:hAnsi="宋体" w:cs="宋体" w:eastAsia="宋体" w:hint="default"/>
                <w:spacing w:val="-2"/>
                <w:sz w:val="21"/>
                <w:szCs w:val="21"/>
              </w:rPr>
              <w:t>占其他应收款总额的比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例</w:t>
            </w:r>
          </w:p>
        </w:tc>
      </w:tr>
      <w:tr>
        <w:trPr>
          <w:trHeight w:val="320" w:hRule="exact"/>
        </w:trPr>
        <w:tc>
          <w:tcPr>
            <w:tcW w:w="250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北京地坛医院</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7,529,217.40</w:t>
            </w: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217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820" w:right="0"/>
              <w:jc w:val="left"/>
              <w:rPr>
                <w:rFonts w:ascii="宋体" w:hAnsi="宋体" w:cs="宋体" w:eastAsia="宋体" w:hint="default"/>
                <w:sz w:val="21"/>
                <w:szCs w:val="21"/>
              </w:rPr>
            </w:pPr>
            <w:r>
              <w:rPr>
                <w:rFonts w:ascii="宋体"/>
                <w:sz w:val="21"/>
              </w:rPr>
              <w:t>5.31%</w:t>
            </w:r>
          </w:p>
        </w:tc>
      </w:tr>
      <w:tr>
        <w:trPr>
          <w:trHeight w:val="586" w:hRule="exact"/>
        </w:trPr>
        <w:tc>
          <w:tcPr>
            <w:tcW w:w="250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北京东华合创香港有限公</w:t>
            </w:r>
          </w:p>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7,142,298.04</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w w:val="100"/>
                <w:sz w:val="21"/>
              </w:rPr>
              <w:t>*</w:t>
            </w:r>
          </w:p>
        </w:tc>
        <w:tc>
          <w:tcPr>
            <w:tcW w:w="2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820" w:right="0"/>
              <w:jc w:val="left"/>
              <w:rPr>
                <w:rFonts w:ascii="宋体" w:hAnsi="宋体" w:cs="宋体" w:eastAsia="宋体" w:hint="default"/>
                <w:sz w:val="21"/>
                <w:szCs w:val="21"/>
              </w:rPr>
            </w:pPr>
            <w:r>
              <w:rPr>
                <w:rFonts w:ascii="宋体"/>
                <w:sz w:val="21"/>
              </w:rPr>
              <w:t>5.03%</w:t>
            </w:r>
          </w:p>
        </w:tc>
      </w:tr>
      <w:tr>
        <w:trPr>
          <w:trHeight w:val="300" w:hRule="exact"/>
        </w:trPr>
        <w:tc>
          <w:tcPr>
            <w:tcW w:w="2509"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内蒙古自治区审计厅</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4,676,496.00</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2179"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820" w:right="0"/>
              <w:jc w:val="left"/>
              <w:rPr>
                <w:rFonts w:ascii="宋体" w:hAnsi="宋体" w:cs="宋体" w:eastAsia="宋体" w:hint="default"/>
                <w:sz w:val="21"/>
                <w:szCs w:val="21"/>
              </w:rPr>
            </w:pPr>
            <w:r>
              <w:rPr>
                <w:rFonts w:ascii="宋体"/>
                <w:sz w:val="21"/>
              </w:rPr>
              <w:t>3.30%</w:t>
            </w:r>
          </w:p>
        </w:tc>
      </w:tr>
      <w:tr>
        <w:trPr>
          <w:trHeight w:val="314" w:hRule="exact"/>
        </w:trPr>
        <w:tc>
          <w:tcPr>
            <w:tcW w:w="2509"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北京友谊医院</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3,555,409.20</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2179"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820" w:right="0"/>
              <w:jc w:val="left"/>
              <w:rPr>
                <w:rFonts w:ascii="宋体" w:hAnsi="宋体" w:cs="宋体" w:eastAsia="宋体" w:hint="default"/>
                <w:sz w:val="21"/>
                <w:szCs w:val="21"/>
              </w:rPr>
            </w:pPr>
            <w:r>
              <w:rPr>
                <w:rFonts w:ascii="宋体"/>
                <w:sz w:val="21"/>
              </w:rPr>
              <w:t>2.51%</w:t>
            </w:r>
          </w:p>
        </w:tc>
      </w:tr>
      <w:tr>
        <w:trPr>
          <w:trHeight w:val="291" w:hRule="exact"/>
        </w:trPr>
        <w:tc>
          <w:tcPr>
            <w:tcW w:w="250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哈尔滨东华软件有限公司</w:t>
            </w: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3,126,976.21</w:t>
            </w: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17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820" w:right="0"/>
              <w:jc w:val="left"/>
              <w:rPr>
                <w:rFonts w:ascii="宋体" w:hAnsi="宋体" w:cs="宋体" w:eastAsia="宋体" w:hint="default"/>
                <w:sz w:val="21"/>
                <w:szCs w:val="21"/>
              </w:rPr>
            </w:pPr>
            <w:r>
              <w:rPr>
                <w:rFonts w:ascii="宋体"/>
                <w:sz w:val="21"/>
              </w:rPr>
              <w:t>2.20%</w:t>
            </w:r>
          </w:p>
        </w:tc>
      </w:tr>
      <w:tr>
        <w:trPr>
          <w:trHeight w:val="319" w:hRule="exact"/>
        </w:trPr>
        <w:tc>
          <w:tcPr>
            <w:tcW w:w="2509"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34" w:type="dxa"/>
            <w:tcBorders>
              <w:top w:val="single" w:sz="4" w:space="0" w:color="000000"/>
              <w:left w:val="single" w:sz="4" w:space="0" w:color="000000"/>
              <w:bottom w:val="single" w:sz="12" w:space="0" w:color="000000"/>
              <w:right w:val="single" w:sz="4" w:space="0" w:color="000000"/>
            </w:tcBorders>
          </w:tcPr>
          <w:p>
            <w:pP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26,030,396.85</w:t>
            </w:r>
          </w:p>
        </w:tc>
        <w:tc>
          <w:tcPr>
            <w:tcW w:w="1335" w:type="dxa"/>
            <w:tcBorders>
              <w:top w:val="single" w:sz="4" w:space="0" w:color="000000"/>
              <w:left w:val="single" w:sz="4" w:space="0" w:color="000000"/>
              <w:bottom w:val="single" w:sz="12" w:space="0" w:color="000000"/>
              <w:right w:val="single" w:sz="4" w:space="0" w:color="000000"/>
            </w:tcBorders>
          </w:tcPr>
          <w:p>
            <w:pP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767" w:right="0"/>
              <w:jc w:val="left"/>
              <w:rPr>
                <w:rFonts w:ascii="宋体" w:hAnsi="宋体" w:cs="宋体" w:eastAsia="宋体" w:hint="default"/>
                <w:sz w:val="21"/>
                <w:szCs w:val="21"/>
              </w:rPr>
            </w:pPr>
            <w:r>
              <w:rPr>
                <w:rFonts w:ascii="宋体"/>
                <w:sz w:val="21"/>
              </w:rPr>
              <w:t>18.35%</w:t>
            </w:r>
          </w:p>
        </w:tc>
      </w:tr>
    </w:tbl>
    <w:p>
      <w:pPr>
        <w:spacing w:before="6"/>
        <w:ind w:left="438"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一年以内</w:t>
      </w:r>
      <w:r>
        <w:rPr>
          <w:rFonts w:ascii="宋体" w:hAnsi="宋体" w:cs="宋体" w:eastAsia="宋体" w:hint="default"/>
          <w:spacing w:val="-55"/>
          <w:sz w:val="21"/>
          <w:szCs w:val="21"/>
        </w:rPr>
        <w:t> </w:t>
      </w:r>
      <w:r>
        <w:rPr>
          <w:rFonts w:ascii="宋体" w:hAnsi="宋体" w:cs="宋体" w:eastAsia="宋体" w:hint="default"/>
          <w:sz w:val="21"/>
          <w:szCs w:val="21"/>
        </w:rPr>
        <w:t>3,555,372.96</w:t>
      </w:r>
      <w:r>
        <w:rPr>
          <w:rFonts w:ascii="宋体" w:hAnsi="宋体" w:cs="宋体" w:eastAsia="宋体" w:hint="default"/>
          <w:spacing w:val="-55"/>
          <w:sz w:val="21"/>
          <w:szCs w:val="21"/>
        </w:rPr>
        <w:t> </w:t>
      </w:r>
      <w:r>
        <w:rPr>
          <w:rFonts w:ascii="宋体" w:hAnsi="宋体" w:cs="宋体" w:eastAsia="宋体" w:hint="default"/>
          <w:sz w:val="21"/>
          <w:szCs w:val="21"/>
        </w:rPr>
        <w:t>元、一至二年</w:t>
      </w:r>
      <w:r>
        <w:rPr>
          <w:rFonts w:ascii="宋体" w:hAnsi="宋体" w:cs="宋体" w:eastAsia="宋体" w:hint="default"/>
          <w:spacing w:val="-53"/>
          <w:sz w:val="21"/>
          <w:szCs w:val="21"/>
        </w:rPr>
        <w:t> </w:t>
      </w:r>
      <w:r>
        <w:rPr>
          <w:rFonts w:ascii="宋体" w:hAnsi="宋体" w:cs="宋体" w:eastAsia="宋体" w:hint="default"/>
          <w:sz w:val="21"/>
          <w:szCs w:val="21"/>
        </w:rPr>
        <w:t>3,586,925.08</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92"/>
        <w:ind w:left="438"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）金额较大的其他应收款的性质或内容</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840"/>
        <w:gridCol w:w="2307"/>
        <w:gridCol w:w="3713"/>
      </w:tblGrid>
      <w:tr>
        <w:trPr>
          <w:trHeight w:val="300" w:hRule="exact"/>
        </w:trPr>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07"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13"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20"/>
              <w:jc w:val="center"/>
              <w:rPr>
                <w:rFonts w:ascii="宋体" w:hAnsi="宋体" w:cs="宋体" w:eastAsia="宋体" w:hint="default"/>
                <w:sz w:val="21"/>
                <w:szCs w:val="21"/>
              </w:rPr>
            </w:pPr>
            <w:r>
              <w:rPr>
                <w:rFonts w:ascii="宋体" w:hAnsi="宋体" w:cs="宋体" w:eastAsia="宋体" w:hint="default"/>
                <w:sz w:val="21"/>
                <w:szCs w:val="21"/>
              </w:rPr>
              <w:t>应收性质或内容</w:t>
            </w:r>
          </w:p>
        </w:tc>
      </w:tr>
      <w:tr>
        <w:trPr>
          <w:trHeight w:val="319" w:hRule="exact"/>
        </w:trPr>
        <w:tc>
          <w:tcPr>
            <w:tcW w:w="284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北京地坛医院</w:t>
            </w:r>
          </w:p>
        </w:tc>
        <w:tc>
          <w:tcPr>
            <w:tcW w:w="230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7,529,217.40</w:t>
            </w:r>
          </w:p>
        </w:tc>
        <w:tc>
          <w:tcPr>
            <w:tcW w:w="371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7" w:right="0"/>
              <w:jc w:val="left"/>
              <w:rPr>
                <w:rFonts w:ascii="宋体" w:hAnsi="宋体" w:cs="宋体" w:eastAsia="宋体" w:hint="default"/>
                <w:sz w:val="21"/>
                <w:szCs w:val="21"/>
              </w:rPr>
            </w:pPr>
            <w:r>
              <w:rPr>
                <w:rFonts w:ascii="宋体" w:hAnsi="宋体" w:cs="宋体" w:eastAsia="宋体" w:hint="default"/>
                <w:sz w:val="21"/>
                <w:szCs w:val="21"/>
              </w:rPr>
              <w:t>北京东华合创香港有限公司</w:t>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7"/>
              <w:jc w:val="right"/>
              <w:rPr>
                <w:rFonts w:ascii="宋体" w:hAnsi="宋体" w:cs="宋体" w:eastAsia="宋体" w:hint="default"/>
                <w:sz w:val="21"/>
                <w:szCs w:val="21"/>
              </w:rPr>
            </w:pPr>
            <w:r>
              <w:rPr>
                <w:rFonts w:ascii="宋体"/>
                <w:spacing w:val="-1"/>
                <w:sz w:val="21"/>
              </w:rPr>
              <w:t>7,142,298.04</w:t>
            </w:r>
          </w:p>
        </w:tc>
        <w:tc>
          <w:tcPr>
            <w:tcW w:w="371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内蒙古自治区审计厅</w:t>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4,676,496.00</w:t>
            </w:r>
          </w:p>
        </w:tc>
        <w:tc>
          <w:tcPr>
            <w:tcW w:w="371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北京友谊医院</w:t>
            </w:r>
          </w:p>
        </w:tc>
        <w:tc>
          <w:tcPr>
            <w:tcW w:w="2307"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3,555,409.20</w:t>
            </w:r>
          </w:p>
        </w:tc>
        <w:tc>
          <w:tcPr>
            <w:tcW w:w="3713"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0" w:hRule="exact"/>
        </w:trPr>
        <w:tc>
          <w:tcPr>
            <w:tcW w:w="2840"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哈尔滨东华软件有限公司</w:t>
            </w:r>
          </w:p>
        </w:tc>
        <w:tc>
          <w:tcPr>
            <w:tcW w:w="2307"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3,126,976.21</w:t>
            </w:r>
          </w:p>
        </w:tc>
        <w:tc>
          <w:tcPr>
            <w:tcW w:w="3713"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left="3" w:right="0"/>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spacing w:before="26"/>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）坏账准备</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60"/>
        <w:gridCol w:w="1705"/>
        <w:gridCol w:w="1563"/>
        <w:gridCol w:w="1563"/>
        <w:gridCol w:w="2372"/>
      </w:tblGrid>
      <w:tr>
        <w:trPr>
          <w:trHeight w:val="293" w:hRule="exact"/>
        </w:trPr>
        <w:tc>
          <w:tcPr>
            <w:tcW w:w="1860" w:type="dxa"/>
            <w:vMerge w:val="restart"/>
            <w:tcBorders>
              <w:top w:val="single" w:sz="12" w:space="0" w:color="000000"/>
              <w:left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5" w:type="dxa"/>
            <w:vMerge w:val="restart"/>
            <w:tcBorders>
              <w:top w:val="single" w:sz="12" w:space="0" w:color="000000"/>
              <w:left w:val="single" w:sz="4" w:space="0" w:color="000000"/>
              <w:right w:val="single" w:sz="4" w:space="0" w:color="000000"/>
            </w:tcBorders>
          </w:tcPr>
          <w:p>
            <w:pPr>
              <w:pStyle w:val="TableParagraph"/>
              <w:spacing w:line="240" w:lineRule="auto" w:before="107"/>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372" w:type="dxa"/>
            <w:vMerge w:val="restart"/>
            <w:tcBorders>
              <w:top w:val="single" w:sz="12" w:space="0" w:color="000000"/>
              <w:left w:val="single" w:sz="4" w:space="0" w:color="000000"/>
              <w:right w:val="single" w:sz="4" w:space="0" w:color="000000"/>
            </w:tcBorders>
          </w:tcPr>
          <w:p>
            <w:pPr>
              <w:pStyle w:val="TableParagraph"/>
              <w:spacing w:line="240" w:lineRule="auto" w:before="107"/>
              <w:ind w:left="7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860" w:type="dxa"/>
            <w:vMerge/>
            <w:tcBorders>
              <w:left w:val="single" w:sz="4" w:space="0" w:color="000000"/>
              <w:bottom w:val="single" w:sz="2" w:space="0" w:color="000000"/>
              <w:right w:val="single" w:sz="4" w:space="0" w:color="000000"/>
            </w:tcBorders>
          </w:tcPr>
          <w:p>
            <w:pPr/>
          </w:p>
        </w:tc>
        <w:tc>
          <w:tcPr>
            <w:tcW w:w="1705" w:type="dxa"/>
            <w:vMerge/>
            <w:tcBorders>
              <w:left w:val="single" w:sz="4" w:space="0" w:color="000000"/>
              <w:bottom w:val="single" w:sz="2" w:space="0" w:color="000000"/>
              <w:right w:val="single" w:sz="4" w:space="0" w:color="000000"/>
            </w:tcBorders>
          </w:tcPr>
          <w:p>
            <w:pPr/>
          </w:p>
        </w:tc>
        <w:tc>
          <w:tcPr>
            <w:tcW w:w="1563" w:type="dxa"/>
            <w:tcBorders>
              <w:top w:val="single" w:sz="4" w:space="0" w:color="000000"/>
              <w:left w:val="single" w:sz="4" w:space="0" w:color="000000"/>
              <w:bottom w:val="single" w:sz="2"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63" w:type="dxa"/>
            <w:tcBorders>
              <w:top w:val="single" w:sz="4" w:space="0" w:color="000000"/>
              <w:left w:val="single" w:sz="4" w:space="0" w:color="000000"/>
              <w:bottom w:val="single" w:sz="2"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2372" w:type="dxa"/>
            <w:vMerge/>
            <w:tcBorders>
              <w:left w:val="single" w:sz="4" w:space="0" w:color="000000"/>
              <w:bottom w:val="single" w:sz="2" w:space="0" w:color="000000"/>
              <w:right w:val="single" w:sz="4" w:space="0" w:color="000000"/>
            </w:tcBorders>
          </w:tcPr>
          <w:p>
            <w:pPr/>
          </w:p>
        </w:tc>
      </w:tr>
      <w:tr>
        <w:trPr>
          <w:trHeight w:val="317" w:hRule="exact"/>
        </w:trPr>
        <w:tc>
          <w:tcPr>
            <w:tcW w:w="1860" w:type="dxa"/>
            <w:tcBorders>
              <w:top w:val="single" w:sz="2" w:space="0" w:color="000000"/>
              <w:left w:val="single" w:sz="2" w:space="0" w:color="000000"/>
              <w:bottom w:val="single" w:sz="12" w:space="0" w:color="000000"/>
              <w:right w:val="single" w:sz="3" w:space="0" w:color="000000"/>
            </w:tcBorders>
          </w:tcPr>
          <w:p>
            <w:pPr>
              <w:pStyle w:val="TableParagraph"/>
              <w:spacing w:line="270" w:lineRule="exact"/>
              <w:ind w:left="585" w:right="0"/>
              <w:jc w:val="left"/>
              <w:rPr>
                <w:rFonts w:ascii="宋体" w:hAnsi="宋体" w:cs="宋体" w:eastAsia="宋体" w:hint="default"/>
                <w:sz w:val="21"/>
                <w:szCs w:val="21"/>
              </w:rPr>
            </w:pPr>
            <w:r>
              <w:rPr>
                <w:rFonts w:ascii="宋体"/>
                <w:sz w:val="21"/>
              </w:rPr>
              <w:t>6,787,352.63</w:t>
            </w:r>
          </w:p>
        </w:tc>
        <w:tc>
          <w:tcPr>
            <w:tcW w:w="1705" w:type="dxa"/>
            <w:tcBorders>
              <w:top w:val="single" w:sz="2" w:space="0" w:color="000000"/>
              <w:left w:val="single" w:sz="3" w:space="0" w:color="000000"/>
              <w:bottom w:val="single" w:sz="12" w:space="0" w:color="000000"/>
              <w:right w:val="single" w:sz="3" w:space="0" w:color="000000"/>
            </w:tcBorders>
          </w:tcPr>
          <w:p>
            <w:pPr>
              <w:pStyle w:val="TableParagraph"/>
              <w:spacing w:line="270" w:lineRule="exact"/>
              <w:ind w:left="426" w:right="0"/>
              <w:jc w:val="left"/>
              <w:rPr>
                <w:rFonts w:ascii="宋体" w:hAnsi="宋体" w:cs="宋体" w:eastAsia="宋体" w:hint="default"/>
                <w:sz w:val="21"/>
                <w:szCs w:val="21"/>
              </w:rPr>
            </w:pPr>
            <w:r>
              <w:rPr>
                <w:rFonts w:ascii="宋体"/>
                <w:sz w:val="21"/>
              </w:rPr>
              <w:t>5,258,793.95</w:t>
            </w:r>
          </w:p>
        </w:tc>
        <w:tc>
          <w:tcPr>
            <w:tcW w:w="1563" w:type="dxa"/>
            <w:tcBorders>
              <w:top w:val="single" w:sz="2" w:space="0" w:color="000000"/>
              <w:left w:val="single" w:sz="3" w:space="0" w:color="000000"/>
              <w:bottom w:val="single" w:sz="12" w:space="0" w:color="000000"/>
              <w:right w:val="single" w:sz="3" w:space="0" w:color="000000"/>
            </w:tcBorders>
          </w:tcPr>
          <w:p>
            <w:pPr/>
          </w:p>
        </w:tc>
        <w:tc>
          <w:tcPr>
            <w:tcW w:w="1563" w:type="dxa"/>
            <w:tcBorders>
              <w:top w:val="single" w:sz="2" w:space="0" w:color="000000"/>
              <w:left w:val="single" w:sz="3" w:space="0" w:color="000000"/>
              <w:bottom w:val="single" w:sz="12" w:space="0" w:color="000000"/>
              <w:right w:val="single" w:sz="3" w:space="0" w:color="000000"/>
            </w:tcBorders>
          </w:tcPr>
          <w:p>
            <w:pPr/>
          </w:p>
        </w:tc>
        <w:tc>
          <w:tcPr>
            <w:tcW w:w="2372" w:type="dxa"/>
            <w:tcBorders>
              <w:top w:val="single" w:sz="2" w:space="0" w:color="000000"/>
              <w:left w:val="single" w:sz="3" w:space="0" w:color="000000"/>
              <w:bottom w:val="single" w:sz="12" w:space="0" w:color="000000"/>
              <w:right w:val="single" w:sz="3" w:space="0" w:color="000000"/>
            </w:tcBorders>
          </w:tcPr>
          <w:p>
            <w:pPr>
              <w:pStyle w:val="TableParagraph"/>
              <w:spacing w:line="270" w:lineRule="exact"/>
              <w:ind w:left="989" w:right="0"/>
              <w:jc w:val="left"/>
              <w:rPr>
                <w:rFonts w:ascii="宋体" w:hAnsi="宋体" w:cs="宋体" w:eastAsia="宋体" w:hint="default"/>
                <w:sz w:val="21"/>
                <w:szCs w:val="21"/>
              </w:rPr>
            </w:pPr>
            <w:r>
              <w:rPr>
                <w:rFonts w:ascii="宋体"/>
                <w:sz w:val="21"/>
              </w:rPr>
              <w:t>12,046,146.58</w:t>
            </w:r>
          </w:p>
        </w:tc>
      </w:tr>
    </w:tbl>
    <w:p>
      <w:pPr>
        <w:spacing w:before="26"/>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11"/>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）长期股权投资组成情况：</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786"/>
        <w:gridCol w:w="1469"/>
        <w:gridCol w:w="1052"/>
        <w:gridCol w:w="1469"/>
        <w:gridCol w:w="1472"/>
        <w:gridCol w:w="1049"/>
        <w:gridCol w:w="1472"/>
      </w:tblGrid>
      <w:tr>
        <w:trPr>
          <w:trHeight w:val="346" w:hRule="exact"/>
        </w:trPr>
        <w:tc>
          <w:tcPr>
            <w:tcW w:w="1786"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1024" w:val="left" w:leader="none"/>
              </w:tabs>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90"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2" w:type="dxa"/>
            <w:gridSpan w:val="3"/>
            <w:tcBorders>
              <w:top w:val="single" w:sz="12" w:space="0" w:color="000000"/>
              <w:left w:val="single" w:sz="4" w:space="0" w:color="000000"/>
              <w:bottom w:val="single" w:sz="8"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6" w:hRule="exact"/>
        </w:trPr>
        <w:tc>
          <w:tcPr>
            <w:tcW w:w="1786" w:type="dxa"/>
            <w:vMerge/>
            <w:tcBorders>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1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6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4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1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57" w:hRule="exact"/>
        </w:trPr>
        <w:tc>
          <w:tcPr>
            <w:tcW w:w="1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 w:right="0"/>
              <w:jc w:val="left"/>
              <w:rPr>
                <w:rFonts w:ascii="宋体" w:hAnsi="宋体" w:cs="宋体" w:eastAsia="宋体" w:hint="default"/>
                <w:sz w:val="18"/>
                <w:szCs w:val="18"/>
              </w:rPr>
            </w:pPr>
            <w:r>
              <w:rPr>
                <w:rFonts w:ascii="宋体" w:hAnsi="宋体" w:cs="宋体" w:eastAsia="宋体" w:hint="default"/>
                <w:sz w:val="18"/>
                <w:szCs w:val="18"/>
              </w:rPr>
              <w:t>成本法核算的投资</w:t>
            </w: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921,304,849.04</w:t>
            </w:r>
          </w:p>
        </w:tc>
        <w:tc>
          <w:tcPr>
            <w:tcW w:w="1052" w:type="dxa"/>
            <w:vMerge w:val="restart"/>
            <w:tcBorders>
              <w:top w:val="single" w:sz="4" w:space="0" w:color="000000"/>
              <w:left w:val="single" w:sz="4" w:space="0" w:color="000000"/>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921,304,849.04</w:t>
            </w:r>
          </w:p>
        </w:tc>
        <w:tc>
          <w:tcPr>
            <w:tcW w:w="14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483,029,849.04</w:t>
            </w:r>
          </w:p>
        </w:tc>
        <w:tc>
          <w:tcPr>
            <w:tcW w:w="1049" w:type="dxa"/>
            <w:vMerge w:val="restart"/>
            <w:tcBorders>
              <w:top w:val="single" w:sz="4" w:space="0" w:color="000000"/>
              <w:left w:val="single" w:sz="4" w:space="0" w:color="000000"/>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483,029,849.04</w:t>
            </w:r>
          </w:p>
        </w:tc>
      </w:tr>
      <w:tr>
        <w:trPr>
          <w:trHeight w:val="319" w:hRule="exact"/>
        </w:trPr>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 w:right="0"/>
              <w:jc w:val="left"/>
              <w:rPr>
                <w:rFonts w:ascii="宋体" w:hAnsi="宋体" w:cs="宋体" w:eastAsia="宋体" w:hint="default"/>
                <w:sz w:val="18"/>
                <w:szCs w:val="18"/>
              </w:rPr>
            </w:pPr>
            <w:r>
              <w:rPr>
                <w:rFonts w:ascii="宋体" w:hAnsi="宋体" w:cs="宋体" w:eastAsia="宋体" w:hint="default"/>
                <w:sz w:val="18"/>
                <w:szCs w:val="18"/>
              </w:rPr>
              <w:t>其中：对子公司投资</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pacing w:val="-1"/>
                <w:sz w:val="18"/>
              </w:rPr>
              <w:t>890,454,849.04</w:t>
            </w:r>
          </w:p>
        </w:tc>
        <w:tc>
          <w:tcPr>
            <w:tcW w:w="1052" w:type="dxa"/>
            <w:vMerge/>
            <w:tcBorders>
              <w:left w:val="single" w:sz="4" w:space="0" w:color="000000"/>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pacing w:val="-1"/>
                <w:sz w:val="18"/>
              </w:rPr>
              <w:t>890,454,849.04</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pacing w:val="-1"/>
                <w:sz w:val="18"/>
              </w:rPr>
              <w:t>452,179,849.04</w:t>
            </w:r>
          </w:p>
        </w:tc>
        <w:tc>
          <w:tcPr>
            <w:tcW w:w="1049" w:type="dxa"/>
            <w:vMerge/>
            <w:tcBorders>
              <w:left w:val="single" w:sz="4" w:space="0" w:color="000000"/>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pacing w:val="-1"/>
                <w:sz w:val="18"/>
              </w:rPr>
              <w:t>452,179,849.04</w:t>
            </w:r>
          </w:p>
        </w:tc>
      </w:tr>
      <w:tr>
        <w:trPr>
          <w:trHeight w:val="294" w:hRule="exact"/>
        </w:trPr>
        <w:tc>
          <w:tcPr>
            <w:tcW w:w="1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pacing w:val="-1"/>
                <w:sz w:val="18"/>
              </w:rPr>
              <w:t>30,850,000.00</w:t>
            </w:r>
          </w:p>
        </w:tc>
        <w:tc>
          <w:tcPr>
            <w:tcW w:w="1052" w:type="dxa"/>
            <w:vMerge/>
            <w:tcBorders>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pacing w:val="-1"/>
                <w:sz w:val="18"/>
              </w:rPr>
              <w:t>30,850,000.00</w:t>
            </w:r>
          </w:p>
        </w:tc>
        <w:tc>
          <w:tcPr>
            <w:tcW w:w="1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pacing w:val="-1"/>
                <w:sz w:val="18"/>
              </w:rPr>
              <w:t>30,850,000.00</w:t>
            </w:r>
          </w:p>
        </w:tc>
        <w:tc>
          <w:tcPr>
            <w:tcW w:w="1049" w:type="dxa"/>
            <w:vMerge/>
            <w:tcBorders>
              <w:left w:val="single" w:sz="4" w:space="0" w:color="000000"/>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pacing w:val="-1"/>
                <w:sz w:val="18"/>
              </w:rPr>
              <w:t>30,850,000.00</w:t>
            </w:r>
          </w:p>
        </w:tc>
      </w:tr>
      <w:tr>
        <w:trPr>
          <w:trHeight w:val="338" w:hRule="exact"/>
        </w:trPr>
        <w:tc>
          <w:tcPr>
            <w:tcW w:w="1786" w:type="dxa"/>
            <w:tcBorders>
              <w:top w:val="single" w:sz="4" w:space="0" w:color="000000"/>
              <w:left w:val="single" w:sz="4" w:space="0" w:color="000000"/>
              <w:bottom w:val="single" w:sz="12" w:space="0" w:color="000000"/>
              <w:right w:val="single" w:sz="4" w:space="0" w:color="000000"/>
            </w:tcBorders>
          </w:tcPr>
          <w:p>
            <w:pPr>
              <w:pStyle w:val="TableParagraph"/>
              <w:tabs>
                <w:tab w:pos="1024" w:val="left" w:leader="none"/>
              </w:tabs>
              <w:spacing w:line="240" w:lineRule="auto" w:before="46"/>
              <w:ind w:left="571"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921,304,849.04</w:t>
            </w:r>
          </w:p>
        </w:tc>
        <w:tc>
          <w:tcPr>
            <w:tcW w:w="1052" w:type="dxa"/>
            <w:tcBorders>
              <w:top w:val="single" w:sz="4" w:space="0" w:color="000000"/>
              <w:left w:val="single" w:sz="4" w:space="0" w:color="000000"/>
              <w:bottom w:val="single" w:sz="12" w:space="0" w:color="000000"/>
              <w:right w:val="single" w:sz="4" w:space="0" w:color="000000"/>
            </w:tcBorders>
          </w:tcPr>
          <w:p>
            <w:pP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921,304,849.04</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483,029,849.04</w:t>
            </w:r>
          </w:p>
        </w:tc>
        <w:tc>
          <w:tcPr>
            <w:tcW w:w="1049" w:type="dxa"/>
            <w:tcBorders>
              <w:top w:val="single" w:sz="4" w:space="0" w:color="000000"/>
              <w:left w:val="single" w:sz="4" w:space="0" w:color="000000"/>
              <w:bottom w:val="single" w:sz="12" w:space="0" w:color="000000"/>
              <w:right w:val="single" w:sz="4" w:space="0" w:color="000000"/>
            </w:tcBorders>
          </w:tcPr>
          <w:p>
            <w:pP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5"/>
              <w:jc w:val="right"/>
              <w:rPr>
                <w:rFonts w:ascii="宋体" w:hAnsi="宋体" w:cs="宋体" w:eastAsia="宋体" w:hint="default"/>
                <w:sz w:val="18"/>
                <w:szCs w:val="18"/>
              </w:rPr>
            </w:pPr>
            <w:r>
              <w:rPr>
                <w:rFonts w:ascii="宋体"/>
                <w:spacing w:val="-1"/>
                <w:sz w:val="18"/>
              </w:rPr>
              <w:t>483,029,849.04</w:t>
            </w:r>
          </w:p>
        </w:tc>
      </w:tr>
    </w:tbl>
    <w:p>
      <w:pPr>
        <w:spacing w:before="8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）按成本法核算的长期股权投资：</w:t>
      </w:r>
    </w:p>
    <w:p>
      <w:pPr>
        <w:spacing w:after="0"/>
        <w:jc w:val="left"/>
        <w:rPr>
          <w:rFonts w:ascii="宋体" w:hAnsi="宋体" w:cs="宋体" w:eastAsia="宋体" w:hint="default"/>
          <w:sz w:val="21"/>
          <w:szCs w:val="21"/>
        </w:rPr>
        <w:sectPr>
          <w:pgSz w:w="12240" w:h="15840"/>
          <w:pgMar w:header="850" w:footer="956" w:top="1360" w:bottom="1140" w:left="1520" w:right="0"/>
        </w:sectPr>
      </w:pPr>
    </w:p>
    <w:tbl>
      <w:tblPr>
        <w:tblW w:w="0" w:type="auto"/>
        <w:jc w:val="left"/>
        <w:tblInd w:w="119" w:type="dxa"/>
        <w:tblLayout w:type="fixed"/>
        <w:tblCellMar>
          <w:top w:w="0" w:type="dxa"/>
          <w:left w:w="0" w:type="dxa"/>
          <w:bottom w:w="0" w:type="dxa"/>
          <w:right w:w="0" w:type="dxa"/>
        </w:tblCellMar>
        <w:tblLook w:val="01E0"/>
      </w:tblPr>
      <w:tblGrid>
        <w:gridCol w:w="2732"/>
        <w:gridCol w:w="734"/>
        <w:gridCol w:w="1260"/>
        <w:gridCol w:w="1260"/>
        <w:gridCol w:w="1261"/>
        <w:gridCol w:w="734"/>
        <w:gridCol w:w="631"/>
        <w:gridCol w:w="1260"/>
      </w:tblGrid>
      <w:tr>
        <w:trPr>
          <w:trHeight w:val="671" w:hRule="exact"/>
        </w:trPr>
        <w:tc>
          <w:tcPr>
            <w:tcW w:w="2732"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34" w:type="dxa"/>
            <w:tcBorders>
              <w:top w:val="single" w:sz="20" w:space="0" w:color="000000"/>
              <w:left w:val="single" w:sz="4" w:space="0" w:color="000000"/>
              <w:bottom w:val="single" w:sz="4" w:space="0" w:color="000000"/>
              <w:right w:val="single" w:sz="4" w:space="0" w:color="000000"/>
            </w:tcBorders>
          </w:tcPr>
          <w:p>
            <w:pPr>
              <w:pStyle w:val="TableParagraph"/>
              <w:spacing w:line="328" w:lineRule="auto" w:before="47"/>
              <w:ind w:left="180" w:right="182"/>
              <w:jc w:val="left"/>
              <w:rPr>
                <w:rFonts w:ascii="宋体" w:hAnsi="宋体" w:cs="宋体" w:eastAsia="宋体" w:hint="default"/>
                <w:sz w:val="18"/>
                <w:szCs w:val="18"/>
              </w:rPr>
            </w:pPr>
            <w:r>
              <w:rPr>
                <w:rFonts w:ascii="宋体" w:hAnsi="宋体" w:cs="宋体" w:eastAsia="宋体" w:hint="default"/>
                <w:sz w:val="18"/>
                <w:szCs w:val="18"/>
              </w:rPr>
              <w:t>投资 比例</w:t>
            </w:r>
          </w:p>
        </w:tc>
        <w:tc>
          <w:tcPr>
            <w:tcW w:w="126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6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1" w:type="dxa"/>
            <w:tcBorders>
              <w:top w:val="single" w:sz="20" w:space="0" w:color="000000"/>
              <w:left w:val="single" w:sz="4" w:space="0" w:color="000000"/>
              <w:bottom w:val="single" w:sz="4" w:space="0" w:color="000000"/>
              <w:right w:val="single" w:sz="4" w:space="0" w:color="000000"/>
            </w:tcBorders>
          </w:tcPr>
          <w:p>
            <w:pPr>
              <w:pStyle w:val="TableParagraph"/>
              <w:spacing w:line="328" w:lineRule="auto" w:before="47"/>
              <w:ind w:left="352" w:right="266" w:hanging="89"/>
              <w:jc w:val="left"/>
              <w:rPr>
                <w:rFonts w:ascii="宋体" w:hAnsi="宋体" w:cs="宋体" w:eastAsia="宋体" w:hint="default"/>
                <w:sz w:val="18"/>
                <w:szCs w:val="18"/>
              </w:rPr>
            </w:pPr>
            <w:r>
              <w:rPr>
                <w:rFonts w:ascii="宋体" w:hAnsi="宋体" w:cs="宋体" w:eastAsia="宋体" w:hint="default"/>
                <w:sz w:val="18"/>
                <w:szCs w:val="18"/>
              </w:rPr>
              <w:t>本期投资 增减额</w:t>
            </w:r>
          </w:p>
        </w:tc>
        <w:tc>
          <w:tcPr>
            <w:tcW w:w="734" w:type="dxa"/>
            <w:tcBorders>
              <w:top w:val="single" w:sz="20" w:space="0" w:color="000000"/>
              <w:left w:val="single" w:sz="4" w:space="0" w:color="000000"/>
              <w:bottom w:val="single" w:sz="4" w:space="0" w:color="000000"/>
              <w:right w:val="single" w:sz="4" w:space="0" w:color="000000"/>
            </w:tcBorders>
          </w:tcPr>
          <w:p>
            <w:pPr>
              <w:pStyle w:val="TableParagraph"/>
              <w:spacing w:line="328" w:lineRule="auto" w:before="47"/>
              <w:ind w:left="-1" w:right="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631" w:type="dxa"/>
            <w:tcBorders>
              <w:top w:val="single" w:sz="20" w:space="0" w:color="000000"/>
              <w:left w:val="single" w:sz="4" w:space="0" w:color="000000"/>
              <w:bottom w:val="single" w:sz="4" w:space="0" w:color="000000"/>
              <w:right w:val="single" w:sz="4" w:space="0" w:color="000000"/>
            </w:tcBorders>
          </w:tcPr>
          <w:p>
            <w:pPr>
              <w:pStyle w:val="TableParagraph"/>
              <w:spacing w:line="328" w:lineRule="auto" w:before="47"/>
              <w:ind w:left="38" w:right="41"/>
              <w:jc w:val="left"/>
              <w:rPr>
                <w:rFonts w:ascii="宋体" w:hAnsi="宋体" w:cs="宋体" w:eastAsia="宋体" w:hint="default"/>
                <w:sz w:val="18"/>
                <w:szCs w:val="18"/>
              </w:rPr>
            </w:pPr>
            <w:r>
              <w:rPr>
                <w:rFonts w:ascii="宋体" w:hAnsi="宋体" w:cs="宋体" w:eastAsia="宋体" w:hint="default"/>
                <w:sz w:val="18"/>
                <w:szCs w:val="18"/>
              </w:rPr>
              <w:t>本期投 资收益</w:t>
            </w:r>
          </w:p>
        </w:tc>
        <w:tc>
          <w:tcPr>
            <w:tcW w:w="1260" w:type="dxa"/>
            <w:tcBorders>
              <w:top w:val="single" w:sz="2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10.00%</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4"/>
              <w:jc w:val="right"/>
              <w:rPr>
                <w:rFonts w:ascii="Calibri" w:hAnsi="Calibri" w:cs="Calibri" w:eastAsia="Calibri" w:hint="default"/>
                <w:sz w:val="18"/>
                <w:szCs w:val="18"/>
              </w:rPr>
            </w:pPr>
            <w:r>
              <w:rPr>
                <w:rFonts w:ascii="Calibri"/>
                <w:sz w:val="18"/>
              </w:rPr>
              <w:t>150,000.00</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24"/>
              <w:jc w:val="right"/>
              <w:rPr>
                <w:rFonts w:ascii="Calibri" w:hAnsi="Calibri" w:cs="Calibri" w:eastAsia="Calibri" w:hint="default"/>
                <w:sz w:val="18"/>
                <w:szCs w:val="18"/>
              </w:rPr>
            </w:pPr>
            <w:r>
              <w:rPr>
                <w:rFonts w:ascii="Calibri"/>
                <w:sz w:val="18"/>
              </w:rPr>
              <w:t>150,000.00</w:t>
            </w:r>
          </w:p>
        </w:tc>
        <w:tc>
          <w:tcPr>
            <w:tcW w:w="1261"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631"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4"/>
              <w:jc w:val="right"/>
              <w:rPr>
                <w:rFonts w:ascii="Calibri" w:hAnsi="Calibri" w:cs="Calibri" w:eastAsia="Calibri" w:hint="default"/>
                <w:sz w:val="18"/>
                <w:szCs w:val="18"/>
              </w:rPr>
            </w:pPr>
            <w:r>
              <w:rPr>
                <w:rFonts w:ascii="Calibri"/>
                <w:sz w:val="18"/>
              </w:rPr>
              <w:t>150,000.00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深圳市东华合创信息技术有限公司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10.00%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100,000.00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100,000.00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100,000.00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北京东方通科技有限公司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11.50%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28,600,000.00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Calibri" w:hAnsi="Calibri" w:cs="Calibri" w:eastAsia="Calibri" w:hint="default"/>
                <w:sz w:val="18"/>
                <w:szCs w:val="18"/>
              </w:rPr>
            </w:pPr>
            <w:r>
              <w:rPr>
                <w:rFonts w:ascii="Calibri"/>
                <w:sz w:val="18"/>
              </w:rPr>
              <w:t>28,600,000.00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28,600,000.00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
              <w:jc w:val="center"/>
              <w:rPr>
                <w:rFonts w:ascii="宋体" w:hAnsi="宋体" w:cs="宋体" w:eastAsia="宋体" w:hint="default"/>
                <w:sz w:val="18"/>
                <w:szCs w:val="18"/>
              </w:rPr>
            </w:pPr>
            <w:r>
              <w:rPr>
                <w:rFonts w:ascii="宋体"/>
                <w:sz w:val="18"/>
              </w:rPr>
              <w:t>4.76%</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2,000,000.00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2,000,000.00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2,000,000.00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872,155.63</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872,155.63</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872,155.63</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20,000,000.00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Calibri" w:hAnsi="Calibri" w:cs="Calibri" w:eastAsia="Calibri" w:hint="default"/>
                <w:sz w:val="18"/>
                <w:szCs w:val="18"/>
              </w:rPr>
            </w:pPr>
            <w:r>
              <w:rPr>
                <w:rFonts w:ascii="Calibri"/>
                <w:spacing w:val="-1"/>
                <w:sz w:val="18"/>
              </w:rPr>
              <w:t>20,000,000.00</w:t>
            </w:r>
            <w:r>
              <w:rPr>
                <w:rFonts w:ascii="Calibri"/>
                <w:sz w:val="18"/>
              </w:rPr>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20,000,000.00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27,998,593.90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pacing w:val="-1"/>
                <w:sz w:val="18"/>
              </w:rPr>
              <w:t>27,998,593.90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27,998,593.90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292,675,400.00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pacing w:val="-1"/>
                <w:sz w:val="18"/>
              </w:rPr>
              <w:t>292,675,400.00</w:t>
            </w:r>
            <w:r>
              <w:rPr>
                <w:rFonts w:ascii="Calibri"/>
                <w:sz w:val="18"/>
              </w:rPr>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292,675,400.00</w:t>
            </w:r>
          </w:p>
        </w:tc>
      </w:tr>
      <w:tr>
        <w:trPr>
          <w:trHeight w:val="321"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88,699.51</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Calibri" w:hAnsi="Calibri" w:cs="Calibri" w:eastAsia="Calibri" w:hint="default"/>
                <w:sz w:val="18"/>
                <w:szCs w:val="18"/>
              </w:rPr>
            </w:pPr>
            <w:r>
              <w:rPr>
                <w:rFonts w:ascii="Calibri"/>
                <w:spacing w:val="-1"/>
                <w:sz w:val="18"/>
              </w:rPr>
              <w:t>88,699.51</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88,699.51</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6,000,000.00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6,000,000.00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6,000,000.00</w:t>
            </w:r>
          </w:p>
        </w:tc>
      </w:tr>
      <w:tr>
        <w:trPr>
          <w:trHeight w:val="328"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49,500,000.00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24"/>
              <w:jc w:val="right"/>
              <w:rPr>
                <w:rFonts w:ascii="Calibri" w:hAnsi="Calibri" w:cs="Calibri" w:eastAsia="Calibri" w:hint="default"/>
                <w:sz w:val="18"/>
                <w:szCs w:val="18"/>
              </w:rPr>
            </w:pPr>
            <w:r>
              <w:rPr>
                <w:rFonts w:ascii="Calibri"/>
                <w:sz w:val="18"/>
              </w:rPr>
              <w:t>49,500,000.00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49,500,000.00</w:t>
            </w:r>
          </w:p>
        </w:tc>
      </w:tr>
      <w:tr>
        <w:trPr>
          <w:trHeight w:val="313"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sz w:val="18"/>
              </w:rPr>
              <w:t>97.50%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4"/>
              <w:jc w:val="right"/>
              <w:rPr>
                <w:rFonts w:ascii="Calibri" w:hAnsi="Calibri" w:cs="Calibri" w:eastAsia="Calibri" w:hint="default"/>
                <w:sz w:val="18"/>
                <w:szCs w:val="18"/>
              </w:rPr>
            </w:pPr>
            <w:r>
              <w:rPr>
                <w:rFonts w:ascii="Calibri"/>
                <w:sz w:val="18"/>
              </w:rPr>
              <w:t>19,500,000.00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4"/>
              <w:jc w:val="right"/>
              <w:rPr>
                <w:rFonts w:ascii="Calibri" w:hAnsi="Calibri" w:cs="Calibri" w:eastAsia="Calibri" w:hint="default"/>
                <w:sz w:val="18"/>
                <w:szCs w:val="18"/>
              </w:rPr>
            </w:pPr>
            <w:r>
              <w:rPr>
                <w:rFonts w:ascii="Calibri"/>
                <w:sz w:val="18"/>
              </w:rPr>
              <w:t>4,875,000.00</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5"/>
              <w:jc w:val="right"/>
              <w:rPr>
                <w:rFonts w:ascii="Calibri" w:hAnsi="Calibri" w:cs="Calibri" w:eastAsia="Calibri" w:hint="default"/>
                <w:sz w:val="18"/>
                <w:szCs w:val="18"/>
              </w:rPr>
            </w:pPr>
            <w:r>
              <w:rPr>
                <w:rFonts w:ascii="Calibri"/>
                <w:sz w:val="18"/>
              </w:rPr>
              <w:t>14,625,000.00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24"/>
              <w:jc w:val="right"/>
              <w:rPr>
                <w:rFonts w:ascii="Calibri" w:hAnsi="Calibri" w:cs="Calibri" w:eastAsia="Calibri" w:hint="default"/>
                <w:sz w:val="18"/>
                <w:szCs w:val="18"/>
              </w:rPr>
            </w:pPr>
            <w:r>
              <w:rPr>
                <w:rFonts w:ascii="Calibri"/>
                <w:sz w:val="18"/>
              </w:rPr>
              <w:t>19,500,000.00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49,500,000.00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9,900,000.00</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5"/>
              <w:jc w:val="right"/>
              <w:rPr>
                <w:rFonts w:ascii="Calibri" w:hAnsi="Calibri" w:cs="Calibri" w:eastAsia="Calibri" w:hint="default"/>
                <w:sz w:val="18"/>
                <w:szCs w:val="18"/>
              </w:rPr>
            </w:pPr>
            <w:r>
              <w:rPr>
                <w:rFonts w:ascii="Calibri"/>
                <w:sz w:val="18"/>
              </w:rPr>
              <w:t>39,600,000.00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49,500,000.00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29,700,000.00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z w:val="18"/>
              </w:rPr>
              <w:t>9,900,000.00</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5"/>
              <w:jc w:val="right"/>
              <w:rPr>
                <w:rFonts w:ascii="Calibri" w:hAnsi="Calibri" w:cs="Calibri" w:eastAsia="Calibri" w:hint="default"/>
                <w:sz w:val="18"/>
                <w:szCs w:val="18"/>
              </w:rPr>
            </w:pPr>
            <w:r>
              <w:rPr>
                <w:rFonts w:ascii="Calibri"/>
                <w:sz w:val="18"/>
              </w:rPr>
              <w:t>19,800,000.00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29,700,000.00</w:t>
            </w:r>
          </w:p>
        </w:tc>
      </w:tr>
      <w:tr>
        <w:trPr>
          <w:trHeight w:val="308"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8"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10,000,000.00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Calibri" w:hAnsi="Calibri" w:cs="Calibri" w:eastAsia="Calibri" w:hint="default"/>
                <w:sz w:val="18"/>
                <w:szCs w:val="18"/>
              </w:rPr>
            </w:pPr>
            <w:r>
              <w:rPr>
                <w:rFonts w:ascii="Calibri"/>
                <w:sz w:val="18"/>
              </w:rPr>
              <w:t>10,000,000.00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4"/>
              <w:jc w:val="right"/>
              <w:rPr>
                <w:rFonts w:ascii="Calibri" w:hAnsi="Calibri" w:cs="Calibri" w:eastAsia="Calibri" w:hint="default"/>
                <w:sz w:val="18"/>
                <w:szCs w:val="18"/>
              </w:rPr>
            </w:pPr>
            <w:r>
              <w:rPr>
                <w:rFonts w:ascii="Calibri"/>
                <w:sz w:val="18"/>
              </w:rPr>
              <w:t>10,000,000.00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0"/>
                <w:szCs w:val="20"/>
              </w:rPr>
            </w:pPr>
            <w:r>
              <w:rPr>
                <w:rFonts w:ascii="宋体" w:hAnsi="宋体" w:cs="宋体" w:eastAsia="宋体" w:hint="default"/>
                <w:sz w:val="20"/>
                <w:szCs w:val="20"/>
              </w:rPr>
              <w:t>北京东华易时科技有限公司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
              <w:jc w:val="right"/>
              <w:rPr>
                <w:rFonts w:ascii="Calibri" w:hAnsi="Calibri" w:cs="Calibri" w:eastAsia="Calibri" w:hint="default"/>
                <w:sz w:val="18"/>
                <w:szCs w:val="18"/>
              </w:rPr>
            </w:pPr>
            <w:r>
              <w:rPr>
                <w:rFonts w:ascii="Calibri"/>
                <w:sz w:val="18"/>
              </w:rPr>
              <w:t>9,900,000.00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4"/>
              <w:jc w:val="right"/>
              <w:rPr>
                <w:rFonts w:ascii="Calibri" w:hAnsi="Calibri" w:cs="Calibri" w:eastAsia="Calibri" w:hint="default"/>
                <w:sz w:val="18"/>
                <w:szCs w:val="18"/>
              </w:rPr>
            </w:pPr>
            <w:r>
              <w:rPr>
                <w:rFonts w:ascii="Calibri"/>
                <w:sz w:val="18"/>
              </w:rPr>
              <w:t>3,960,000.00</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4"/>
              <w:jc w:val="right"/>
              <w:rPr>
                <w:rFonts w:ascii="Calibri" w:hAnsi="Calibri" w:cs="Calibri" w:eastAsia="Calibri" w:hint="default"/>
                <w:sz w:val="18"/>
                <w:szCs w:val="18"/>
              </w:rPr>
            </w:pPr>
            <w:r>
              <w:rPr>
                <w:rFonts w:ascii="Calibri"/>
                <w:sz w:val="18"/>
              </w:rPr>
              <w:t>5,940,000.00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
              <w:jc w:val="right"/>
              <w:rPr>
                <w:rFonts w:ascii="Calibri" w:hAnsi="Calibri" w:cs="Calibri" w:eastAsia="Calibri" w:hint="default"/>
                <w:sz w:val="18"/>
                <w:szCs w:val="18"/>
              </w:rPr>
            </w:pPr>
            <w:r>
              <w:rPr>
                <w:rFonts w:ascii="Calibri"/>
                <w:sz w:val="18"/>
              </w:rPr>
              <w:t>9,900,000.00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0"/>
                <w:szCs w:val="20"/>
              </w:rPr>
            </w:pPr>
            <w:r>
              <w:rPr>
                <w:rFonts w:ascii="宋体" w:hAnsi="宋体" w:cs="宋体" w:eastAsia="宋体" w:hint="default"/>
                <w:sz w:val="20"/>
                <w:szCs w:val="20"/>
              </w:rPr>
              <w:t>东华合创科技有限公司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
              <w:jc w:val="right"/>
              <w:rPr>
                <w:rFonts w:ascii="Calibri" w:hAnsi="Calibri" w:cs="Calibri" w:eastAsia="Calibri" w:hint="default"/>
                <w:sz w:val="18"/>
                <w:szCs w:val="18"/>
              </w:rPr>
            </w:pPr>
            <w:r>
              <w:rPr>
                <w:rFonts w:ascii="Calibri"/>
                <w:sz w:val="18"/>
              </w:rPr>
              <w:t>9,900,000.00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4"/>
              <w:jc w:val="right"/>
              <w:rPr>
                <w:rFonts w:ascii="Calibri" w:hAnsi="Calibri" w:cs="Calibri" w:eastAsia="Calibri" w:hint="default"/>
                <w:sz w:val="18"/>
                <w:szCs w:val="18"/>
              </w:rPr>
            </w:pPr>
            <w:r>
              <w:rPr>
                <w:rFonts w:ascii="Calibri"/>
                <w:sz w:val="18"/>
              </w:rPr>
              <w:t>9,900,000.00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
              <w:jc w:val="right"/>
              <w:rPr>
                <w:rFonts w:ascii="Calibri" w:hAnsi="Calibri" w:cs="Calibri" w:eastAsia="Calibri" w:hint="default"/>
                <w:sz w:val="18"/>
                <w:szCs w:val="18"/>
              </w:rPr>
            </w:pPr>
            <w:r>
              <w:rPr>
                <w:rFonts w:ascii="Calibri"/>
                <w:sz w:val="18"/>
              </w:rPr>
              <w:t>9,900,000.00</w:t>
            </w:r>
          </w:p>
        </w:tc>
      </w:tr>
      <w:tr>
        <w:trPr>
          <w:trHeight w:val="322"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0"/>
                <w:szCs w:val="20"/>
              </w:rPr>
            </w:pPr>
            <w:r>
              <w:rPr>
                <w:rFonts w:ascii="宋体" w:hAnsi="宋体" w:cs="宋体" w:eastAsia="宋体" w:hint="default"/>
                <w:sz w:val="20"/>
                <w:szCs w:val="20"/>
              </w:rPr>
              <w:t>北京东华软件开发有限公司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4"/>
              <w:jc w:val="right"/>
              <w:rPr>
                <w:rFonts w:ascii="Calibri" w:hAnsi="Calibri" w:cs="Calibri" w:eastAsia="Calibri" w:hint="default"/>
                <w:sz w:val="18"/>
                <w:szCs w:val="18"/>
              </w:rPr>
            </w:pPr>
            <w:r>
              <w:rPr>
                <w:rFonts w:ascii="Calibri"/>
                <w:sz w:val="18"/>
              </w:rPr>
              <w:t>3,960,000.00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24"/>
              <w:jc w:val="right"/>
              <w:rPr>
                <w:rFonts w:ascii="Calibri" w:hAnsi="Calibri" w:cs="Calibri" w:eastAsia="Calibri" w:hint="default"/>
                <w:sz w:val="18"/>
                <w:szCs w:val="18"/>
              </w:rPr>
            </w:pPr>
            <w:r>
              <w:rPr>
                <w:rFonts w:ascii="Calibri"/>
                <w:sz w:val="18"/>
              </w:rPr>
              <w:t>3,960,000.00</w:t>
            </w:r>
          </w:p>
        </w:tc>
        <w:tc>
          <w:tcPr>
            <w:tcW w:w="1261"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4"/>
              <w:jc w:val="right"/>
              <w:rPr>
                <w:rFonts w:ascii="Calibri" w:hAnsi="Calibri" w:cs="Calibri" w:eastAsia="Calibri" w:hint="default"/>
                <w:sz w:val="18"/>
                <w:szCs w:val="18"/>
              </w:rPr>
            </w:pPr>
            <w:r>
              <w:rPr>
                <w:rFonts w:ascii="Calibri"/>
                <w:sz w:val="18"/>
              </w:rPr>
              <w:t>3,960,000.00</w:t>
            </w:r>
          </w:p>
        </w:tc>
      </w:tr>
      <w:tr>
        <w:trPr>
          <w:trHeight w:val="331"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宋体" w:hAnsi="宋体" w:cs="宋体" w:eastAsia="宋体" w:hint="default"/>
                <w:sz w:val="20"/>
                <w:szCs w:val="20"/>
              </w:rPr>
            </w:pPr>
            <w:r>
              <w:rPr>
                <w:rFonts w:ascii="宋体" w:hAnsi="宋体" w:cs="宋体" w:eastAsia="宋体" w:hint="default"/>
                <w:sz w:val="20"/>
                <w:szCs w:val="20"/>
              </w:rPr>
              <w:t>内蒙古合创信息技术有限公司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51.00%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
              <w:jc w:val="right"/>
              <w:rPr>
                <w:rFonts w:ascii="Calibri" w:hAnsi="Calibri" w:cs="Calibri" w:eastAsia="Calibri" w:hint="default"/>
                <w:sz w:val="18"/>
                <w:szCs w:val="18"/>
              </w:rPr>
            </w:pPr>
            <w:r>
              <w:rPr>
                <w:rFonts w:ascii="Calibri"/>
                <w:sz w:val="18"/>
              </w:rPr>
              <w:t>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4"/>
              <w:jc w:val="right"/>
              <w:rPr>
                <w:rFonts w:ascii="Calibri" w:hAnsi="Calibri" w:cs="Calibri" w:eastAsia="Calibri" w:hint="default"/>
                <w:sz w:val="18"/>
                <w:szCs w:val="18"/>
              </w:rPr>
            </w:pPr>
            <w:r>
              <w:rPr>
                <w:rFonts w:ascii="Calibri"/>
                <w:sz w:val="18"/>
              </w:rPr>
              <w:t>2,550,000.00</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2"/>
              <w:jc w:val="right"/>
              <w:rPr>
                <w:rFonts w:ascii="Calibri" w:hAnsi="Calibri" w:cs="Calibri" w:eastAsia="Calibri" w:hint="default"/>
                <w:sz w:val="18"/>
                <w:szCs w:val="18"/>
              </w:rPr>
            </w:pPr>
            <w:r>
              <w:rPr>
                <w:rFonts w:ascii="Calibri"/>
                <w:sz w:val="18"/>
              </w:rPr>
              <w:t>-2,550,000.00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沈阳东华合创科技有限公司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3,960,000.00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5"/>
              <w:jc w:val="right"/>
              <w:rPr>
                <w:rFonts w:ascii="Calibri" w:hAnsi="Calibri" w:cs="Calibri" w:eastAsia="Calibri" w:hint="default"/>
                <w:sz w:val="18"/>
                <w:szCs w:val="18"/>
              </w:rPr>
            </w:pPr>
            <w:r>
              <w:rPr>
                <w:rFonts w:ascii="Calibri"/>
                <w:sz w:val="18"/>
              </w:rPr>
              <w:t>3,960,000.00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4"/>
              <w:jc w:val="right"/>
              <w:rPr>
                <w:rFonts w:ascii="Calibri" w:hAnsi="Calibri" w:cs="Calibri" w:eastAsia="Calibri" w:hint="default"/>
                <w:sz w:val="18"/>
                <w:szCs w:val="18"/>
              </w:rPr>
            </w:pPr>
            <w:r>
              <w:rPr>
                <w:rFonts w:ascii="Calibri"/>
                <w:sz w:val="18"/>
              </w:rPr>
              <w:t>3,960,000.00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14,850,000.00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14,850,000.00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14,850,000.00</w:t>
            </w:r>
          </w:p>
        </w:tc>
      </w:tr>
      <w:tr>
        <w:trPr>
          <w:trHeight w:val="311"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320,000,000.00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320,000,000.00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320,000,000.00</w:t>
            </w:r>
          </w:p>
        </w:tc>
      </w:tr>
      <w:tr>
        <w:trPr>
          <w:trHeight w:val="320"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8"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5"/>
              <w:jc w:val="right"/>
              <w:rPr>
                <w:rFonts w:ascii="Calibri" w:hAnsi="Calibri" w:cs="Calibri" w:eastAsia="Calibri" w:hint="default"/>
                <w:sz w:val="18"/>
                <w:szCs w:val="18"/>
              </w:rPr>
            </w:pPr>
            <w:r>
              <w:rPr>
                <w:rFonts w:ascii="Calibri"/>
                <w:spacing w:val="-1"/>
                <w:sz w:val="18"/>
              </w:rPr>
              <w:t>9,900,000.00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5"/>
              <w:jc w:val="right"/>
              <w:rPr>
                <w:rFonts w:ascii="Calibri" w:hAnsi="Calibri" w:cs="Calibri" w:eastAsia="Calibri" w:hint="default"/>
                <w:sz w:val="18"/>
                <w:szCs w:val="18"/>
              </w:rPr>
            </w:pPr>
            <w:r>
              <w:rPr>
                <w:rFonts w:ascii="Calibri"/>
                <w:spacing w:val="-1"/>
                <w:sz w:val="18"/>
              </w:rPr>
              <w:t>9,900,000.00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4"/>
              <w:jc w:val="right"/>
              <w:rPr>
                <w:rFonts w:ascii="Calibri" w:hAnsi="Calibri" w:cs="Calibri" w:eastAsia="Calibri" w:hint="default"/>
                <w:sz w:val="18"/>
                <w:szCs w:val="18"/>
              </w:rPr>
            </w:pPr>
            <w:r>
              <w:rPr>
                <w:rFonts w:ascii="Calibri"/>
                <w:spacing w:val="-1"/>
                <w:sz w:val="18"/>
              </w:rPr>
              <w:t>9,900,000.00</w:t>
            </w:r>
          </w:p>
        </w:tc>
      </w:tr>
      <w:tr>
        <w:trPr>
          <w:trHeight w:val="32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8"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99.00%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5"/>
              <w:jc w:val="right"/>
              <w:rPr>
                <w:rFonts w:ascii="Calibri" w:hAnsi="Calibri" w:cs="Calibri" w:eastAsia="Calibri" w:hint="default"/>
                <w:sz w:val="18"/>
                <w:szCs w:val="18"/>
              </w:rPr>
            </w:pPr>
            <w:r>
              <w:rPr>
                <w:rFonts w:ascii="Calibri"/>
                <w:spacing w:val="-1"/>
                <w:sz w:val="18"/>
              </w:rPr>
              <w:t>9,900,000.00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5"/>
              <w:jc w:val="right"/>
              <w:rPr>
                <w:rFonts w:ascii="Calibri" w:hAnsi="Calibri" w:cs="Calibri" w:eastAsia="Calibri" w:hint="default"/>
                <w:sz w:val="18"/>
                <w:szCs w:val="18"/>
              </w:rPr>
            </w:pPr>
            <w:r>
              <w:rPr>
                <w:rFonts w:ascii="Calibri"/>
                <w:spacing w:val="-1"/>
                <w:sz w:val="18"/>
              </w:rPr>
              <w:t>9,900,000.00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Calibri" w:hAnsi="Calibri" w:cs="Calibri" w:eastAsia="Calibri" w:hint="default"/>
                <w:sz w:val="18"/>
                <w:szCs w:val="18"/>
              </w:rPr>
            </w:pPr>
            <w:r>
              <w:rPr>
                <w:rFonts w:ascii="Calibri"/>
                <w:spacing w:val="-1"/>
                <w:sz w:val="18"/>
              </w:rPr>
              <w:t>9,900,000.00</w:t>
            </w:r>
          </w:p>
        </w:tc>
      </w:tr>
      <w:tr>
        <w:trPr>
          <w:trHeight w:val="319" w:hRule="exact"/>
        </w:trPr>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 w:right="0"/>
              <w:jc w:val="left"/>
              <w:rPr>
                <w:rFonts w:ascii="宋体" w:hAnsi="宋体" w:cs="宋体" w:eastAsia="宋体" w:hint="default"/>
                <w:sz w:val="18"/>
                <w:szCs w:val="18"/>
              </w:rPr>
            </w:pPr>
            <w:r>
              <w:rPr>
                <w:rFonts w:ascii="宋体" w:hAnsi="宋体" w:cs="宋体" w:eastAsia="宋体" w:hint="default"/>
                <w:sz w:val="18"/>
                <w:szCs w:val="18"/>
              </w:rPr>
              <w:t>北京东方易维软件有限公司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2,000,000.00</w:t>
            </w:r>
          </w:p>
        </w:tc>
        <w:tc>
          <w:tcPr>
            <w:tcW w:w="126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5"/>
              <w:jc w:val="right"/>
              <w:rPr>
                <w:rFonts w:ascii="Calibri" w:hAnsi="Calibri" w:cs="Calibri" w:eastAsia="Calibri" w:hint="default"/>
                <w:sz w:val="18"/>
                <w:szCs w:val="18"/>
              </w:rPr>
            </w:pPr>
            <w:r>
              <w:rPr>
                <w:rFonts w:ascii="Calibri"/>
                <w:spacing w:val="-1"/>
                <w:sz w:val="18"/>
              </w:rPr>
              <w:t>2,000,000.00</w:t>
            </w:r>
          </w:p>
        </w:tc>
        <w:tc>
          <w:tcPr>
            <w:tcW w:w="73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2,000,000.00</w:t>
            </w:r>
          </w:p>
        </w:tc>
      </w:tr>
      <w:tr>
        <w:trPr>
          <w:trHeight w:val="284" w:hRule="exact"/>
        </w:trPr>
        <w:tc>
          <w:tcPr>
            <w:tcW w:w="2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100.00%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250,000.00</w:t>
            </w:r>
          </w:p>
        </w:tc>
        <w:tc>
          <w:tcPr>
            <w:tcW w:w="1260" w:type="dxa"/>
            <w:tcBorders>
              <w:top w:val="nil" w:sz="6" w:space="0" w:color="auto"/>
              <w:left w:val="single" w:sz="4" w:space="0" w:color="000000"/>
              <w:bottom w:val="single" w:sz="4" w:space="0" w:color="000000"/>
              <w:right w:val="single" w:sz="4" w:space="0" w:color="000000"/>
            </w:tcBorders>
          </w:tcPr>
          <w:p>
            <w:pPr/>
          </w:p>
        </w:tc>
        <w:tc>
          <w:tcPr>
            <w:tcW w:w="12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5"/>
              <w:jc w:val="right"/>
              <w:rPr>
                <w:rFonts w:ascii="Calibri" w:hAnsi="Calibri" w:cs="Calibri" w:eastAsia="Calibri" w:hint="default"/>
                <w:sz w:val="18"/>
                <w:szCs w:val="18"/>
              </w:rPr>
            </w:pPr>
            <w:r>
              <w:rPr>
                <w:rFonts w:ascii="Calibri"/>
                <w:sz w:val="18"/>
              </w:rPr>
              <w:t>250,000.00</w:t>
            </w:r>
          </w:p>
        </w:tc>
        <w:tc>
          <w:tcPr>
            <w:tcW w:w="734"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4"/>
              <w:jc w:val="right"/>
              <w:rPr>
                <w:rFonts w:ascii="Calibri" w:hAnsi="Calibri" w:cs="Calibri" w:eastAsia="Calibri" w:hint="default"/>
                <w:sz w:val="18"/>
                <w:szCs w:val="18"/>
              </w:rPr>
            </w:pPr>
            <w:r>
              <w:rPr>
                <w:rFonts w:ascii="Calibri"/>
                <w:sz w:val="18"/>
              </w:rPr>
              <w:t>250,000.00</w:t>
            </w:r>
          </w:p>
        </w:tc>
      </w:tr>
      <w:tr>
        <w:trPr>
          <w:trHeight w:val="338" w:hRule="exact"/>
        </w:trPr>
        <w:tc>
          <w:tcPr>
            <w:tcW w:w="2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24"/>
              <w:jc w:val="right"/>
              <w:rPr>
                <w:rFonts w:ascii="Calibri" w:hAnsi="Calibri" w:cs="Calibri" w:eastAsia="Calibri" w:hint="default"/>
                <w:sz w:val="18"/>
                <w:szCs w:val="18"/>
              </w:rPr>
            </w:pPr>
            <w:r>
              <w:rPr>
                <w:rFonts w:ascii="Calibri"/>
                <w:sz w:val="18"/>
              </w:rPr>
              <w:t>921,304,849.04</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24"/>
              <w:jc w:val="right"/>
              <w:rPr>
                <w:rFonts w:ascii="Calibri" w:hAnsi="Calibri" w:cs="Calibri" w:eastAsia="Calibri" w:hint="default"/>
                <w:sz w:val="18"/>
                <w:szCs w:val="18"/>
              </w:rPr>
            </w:pPr>
            <w:r>
              <w:rPr>
                <w:rFonts w:ascii="Calibri"/>
                <w:sz w:val="18"/>
              </w:rPr>
              <w:t>483,029,849.04</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24"/>
              <w:jc w:val="right"/>
              <w:rPr>
                <w:rFonts w:ascii="Calibri" w:hAnsi="Calibri" w:cs="Calibri" w:eastAsia="Calibri" w:hint="default"/>
                <w:sz w:val="18"/>
                <w:szCs w:val="18"/>
              </w:rPr>
            </w:pPr>
            <w:r>
              <w:rPr>
                <w:rFonts w:ascii="Calibri"/>
                <w:sz w:val="18"/>
              </w:rPr>
              <w:t>438,275,000.00</w:t>
            </w:r>
          </w:p>
        </w:tc>
        <w:tc>
          <w:tcPr>
            <w:tcW w:w="734" w:type="dxa"/>
            <w:tcBorders>
              <w:top w:val="single" w:sz="4" w:space="0" w:color="000000"/>
              <w:left w:val="single" w:sz="4" w:space="0" w:color="000000"/>
              <w:bottom w:val="single" w:sz="12" w:space="0" w:color="000000"/>
              <w:right w:val="single" w:sz="4" w:space="0" w:color="000000"/>
            </w:tcBorders>
          </w:tcPr>
          <w:p>
            <w:pPr/>
          </w:p>
        </w:tc>
        <w:tc>
          <w:tcPr>
            <w:tcW w:w="631"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24"/>
              <w:jc w:val="right"/>
              <w:rPr>
                <w:rFonts w:ascii="Calibri" w:hAnsi="Calibri" w:cs="Calibri" w:eastAsia="Calibri" w:hint="default"/>
                <w:sz w:val="18"/>
                <w:szCs w:val="18"/>
              </w:rPr>
            </w:pPr>
            <w:r>
              <w:rPr>
                <w:rFonts w:ascii="Calibri"/>
                <w:sz w:val="18"/>
              </w:rPr>
              <w:t>921,304,849.04</w:t>
            </w:r>
          </w:p>
        </w:tc>
      </w:tr>
    </w:tbl>
    <w:p>
      <w:pPr>
        <w:spacing w:before="88"/>
        <w:ind w:left="546" w:right="42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before="111"/>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983"/>
        <w:gridCol w:w="1759"/>
        <w:gridCol w:w="1755"/>
        <w:gridCol w:w="1757"/>
        <w:gridCol w:w="1704"/>
      </w:tblGrid>
      <w:tr>
        <w:trPr>
          <w:trHeight w:val="322" w:hRule="exact"/>
        </w:trPr>
        <w:tc>
          <w:tcPr>
            <w:tcW w:w="1983" w:type="dxa"/>
            <w:vMerge w:val="restart"/>
            <w:tcBorders>
              <w:top w:val="single" w:sz="12" w:space="0" w:color="000000"/>
              <w:left w:val="single" w:sz="4" w:space="0" w:color="000000"/>
              <w:right w:val="single" w:sz="4" w:space="0" w:color="000000"/>
            </w:tcBorders>
          </w:tcPr>
          <w:p>
            <w:pPr>
              <w:pStyle w:val="TableParagraph"/>
              <w:tabs>
                <w:tab w:pos="422" w:val="left" w:leader="none"/>
              </w:tabs>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6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1983" w:type="dxa"/>
            <w:vMerge/>
            <w:tcBorders>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9" w:hRule="exact"/>
        </w:trPr>
        <w:tc>
          <w:tcPr>
            <w:tcW w:w="1983"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701"/>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759"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1,521,980,883.21</w:t>
            </w:r>
          </w:p>
        </w:tc>
        <w:tc>
          <w:tcPr>
            <w:tcW w:w="1755"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980,510,412.41</w:t>
            </w:r>
          </w:p>
        </w:tc>
        <w:tc>
          <w:tcPr>
            <w:tcW w:w="175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9"/>
              <w:jc w:val="right"/>
              <w:rPr>
                <w:rFonts w:ascii="宋体" w:hAnsi="宋体" w:cs="宋体" w:eastAsia="宋体" w:hint="default"/>
                <w:sz w:val="21"/>
                <w:szCs w:val="21"/>
              </w:rPr>
            </w:pPr>
            <w:r>
              <w:rPr>
                <w:rFonts w:ascii="宋体"/>
                <w:spacing w:val="-1"/>
                <w:sz w:val="21"/>
              </w:rPr>
              <w:t>1,467,390,749.05</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17" w:right="26"/>
              <w:jc w:val="right"/>
              <w:rPr>
                <w:rFonts w:ascii="宋体" w:hAnsi="宋体" w:cs="宋体" w:eastAsia="宋体" w:hint="default"/>
                <w:sz w:val="21"/>
                <w:szCs w:val="21"/>
              </w:rPr>
            </w:pPr>
            <w:r>
              <w:rPr>
                <w:rFonts w:ascii="宋体"/>
                <w:spacing w:val="-1"/>
                <w:sz w:val="21"/>
              </w:rPr>
              <w:t>1,058,995,629.89</w:t>
            </w:r>
          </w:p>
        </w:tc>
      </w:tr>
      <w:tr>
        <w:trPr>
          <w:trHeight w:val="291" w:hRule="exact"/>
        </w:trPr>
        <w:tc>
          <w:tcPr>
            <w:tcW w:w="198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701"/>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7,442,628.72</w:t>
            </w:r>
          </w:p>
        </w:tc>
        <w:tc>
          <w:tcPr>
            <w:tcW w:w="1755"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6,575,056.01</w:t>
            </w:r>
          </w:p>
        </w:tc>
        <w:tc>
          <w:tcPr>
            <w:tcW w:w="175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14,833,076.96</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12,370,424.15</w:t>
            </w:r>
          </w:p>
        </w:tc>
      </w:tr>
      <w:tr>
        <w:trPr>
          <w:trHeight w:val="319" w:hRule="exact"/>
        </w:trPr>
        <w:tc>
          <w:tcPr>
            <w:tcW w:w="1983"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0" w:lineRule="exact"/>
              <w:ind w:right="66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1,529,423,511.93</w:t>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987,085,468.42</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1,482,223,826.01</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17" w:right="26"/>
              <w:jc w:val="right"/>
              <w:rPr>
                <w:rFonts w:ascii="宋体" w:hAnsi="宋体" w:cs="宋体" w:eastAsia="宋体" w:hint="default"/>
                <w:sz w:val="21"/>
                <w:szCs w:val="21"/>
              </w:rPr>
            </w:pPr>
            <w:r>
              <w:rPr>
                <w:rFonts w:ascii="宋体"/>
                <w:spacing w:val="-1"/>
                <w:sz w:val="21"/>
              </w:rPr>
              <w:t>1,071,366,054.04</w:t>
            </w:r>
          </w:p>
        </w:tc>
      </w:tr>
    </w:tbl>
    <w:p>
      <w:pPr>
        <w:spacing w:before="88"/>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）主营业务（分行业）</w:t>
      </w:r>
    </w:p>
    <w:p>
      <w:pPr>
        <w:spacing w:line="240" w:lineRule="auto" w:before="7"/>
        <w:rPr>
          <w:rFonts w:ascii="宋体" w:hAnsi="宋体" w:cs="宋体" w:eastAsia="宋体" w:hint="default"/>
          <w:sz w:val="6"/>
          <w:szCs w:val="6"/>
        </w:rPr>
      </w:pPr>
    </w:p>
    <w:tbl>
      <w:tblPr>
        <w:tblW w:w="0" w:type="auto"/>
        <w:jc w:val="left"/>
        <w:tblInd w:w="165" w:type="dxa"/>
        <w:tblLayout w:type="fixed"/>
        <w:tblCellMar>
          <w:top w:w="0" w:type="dxa"/>
          <w:left w:w="0" w:type="dxa"/>
          <w:bottom w:w="0" w:type="dxa"/>
          <w:right w:w="0" w:type="dxa"/>
        </w:tblCellMar>
        <w:tblLook w:val="01E0"/>
      </w:tblPr>
      <w:tblGrid>
        <w:gridCol w:w="1961"/>
        <w:gridCol w:w="1742"/>
        <w:gridCol w:w="1750"/>
        <w:gridCol w:w="1743"/>
        <w:gridCol w:w="1743"/>
      </w:tblGrid>
      <w:tr>
        <w:trPr>
          <w:trHeight w:val="319" w:hRule="exact"/>
        </w:trPr>
        <w:tc>
          <w:tcPr>
            <w:tcW w:w="1961" w:type="dxa"/>
            <w:vMerge w:val="restart"/>
            <w:tcBorders>
              <w:top w:val="single" w:sz="12" w:space="0" w:color="000000"/>
              <w:left w:val="single" w:sz="4" w:space="0" w:color="000000"/>
              <w:right w:val="single" w:sz="4" w:space="0" w:color="000000"/>
            </w:tcBorders>
          </w:tcPr>
          <w:p>
            <w:pPr>
              <w:pStyle w:val="TableParagraph"/>
              <w:spacing w:line="240" w:lineRule="auto" w:before="141"/>
              <w:ind w:left="55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9"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5" w:hRule="exact"/>
        </w:trPr>
        <w:tc>
          <w:tcPr>
            <w:tcW w:w="1961" w:type="dxa"/>
            <w:vMerge/>
            <w:tcBorders>
              <w:left w:val="single" w:sz="4" w:space="0" w:color="000000"/>
              <w:bottom w:val="single" w:sz="6" w:space="0" w:color="000000"/>
              <w:right w:val="single" w:sz="4" w:space="0" w:color="000000"/>
            </w:tcBorders>
          </w:tcPr>
          <w:p>
            <w:pPr/>
          </w:p>
        </w:tc>
        <w:tc>
          <w:tcPr>
            <w:tcW w:w="1742"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45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62" w:lineRule="exact"/>
        <w:jc w:val="left"/>
        <w:rPr>
          <w:rFonts w:ascii="宋体" w:hAnsi="宋体" w:cs="宋体" w:eastAsia="宋体" w:hint="default"/>
          <w:sz w:val="21"/>
          <w:szCs w:val="21"/>
        </w:rPr>
        <w:sectPr>
          <w:footerReference w:type="even" r:id="rId96"/>
          <w:footerReference w:type="default" r:id="rId97"/>
          <w:pgSz w:w="12240" w:h="15840"/>
          <w:pgMar w:footer="956" w:header="850" w:top="1380" w:bottom="1140" w:left="1520" w:right="0"/>
          <w:pgNumType w:start="152"/>
        </w:sectPr>
      </w:pPr>
    </w:p>
    <w:p>
      <w:pPr>
        <w:spacing w:line="240" w:lineRule="auto" w:before="1"/>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961"/>
        <w:gridCol w:w="1742"/>
        <w:gridCol w:w="1750"/>
        <w:gridCol w:w="1743"/>
        <w:gridCol w:w="1743"/>
      </w:tblGrid>
      <w:tr>
        <w:trPr>
          <w:trHeight w:val="318" w:hRule="exact"/>
        </w:trPr>
        <w:tc>
          <w:tcPr>
            <w:tcW w:w="1961" w:type="dxa"/>
            <w:tcBorders>
              <w:top w:val="single" w:sz="14" w:space="0" w:color="000000"/>
              <w:left w:val="single" w:sz="6" w:space="0" w:color="000000"/>
              <w:bottom w:val="nil" w:sz="6" w:space="0" w:color="auto"/>
              <w:right w:val="single" w:sz="6"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通信行业</w:t>
            </w:r>
          </w:p>
        </w:tc>
        <w:tc>
          <w:tcPr>
            <w:tcW w:w="1742" w:type="dxa"/>
            <w:tcBorders>
              <w:top w:val="single" w:sz="14" w:space="0" w:color="000000"/>
              <w:left w:val="single" w:sz="6" w:space="0" w:color="000000"/>
              <w:bottom w:val="nil" w:sz="6" w:space="0" w:color="auto"/>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201,532,974.86</w:t>
            </w:r>
          </w:p>
        </w:tc>
        <w:tc>
          <w:tcPr>
            <w:tcW w:w="1750" w:type="dxa"/>
            <w:tcBorders>
              <w:top w:val="single" w:sz="14" w:space="0" w:color="000000"/>
              <w:left w:val="single" w:sz="6" w:space="0" w:color="000000"/>
              <w:bottom w:val="nil" w:sz="6" w:space="0" w:color="auto"/>
              <w:right w:val="single" w:sz="6"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125,872,722.75</w:t>
            </w:r>
          </w:p>
        </w:tc>
        <w:tc>
          <w:tcPr>
            <w:tcW w:w="1743" w:type="dxa"/>
            <w:tcBorders>
              <w:top w:val="single" w:sz="14" w:space="0" w:color="000000"/>
              <w:left w:val="single" w:sz="6" w:space="0" w:color="000000"/>
              <w:bottom w:val="nil" w:sz="6" w:space="0" w:color="auto"/>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182,464,767.10</w:t>
            </w:r>
          </w:p>
        </w:tc>
        <w:tc>
          <w:tcPr>
            <w:tcW w:w="1743" w:type="dxa"/>
            <w:tcBorders>
              <w:top w:val="single" w:sz="14" w:space="0" w:color="000000"/>
              <w:left w:val="single" w:sz="6" w:space="0" w:color="000000"/>
              <w:bottom w:val="nil" w:sz="6" w:space="0" w:color="auto"/>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126,624,453.86</w:t>
            </w:r>
          </w:p>
        </w:tc>
      </w:tr>
      <w:tr>
        <w:trPr>
          <w:trHeight w:val="581"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电力水利铁路交通行</w:t>
            </w:r>
          </w:p>
          <w:p>
            <w:pPr>
              <w:pStyle w:val="TableParagraph"/>
              <w:spacing w:line="240" w:lineRule="auto" w:before="15"/>
              <w:ind w:left="2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19"/>
              <w:jc w:val="right"/>
              <w:rPr>
                <w:rFonts w:ascii="宋体" w:hAnsi="宋体" w:cs="宋体" w:eastAsia="宋体" w:hint="default"/>
                <w:sz w:val="21"/>
                <w:szCs w:val="21"/>
              </w:rPr>
            </w:pPr>
            <w:r>
              <w:rPr>
                <w:rFonts w:ascii="宋体"/>
                <w:spacing w:val="-1"/>
                <w:sz w:val="21"/>
              </w:rPr>
              <w:t>256,542,714.66</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17"/>
              <w:jc w:val="right"/>
              <w:rPr>
                <w:rFonts w:ascii="宋体" w:hAnsi="宋体" w:cs="宋体" w:eastAsia="宋体" w:hint="default"/>
                <w:sz w:val="21"/>
                <w:szCs w:val="21"/>
              </w:rPr>
            </w:pPr>
            <w:r>
              <w:rPr>
                <w:rFonts w:ascii="宋体"/>
                <w:spacing w:val="-1"/>
                <w:sz w:val="21"/>
              </w:rPr>
              <w:t>163,088,453.75</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20"/>
              <w:jc w:val="right"/>
              <w:rPr>
                <w:rFonts w:ascii="宋体" w:hAnsi="宋体" w:cs="宋体" w:eastAsia="宋体" w:hint="default"/>
                <w:sz w:val="21"/>
                <w:szCs w:val="21"/>
              </w:rPr>
            </w:pPr>
            <w:r>
              <w:rPr>
                <w:rFonts w:ascii="宋体"/>
                <w:spacing w:val="-1"/>
                <w:sz w:val="21"/>
              </w:rPr>
              <w:t>253,163,593.36</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19"/>
              <w:jc w:val="right"/>
              <w:rPr>
                <w:rFonts w:ascii="宋体" w:hAnsi="宋体" w:cs="宋体" w:eastAsia="宋体" w:hint="default"/>
                <w:sz w:val="21"/>
                <w:szCs w:val="21"/>
              </w:rPr>
            </w:pPr>
            <w:r>
              <w:rPr>
                <w:rFonts w:ascii="宋体"/>
                <w:spacing w:val="-1"/>
                <w:sz w:val="21"/>
              </w:rPr>
              <w:t>177,407,962.99</w:t>
            </w:r>
          </w:p>
        </w:tc>
      </w:tr>
      <w:tr>
        <w:trPr>
          <w:trHeight w:val="289"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石油化工行业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52,042,251.44</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32,964,509.90</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3"/>
              <w:jc w:val="right"/>
              <w:rPr>
                <w:rFonts w:ascii="宋体" w:hAnsi="宋体" w:cs="宋体" w:eastAsia="宋体" w:hint="default"/>
                <w:sz w:val="21"/>
                <w:szCs w:val="21"/>
              </w:rPr>
            </w:pPr>
            <w:r>
              <w:rPr>
                <w:rFonts w:ascii="宋体"/>
                <w:spacing w:val="-1"/>
                <w:sz w:val="21"/>
              </w:rPr>
              <w:t>47,187,570.14</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34,735,761.56</w:t>
            </w:r>
          </w:p>
        </w:tc>
      </w:tr>
      <w:tr>
        <w:trPr>
          <w:trHeight w:val="289"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政府行业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9" w:lineRule="exact"/>
              <w:ind w:right="19"/>
              <w:jc w:val="right"/>
              <w:rPr>
                <w:rFonts w:ascii="宋体" w:hAnsi="宋体" w:cs="宋体" w:eastAsia="宋体" w:hint="default"/>
                <w:sz w:val="21"/>
                <w:szCs w:val="21"/>
              </w:rPr>
            </w:pPr>
            <w:r>
              <w:rPr>
                <w:rFonts w:ascii="宋体"/>
                <w:spacing w:val="-1"/>
                <w:sz w:val="21"/>
              </w:rPr>
              <w:t>189,308,605.81</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49" w:lineRule="exact"/>
              <w:ind w:right="17"/>
              <w:jc w:val="right"/>
              <w:rPr>
                <w:rFonts w:ascii="宋体" w:hAnsi="宋体" w:cs="宋体" w:eastAsia="宋体" w:hint="default"/>
                <w:sz w:val="21"/>
                <w:szCs w:val="21"/>
              </w:rPr>
            </w:pPr>
            <w:r>
              <w:rPr>
                <w:rFonts w:ascii="宋体"/>
                <w:spacing w:val="-1"/>
                <w:sz w:val="21"/>
              </w:rPr>
              <w:t>124,840,203.24</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9" w:lineRule="exact"/>
              <w:ind w:right="20"/>
              <w:jc w:val="right"/>
              <w:rPr>
                <w:rFonts w:ascii="宋体" w:hAnsi="宋体" w:cs="宋体" w:eastAsia="宋体" w:hint="default"/>
                <w:sz w:val="21"/>
                <w:szCs w:val="21"/>
              </w:rPr>
            </w:pPr>
            <w:r>
              <w:rPr>
                <w:rFonts w:ascii="宋体"/>
                <w:spacing w:val="-1"/>
                <w:sz w:val="21"/>
              </w:rPr>
              <w:t>186,791,211.59</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49" w:lineRule="exact"/>
              <w:ind w:right="19"/>
              <w:jc w:val="right"/>
              <w:rPr>
                <w:rFonts w:ascii="宋体" w:hAnsi="宋体" w:cs="宋体" w:eastAsia="宋体" w:hint="default"/>
                <w:sz w:val="21"/>
                <w:szCs w:val="21"/>
              </w:rPr>
            </w:pPr>
            <w:r>
              <w:rPr>
                <w:rFonts w:ascii="宋体"/>
                <w:spacing w:val="-1"/>
                <w:sz w:val="21"/>
              </w:rPr>
              <w:t>137,912,481.70</w:t>
            </w:r>
          </w:p>
        </w:tc>
      </w:tr>
      <w:tr>
        <w:trPr>
          <w:trHeight w:val="290"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金融保险医保行业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534,266,010.98</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7"/>
              <w:jc w:val="right"/>
              <w:rPr>
                <w:rFonts w:ascii="宋体" w:hAnsi="宋体" w:cs="宋体" w:eastAsia="宋体" w:hint="default"/>
                <w:sz w:val="21"/>
                <w:szCs w:val="21"/>
              </w:rPr>
            </w:pPr>
            <w:r>
              <w:rPr>
                <w:rFonts w:ascii="宋体"/>
                <w:spacing w:val="-1"/>
                <w:sz w:val="21"/>
              </w:rPr>
              <w:t>346,109,368.76</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0"/>
              <w:jc w:val="right"/>
              <w:rPr>
                <w:rFonts w:ascii="宋体" w:hAnsi="宋体" w:cs="宋体" w:eastAsia="宋体" w:hint="default"/>
                <w:sz w:val="21"/>
                <w:szCs w:val="21"/>
              </w:rPr>
            </w:pPr>
            <w:r>
              <w:rPr>
                <w:rFonts w:ascii="宋体"/>
                <w:spacing w:val="-1"/>
                <w:sz w:val="21"/>
              </w:rPr>
              <w:t>524,087,861.95</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375,721,066.26</w:t>
            </w:r>
          </w:p>
        </w:tc>
      </w:tr>
      <w:tr>
        <w:trPr>
          <w:trHeight w:val="290"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计算机服务业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94,264,236.30</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60,719,732.71</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2"/>
              <w:jc w:val="right"/>
              <w:rPr>
                <w:rFonts w:ascii="宋体" w:hAnsi="宋体" w:cs="宋体" w:eastAsia="宋体" w:hint="default"/>
                <w:sz w:val="21"/>
                <w:szCs w:val="21"/>
              </w:rPr>
            </w:pPr>
            <w:r>
              <w:rPr>
                <w:rFonts w:ascii="宋体"/>
                <w:spacing w:val="-1"/>
                <w:sz w:val="21"/>
              </w:rPr>
              <w:t>91,297,117.66</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68,935,002.41</w:t>
            </w:r>
          </w:p>
        </w:tc>
      </w:tr>
      <w:tr>
        <w:trPr>
          <w:trHeight w:val="290" w:hRule="exact"/>
        </w:trPr>
        <w:tc>
          <w:tcPr>
            <w:tcW w:w="1961"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62,015,559.36</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39,728,301.33</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2"/>
              <w:jc w:val="right"/>
              <w:rPr>
                <w:rFonts w:ascii="宋体" w:hAnsi="宋体" w:cs="宋体" w:eastAsia="宋体" w:hint="default"/>
                <w:sz w:val="21"/>
                <w:szCs w:val="21"/>
              </w:rPr>
            </w:pPr>
            <w:r>
              <w:rPr>
                <w:rFonts w:ascii="宋体"/>
                <w:spacing w:val="-1"/>
                <w:sz w:val="21"/>
              </w:rPr>
              <w:t>57,653,368.60</w:t>
            </w:r>
          </w:p>
        </w:tc>
        <w:tc>
          <w:tcPr>
            <w:tcW w:w="1743"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42,911,504.37</w:t>
            </w:r>
          </w:p>
        </w:tc>
      </w:tr>
      <w:tr>
        <w:trPr>
          <w:trHeight w:val="288" w:hRule="exact"/>
        </w:trPr>
        <w:tc>
          <w:tcPr>
            <w:tcW w:w="1961" w:type="dxa"/>
            <w:tcBorders>
              <w:top w:val="nil" w:sz="6" w:space="0" w:color="auto"/>
              <w:left w:val="single" w:sz="6" w:space="0" w:color="000000"/>
              <w:bottom w:val="single" w:sz="4" w:space="0" w:color="000000"/>
              <w:right w:val="single" w:sz="6"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2"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132,008,529.80</w:t>
            </w:r>
          </w:p>
        </w:tc>
        <w:tc>
          <w:tcPr>
            <w:tcW w:w="175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right="19"/>
              <w:jc w:val="right"/>
              <w:rPr>
                <w:rFonts w:ascii="宋体" w:hAnsi="宋体" w:cs="宋体" w:eastAsia="宋体" w:hint="default"/>
                <w:sz w:val="21"/>
                <w:szCs w:val="21"/>
              </w:rPr>
            </w:pPr>
            <w:r>
              <w:rPr>
                <w:rFonts w:ascii="宋体"/>
                <w:spacing w:val="-1"/>
                <w:sz w:val="21"/>
              </w:rPr>
              <w:t>87,187,119.97</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right="20"/>
              <w:jc w:val="right"/>
              <w:rPr>
                <w:rFonts w:ascii="宋体" w:hAnsi="宋体" w:cs="宋体" w:eastAsia="宋体" w:hint="default"/>
                <w:sz w:val="21"/>
                <w:szCs w:val="21"/>
              </w:rPr>
            </w:pPr>
            <w:r>
              <w:rPr>
                <w:rFonts w:ascii="宋体"/>
                <w:spacing w:val="-1"/>
                <w:sz w:val="21"/>
              </w:rPr>
              <w:t>124,745,258.65</w:t>
            </w:r>
          </w:p>
        </w:tc>
        <w:tc>
          <w:tcPr>
            <w:tcW w:w="1743"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right="21"/>
              <w:jc w:val="right"/>
              <w:rPr>
                <w:rFonts w:ascii="宋体" w:hAnsi="宋体" w:cs="宋体" w:eastAsia="宋体" w:hint="default"/>
                <w:sz w:val="21"/>
                <w:szCs w:val="21"/>
              </w:rPr>
            </w:pPr>
            <w:r>
              <w:rPr>
                <w:rFonts w:ascii="宋体"/>
                <w:spacing w:val="-1"/>
                <w:sz w:val="21"/>
              </w:rPr>
              <w:t>94,747,396.74</w:t>
            </w:r>
          </w:p>
        </w:tc>
      </w:tr>
      <w:tr>
        <w:trPr>
          <w:trHeight w:val="312" w:hRule="exact"/>
        </w:trPr>
        <w:tc>
          <w:tcPr>
            <w:tcW w:w="1961"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42" w:type="dxa"/>
            <w:tcBorders>
              <w:top w:val="single" w:sz="6" w:space="0" w:color="000000"/>
              <w:left w:val="single" w:sz="4" w:space="0" w:color="000000"/>
              <w:bottom w:val="single" w:sz="12"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1,521,980,883.21</w:t>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980,510,412.41</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1,467,390,749.05</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1,058,995,629.89</w:t>
            </w:r>
          </w:p>
        </w:tc>
      </w:tr>
    </w:tbl>
    <w:p>
      <w:pPr>
        <w:spacing w:before="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）主营业务（分产品）</w:t>
      </w:r>
    </w:p>
    <w:p>
      <w:pPr>
        <w:spacing w:line="240" w:lineRule="auto" w:before="10"/>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56"/>
        <w:gridCol w:w="1811"/>
        <w:gridCol w:w="1809"/>
        <w:gridCol w:w="1809"/>
        <w:gridCol w:w="1753"/>
      </w:tblGrid>
      <w:tr>
        <w:trPr>
          <w:trHeight w:val="322" w:hRule="exact"/>
        </w:trPr>
        <w:tc>
          <w:tcPr>
            <w:tcW w:w="1756" w:type="dxa"/>
            <w:vMerge w:val="restart"/>
            <w:tcBorders>
              <w:top w:val="single" w:sz="12" w:space="0" w:color="000000"/>
              <w:left w:val="single" w:sz="4" w:space="0" w:color="000000"/>
              <w:right w:val="single" w:sz="5" w:space="0" w:color="000000"/>
            </w:tcBorders>
          </w:tcPr>
          <w:p>
            <w:pPr>
              <w:pStyle w:val="TableParagraph"/>
              <w:spacing w:line="240" w:lineRule="auto" w:before="151"/>
              <w:ind w:left="45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20"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62"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1756" w:type="dxa"/>
            <w:vMerge/>
            <w:tcBorders>
              <w:left w:val="single" w:sz="4" w:space="0" w:color="000000"/>
              <w:bottom w:val="single" w:sz="4" w:space="0" w:color="000000"/>
              <w:right w:val="single" w:sz="5" w:space="0" w:color="000000"/>
            </w:tcBorders>
          </w:tcPr>
          <w:p>
            <w:pPr/>
          </w:p>
        </w:tc>
        <w:tc>
          <w:tcPr>
            <w:tcW w:w="1811"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9"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9"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3"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4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2" w:hRule="exact"/>
        </w:trPr>
        <w:tc>
          <w:tcPr>
            <w:tcW w:w="1756" w:type="dxa"/>
            <w:tcBorders>
              <w:top w:val="single" w:sz="4" w:space="0" w:color="000000"/>
              <w:left w:val="single" w:sz="6" w:space="0" w:color="000000"/>
              <w:bottom w:val="nil" w:sz="6" w:space="0" w:color="auto"/>
              <w:right w:val="single" w:sz="6"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11"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1,037,145,716.37</w:t>
            </w:r>
          </w:p>
        </w:tc>
        <w:tc>
          <w:tcPr>
            <w:tcW w:w="1809"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870,402,665.01</w:t>
            </w:r>
          </w:p>
        </w:tc>
        <w:tc>
          <w:tcPr>
            <w:tcW w:w="1809"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7"/>
              <w:jc w:val="right"/>
              <w:rPr>
                <w:rFonts w:ascii="宋体" w:hAnsi="宋体" w:cs="宋体" w:eastAsia="宋体" w:hint="default"/>
                <w:sz w:val="21"/>
                <w:szCs w:val="21"/>
              </w:rPr>
            </w:pPr>
            <w:r>
              <w:rPr>
                <w:rFonts w:ascii="宋体"/>
                <w:spacing w:val="-1"/>
                <w:sz w:val="21"/>
              </w:rPr>
              <w:t>1,088,820,832.47</w:t>
            </w:r>
          </w:p>
        </w:tc>
        <w:tc>
          <w:tcPr>
            <w:tcW w:w="1753" w:type="dxa"/>
            <w:tcBorders>
              <w:top w:val="single" w:sz="4" w:space="0" w:color="000000"/>
              <w:left w:val="single" w:sz="6" w:space="0" w:color="000000"/>
              <w:bottom w:val="nil" w:sz="6" w:space="0" w:color="auto"/>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949,116,579.05</w:t>
            </w:r>
          </w:p>
        </w:tc>
      </w:tr>
      <w:tr>
        <w:trPr>
          <w:trHeight w:val="300" w:hRule="exact"/>
        </w:trPr>
        <w:tc>
          <w:tcPr>
            <w:tcW w:w="175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自制及定制软件</w:t>
            </w:r>
          </w:p>
        </w:tc>
        <w:tc>
          <w:tcPr>
            <w:tcW w:w="1811"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279,381,680.03</w:t>
            </w:r>
          </w:p>
        </w:tc>
        <w:tc>
          <w:tcPr>
            <w:tcW w:w="1809"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56,006,626.21</w:t>
            </w:r>
          </w:p>
        </w:tc>
        <w:tc>
          <w:tcPr>
            <w:tcW w:w="1809"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225,813,498.22</w:t>
            </w:r>
          </w:p>
        </w:tc>
        <w:tc>
          <w:tcPr>
            <w:tcW w:w="1753" w:type="dxa"/>
            <w:tcBorders>
              <w:top w:val="nil" w:sz="6" w:space="0" w:color="auto"/>
              <w:left w:val="single" w:sz="6" w:space="0" w:color="000000"/>
              <w:bottom w:val="nil" w:sz="6" w:space="0" w:color="auto"/>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72,811,592.26</w:t>
            </w:r>
          </w:p>
        </w:tc>
      </w:tr>
      <w:tr>
        <w:trPr>
          <w:trHeight w:val="300" w:hRule="exact"/>
        </w:trPr>
        <w:tc>
          <w:tcPr>
            <w:tcW w:w="1756" w:type="dxa"/>
            <w:tcBorders>
              <w:top w:val="nil" w:sz="6" w:space="0" w:color="auto"/>
              <w:left w:val="single" w:sz="6" w:space="0" w:color="000000"/>
              <w:bottom w:val="single" w:sz="4" w:space="0" w:color="000000"/>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11"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205,453,486.81</w:t>
            </w:r>
          </w:p>
        </w:tc>
        <w:tc>
          <w:tcPr>
            <w:tcW w:w="1809"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54,101,121.19</w:t>
            </w:r>
          </w:p>
        </w:tc>
        <w:tc>
          <w:tcPr>
            <w:tcW w:w="1809"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152,756,418.36</w:t>
            </w:r>
          </w:p>
        </w:tc>
        <w:tc>
          <w:tcPr>
            <w:tcW w:w="1753"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right="18"/>
              <w:jc w:val="right"/>
              <w:rPr>
                <w:rFonts w:ascii="宋体" w:hAnsi="宋体" w:cs="宋体" w:eastAsia="宋体" w:hint="default"/>
                <w:sz w:val="21"/>
                <w:szCs w:val="21"/>
              </w:rPr>
            </w:pPr>
            <w:r>
              <w:rPr>
                <w:rFonts w:ascii="宋体"/>
                <w:spacing w:val="-1"/>
                <w:sz w:val="21"/>
              </w:rPr>
              <w:t>37,067,458.58</w:t>
            </w:r>
          </w:p>
        </w:tc>
      </w:tr>
      <w:tr>
        <w:trPr>
          <w:trHeight w:val="324" w:hRule="exact"/>
        </w:trPr>
        <w:tc>
          <w:tcPr>
            <w:tcW w:w="1756" w:type="dxa"/>
            <w:tcBorders>
              <w:top w:val="single" w:sz="4" w:space="0" w:color="000000"/>
              <w:left w:val="single" w:sz="4" w:space="0" w:color="000000"/>
              <w:bottom w:val="single" w:sz="12" w:space="0" w:color="000000"/>
              <w:right w:val="single" w:sz="4" w:space="0" w:color="000000"/>
            </w:tcBorders>
          </w:tcPr>
          <w:p>
            <w:pPr>
              <w:pStyle w:val="TableParagraph"/>
              <w:tabs>
                <w:tab w:pos="979" w:val="left" w:leader="none"/>
              </w:tabs>
              <w:spacing w:line="272" w:lineRule="exact"/>
              <w:ind w:left="55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1,521,980,883.21</w:t>
            </w:r>
          </w:p>
        </w:tc>
        <w:tc>
          <w:tcPr>
            <w:tcW w:w="180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980,510,412.41</w:t>
            </w:r>
          </w:p>
        </w:tc>
        <w:tc>
          <w:tcPr>
            <w:tcW w:w="180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7"/>
              <w:jc w:val="right"/>
              <w:rPr>
                <w:rFonts w:ascii="宋体" w:hAnsi="宋体" w:cs="宋体" w:eastAsia="宋体" w:hint="default"/>
                <w:sz w:val="21"/>
                <w:szCs w:val="21"/>
              </w:rPr>
            </w:pPr>
            <w:r>
              <w:rPr>
                <w:rFonts w:ascii="宋体"/>
                <w:spacing w:val="-1"/>
                <w:sz w:val="21"/>
              </w:rPr>
              <w:t>1,467,390,749.05</w:t>
            </w:r>
          </w:p>
        </w:tc>
        <w:tc>
          <w:tcPr>
            <w:tcW w:w="175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8"/>
              <w:jc w:val="right"/>
              <w:rPr>
                <w:rFonts w:ascii="宋体" w:hAnsi="宋体" w:cs="宋体" w:eastAsia="宋体" w:hint="default"/>
                <w:sz w:val="21"/>
                <w:szCs w:val="21"/>
              </w:rPr>
            </w:pPr>
            <w:r>
              <w:rPr>
                <w:rFonts w:ascii="宋体"/>
                <w:spacing w:val="-1"/>
                <w:sz w:val="21"/>
              </w:rPr>
              <w:t>1,058,995,629.89</w:t>
            </w:r>
          </w:p>
        </w:tc>
      </w:tr>
    </w:tbl>
    <w:p>
      <w:pPr>
        <w:spacing w:before="86"/>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）主营业务（分地区）</w:t>
      </w:r>
    </w:p>
    <w:p>
      <w:pPr>
        <w:spacing w:line="240" w:lineRule="auto" w:before="7"/>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59"/>
        <w:gridCol w:w="1781"/>
        <w:gridCol w:w="1781"/>
        <w:gridCol w:w="1784"/>
        <w:gridCol w:w="1740"/>
      </w:tblGrid>
      <w:tr>
        <w:trPr>
          <w:trHeight w:val="319" w:hRule="exact"/>
        </w:trPr>
        <w:tc>
          <w:tcPr>
            <w:tcW w:w="1759" w:type="dxa"/>
            <w:vMerge w:val="restart"/>
            <w:tcBorders>
              <w:top w:val="single" w:sz="12" w:space="0" w:color="000000"/>
              <w:left w:val="single" w:sz="6" w:space="0" w:color="000000"/>
              <w:right w:val="single" w:sz="4" w:space="0" w:color="000000"/>
            </w:tcBorders>
          </w:tcPr>
          <w:p>
            <w:pPr>
              <w:pStyle w:val="TableParagraph"/>
              <w:spacing w:line="240" w:lineRule="auto" w:before="150"/>
              <w:ind w:left="451"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63" w:type="dxa"/>
            <w:gridSpan w:val="2"/>
            <w:tcBorders>
              <w:top w:val="single" w:sz="12" w:space="0" w:color="000000"/>
              <w:left w:val="single" w:sz="4" w:space="0" w:color="000000"/>
              <w:bottom w:val="single" w:sz="4" w:space="0" w:color="000000"/>
              <w:right w:val="single" w:sz="5"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24" w:type="dxa"/>
            <w:gridSpan w:val="2"/>
            <w:tcBorders>
              <w:top w:val="single" w:sz="12" w:space="0" w:color="000000"/>
              <w:left w:val="single" w:sz="5" w:space="0" w:color="000000"/>
              <w:bottom w:val="single" w:sz="4" w:space="0" w:color="000000"/>
              <w:right w:val="single" w:sz="5"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1759" w:type="dxa"/>
            <w:vMerge/>
            <w:tcBorders>
              <w:left w:val="single" w:sz="6" w:space="0" w:color="000000"/>
              <w:bottom w:val="single" w:sz="6"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5" w:space="0" w:color="000000"/>
            </w:tcBorders>
          </w:tcPr>
          <w:p>
            <w:pPr>
              <w:pStyle w:val="TableParagraph"/>
              <w:spacing w:line="270" w:lineRule="exact"/>
              <w:ind w:left="4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6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4"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6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0" w:type="dxa"/>
            <w:tcBorders>
              <w:top w:val="single" w:sz="4" w:space="0" w:color="000000"/>
              <w:left w:val="single" w:sz="5" w:space="0" w:color="000000"/>
              <w:bottom w:val="single" w:sz="4" w:space="0" w:color="000000"/>
              <w:right w:val="single" w:sz="5" w:space="0" w:color="000000"/>
            </w:tcBorders>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5" w:hRule="exact"/>
        </w:trPr>
        <w:tc>
          <w:tcPr>
            <w:tcW w:w="1759"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81" w:type="dxa"/>
            <w:tcBorders>
              <w:top w:val="single" w:sz="4" w:space="0" w:color="000000"/>
              <w:left w:val="single" w:sz="6" w:space="0" w:color="000000"/>
              <w:bottom w:val="nil" w:sz="6" w:space="0" w:color="auto"/>
              <w:right w:val="single" w:sz="6" w:space="0" w:color="000000"/>
            </w:tcBorders>
          </w:tcPr>
          <w:p>
            <w:pPr>
              <w:pStyle w:val="TableParagraph"/>
              <w:spacing w:line="258" w:lineRule="exact"/>
              <w:ind w:right="21"/>
              <w:jc w:val="right"/>
              <w:rPr>
                <w:rFonts w:ascii="宋体" w:hAnsi="宋体" w:cs="宋体" w:eastAsia="宋体" w:hint="default"/>
                <w:sz w:val="21"/>
                <w:szCs w:val="21"/>
              </w:rPr>
            </w:pPr>
            <w:r>
              <w:rPr>
                <w:rFonts w:ascii="宋体"/>
                <w:spacing w:val="-1"/>
                <w:sz w:val="21"/>
              </w:rPr>
              <w:t>103,139,990.39</w:t>
            </w:r>
          </w:p>
        </w:tc>
        <w:tc>
          <w:tcPr>
            <w:tcW w:w="1781" w:type="dxa"/>
            <w:tcBorders>
              <w:top w:val="single" w:sz="4" w:space="0" w:color="000000"/>
              <w:left w:val="single" w:sz="6" w:space="0" w:color="000000"/>
              <w:bottom w:val="nil" w:sz="6" w:space="0" w:color="auto"/>
              <w:right w:val="single" w:sz="6" w:space="0" w:color="000000"/>
            </w:tcBorders>
          </w:tcPr>
          <w:p>
            <w:pPr>
              <w:pStyle w:val="TableParagraph"/>
              <w:spacing w:line="258" w:lineRule="exact"/>
              <w:ind w:right="22"/>
              <w:jc w:val="right"/>
              <w:rPr>
                <w:rFonts w:ascii="宋体" w:hAnsi="宋体" w:cs="宋体" w:eastAsia="宋体" w:hint="default"/>
                <w:sz w:val="21"/>
                <w:szCs w:val="21"/>
              </w:rPr>
            </w:pPr>
            <w:r>
              <w:rPr>
                <w:rFonts w:ascii="宋体"/>
                <w:spacing w:val="-1"/>
                <w:sz w:val="21"/>
              </w:rPr>
              <w:t>64,994,919.60</w:t>
            </w:r>
          </w:p>
        </w:tc>
        <w:tc>
          <w:tcPr>
            <w:tcW w:w="1784" w:type="dxa"/>
            <w:tcBorders>
              <w:top w:val="single" w:sz="4" w:space="0" w:color="000000"/>
              <w:left w:val="single" w:sz="6" w:space="0" w:color="000000"/>
              <w:bottom w:val="nil" w:sz="6" w:space="0" w:color="auto"/>
              <w:right w:val="single" w:sz="6"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121,310,287.41</w:t>
            </w:r>
          </w:p>
        </w:tc>
        <w:tc>
          <w:tcPr>
            <w:tcW w:w="1740" w:type="dxa"/>
            <w:tcBorders>
              <w:top w:val="single" w:sz="4" w:space="0" w:color="000000"/>
              <w:left w:val="single" w:sz="6" w:space="0" w:color="000000"/>
              <w:bottom w:val="nil" w:sz="6" w:space="0" w:color="auto"/>
              <w:right w:val="single" w:sz="6"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85,676,449.58</w:t>
            </w:r>
          </w:p>
        </w:tc>
      </w:tr>
      <w:tr>
        <w:trPr>
          <w:trHeight w:val="300" w:hRule="exact"/>
        </w:trPr>
        <w:tc>
          <w:tcPr>
            <w:tcW w:w="1759"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1"/>
              <w:jc w:val="right"/>
              <w:rPr>
                <w:rFonts w:ascii="宋体" w:hAnsi="宋体" w:cs="宋体" w:eastAsia="宋体" w:hint="default"/>
                <w:sz w:val="21"/>
                <w:szCs w:val="21"/>
              </w:rPr>
            </w:pPr>
            <w:r>
              <w:rPr>
                <w:rFonts w:ascii="宋体"/>
                <w:spacing w:val="-1"/>
                <w:sz w:val="21"/>
              </w:rPr>
              <w:t>906,124,154.80</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19"/>
              <w:jc w:val="right"/>
              <w:rPr>
                <w:rFonts w:ascii="宋体" w:hAnsi="宋体" w:cs="宋体" w:eastAsia="宋体" w:hint="default"/>
                <w:sz w:val="21"/>
                <w:szCs w:val="21"/>
              </w:rPr>
            </w:pPr>
            <w:r>
              <w:rPr>
                <w:rFonts w:ascii="宋体"/>
                <w:spacing w:val="-1"/>
                <w:sz w:val="21"/>
              </w:rPr>
              <w:t>586,320,250.54</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852,329,349.83</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606,426,485.62</w:t>
            </w:r>
          </w:p>
        </w:tc>
      </w:tr>
      <w:tr>
        <w:trPr>
          <w:trHeight w:val="300" w:hRule="exact"/>
        </w:trPr>
        <w:tc>
          <w:tcPr>
            <w:tcW w:w="1759"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1"/>
              <w:jc w:val="right"/>
              <w:rPr>
                <w:rFonts w:ascii="宋体" w:hAnsi="宋体" w:cs="宋体" w:eastAsia="宋体" w:hint="default"/>
                <w:sz w:val="21"/>
                <w:szCs w:val="21"/>
              </w:rPr>
            </w:pPr>
            <w:r>
              <w:rPr>
                <w:rFonts w:ascii="宋体"/>
                <w:spacing w:val="-1"/>
                <w:sz w:val="21"/>
              </w:rPr>
              <w:t>226,778,645.27</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19"/>
              <w:jc w:val="right"/>
              <w:rPr>
                <w:rFonts w:ascii="宋体" w:hAnsi="宋体" w:cs="宋体" w:eastAsia="宋体" w:hint="default"/>
                <w:sz w:val="21"/>
                <w:szCs w:val="21"/>
              </w:rPr>
            </w:pPr>
            <w:r>
              <w:rPr>
                <w:rFonts w:ascii="宋体"/>
                <w:spacing w:val="-1"/>
                <w:sz w:val="21"/>
              </w:rPr>
              <w:t>146,477,843.04</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0"/>
              <w:jc w:val="right"/>
              <w:rPr>
                <w:rFonts w:ascii="宋体" w:hAnsi="宋体" w:cs="宋体" w:eastAsia="宋体" w:hint="default"/>
                <w:sz w:val="21"/>
                <w:szCs w:val="21"/>
              </w:rPr>
            </w:pPr>
            <w:r>
              <w:rPr>
                <w:rFonts w:ascii="宋体"/>
                <w:spacing w:val="-1"/>
                <w:sz w:val="21"/>
              </w:rPr>
              <w:t>221,063,432.99</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166,044,693.48</w:t>
            </w:r>
          </w:p>
        </w:tc>
      </w:tr>
      <w:tr>
        <w:trPr>
          <w:trHeight w:val="300" w:hRule="exact"/>
        </w:trPr>
        <w:tc>
          <w:tcPr>
            <w:tcW w:w="1759"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4"/>
              <w:jc w:val="right"/>
              <w:rPr>
                <w:rFonts w:ascii="宋体" w:hAnsi="宋体" w:cs="宋体" w:eastAsia="宋体" w:hint="default"/>
                <w:sz w:val="21"/>
                <w:szCs w:val="21"/>
              </w:rPr>
            </w:pPr>
            <w:r>
              <w:rPr>
                <w:rFonts w:ascii="宋体"/>
                <w:spacing w:val="-1"/>
                <w:sz w:val="21"/>
              </w:rPr>
              <w:t>79,300,272.02</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2"/>
              <w:jc w:val="right"/>
              <w:rPr>
                <w:rFonts w:ascii="宋体" w:hAnsi="宋体" w:cs="宋体" w:eastAsia="宋体" w:hint="default"/>
                <w:sz w:val="21"/>
                <w:szCs w:val="21"/>
              </w:rPr>
            </w:pPr>
            <w:r>
              <w:rPr>
                <w:rFonts w:ascii="宋体"/>
                <w:spacing w:val="-1"/>
                <w:sz w:val="21"/>
              </w:rPr>
              <w:t>50,295,358.14</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78,420,579.56</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1"/>
              <w:jc w:val="right"/>
              <w:rPr>
                <w:rFonts w:ascii="宋体" w:hAnsi="宋体" w:cs="宋体" w:eastAsia="宋体" w:hint="default"/>
                <w:sz w:val="21"/>
                <w:szCs w:val="21"/>
              </w:rPr>
            </w:pPr>
            <w:r>
              <w:rPr>
                <w:rFonts w:ascii="宋体"/>
                <w:spacing w:val="-1"/>
                <w:sz w:val="21"/>
              </w:rPr>
              <w:t>55,101,913.25</w:t>
            </w:r>
          </w:p>
        </w:tc>
      </w:tr>
      <w:tr>
        <w:trPr>
          <w:trHeight w:val="300" w:hRule="exact"/>
        </w:trPr>
        <w:tc>
          <w:tcPr>
            <w:tcW w:w="1759"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4"/>
              <w:jc w:val="right"/>
              <w:rPr>
                <w:rFonts w:ascii="宋体" w:hAnsi="宋体" w:cs="宋体" w:eastAsia="宋体" w:hint="default"/>
                <w:sz w:val="21"/>
                <w:szCs w:val="21"/>
              </w:rPr>
            </w:pPr>
            <w:r>
              <w:rPr>
                <w:rFonts w:ascii="宋体"/>
                <w:spacing w:val="-1"/>
                <w:sz w:val="21"/>
              </w:rPr>
              <w:t>36,068,987.32</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2"/>
              <w:jc w:val="right"/>
              <w:rPr>
                <w:rFonts w:ascii="宋体" w:hAnsi="宋体" w:cs="宋体" w:eastAsia="宋体" w:hint="default"/>
                <w:sz w:val="21"/>
                <w:szCs w:val="21"/>
              </w:rPr>
            </w:pPr>
            <w:r>
              <w:rPr>
                <w:rFonts w:ascii="宋体"/>
                <w:spacing w:val="-1"/>
                <w:sz w:val="21"/>
              </w:rPr>
              <w:t>22,937,938.28</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29,143,839.73</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1"/>
              <w:jc w:val="right"/>
              <w:rPr>
                <w:rFonts w:ascii="宋体" w:hAnsi="宋体" w:cs="宋体" w:eastAsia="宋体" w:hint="default"/>
                <w:sz w:val="21"/>
                <w:szCs w:val="21"/>
              </w:rPr>
            </w:pPr>
            <w:r>
              <w:rPr>
                <w:rFonts w:ascii="宋体"/>
                <w:spacing w:val="-1"/>
                <w:sz w:val="21"/>
              </w:rPr>
              <w:t>20,691,871.46</w:t>
            </w:r>
          </w:p>
        </w:tc>
      </w:tr>
      <w:tr>
        <w:trPr>
          <w:trHeight w:val="300" w:hRule="exact"/>
        </w:trPr>
        <w:tc>
          <w:tcPr>
            <w:tcW w:w="1759"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4"/>
              <w:jc w:val="right"/>
              <w:rPr>
                <w:rFonts w:ascii="宋体" w:hAnsi="宋体" w:cs="宋体" w:eastAsia="宋体" w:hint="default"/>
                <w:sz w:val="21"/>
                <w:szCs w:val="21"/>
              </w:rPr>
            </w:pPr>
            <w:r>
              <w:rPr>
                <w:rFonts w:ascii="宋体"/>
                <w:spacing w:val="-1"/>
                <w:sz w:val="21"/>
              </w:rPr>
              <w:t>90,225,435.00</w:t>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247" w:lineRule="exact"/>
              <w:ind w:right="22"/>
              <w:jc w:val="right"/>
              <w:rPr>
                <w:rFonts w:ascii="宋体" w:hAnsi="宋体" w:cs="宋体" w:eastAsia="宋体" w:hint="default"/>
                <w:sz w:val="21"/>
                <w:szCs w:val="21"/>
              </w:rPr>
            </w:pPr>
            <w:r>
              <w:rPr>
                <w:rFonts w:ascii="宋体"/>
                <w:spacing w:val="-1"/>
                <w:sz w:val="21"/>
              </w:rPr>
              <w:t>57,731,345.83</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85,127,712.87</w:t>
            </w:r>
          </w:p>
        </w:tc>
        <w:tc>
          <w:tcPr>
            <w:tcW w:w="1740" w:type="dxa"/>
            <w:tcBorders>
              <w:top w:val="nil" w:sz="6" w:space="0" w:color="auto"/>
              <w:left w:val="single" w:sz="6" w:space="0" w:color="000000"/>
              <w:bottom w:val="nil" w:sz="6" w:space="0" w:color="auto"/>
              <w:right w:val="single" w:sz="6" w:space="0" w:color="000000"/>
            </w:tcBorders>
          </w:tcPr>
          <w:p>
            <w:pPr>
              <w:pStyle w:val="TableParagraph"/>
              <w:spacing w:line="264" w:lineRule="exact"/>
              <w:ind w:right="21"/>
              <w:jc w:val="right"/>
              <w:rPr>
                <w:rFonts w:ascii="宋体" w:hAnsi="宋体" w:cs="宋体" w:eastAsia="宋体" w:hint="default"/>
                <w:sz w:val="21"/>
                <w:szCs w:val="21"/>
              </w:rPr>
            </w:pPr>
            <w:r>
              <w:rPr>
                <w:rFonts w:ascii="宋体"/>
                <w:spacing w:val="-1"/>
                <w:sz w:val="21"/>
              </w:rPr>
              <w:t>62,809,790.81</w:t>
            </w:r>
          </w:p>
        </w:tc>
      </w:tr>
      <w:tr>
        <w:trPr>
          <w:trHeight w:val="301" w:hRule="exact"/>
        </w:trPr>
        <w:tc>
          <w:tcPr>
            <w:tcW w:w="1759" w:type="dxa"/>
            <w:tcBorders>
              <w:top w:val="nil" w:sz="6" w:space="0" w:color="auto"/>
              <w:left w:val="single" w:sz="6" w:space="0" w:color="000000"/>
              <w:bottom w:val="single" w:sz="4" w:space="0" w:color="000000"/>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81"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right="24"/>
              <w:jc w:val="right"/>
              <w:rPr>
                <w:rFonts w:ascii="宋体" w:hAnsi="宋体" w:cs="宋体" w:eastAsia="宋体" w:hint="default"/>
                <w:sz w:val="21"/>
                <w:szCs w:val="21"/>
              </w:rPr>
            </w:pPr>
            <w:r>
              <w:rPr>
                <w:rFonts w:ascii="宋体"/>
                <w:spacing w:val="-1"/>
                <w:sz w:val="21"/>
              </w:rPr>
              <w:t>80,343,398.41</w:t>
            </w:r>
          </w:p>
        </w:tc>
        <w:tc>
          <w:tcPr>
            <w:tcW w:w="1781"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right="22"/>
              <w:jc w:val="right"/>
              <w:rPr>
                <w:rFonts w:ascii="宋体" w:hAnsi="宋体" w:cs="宋体" w:eastAsia="宋体" w:hint="default"/>
                <w:sz w:val="21"/>
                <w:szCs w:val="21"/>
              </w:rPr>
            </w:pPr>
            <w:r>
              <w:rPr>
                <w:rFonts w:ascii="宋体"/>
                <w:spacing w:val="-1"/>
                <w:sz w:val="21"/>
              </w:rPr>
              <w:t>51,752,756.98</w:t>
            </w:r>
          </w:p>
        </w:tc>
        <w:tc>
          <w:tcPr>
            <w:tcW w:w="1784" w:type="dxa"/>
            <w:tcBorders>
              <w:top w:val="nil" w:sz="6" w:space="0" w:color="auto"/>
              <w:left w:val="single" w:sz="6" w:space="0" w:color="000000"/>
              <w:bottom w:val="single" w:sz="6" w:space="0" w:color="000000"/>
              <w:right w:val="single" w:sz="6" w:space="0" w:color="000000"/>
            </w:tcBorders>
          </w:tcPr>
          <w:p>
            <w:pPr>
              <w:pStyle w:val="TableParagraph"/>
              <w:spacing w:line="264" w:lineRule="exact"/>
              <w:ind w:right="22"/>
              <w:jc w:val="right"/>
              <w:rPr>
                <w:rFonts w:ascii="宋体" w:hAnsi="宋体" w:cs="宋体" w:eastAsia="宋体" w:hint="default"/>
                <w:sz w:val="21"/>
                <w:szCs w:val="21"/>
              </w:rPr>
            </w:pPr>
            <w:r>
              <w:rPr>
                <w:rFonts w:ascii="宋体"/>
                <w:spacing w:val="-1"/>
                <w:sz w:val="21"/>
              </w:rPr>
              <w:t>79,995,546.66</w:t>
            </w:r>
          </w:p>
        </w:tc>
        <w:tc>
          <w:tcPr>
            <w:tcW w:w="1740" w:type="dxa"/>
            <w:tcBorders>
              <w:top w:val="nil" w:sz="6" w:space="0" w:color="auto"/>
              <w:left w:val="single" w:sz="6" w:space="0" w:color="000000"/>
              <w:bottom w:val="single" w:sz="6" w:space="0" w:color="000000"/>
              <w:right w:val="single" w:sz="6" w:space="0" w:color="000000"/>
            </w:tcBorders>
          </w:tcPr>
          <w:p>
            <w:pPr>
              <w:pStyle w:val="TableParagraph"/>
              <w:spacing w:line="264" w:lineRule="exact"/>
              <w:ind w:right="21"/>
              <w:jc w:val="right"/>
              <w:rPr>
                <w:rFonts w:ascii="宋体" w:hAnsi="宋体" w:cs="宋体" w:eastAsia="宋体" w:hint="default"/>
                <w:sz w:val="21"/>
                <w:szCs w:val="21"/>
              </w:rPr>
            </w:pPr>
            <w:r>
              <w:rPr>
                <w:rFonts w:ascii="宋体"/>
                <w:spacing w:val="-1"/>
                <w:sz w:val="21"/>
              </w:rPr>
              <w:t>62,244,425.69</w:t>
            </w:r>
          </w:p>
        </w:tc>
      </w:tr>
      <w:tr>
        <w:trPr>
          <w:trHeight w:val="322" w:hRule="exact"/>
        </w:trPr>
        <w:tc>
          <w:tcPr>
            <w:tcW w:w="1759" w:type="dxa"/>
            <w:tcBorders>
              <w:top w:val="single" w:sz="4" w:space="0" w:color="000000"/>
              <w:left w:val="single" w:sz="4" w:space="0" w:color="000000"/>
              <w:bottom w:val="single" w:sz="12" w:space="0" w:color="000000"/>
              <w:right w:val="single" w:sz="4" w:space="0" w:color="000000"/>
            </w:tcBorders>
          </w:tcPr>
          <w:p>
            <w:pPr>
              <w:pStyle w:val="TableParagraph"/>
              <w:tabs>
                <w:tab w:pos="981" w:val="left" w:leader="none"/>
              </w:tabs>
              <w:spacing w:line="272" w:lineRule="exact"/>
              <w:ind w:left="5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1" w:type="dxa"/>
            <w:tcBorders>
              <w:top w:val="single" w:sz="6" w:space="0" w:color="000000"/>
              <w:left w:val="single" w:sz="4" w:space="0" w:color="000000"/>
              <w:bottom w:val="single" w:sz="12" w:space="0" w:color="000000"/>
              <w:right w:val="single" w:sz="6" w:space="0" w:color="000000"/>
            </w:tcBorders>
          </w:tcPr>
          <w:p>
            <w:pPr>
              <w:pStyle w:val="TableParagraph"/>
              <w:spacing w:line="267" w:lineRule="exact"/>
              <w:ind w:right="24"/>
              <w:jc w:val="right"/>
              <w:rPr>
                <w:rFonts w:ascii="宋体" w:hAnsi="宋体" w:cs="宋体" w:eastAsia="宋体" w:hint="default"/>
                <w:sz w:val="21"/>
                <w:szCs w:val="21"/>
              </w:rPr>
            </w:pPr>
            <w:r>
              <w:rPr>
                <w:rFonts w:ascii="宋体"/>
                <w:spacing w:val="-1"/>
                <w:sz w:val="21"/>
              </w:rPr>
              <w:t>1,521,980,883.21</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19"/>
              <w:jc w:val="right"/>
              <w:rPr>
                <w:rFonts w:ascii="宋体" w:hAnsi="宋体" w:cs="宋体" w:eastAsia="宋体" w:hint="default"/>
                <w:sz w:val="21"/>
                <w:szCs w:val="21"/>
              </w:rPr>
            </w:pPr>
            <w:r>
              <w:rPr>
                <w:rFonts w:ascii="宋体"/>
                <w:spacing w:val="-1"/>
                <w:sz w:val="21"/>
              </w:rPr>
              <w:t>980,510,412.41</w:t>
            </w: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1,467,390,749.05</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
              <w:jc w:val="right"/>
              <w:rPr>
                <w:rFonts w:ascii="宋体" w:hAnsi="宋体" w:cs="宋体" w:eastAsia="宋体" w:hint="default"/>
                <w:sz w:val="21"/>
                <w:szCs w:val="21"/>
              </w:rPr>
            </w:pPr>
            <w:r>
              <w:rPr>
                <w:rFonts w:ascii="宋体"/>
                <w:spacing w:val="-1"/>
                <w:sz w:val="21"/>
              </w:rPr>
              <w:t>1,058,995,629.89</w:t>
            </w:r>
          </w:p>
        </w:tc>
      </w:tr>
    </w:tbl>
    <w:p>
      <w:pPr>
        <w:spacing w:before="4"/>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）其他业务收入和其他业务成本：</w:t>
      </w:r>
    </w:p>
    <w:p>
      <w:pPr>
        <w:spacing w:line="240" w:lineRule="auto" w:before="10"/>
        <w:rPr>
          <w:rFonts w:ascii="宋体" w:hAnsi="宋体" w:cs="宋体" w:eastAsia="宋体" w:hint="default"/>
          <w:sz w:val="6"/>
          <w:szCs w:val="6"/>
        </w:rPr>
      </w:pPr>
    </w:p>
    <w:tbl>
      <w:tblPr>
        <w:tblW w:w="0" w:type="auto"/>
        <w:jc w:val="left"/>
        <w:tblInd w:w="158" w:type="dxa"/>
        <w:tblLayout w:type="fixed"/>
        <w:tblCellMar>
          <w:top w:w="0" w:type="dxa"/>
          <w:left w:w="0" w:type="dxa"/>
          <w:bottom w:w="0" w:type="dxa"/>
          <w:right w:w="0" w:type="dxa"/>
        </w:tblCellMar>
        <w:tblLook w:val="01E0"/>
      </w:tblPr>
      <w:tblGrid>
        <w:gridCol w:w="1766"/>
        <w:gridCol w:w="1810"/>
        <w:gridCol w:w="1810"/>
        <w:gridCol w:w="1810"/>
        <w:gridCol w:w="1680"/>
      </w:tblGrid>
      <w:tr>
        <w:trPr>
          <w:trHeight w:val="322" w:hRule="exact"/>
        </w:trPr>
        <w:tc>
          <w:tcPr>
            <w:tcW w:w="1766" w:type="dxa"/>
            <w:vMerge w:val="restart"/>
            <w:tcBorders>
              <w:top w:val="single" w:sz="12" w:space="0" w:color="000000"/>
              <w:left w:val="single" w:sz="4" w:space="0" w:color="000000"/>
              <w:right w:val="single" w:sz="4" w:space="0" w:color="000000"/>
            </w:tcBorders>
          </w:tcPr>
          <w:p>
            <w:pPr>
              <w:pStyle w:val="TableParagraph"/>
              <w:spacing w:line="240" w:lineRule="auto" w:before="150"/>
              <w:ind w:left="141" w:right="0"/>
              <w:jc w:val="left"/>
              <w:rPr>
                <w:rFonts w:ascii="宋体" w:hAnsi="宋体" w:cs="宋体" w:eastAsia="宋体" w:hint="default"/>
                <w:sz w:val="21"/>
                <w:szCs w:val="21"/>
              </w:rPr>
            </w:pPr>
            <w:r>
              <w:rPr>
                <w:rFonts w:ascii="宋体" w:hAnsi="宋体" w:cs="宋体" w:eastAsia="宋体" w:hint="default"/>
                <w:color w:val="333333"/>
                <w:sz w:val="21"/>
                <w:szCs w:val="21"/>
              </w:rPr>
              <w:t>产品或业务类别</w:t>
            </w:r>
            <w:r>
              <w:rPr>
                <w:rFonts w:ascii="宋体" w:hAnsi="宋体" w:cs="宋体" w:eastAsia="宋体" w:hint="default"/>
                <w:sz w:val="21"/>
                <w:szCs w:val="21"/>
              </w:rPr>
            </w:r>
          </w:p>
        </w:tc>
        <w:tc>
          <w:tcPr>
            <w:tcW w:w="36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0" w:hRule="exact"/>
        </w:trPr>
        <w:tc>
          <w:tcPr>
            <w:tcW w:w="1766"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7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3" w:right="0"/>
              <w:jc w:val="left"/>
              <w:rPr>
                <w:rFonts w:ascii="宋体" w:hAnsi="宋体" w:cs="宋体" w:eastAsia="宋体" w:hint="default"/>
                <w:sz w:val="21"/>
                <w:szCs w:val="21"/>
              </w:rPr>
            </w:pPr>
            <w:r>
              <w:rPr>
                <w:rFonts w:ascii="宋体" w:hAnsi="宋体" w:cs="宋体" w:eastAsia="宋体" w:hint="default"/>
                <w:sz w:val="21"/>
                <w:szCs w:val="21"/>
              </w:rPr>
              <w:t>其他业务成本</w:t>
            </w:r>
          </w:p>
        </w:tc>
      </w:tr>
      <w:tr>
        <w:trPr>
          <w:trHeight w:val="319" w:hRule="exact"/>
        </w:trPr>
        <w:tc>
          <w:tcPr>
            <w:tcW w:w="1766"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弱电工程</w:t>
            </w:r>
          </w:p>
        </w:tc>
        <w:tc>
          <w:tcPr>
            <w:tcW w:w="1810" w:type="dxa"/>
            <w:vMerge w:val="restart"/>
            <w:tcBorders>
              <w:top w:val="single" w:sz="4" w:space="0" w:color="000000"/>
              <w:left w:val="single" w:sz="4" w:space="0" w:color="000000"/>
              <w:right w:val="single" w:sz="4" w:space="0" w:color="000000"/>
            </w:tcBorders>
          </w:tcPr>
          <w:p>
            <w:pPr>
              <w:pStyle w:val="TableParagraph"/>
              <w:spacing w:line="270" w:lineRule="exact"/>
              <w:ind w:left="509" w:right="0"/>
              <w:jc w:val="left"/>
              <w:rPr>
                <w:rFonts w:ascii="宋体" w:hAnsi="宋体" w:cs="宋体" w:eastAsia="宋体" w:hint="default"/>
                <w:sz w:val="21"/>
                <w:szCs w:val="21"/>
              </w:rPr>
            </w:pPr>
            <w:r>
              <w:rPr>
                <w:rFonts w:ascii="宋体"/>
                <w:sz w:val="21"/>
              </w:rPr>
              <w:t>7,442,628.72</w:t>
            </w:r>
          </w:p>
        </w:tc>
        <w:tc>
          <w:tcPr>
            <w:tcW w:w="181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5,637,487.97</w:t>
            </w:r>
          </w:p>
        </w:tc>
        <w:tc>
          <w:tcPr>
            <w:tcW w:w="181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13,133,168.82</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11,432,856.11</w:t>
            </w:r>
          </w:p>
        </w:tc>
      </w:tr>
      <w:tr>
        <w:trPr>
          <w:trHeight w:val="300" w:hRule="exact"/>
        </w:trPr>
        <w:tc>
          <w:tcPr>
            <w:tcW w:w="176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810" w:type="dxa"/>
            <w:vMerge/>
            <w:tcBorders>
              <w:left w:val="single" w:sz="4" w:space="0" w:color="000000"/>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937,568.04</w:t>
            </w:r>
          </w:p>
        </w:tc>
        <w:tc>
          <w:tcPr>
            <w:tcW w:w="181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7"/>
              <w:jc w:val="right"/>
              <w:rPr>
                <w:rFonts w:ascii="宋体" w:hAnsi="宋体" w:cs="宋体" w:eastAsia="宋体" w:hint="default"/>
                <w:sz w:val="21"/>
                <w:szCs w:val="21"/>
              </w:rPr>
            </w:pPr>
            <w:r>
              <w:rPr>
                <w:rFonts w:ascii="宋体"/>
                <w:spacing w:val="-1"/>
                <w:sz w:val="21"/>
              </w:rPr>
              <w:t>1,674,144.45</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937,568.04</w:t>
            </w:r>
          </w:p>
        </w:tc>
      </w:tr>
      <w:tr>
        <w:trPr>
          <w:trHeight w:val="291" w:hRule="exact"/>
        </w:trPr>
        <w:tc>
          <w:tcPr>
            <w:tcW w:w="176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7" w:right="0"/>
              <w:jc w:val="left"/>
              <w:rPr>
                <w:rFonts w:ascii="宋体" w:hAnsi="宋体" w:cs="宋体" w:eastAsia="宋体" w:hint="default"/>
                <w:sz w:val="21"/>
                <w:szCs w:val="21"/>
              </w:rPr>
            </w:pPr>
            <w:r>
              <w:rPr>
                <w:rFonts w:ascii="宋体" w:hAnsi="宋体" w:cs="宋体" w:eastAsia="宋体" w:hint="default"/>
                <w:sz w:val="21"/>
                <w:szCs w:val="21"/>
              </w:rPr>
              <w:t>代理、培训</w:t>
            </w:r>
          </w:p>
        </w:tc>
        <w:tc>
          <w:tcPr>
            <w:tcW w:w="1810" w:type="dxa"/>
            <w:vMerge/>
            <w:tcBorders>
              <w:left w:val="single" w:sz="4" w:space="0" w:color="000000"/>
              <w:bottom w:val="single" w:sz="4" w:space="0" w:color="000000"/>
              <w:right w:val="single" w:sz="4" w:space="0" w:color="000000"/>
            </w:tcBorders>
          </w:tcPr>
          <w:p>
            <w:pPr/>
          </w:p>
        </w:tc>
        <w:tc>
          <w:tcPr>
            <w:tcW w:w="1810" w:type="dxa"/>
            <w:tcBorders>
              <w:top w:val="nil" w:sz="6" w:space="0" w:color="auto"/>
              <w:left w:val="single" w:sz="4" w:space="0" w:color="000000"/>
              <w:bottom w:val="single" w:sz="4" w:space="0" w:color="000000"/>
              <w:right w:val="single" w:sz="4" w:space="0" w:color="000000"/>
            </w:tcBorders>
          </w:tcPr>
          <w:p>
            <w:pPr/>
          </w:p>
        </w:tc>
        <w:tc>
          <w:tcPr>
            <w:tcW w:w="181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27"/>
              <w:jc w:val="right"/>
              <w:rPr>
                <w:rFonts w:ascii="宋体" w:hAnsi="宋体" w:cs="宋体" w:eastAsia="宋体" w:hint="default"/>
                <w:sz w:val="21"/>
                <w:szCs w:val="21"/>
              </w:rPr>
            </w:pPr>
            <w:r>
              <w:rPr>
                <w:rFonts w:ascii="宋体"/>
                <w:spacing w:val="-1"/>
                <w:sz w:val="21"/>
              </w:rPr>
              <w:t>25,763.69</w:t>
            </w:r>
          </w:p>
        </w:tc>
        <w:tc>
          <w:tcPr>
            <w:tcW w:w="1680"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509" w:right="0"/>
              <w:jc w:val="left"/>
              <w:rPr>
                <w:rFonts w:ascii="宋体" w:hAnsi="宋体" w:cs="宋体" w:eastAsia="宋体" w:hint="default"/>
                <w:sz w:val="21"/>
                <w:szCs w:val="21"/>
              </w:rPr>
            </w:pPr>
            <w:r>
              <w:rPr>
                <w:rFonts w:ascii="宋体"/>
                <w:sz w:val="21"/>
              </w:rPr>
              <w:t>7,442,628.72</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6,575,056.01</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7"/>
              <w:jc w:val="right"/>
              <w:rPr>
                <w:rFonts w:ascii="宋体" w:hAnsi="宋体" w:cs="宋体" w:eastAsia="宋体" w:hint="default"/>
                <w:sz w:val="21"/>
                <w:szCs w:val="21"/>
              </w:rPr>
            </w:pPr>
            <w:r>
              <w:rPr>
                <w:rFonts w:ascii="宋体"/>
                <w:spacing w:val="-1"/>
                <w:sz w:val="21"/>
              </w:rPr>
              <w:t>14,833,076.96</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12,370,424.15</w:t>
            </w:r>
          </w:p>
        </w:tc>
      </w:tr>
    </w:tbl>
    <w:p>
      <w:pPr>
        <w:spacing w:before="6"/>
        <w:ind w:left="544" w:right="4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）公司前五名客户的销售收入情况：</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507"/>
        <w:gridCol w:w="2170"/>
        <w:gridCol w:w="3301"/>
      </w:tblGrid>
      <w:tr>
        <w:trPr>
          <w:trHeight w:val="319" w:hRule="exact"/>
        </w:trPr>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170" w:type="dxa"/>
            <w:tcBorders>
              <w:top w:val="single" w:sz="12" w:space="0" w:color="000000"/>
              <w:left w:val="single" w:sz="4" w:space="0" w:color="000000"/>
              <w:bottom w:val="single" w:sz="4" w:space="0" w:color="000000"/>
              <w:right w:val="single" w:sz="5" w:space="0" w:color="000000"/>
            </w:tcBorders>
          </w:tcPr>
          <w:p>
            <w:pPr>
              <w:pStyle w:val="TableParagraph"/>
              <w:spacing w:line="270" w:lineRule="exact"/>
              <w:ind w:left="659"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3301" w:type="dxa"/>
            <w:tcBorders>
              <w:top w:val="single" w:sz="12" w:space="0" w:color="000000"/>
              <w:left w:val="single" w:sz="5"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19" w:hRule="exact"/>
        </w:trPr>
        <w:tc>
          <w:tcPr>
            <w:tcW w:w="3507" w:type="dxa"/>
            <w:tcBorders>
              <w:top w:val="single" w:sz="4" w:space="0" w:color="000000"/>
              <w:left w:val="single" w:sz="4" w:space="0" w:color="000000"/>
              <w:bottom w:val="nil" w:sz="6" w:space="0" w:color="auto"/>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中国移动通信集团山西有限公司</w:t>
            </w:r>
          </w:p>
        </w:tc>
        <w:tc>
          <w:tcPr>
            <w:tcW w:w="2170" w:type="dxa"/>
            <w:tcBorders>
              <w:top w:val="single" w:sz="4" w:space="0" w:color="000000"/>
              <w:left w:val="single" w:sz="4" w:space="0" w:color="000000"/>
              <w:bottom w:val="nil" w:sz="6" w:space="0" w:color="auto"/>
              <w:right w:val="single" w:sz="6"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176,455,360.33</w:t>
            </w:r>
          </w:p>
        </w:tc>
        <w:tc>
          <w:tcPr>
            <w:tcW w:w="3301" w:type="dxa"/>
            <w:tcBorders>
              <w:top w:val="single" w:sz="4" w:space="0" w:color="000000"/>
              <w:left w:val="single" w:sz="6" w:space="0" w:color="000000"/>
              <w:bottom w:val="nil" w:sz="6" w:space="0" w:color="auto"/>
              <w:right w:val="single" w:sz="4" w:space="0" w:color="000000"/>
            </w:tcBorders>
          </w:tcPr>
          <w:p>
            <w:pPr>
              <w:pStyle w:val="TableParagraph"/>
              <w:spacing w:line="270" w:lineRule="exact"/>
              <w:ind w:right="45"/>
              <w:jc w:val="center"/>
              <w:rPr>
                <w:rFonts w:ascii="宋体" w:hAnsi="宋体" w:cs="宋体" w:eastAsia="宋体" w:hint="default"/>
                <w:sz w:val="21"/>
                <w:szCs w:val="21"/>
              </w:rPr>
            </w:pPr>
            <w:r>
              <w:rPr>
                <w:rFonts w:ascii="宋体"/>
                <w:sz w:val="21"/>
              </w:rPr>
              <w:t>11.54%</w:t>
            </w:r>
          </w:p>
        </w:tc>
      </w:tr>
      <w:tr>
        <w:trPr>
          <w:trHeight w:val="300" w:hRule="exact"/>
        </w:trPr>
        <w:tc>
          <w:tcPr>
            <w:tcW w:w="350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170"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100,176,811.22</w:t>
            </w:r>
          </w:p>
        </w:tc>
        <w:tc>
          <w:tcPr>
            <w:tcW w:w="3301"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45"/>
              <w:jc w:val="center"/>
              <w:rPr>
                <w:rFonts w:ascii="宋体" w:hAnsi="宋体" w:cs="宋体" w:eastAsia="宋体" w:hint="default"/>
                <w:sz w:val="21"/>
                <w:szCs w:val="21"/>
              </w:rPr>
            </w:pPr>
            <w:r>
              <w:rPr>
                <w:rFonts w:ascii="宋体"/>
                <w:sz w:val="21"/>
              </w:rPr>
              <w:t>6.55%</w:t>
            </w:r>
          </w:p>
        </w:tc>
      </w:tr>
      <w:tr>
        <w:trPr>
          <w:trHeight w:val="300" w:hRule="exact"/>
        </w:trPr>
        <w:tc>
          <w:tcPr>
            <w:tcW w:w="350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哈尔滨医科大学附属第一医院</w:t>
            </w:r>
          </w:p>
        </w:tc>
        <w:tc>
          <w:tcPr>
            <w:tcW w:w="2170"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27,291,034.18</w:t>
            </w:r>
          </w:p>
        </w:tc>
        <w:tc>
          <w:tcPr>
            <w:tcW w:w="3301"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45"/>
              <w:jc w:val="center"/>
              <w:rPr>
                <w:rFonts w:ascii="宋体" w:hAnsi="宋体" w:cs="宋体" w:eastAsia="宋体" w:hint="default"/>
                <w:sz w:val="21"/>
                <w:szCs w:val="21"/>
              </w:rPr>
            </w:pPr>
            <w:r>
              <w:rPr>
                <w:rFonts w:ascii="宋体"/>
                <w:sz w:val="21"/>
              </w:rPr>
              <w:t>1.78%</w:t>
            </w:r>
          </w:p>
        </w:tc>
      </w:tr>
      <w:tr>
        <w:trPr>
          <w:trHeight w:val="286" w:hRule="exact"/>
        </w:trPr>
        <w:tc>
          <w:tcPr>
            <w:tcW w:w="350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北京科东电力控制系统有限责任公司</w:t>
            </w:r>
          </w:p>
        </w:tc>
        <w:tc>
          <w:tcPr>
            <w:tcW w:w="2170" w:type="dxa"/>
            <w:tcBorders>
              <w:top w:val="nil" w:sz="6" w:space="0" w:color="auto"/>
              <w:left w:val="single" w:sz="4" w:space="0" w:color="000000"/>
              <w:bottom w:val="nil" w:sz="6" w:space="0" w:color="auto"/>
              <w:right w:val="single" w:sz="6"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25,481,196.54</w:t>
            </w:r>
          </w:p>
        </w:tc>
        <w:tc>
          <w:tcPr>
            <w:tcW w:w="3301" w:type="dxa"/>
            <w:tcBorders>
              <w:top w:val="nil" w:sz="6" w:space="0" w:color="auto"/>
              <w:left w:val="single" w:sz="6" w:space="0" w:color="000000"/>
              <w:bottom w:val="nil" w:sz="6" w:space="0" w:color="auto"/>
              <w:right w:val="single" w:sz="4" w:space="0" w:color="000000"/>
            </w:tcBorders>
          </w:tcPr>
          <w:p>
            <w:pPr>
              <w:pStyle w:val="TableParagraph"/>
              <w:spacing w:line="255" w:lineRule="exact"/>
              <w:ind w:right="45"/>
              <w:jc w:val="center"/>
              <w:rPr>
                <w:rFonts w:ascii="宋体" w:hAnsi="宋体" w:cs="宋体" w:eastAsia="宋体" w:hint="default"/>
                <w:sz w:val="21"/>
                <w:szCs w:val="21"/>
              </w:rPr>
            </w:pPr>
            <w:r>
              <w:rPr>
                <w:rFonts w:ascii="宋体"/>
                <w:sz w:val="21"/>
              </w:rPr>
              <w:t>1.67%</w:t>
            </w:r>
          </w:p>
        </w:tc>
      </w:tr>
    </w:tbl>
    <w:p>
      <w:pPr>
        <w:spacing w:after="0" w:line="255" w:lineRule="exact"/>
        <w:jc w:val="center"/>
        <w:rPr>
          <w:rFonts w:ascii="宋体" w:hAnsi="宋体" w:cs="宋体" w:eastAsia="宋体" w:hint="default"/>
          <w:sz w:val="21"/>
          <w:szCs w:val="21"/>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039" w:type="dxa"/>
        <w:tblLayout w:type="fixed"/>
        <w:tblCellMar>
          <w:top w:w="0" w:type="dxa"/>
          <w:left w:w="0" w:type="dxa"/>
          <w:bottom w:w="0" w:type="dxa"/>
          <w:right w:w="0" w:type="dxa"/>
        </w:tblCellMar>
        <w:tblLook w:val="01E0"/>
      </w:tblPr>
      <w:tblGrid>
        <w:gridCol w:w="3507"/>
        <w:gridCol w:w="2170"/>
        <w:gridCol w:w="3301"/>
      </w:tblGrid>
      <w:tr>
        <w:trPr>
          <w:trHeight w:val="322" w:hRule="exact"/>
        </w:trPr>
        <w:tc>
          <w:tcPr>
            <w:tcW w:w="350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1385"/>
              <w:jc w:val="right"/>
              <w:rPr>
                <w:rFonts w:ascii="宋体" w:hAnsi="宋体" w:cs="宋体" w:eastAsia="宋体" w:hint="default"/>
                <w:sz w:val="21"/>
                <w:szCs w:val="21"/>
              </w:rPr>
            </w:pPr>
            <w:r>
              <w:rPr>
                <w:rFonts w:ascii="宋体" w:hAnsi="宋体" w:cs="宋体" w:eastAsia="宋体" w:hint="default"/>
                <w:spacing w:val="-2"/>
                <w:sz w:val="21"/>
                <w:szCs w:val="21"/>
              </w:rPr>
              <w:t>中国人民共和国铁道部</w:t>
            </w:r>
          </w:p>
        </w:tc>
        <w:tc>
          <w:tcPr>
            <w:tcW w:w="21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24,096,642.59</w:t>
            </w:r>
          </w:p>
        </w:tc>
        <w:tc>
          <w:tcPr>
            <w:tcW w:w="330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1403"/>
              <w:jc w:val="right"/>
              <w:rPr>
                <w:rFonts w:ascii="宋体" w:hAnsi="宋体" w:cs="宋体" w:eastAsia="宋体" w:hint="default"/>
                <w:sz w:val="21"/>
                <w:szCs w:val="21"/>
              </w:rPr>
            </w:pPr>
            <w:r>
              <w:rPr>
                <w:rFonts w:ascii="宋体"/>
                <w:sz w:val="21"/>
              </w:rPr>
              <w:t>1.58%</w:t>
            </w:r>
          </w:p>
        </w:tc>
      </w:tr>
      <w:tr>
        <w:trPr>
          <w:trHeight w:val="324" w:hRule="exact"/>
        </w:trPr>
        <w:tc>
          <w:tcPr>
            <w:tcW w:w="3507"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72" w:lineRule="exact"/>
              <w:ind w:right="143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70" w:type="dxa"/>
            <w:tcBorders>
              <w:top w:val="single" w:sz="6" w:space="0" w:color="000000"/>
              <w:left w:val="single" w:sz="4" w:space="0" w:color="000000"/>
              <w:bottom w:val="single" w:sz="12" w:space="0" w:color="000000"/>
              <w:right w:val="single" w:sz="6"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353,501,044.86</w:t>
            </w:r>
          </w:p>
        </w:tc>
        <w:tc>
          <w:tcPr>
            <w:tcW w:w="3301" w:type="dxa"/>
            <w:tcBorders>
              <w:top w:val="single" w:sz="4" w:space="0" w:color="000000"/>
              <w:left w:val="single" w:sz="6" w:space="0" w:color="000000"/>
              <w:bottom w:val="single" w:sz="12" w:space="0" w:color="000000"/>
              <w:right w:val="single" w:sz="4" w:space="0" w:color="000000"/>
            </w:tcBorders>
          </w:tcPr>
          <w:p>
            <w:pPr>
              <w:pStyle w:val="TableParagraph"/>
              <w:spacing w:line="272" w:lineRule="exact"/>
              <w:ind w:right="1349"/>
              <w:jc w:val="right"/>
              <w:rPr>
                <w:rFonts w:ascii="宋体" w:hAnsi="宋体" w:cs="宋体" w:eastAsia="宋体" w:hint="default"/>
                <w:sz w:val="21"/>
                <w:szCs w:val="21"/>
              </w:rPr>
            </w:pPr>
            <w:r>
              <w:rPr>
                <w:rFonts w:ascii="宋体"/>
                <w:sz w:val="21"/>
              </w:rPr>
              <w:t>23.12%</w:t>
            </w:r>
          </w:p>
        </w:tc>
      </w:tr>
    </w:tbl>
    <w:p>
      <w:pPr>
        <w:spacing w:before="86"/>
        <w:ind w:left="146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11"/>
        <w:ind w:left="14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）投资收益的组成情况如下</w:t>
      </w:r>
      <w:r>
        <w:rPr>
          <w:rFonts w:ascii="宋体" w:hAnsi="宋体" w:cs="宋体" w:eastAsia="宋体" w:hint="default"/>
          <w:sz w:val="21"/>
          <w:szCs w:val="21"/>
        </w:rPr>
        <w:t>:</w:t>
      </w:r>
    </w:p>
    <w:p>
      <w:pPr>
        <w:spacing w:line="240" w:lineRule="auto" w:before="8"/>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311"/>
        <w:gridCol w:w="2806"/>
        <w:gridCol w:w="2806"/>
      </w:tblGrid>
      <w:tr>
        <w:trPr>
          <w:trHeight w:val="319" w:hRule="exact"/>
        </w:trPr>
        <w:tc>
          <w:tcPr>
            <w:tcW w:w="4311" w:type="dxa"/>
            <w:tcBorders>
              <w:top w:val="single" w:sz="12" w:space="0" w:color="000000"/>
              <w:left w:val="single" w:sz="4" w:space="0" w:color="000000"/>
              <w:bottom w:val="single" w:sz="4" w:space="0" w:color="000000"/>
              <w:right w:val="single" w:sz="4" w:space="0" w:color="000000"/>
            </w:tcBorders>
          </w:tcPr>
          <w:p>
            <w:pPr>
              <w:pStyle w:val="TableParagraph"/>
              <w:tabs>
                <w:tab w:pos="527" w:val="left" w:leader="none"/>
              </w:tabs>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06"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06"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right="26"/>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7" w:hRule="exact"/>
        </w:trPr>
        <w:tc>
          <w:tcPr>
            <w:tcW w:w="4311" w:type="dxa"/>
            <w:tcBorders>
              <w:top w:val="single" w:sz="4" w:space="0" w:color="000000"/>
              <w:left w:val="single" w:sz="4" w:space="0" w:color="000000"/>
              <w:bottom w:val="single" w:sz="2"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806"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10,000,000.00</w:t>
            </w:r>
          </w:p>
        </w:tc>
        <w:tc>
          <w:tcPr>
            <w:tcW w:w="2806"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30,000,000.00</w:t>
            </w:r>
          </w:p>
        </w:tc>
      </w:tr>
      <w:tr>
        <w:trPr>
          <w:trHeight w:val="317" w:hRule="exact"/>
        </w:trPr>
        <w:tc>
          <w:tcPr>
            <w:tcW w:w="4311"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06"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10,000,000.00</w:t>
            </w:r>
          </w:p>
        </w:tc>
        <w:tc>
          <w:tcPr>
            <w:tcW w:w="2806"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30,000,000.00</w:t>
            </w:r>
          </w:p>
        </w:tc>
      </w:tr>
    </w:tbl>
    <w:p>
      <w:pPr>
        <w:spacing w:before="28"/>
        <w:ind w:left="14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）分红收益明细如下：</w:t>
      </w:r>
    </w:p>
    <w:p>
      <w:pPr>
        <w:spacing w:line="240" w:lineRule="auto" w:before="7"/>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311"/>
        <w:gridCol w:w="2806"/>
        <w:gridCol w:w="2806"/>
      </w:tblGrid>
      <w:tr>
        <w:trPr>
          <w:trHeight w:val="322" w:hRule="exact"/>
        </w:trPr>
        <w:tc>
          <w:tcPr>
            <w:tcW w:w="4311" w:type="dxa"/>
            <w:tcBorders>
              <w:top w:val="single" w:sz="12" w:space="0" w:color="000000"/>
              <w:left w:val="single" w:sz="4" w:space="0" w:color="000000"/>
              <w:bottom w:val="single" w:sz="4" w:space="0" w:color="000000"/>
              <w:right w:val="single" w:sz="4" w:space="0" w:color="000000"/>
            </w:tcBorders>
          </w:tcPr>
          <w:p>
            <w:pPr>
              <w:pStyle w:val="TableParagraph"/>
              <w:tabs>
                <w:tab w:pos="527" w:val="left" w:leader="none"/>
              </w:tabs>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06"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06"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26"/>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7" w:hRule="exact"/>
        </w:trPr>
        <w:tc>
          <w:tcPr>
            <w:tcW w:w="4311" w:type="dxa"/>
            <w:tcBorders>
              <w:top w:val="single" w:sz="4" w:space="0" w:color="000000"/>
              <w:left w:val="single" w:sz="4" w:space="0" w:color="000000"/>
              <w:bottom w:val="single" w:sz="2"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分回北京联银通科技有限公司投资收益</w:t>
            </w:r>
          </w:p>
        </w:tc>
        <w:tc>
          <w:tcPr>
            <w:tcW w:w="2806"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10,000,000.00</w:t>
            </w:r>
          </w:p>
        </w:tc>
        <w:tc>
          <w:tcPr>
            <w:tcW w:w="2806" w:type="dxa"/>
            <w:tcBorders>
              <w:top w:val="single" w:sz="4" w:space="0" w:color="000000"/>
              <w:left w:val="single" w:sz="4" w:space="0" w:color="000000"/>
              <w:bottom w:val="single" w:sz="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30,000,000.00</w:t>
            </w:r>
          </w:p>
        </w:tc>
      </w:tr>
      <w:tr>
        <w:trPr>
          <w:trHeight w:val="317" w:hRule="exact"/>
        </w:trPr>
        <w:tc>
          <w:tcPr>
            <w:tcW w:w="4311" w:type="dxa"/>
            <w:tcBorders>
              <w:top w:val="single" w:sz="2" w:space="0" w:color="000000"/>
              <w:left w:val="single" w:sz="4" w:space="0" w:color="000000"/>
              <w:bottom w:val="single" w:sz="12" w:space="0" w:color="000000"/>
              <w:right w:val="single" w:sz="4" w:space="0" w:color="000000"/>
            </w:tcBorders>
          </w:tcPr>
          <w:p>
            <w:pPr>
              <w:pStyle w:val="TableParagraph"/>
              <w:tabs>
                <w:tab w:pos="422" w:val="left" w:leader="none"/>
              </w:tabs>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06"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10,000,000.00</w:t>
            </w:r>
          </w:p>
        </w:tc>
        <w:tc>
          <w:tcPr>
            <w:tcW w:w="2806" w:type="dxa"/>
            <w:tcBorders>
              <w:top w:val="single" w:sz="2" w:space="0" w:color="000000"/>
              <w:left w:val="single" w:sz="4" w:space="0" w:color="000000"/>
              <w:bottom w:val="single" w:sz="12"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30,000,000.00</w:t>
            </w:r>
          </w:p>
        </w:tc>
      </w:tr>
    </w:tbl>
    <w:p>
      <w:pPr>
        <w:spacing w:before="88"/>
        <w:ind w:left="1466"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034" w:type="dxa"/>
        <w:tblLayout w:type="fixed"/>
        <w:tblCellMar>
          <w:top w:w="0" w:type="dxa"/>
          <w:left w:w="0" w:type="dxa"/>
          <w:bottom w:w="0" w:type="dxa"/>
          <w:right w:w="0" w:type="dxa"/>
        </w:tblCellMar>
        <w:tblLook w:val="01E0"/>
      </w:tblPr>
      <w:tblGrid>
        <w:gridCol w:w="5886"/>
        <w:gridCol w:w="2206"/>
        <w:gridCol w:w="1889"/>
      </w:tblGrid>
      <w:tr>
        <w:trPr>
          <w:trHeight w:val="319" w:hRule="exact"/>
        </w:trPr>
        <w:tc>
          <w:tcPr>
            <w:tcW w:w="5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57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0" w:hRule="exact"/>
        </w:trPr>
        <w:tc>
          <w:tcPr>
            <w:tcW w:w="5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06" w:type="dxa"/>
            <w:tcBorders>
              <w:top w:val="single" w:sz="4" w:space="0" w:color="000000"/>
              <w:left w:val="single" w:sz="4" w:space="0" w:color="000000"/>
              <w:bottom w:val="nil" w:sz="6" w:space="0" w:color="auto"/>
              <w:right w:val="single" w:sz="4" w:space="0" w:color="000000"/>
            </w:tcBorders>
          </w:tcPr>
          <w:p>
            <w:pPr/>
          </w:p>
        </w:tc>
        <w:tc>
          <w:tcPr>
            <w:tcW w:w="1889"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297,261,110.43</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249,215,025.65</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15,332,673.44</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9,425,202.29</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22,706,362.63</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22,291,330.72</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w:t>
            </w:r>
            <w:r>
              <w:rPr>
                <w:rFonts w:ascii="宋体" w:hAnsi="宋体" w:cs="宋体" w:eastAsia="宋体" w:hint="default"/>
                <w:sz w:val="18"/>
                <w:szCs w:val="18"/>
              </w:rPr>
              <w:t>收益以“</w:t>
            </w:r>
            <w:r>
              <w:rPr>
                <w:rFonts w:ascii="宋体" w:hAnsi="宋体" w:cs="宋体" w:eastAsia="宋体" w:hint="default"/>
                <w:sz w:val="18"/>
                <w:szCs w:val="18"/>
              </w:rPr>
              <w:t>-</w:t>
            </w:r>
            <w:r>
              <w:rPr>
                <w:rFonts w:ascii="宋体" w:hAnsi="宋体" w:cs="宋体" w:eastAsia="宋体" w:hint="default"/>
                <w:sz w:val="18"/>
                <w:szCs w:val="18"/>
              </w:rPr>
              <w:t>”填列</w:t>
            </w:r>
            <w:r>
              <w:rPr>
                <w:rFonts w:ascii="宋体" w:hAnsi="宋体" w:cs="宋体" w:eastAsia="宋体" w:hint="default"/>
                <w:sz w:val="18"/>
                <w:szCs w:val="18"/>
              </w:rPr>
              <w:t>)</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-45,542.49</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3,743,264.15</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1,679,296.01</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-10,000,000.00</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-30,000,000.00</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宋体" w:hAnsi="宋体" w:cs="宋体" w:eastAsia="宋体" w:hint="default"/>
                <w:sz w:val="18"/>
                <w:szCs w:val="18"/>
              </w:rPr>
            </w:pPr>
            <w:r>
              <w:rPr>
                <w:rFonts w:ascii="宋体"/>
                <w:spacing w:val="-1"/>
                <w:sz w:val="18"/>
              </w:rPr>
              <w:t>-1,533,267.34</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-939,595.18</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-251,021,766.71</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-47,894,794.34</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5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70,988,148.27</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-235,796,132.75</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-24,236,057.03</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120,070,015.52</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123,240,467.84</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pacing w:val="-1"/>
                <w:sz w:val="18"/>
              </w:rPr>
              <w:t>88,004,805.43</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不涉及现金收支的投资和筹资活动：</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5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06" w:type="dxa"/>
            <w:tcBorders>
              <w:top w:val="nil" w:sz="6" w:space="0" w:color="auto"/>
              <w:left w:val="single" w:sz="4" w:space="0" w:color="000000"/>
              <w:bottom w:val="single" w:sz="4" w:space="0" w:color="000000"/>
              <w:right w:val="single" w:sz="4" w:space="0" w:color="000000"/>
            </w:tcBorders>
          </w:tcPr>
          <w:p>
            <w:pPr/>
          </w:p>
        </w:tc>
        <w:tc>
          <w:tcPr>
            <w:tcW w:w="1889" w:type="dxa"/>
            <w:tcBorders>
              <w:top w:val="nil" w:sz="6" w:space="0" w:color="auto"/>
              <w:left w:val="single" w:sz="4" w:space="0" w:color="000000"/>
              <w:bottom w:val="single" w:sz="4" w:space="0" w:color="000000"/>
              <w:right w:val="single" w:sz="4" w:space="0" w:color="000000"/>
            </w:tcBorders>
          </w:tcPr>
          <w:p>
            <w:pPr/>
          </w:p>
        </w:tc>
      </w:tr>
      <w:tr>
        <w:trPr>
          <w:trHeight w:val="333" w:hRule="exact"/>
        </w:trPr>
        <w:tc>
          <w:tcPr>
            <w:tcW w:w="58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现金及现金等价物净增加情况：</w:t>
            </w:r>
          </w:p>
        </w:tc>
        <w:tc>
          <w:tcPr>
            <w:tcW w:w="2206" w:type="dxa"/>
            <w:tcBorders>
              <w:top w:val="single" w:sz="4" w:space="0" w:color="000000"/>
              <w:left w:val="single" w:sz="4" w:space="0" w:color="000000"/>
              <w:bottom w:val="nil" w:sz="6" w:space="0" w:color="auto"/>
              <w:right w:val="single" w:sz="4" w:space="0" w:color="000000"/>
            </w:tcBorders>
          </w:tcPr>
          <w:p>
            <w:pPr/>
          </w:p>
        </w:tc>
        <w:tc>
          <w:tcPr>
            <w:tcW w:w="1889"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52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206,428,783.95</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301,583,113.60</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301,583,113.60</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300,428,540.53</w:t>
            </w:r>
          </w:p>
        </w:tc>
      </w:tr>
      <w:tr>
        <w:trPr>
          <w:trHeight w:val="300" w:hRule="exact"/>
        </w:trPr>
        <w:tc>
          <w:tcPr>
            <w:tcW w:w="58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06" w:type="dxa"/>
            <w:tcBorders>
              <w:top w:val="nil" w:sz="6" w:space="0" w:color="auto"/>
              <w:left w:val="single" w:sz="4" w:space="0" w:color="000000"/>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5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06" w:type="dxa"/>
            <w:tcBorders>
              <w:top w:val="nil" w:sz="6" w:space="0" w:color="auto"/>
              <w:left w:val="single" w:sz="4" w:space="0" w:color="000000"/>
              <w:bottom w:val="single" w:sz="4" w:space="0" w:color="000000"/>
              <w:right w:val="single" w:sz="4" w:space="0" w:color="000000"/>
            </w:tcBorders>
          </w:tcPr>
          <w:p>
            <w:pPr/>
          </w:p>
        </w:tc>
        <w:tc>
          <w:tcPr>
            <w:tcW w:w="1889" w:type="dxa"/>
            <w:tcBorders>
              <w:top w:val="nil" w:sz="6" w:space="0" w:color="auto"/>
              <w:left w:val="single" w:sz="4" w:space="0" w:color="000000"/>
              <w:bottom w:val="single" w:sz="4" w:space="0" w:color="000000"/>
              <w:right w:val="single" w:sz="4" w:space="0" w:color="000000"/>
            </w:tcBorders>
          </w:tcPr>
          <w:p>
            <w:pPr/>
          </w:p>
        </w:tc>
      </w:tr>
    </w:tbl>
    <w:p>
      <w:pPr>
        <w:spacing w:after="0"/>
        <w:sectPr>
          <w:pgSz w:w="12240" w:h="15840"/>
          <w:pgMar w:header="850" w:footer="956" w:top="1360" w:bottom="1140" w:left="600" w:right="0"/>
        </w:sectPr>
      </w:pPr>
    </w:p>
    <w:p>
      <w:pPr>
        <w:spacing w:line="240" w:lineRule="auto" w:before="1"/>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886"/>
        <w:gridCol w:w="2206"/>
        <w:gridCol w:w="1889"/>
      </w:tblGrid>
      <w:tr>
        <w:trPr>
          <w:trHeight w:val="329" w:hRule="exact"/>
        </w:trPr>
        <w:tc>
          <w:tcPr>
            <w:tcW w:w="5886"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32"/>
              <w:ind w:left="5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6"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37"/>
              <w:ind w:left="831" w:right="0"/>
              <w:jc w:val="left"/>
              <w:rPr>
                <w:rFonts w:ascii="宋体" w:hAnsi="宋体" w:cs="宋体" w:eastAsia="宋体" w:hint="default"/>
                <w:sz w:val="18"/>
                <w:szCs w:val="18"/>
              </w:rPr>
            </w:pPr>
            <w:r>
              <w:rPr>
                <w:rFonts w:ascii="宋体"/>
                <w:sz w:val="18"/>
              </w:rPr>
              <w:t>-95,154,329.65</w:t>
            </w:r>
          </w:p>
        </w:tc>
        <w:tc>
          <w:tcPr>
            <w:tcW w:w="1889"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37"/>
              <w:ind w:left="693" w:right="0"/>
              <w:jc w:val="left"/>
              <w:rPr>
                <w:rFonts w:ascii="宋体" w:hAnsi="宋体" w:cs="宋体" w:eastAsia="宋体" w:hint="default"/>
                <w:sz w:val="18"/>
                <w:szCs w:val="18"/>
              </w:rPr>
            </w:pPr>
            <w:r>
              <w:rPr>
                <w:rFonts w:ascii="宋体"/>
                <w:sz w:val="18"/>
              </w:rPr>
              <w:t>1,154,573.07</w:t>
            </w:r>
          </w:p>
        </w:tc>
      </w:tr>
    </w:tbl>
    <w:p>
      <w:pPr>
        <w:spacing w:line="240" w:lineRule="auto" w:before="13"/>
        <w:rPr>
          <w:rFonts w:ascii="宋体" w:hAnsi="宋体" w:cs="宋体" w:eastAsia="宋体" w:hint="default"/>
          <w:b/>
          <w:bCs/>
          <w:sz w:val="12"/>
          <w:szCs w:val="12"/>
        </w:rPr>
      </w:pPr>
    </w:p>
    <w:p>
      <w:pPr>
        <w:spacing w:line="326" w:lineRule="auto" w:before="36"/>
        <w:ind w:left="544" w:right="1762" w:hanging="42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b/>
          <w:bCs/>
          <w:spacing w:val="-104"/>
          <w:sz w:val="21"/>
          <w:szCs w:val="21"/>
        </w:rPr>
        <w:t> </w:t>
      </w:r>
      <w:r>
        <w:rPr>
          <w:rFonts w:ascii="宋体" w:hAnsi="宋体" w:cs="宋体" w:eastAsia="宋体" w:hint="default"/>
          <w:sz w:val="21"/>
          <w:szCs w:val="21"/>
        </w:rPr>
        <w:t>1</w:t>
      </w:r>
      <w:r>
        <w:rPr>
          <w:rFonts w:ascii="宋体" w:hAnsi="宋体" w:cs="宋体" w:eastAsia="宋体" w:hint="default"/>
          <w:sz w:val="21"/>
          <w:szCs w:val="21"/>
        </w:rPr>
        <w:t>、根据中国证券监督管理委员会发布的《公开发行证券的公司信息披露解释性公告第</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z w:val="21"/>
          <w:szCs w:val="21"/>
        </w:rPr>
        <w:t>-</w:t>
      </w:r>
    </w:p>
    <w:p>
      <w:pPr>
        <w:spacing w:line="251" w:lineRule="exact" w:before="0"/>
        <w:ind w:left="124" w:right="4204" w:firstLine="0"/>
        <w:jc w:val="left"/>
        <w:rPr>
          <w:rFonts w:ascii="宋体" w:hAnsi="宋体" w:cs="宋体" w:eastAsia="宋体" w:hint="default"/>
          <w:sz w:val="21"/>
          <w:szCs w:val="21"/>
        </w:rPr>
      </w:pPr>
      <w:r>
        <w:rPr>
          <w:rFonts w:ascii="宋体" w:hAnsi="宋体" w:cs="宋体" w:eastAsia="宋体" w:hint="default"/>
          <w:sz w:val="21"/>
          <w:szCs w:val="21"/>
        </w:rPr>
        <w:t>非经常性损益（</w:t>
      </w:r>
      <w:r>
        <w:rPr>
          <w:rFonts w:ascii="宋体" w:hAnsi="宋体" w:cs="宋体" w:eastAsia="宋体" w:hint="default"/>
          <w:sz w:val="21"/>
          <w:szCs w:val="21"/>
        </w:rPr>
        <w:t>2008</w:t>
      </w:r>
      <w:r>
        <w:rPr>
          <w:rFonts w:ascii="宋体" w:hAnsi="宋体" w:cs="宋体" w:eastAsia="宋体" w:hint="default"/>
          <w:sz w:val="21"/>
          <w:szCs w:val="21"/>
        </w:rPr>
        <w:t>）》规定，本公司非经常性损益发生情况如下：</w:t>
      </w: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6616"/>
        <w:gridCol w:w="1892"/>
        <w:gridCol w:w="1469"/>
      </w:tblGrid>
      <w:tr>
        <w:trPr>
          <w:trHeight w:val="338" w:hRule="exact"/>
        </w:trPr>
        <w:tc>
          <w:tcPr>
            <w:tcW w:w="661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1892"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4"/>
              <w:ind w:left="5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69"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7" w:hRule="exact"/>
        </w:trPr>
        <w:tc>
          <w:tcPr>
            <w:tcW w:w="661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9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49,487.65</w:t>
            </w:r>
          </w:p>
        </w:tc>
        <w:tc>
          <w:tcPr>
            <w:tcW w:w="146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-226,067.99</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8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11,054,500.00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1,864,323.00</w:t>
            </w:r>
          </w:p>
        </w:tc>
      </w:tr>
      <w:tr>
        <w:trPr>
          <w:trHeight w:val="276"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51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企业取得子公司、联营企业及合营企业的投资成本小于取得投资时应享有被投资单位</w:t>
            </w:r>
          </w:p>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可辨认净资产公允价值产生的收益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294"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因不可抗力因素计提的各项资产减值准备</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75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w:t>
            </w:r>
          </w:p>
          <w:p>
            <w:pPr>
              <w:pStyle w:val="TableParagraph"/>
              <w:spacing w:line="244" w:lineRule="auto" w:before="4"/>
              <w:ind w:left="7" w:right="6"/>
              <w:jc w:val="left"/>
              <w:rPr>
                <w:rFonts w:ascii="宋体" w:hAnsi="宋体" w:cs="宋体" w:eastAsia="宋体" w:hint="default"/>
                <w:sz w:val="18"/>
                <w:szCs w:val="18"/>
              </w:rPr>
            </w:pPr>
            <w:r>
              <w:rPr>
                <w:rFonts w:ascii="宋体" w:hAnsi="宋体" w:cs="宋体" w:eastAsia="宋体" w:hint="default"/>
                <w:spacing w:val="-2"/>
                <w:sz w:val="18"/>
                <w:szCs w:val="18"/>
              </w:rPr>
              <w:t>融负债产生的公允价值变动损益，以及处置交易性金融资产、交易性金融负债和可供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出售金融资产取得的投资收益；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294"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7"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股票投资收益</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8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-154,130.19</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宋体" w:hAnsi="宋体" w:cs="宋体" w:eastAsia="宋体" w:hint="default"/>
                <w:sz w:val="18"/>
                <w:szCs w:val="18"/>
              </w:rPr>
            </w:pPr>
            <w:r>
              <w:rPr>
                <w:rFonts w:ascii="宋体"/>
                <w:spacing w:val="-1"/>
                <w:sz w:val="18"/>
              </w:rPr>
              <w:t>-255,012.79</w:t>
            </w:r>
          </w:p>
        </w:tc>
      </w:tr>
      <w:tr>
        <w:trPr>
          <w:trHeight w:val="300" w:hRule="exact"/>
        </w:trPr>
        <w:tc>
          <w:tcPr>
            <w:tcW w:w="6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92"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6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中国证监会认定的其他非经常性损益项目</w:t>
            </w:r>
          </w:p>
        </w:tc>
        <w:tc>
          <w:tcPr>
            <w:tcW w:w="1892"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r>
      <w:tr>
        <w:trPr>
          <w:trHeight w:val="310" w:hRule="exact"/>
        </w:trPr>
        <w:tc>
          <w:tcPr>
            <w:tcW w:w="6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10,949,857.46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1,383,242.22</w:t>
            </w:r>
          </w:p>
        </w:tc>
      </w:tr>
      <w:tr>
        <w:trPr>
          <w:trHeight w:val="330" w:hRule="exact"/>
        </w:trPr>
        <w:tc>
          <w:tcPr>
            <w:tcW w:w="6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1,029,664.86</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29"/>
              <w:ind w:left="545" w:right="0"/>
              <w:jc w:val="left"/>
              <w:rPr>
                <w:rFonts w:ascii="宋体" w:hAnsi="宋体" w:cs="宋体" w:eastAsia="宋体" w:hint="default"/>
                <w:sz w:val="18"/>
                <w:szCs w:val="18"/>
              </w:rPr>
            </w:pPr>
            <w:r>
              <w:rPr>
                <w:rFonts w:ascii="宋体"/>
                <w:sz w:val="18"/>
              </w:rPr>
              <w:t>76,242.93</w:t>
            </w:r>
          </w:p>
        </w:tc>
      </w:tr>
      <w:tr>
        <w:trPr>
          <w:trHeight w:val="280" w:hRule="exact"/>
        </w:trPr>
        <w:tc>
          <w:tcPr>
            <w:tcW w:w="6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369"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-6.86</w:t>
            </w:r>
          </w:p>
        </w:tc>
        <w:tc>
          <w:tcPr>
            <w:tcW w:w="1469" w:type="dxa"/>
            <w:vMerge/>
            <w:tcBorders>
              <w:left w:val="single" w:sz="4" w:space="0" w:color="000000"/>
              <w:bottom w:val="single" w:sz="4" w:space="0" w:color="000000"/>
              <w:right w:val="single" w:sz="4" w:space="0" w:color="000000"/>
            </w:tcBorders>
          </w:tcPr>
          <w:p>
            <w:pPr/>
          </w:p>
        </w:tc>
      </w:tr>
      <w:tr>
        <w:trPr>
          <w:trHeight w:val="334" w:hRule="exact"/>
        </w:trPr>
        <w:tc>
          <w:tcPr>
            <w:tcW w:w="6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5"/>
              <w:jc w:val="right"/>
              <w:rPr>
                <w:rFonts w:ascii="宋体" w:hAnsi="宋体" w:cs="宋体" w:eastAsia="宋体" w:hint="default"/>
                <w:sz w:val="18"/>
                <w:szCs w:val="18"/>
              </w:rPr>
            </w:pPr>
            <w:r>
              <w:rPr>
                <w:rFonts w:ascii="宋体"/>
                <w:spacing w:val="-1"/>
                <w:sz w:val="18"/>
              </w:rPr>
              <w:t>9,920,199.46</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3"/>
              <w:jc w:val="right"/>
              <w:rPr>
                <w:rFonts w:ascii="宋体" w:hAnsi="宋体" w:cs="宋体" w:eastAsia="宋体" w:hint="default"/>
                <w:sz w:val="18"/>
                <w:szCs w:val="18"/>
              </w:rPr>
            </w:pPr>
            <w:r>
              <w:rPr>
                <w:rFonts w:ascii="宋体"/>
                <w:spacing w:val="-1"/>
                <w:sz w:val="18"/>
              </w:rPr>
              <w:t>1,306,999.29</w:t>
            </w:r>
          </w:p>
        </w:tc>
      </w:tr>
    </w:tbl>
    <w:p>
      <w:pPr>
        <w:spacing w:before="26"/>
        <w:ind w:left="527" w:right="420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、净资产收益率和每股收益</w:t>
      </w:r>
    </w:p>
    <w:p>
      <w:pPr>
        <w:spacing w:line="285" w:lineRule="auto" w:before="138"/>
        <w:ind w:left="124" w:right="1265" w:firstLine="403"/>
        <w:jc w:val="left"/>
        <w:rPr>
          <w:rFonts w:ascii="宋体" w:hAnsi="宋体" w:cs="宋体" w:eastAsia="宋体" w:hint="default"/>
          <w:sz w:val="21"/>
          <w:szCs w:val="21"/>
        </w:rPr>
      </w:pPr>
      <w:r>
        <w:rPr>
          <w:rFonts w:ascii="宋体" w:hAnsi="宋体" w:cs="宋体" w:eastAsia="宋体" w:hint="default"/>
          <w:spacing w:val="-4"/>
          <w:sz w:val="21"/>
          <w:szCs w:val="21"/>
        </w:rPr>
        <w:t>按照中国证监会《公开发行证券的公司信息披露编报规则第</w:t>
      </w:r>
      <w:r>
        <w:rPr>
          <w:rFonts w:ascii="宋体" w:hAnsi="宋体" w:cs="宋体" w:eastAsia="宋体" w:hint="default"/>
          <w:spacing w:val="-4"/>
          <w:sz w:val="21"/>
          <w:szCs w:val="21"/>
        </w:rPr>
        <w:t>9</w:t>
      </w:r>
      <w:r>
        <w:rPr>
          <w:rFonts w:ascii="宋体" w:hAnsi="宋体" w:cs="宋体" w:eastAsia="宋体" w:hint="default"/>
          <w:spacing w:val="35"/>
          <w:sz w:val="21"/>
          <w:szCs w:val="21"/>
        </w:rPr>
        <w:t> </w:t>
      </w:r>
      <w:r>
        <w:rPr>
          <w:rFonts w:ascii="宋体" w:hAnsi="宋体" w:cs="宋体" w:eastAsia="宋体" w:hint="default"/>
          <w:sz w:val="21"/>
          <w:szCs w:val="21"/>
        </w:rPr>
        <w:t>号—净资产收益率和每股收益的</w:t>
      </w:r>
      <w:r>
        <w:rPr>
          <w:rFonts w:ascii="宋体" w:hAnsi="宋体" w:cs="宋体" w:eastAsia="宋体" w:hint="default"/>
          <w:w w:val="100"/>
          <w:sz w:val="21"/>
          <w:szCs w:val="21"/>
        </w:rPr>
        <w:t> </w:t>
      </w:r>
      <w:r>
        <w:rPr>
          <w:rFonts w:ascii="宋体" w:hAnsi="宋体" w:cs="宋体" w:eastAsia="宋体" w:hint="default"/>
          <w:sz w:val="21"/>
          <w:szCs w:val="21"/>
        </w:rPr>
        <w:t>计算及披露（</w:t>
      </w:r>
      <w:r>
        <w:rPr>
          <w:rFonts w:ascii="宋体" w:hAnsi="宋体" w:cs="宋体" w:eastAsia="宋体" w:hint="default"/>
          <w:sz w:val="21"/>
          <w:szCs w:val="21"/>
        </w:rPr>
        <w:t>2010 </w:t>
      </w:r>
      <w:r>
        <w:rPr>
          <w:rFonts w:ascii="宋体" w:hAnsi="宋体" w:cs="宋体" w:eastAsia="宋体" w:hint="default"/>
          <w:sz w:val="21"/>
          <w:szCs w:val="21"/>
        </w:rPr>
        <w:t>年修订）》（“中国证券监督管理委员会公告</w:t>
      </w:r>
      <w:r>
        <w:rPr>
          <w:rFonts w:ascii="宋体" w:hAnsi="宋体" w:cs="宋体" w:eastAsia="宋体" w:hint="default"/>
          <w:sz w:val="21"/>
          <w:szCs w:val="21"/>
        </w:rPr>
        <w:t>[2010]2</w:t>
      </w:r>
      <w:r>
        <w:rPr>
          <w:rFonts w:ascii="宋体" w:hAnsi="宋体" w:cs="宋体" w:eastAsia="宋体" w:hint="default"/>
          <w:spacing w:val="-6"/>
          <w:sz w:val="21"/>
          <w:szCs w:val="21"/>
        </w:rPr>
        <w:t> </w:t>
      </w:r>
      <w:r>
        <w:rPr>
          <w:rFonts w:ascii="宋体" w:hAnsi="宋体" w:cs="宋体" w:eastAsia="宋体" w:hint="default"/>
          <w:sz w:val="21"/>
          <w:szCs w:val="21"/>
        </w:rPr>
        <w:t>号）、《公开发行证券</w:t>
      </w:r>
      <w:r>
        <w:rPr>
          <w:rFonts w:ascii="宋体" w:hAnsi="宋体" w:cs="宋体" w:eastAsia="宋体" w:hint="default"/>
          <w:w w:val="100"/>
          <w:sz w:val="21"/>
          <w:szCs w:val="21"/>
        </w:rPr>
        <w:t> </w:t>
      </w:r>
      <w:r>
        <w:rPr>
          <w:rFonts w:ascii="宋体" w:hAnsi="宋体" w:cs="宋体" w:eastAsia="宋体" w:hint="default"/>
          <w:sz w:val="21"/>
          <w:szCs w:val="21"/>
        </w:rPr>
        <w:t>的公司信息披露解释性公告第</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号—非经常性损益》（“中国证券监督管理委员会公告</w:t>
      </w:r>
      <w:r>
        <w:rPr>
          <w:rFonts w:ascii="宋体" w:hAnsi="宋体" w:cs="宋体" w:eastAsia="宋体" w:hint="default"/>
          <w:sz w:val="21"/>
          <w:szCs w:val="21"/>
        </w:rPr>
        <w:t>[2008]43</w:t>
      </w:r>
      <w:r>
        <w:rPr>
          <w:rFonts w:ascii="宋体" w:hAnsi="宋体" w:cs="宋体" w:eastAsia="宋体" w:hint="default"/>
          <w:w w:val="100"/>
          <w:sz w:val="21"/>
          <w:szCs w:val="21"/>
        </w:rPr>
        <w:t> </w:t>
      </w:r>
      <w:r>
        <w:rPr>
          <w:rFonts w:ascii="宋体" w:hAnsi="宋体" w:cs="宋体" w:eastAsia="宋体" w:hint="default"/>
          <w:sz w:val="21"/>
          <w:szCs w:val="21"/>
        </w:rPr>
        <w:t>号”）要求计算的净资产收益率和每股收益如下：</w:t>
      </w:r>
    </w:p>
    <w:p>
      <w:pPr>
        <w:spacing w:line="240" w:lineRule="auto" w:before="9"/>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681"/>
        <w:gridCol w:w="3593"/>
        <w:gridCol w:w="3707"/>
      </w:tblGrid>
      <w:tr>
        <w:trPr>
          <w:trHeight w:val="322" w:hRule="exact"/>
        </w:trPr>
        <w:tc>
          <w:tcPr>
            <w:tcW w:w="26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left="88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240" w:lineRule="auto"/>
        <w:jc w:val="center"/>
        <w:rPr>
          <w:rFonts w:ascii="宋体" w:hAnsi="宋体" w:cs="宋体" w:eastAsia="宋体" w:hint="default"/>
          <w:sz w:val="18"/>
          <w:szCs w:val="18"/>
        </w:rPr>
        <w:sectPr>
          <w:pgSz w:w="12240" w:h="15840"/>
          <w:pgMar w:header="850" w:footer="956" w:top="1360" w:bottom="1140" w:left="1520" w:right="0"/>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681"/>
        <w:gridCol w:w="1104"/>
        <w:gridCol w:w="1260"/>
        <w:gridCol w:w="1229"/>
        <w:gridCol w:w="1155"/>
        <w:gridCol w:w="1291"/>
        <w:gridCol w:w="1260"/>
      </w:tblGrid>
      <w:tr>
        <w:trPr>
          <w:trHeight w:val="321" w:hRule="exact"/>
        </w:trPr>
        <w:tc>
          <w:tcPr>
            <w:tcW w:w="2681" w:type="dxa"/>
            <w:vMerge w:val="restart"/>
            <w:tcBorders>
              <w:top w:val="single" w:sz="6" w:space="0" w:color="000000"/>
              <w:left w:val="single" w:sz="4" w:space="0" w:color="000000"/>
              <w:right w:val="single" w:sz="4" w:space="0" w:color="000000"/>
            </w:tcBorders>
          </w:tcPr>
          <w:p>
            <w:pPr/>
          </w:p>
        </w:tc>
        <w:tc>
          <w:tcPr>
            <w:tcW w:w="1104" w:type="dxa"/>
            <w:vMerge w:val="restart"/>
            <w:tcBorders>
              <w:top w:val="single" w:sz="12" w:space="0" w:color="000000"/>
              <w:left w:val="single" w:sz="4" w:space="0" w:color="000000"/>
              <w:right w:val="single" w:sz="4" w:space="0" w:color="000000"/>
            </w:tcBorders>
          </w:tcPr>
          <w:p>
            <w:pPr>
              <w:pStyle w:val="TableParagraph"/>
              <w:spacing w:line="307" w:lineRule="auto" w:before="29"/>
              <w:ind w:left="50" w:right="53" w:firstLine="45"/>
              <w:jc w:val="left"/>
              <w:rPr>
                <w:rFonts w:ascii="宋体" w:hAnsi="宋体" w:cs="宋体" w:eastAsia="宋体" w:hint="default"/>
                <w:sz w:val="18"/>
                <w:szCs w:val="18"/>
              </w:rPr>
            </w:pPr>
            <w:r>
              <w:rPr>
                <w:rFonts w:ascii="宋体" w:hAnsi="宋体" w:cs="宋体" w:eastAsia="宋体" w:hint="default"/>
                <w:sz w:val="18"/>
                <w:szCs w:val="18"/>
              </w:rPr>
              <w:t>加权平均净 资产收益率</w:t>
            </w:r>
            <w:r>
              <w:rPr>
                <w:rFonts w:ascii="宋体" w:hAnsi="宋体" w:cs="宋体" w:eastAsia="宋体" w:hint="default"/>
                <w:sz w:val="18"/>
                <w:szCs w:val="18"/>
              </w:rPr>
              <w:t>%</w:t>
            </w:r>
          </w:p>
        </w:tc>
        <w:tc>
          <w:tcPr>
            <w:tcW w:w="248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47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155" w:type="dxa"/>
            <w:vMerge w:val="restart"/>
            <w:tcBorders>
              <w:top w:val="single" w:sz="12" w:space="0" w:color="000000"/>
              <w:left w:val="single" w:sz="4" w:space="0" w:color="000000"/>
              <w:right w:val="single" w:sz="4" w:space="0" w:color="000000"/>
            </w:tcBorders>
          </w:tcPr>
          <w:p>
            <w:pPr>
              <w:pStyle w:val="TableParagraph"/>
              <w:spacing w:line="307" w:lineRule="auto" w:before="29"/>
              <w:ind w:left="165" w:right="31" w:hanging="135"/>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宋体" w:hAnsi="宋体" w:cs="宋体" w:eastAsia="宋体" w:hint="default"/>
                <w:sz w:val="18"/>
                <w:szCs w:val="18"/>
              </w:rPr>
              <w:t>%</w:t>
            </w:r>
          </w:p>
        </w:tc>
        <w:tc>
          <w:tcPr>
            <w:tcW w:w="2552"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38"/>
              <w:ind w:left="503"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600" w:hRule="exact"/>
        </w:trPr>
        <w:tc>
          <w:tcPr>
            <w:tcW w:w="2681"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155" w:type="dxa"/>
            <w:vMerge/>
            <w:tcBorders>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9" w:right="0"/>
              <w:jc w:val="left"/>
              <w:rPr>
                <w:rFonts w:ascii="宋体" w:hAnsi="宋体" w:cs="宋体" w:eastAsia="宋体" w:hint="default"/>
                <w:sz w:val="18"/>
                <w:szCs w:val="18"/>
              </w:rPr>
            </w:pPr>
            <w:r>
              <w:rPr>
                <w:rFonts w:ascii="宋体"/>
                <w:sz w:val="18"/>
              </w:rPr>
              <w:t>20.74%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4"/>
              <w:jc w:val="center"/>
              <w:rPr>
                <w:rFonts w:ascii="宋体" w:hAnsi="宋体" w:cs="宋体" w:eastAsia="宋体" w:hint="default"/>
                <w:sz w:val="18"/>
                <w:szCs w:val="18"/>
              </w:rPr>
            </w:pPr>
            <w:r>
              <w:rPr>
                <w:rFonts w:ascii="宋体"/>
                <w:sz w:val="18"/>
              </w:rPr>
              <w:t>0.7972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1"/>
              <w:jc w:val="center"/>
              <w:rPr>
                <w:rFonts w:ascii="宋体" w:hAnsi="宋体" w:cs="宋体" w:eastAsia="宋体" w:hint="default"/>
                <w:sz w:val="18"/>
                <w:szCs w:val="18"/>
              </w:rPr>
            </w:pPr>
            <w:r>
              <w:rPr>
                <w:rFonts w:ascii="宋体"/>
                <w:sz w:val="18"/>
              </w:rPr>
              <w:t>0.7972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6" w:right="0"/>
              <w:jc w:val="left"/>
              <w:rPr>
                <w:rFonts w:ascii="宋体" w:hAnsi="宋体" w:cs="宋体" w:eastAsia="宋体" w:hint="default"/>
                <w:sz w:val="18"/>
                <w:szCs w:val="18"/>
              </w:rPr>
            </w:pPr>
            <w:r>
              <w:rPr>
                <w:rFonts w:ascii="宋体"/>
                <w:sz w:val="18"/>
              </w:rPr>
              <w:t>22.08%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1"/>
              <w:jc w:val="center"/>
              <w:rPr>
                <w:rFonts w:ascii="宋体" w:hAnsi="宋体" w:cs="宋体" w:eastAsia="宋体" w:hint="default"/>
                <w:sz w:val="18"/>
                <w:szCs w:val="18"/>
              </w:rPr>
            </w:pPr>
            <w:r>
              <w:rPr>
                <w:rFonts w:ascii="宋体"/>
                <w:sz w:val="18"/>
              </w:rPr>
              <w:t>0.6208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8"/>
              <w:jc w:val="center"/>
              <w:rPr>
                <w:rFonts w:ascii="宋体" w:hAnsi="宋体" w:cs="宋体" w:eastAsia="宋体" w:hint="default"/>
                <w:sz w:val="18"/>
                <w:szCs w:val="18"/>
              </w:rPr>
            </w:pPr>
            <w:r>
              <w:rPr>
                <w:rFonts w:ascii="宋体"/>
                <w:sz w:val="18"/>
              </w:rPr>
              <w:t>0.6208</w:t>
            </w:r>
          </w:p>
        </w:tc>
      </w:tr>
      <w:tr>
        <w:trPr>
          <w:trHeight w:val="619" w:hRule="exact"/>
        </w:trPr>
        <w:tc>
          <w:tcPr>
            <w:tcW w:w="2681" w:type="dxa"/>
            <w:tcBorders>
              <w:top w:val="single" w:sz="4" w:space="0" w:color="000000"/>
              <w:left w:val="single" w:sz="4" w:space="0" w:color="000000"/>
              <w:bottom w:val="single" w:sz="12" w:space="0" w:color="000000"/>
              <w:right w:val="single" w:sz="4" w:space="0" w:color="000000"/>
            </w:tcBorders>
          </w:tcPr>
          <w:p>
            <w:pPr>
              <w:pStyle w:val="TableParagraph"/>
              <w:spacing w:line="304" w:lineRule="auto" w:before="29"/>
              <w:ind w:left="31" w:right="11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sz w:val="18"/>
              </w:rPr>
              <w:t>20.25%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4"/>
              <w:jc w:val="center"/>
              <w:rPr>
                <w:rFonts w:ascii="宋体" w:hAnsi="宋体" w:cs="宋体" w:eastAsia="宋体" w:hint="default"/>
                <w:sz w:val="18"/>
                <w:szCs w:val="18"/>
              </w:rPr>
            </w:pPr>
            <w:r>
              <w:rPr>
                <w:rFonts w:ascii="宋体"/>
                <w:sz w:val="18"/>
              </w:rPr>
              <w:t>0.7784</w:t>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1"/>
              <w:jc w:val="center"/>
              <w:rPr>
                <w:rFonts w:ascii="宋体" w:hAnsi="宋体" w:cs="宋体" w:eastAsia="宋体" w:hint="default"/>
                <w:sz w:val="18"/>
                <w:szCs w:val="18"/>
              </w:rPr>
            </w:pPr>
            <w:r>
              <w:rPr>
                <w:rFonts w:ascii="宋体"/>
                <w:sz w:val="18"/>
              </w:rPr>
              <w:t>0.7784</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sz w:val="18"/>
              </w:rPr>
              <w:t>21.99%</w:t>
            </w:r>
          </w:p>
        </w:tc>
        <w:tc>
          <w:tcPr>
            <w:tcW w:w="12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1"/>
              <w:jc w:val="center"/>
              <w:rPr>
                <w:rFonts w:ascii="宋体" w:hAnsi="宋体" w:cs="宋体" w:eastAsia="宋体" w:hint="default"/>
                <w:sz w:val="18"/>
                <w:szCs w:val="18"/>
              </w:rPr>
            </w:pPr>
            <w:r>
              <w:rPr>
                <w:rFonts w:ascii="宋体"/>
                <w:sz w:val="18"/>
              </w:rPr>
              <w:t>0.6182</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8"/>
              <w:jc w:val="center"/>
              <w:rPr>
                <w:rFonts w:ascii="宋体" w:hAnsi="宋体" w:cs="宋体" w:eastAsia="宋体" w:hint="default"/>
                <w:sz w:val="18"/>
                <w:szCs w:val="18"/>
              </w:rPr>
            </w:pPr>
            <w:r>
              <w:rPr>
                <w:rFonts w:ascii="宋体"/>
                <w:sz w:val="18"/>
              </w:rPr>
              <w:t>0.6182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14"/>
        <w:ind w:left="5988" w:right="1265"/>
        <w:jc w:val="left"/>
        <w:rPr>
          <w:rFonts w:ascii="宋体" w:hAnsi="宋体" w:cs="宋体" w:eastAsia="宋体" w:hint="default"/>
          <w:b w:val="0"/>
          <w:bCs w:val="0"/>
        </w:rPr>
      </w:pPr>
      <w:r>
        <w:rPr>
          <w:rFonts w:ascii="宋体" w:hAnsi="宋体" w:cs="宋体" w:eastAsia="宋体" w:hint="default"/>
        </w:rPr>
        <w:t>东华软件股份公司</w:t>
      </w:r>
      <w:r>
        <w:rPr>
          <w:rFonts w:ascii="宋体" w:hAnsi="宋体" w:cs="宋体" w:eastAsia="宋体" w:hint="default"/>
          <w:b w:val="0"/>
          <w:bCs w:val="0"/>
        </w:rPr>
      </w:r>
    </w:p>
    <w:p>
      <w:pPr>
        <w:pStyle w:val="Heading4"/>
        <w:spacing w:line="240" w:lineRule="auto" w:before="186"/>
        <w:ind w:left="6005" w:right="1265"/>
        <w:jc w:val="left"/>
        <w:rPr>
          <w:rFonts w:ascii="宋体" w:hAnsi="宋体" w:cs="宋体" w:eastAsia="宋体" w:hint="default"/>
          <w:b w:val="0"/>
          <w:bCs w:val="0"/>
        </w:rPr>
      </w:pPr>
      <w:r>
        <w:rPr>
          <w:rFonts w:ascii="宋体" w:hAnsi="宋体" w:cs="宋体" w:eastAsia="宋体" w:hint="default"/>
        </w:rPr>
        <w:t>二○一二年四月二十四日</w:t>
      </w:r>
      <w:r>
        <w:rPr>
          <w:rFonts w:ascii="宋体" w:hAnsi="宋体" w:cs="宋体" w:eastAsia="宋体" w:hint="default"/>
          <w:b w:val="0"/>
          <w:bCs w:val="0"/>
        </w:rPr>
      </w:r>
    </w:p>
    <w:p>
      <w:pPr>
        <w:spacing w:after="0" w:line="240" w:lineRule="auto"/>
        <w:jc w:val="left"/>
        <w:rPr>
          <w:rFonts w:ascii="宋体" w:hAnsi="宋体" w:cs="宋体" w:eastAsia="宋体" w:hint="default"/>
        </w:rPr>
        <w:sectPr>
          <w:pgSz w:w="12240" w:h="15840"/>
          <w:pgMar w:header="850" w:footer="956" w:top="1360" w:bottom="1140" w:left="1520" w:right="0"/>
        </w:sectPr>
      </w:pPr>
    </w:p>
    <w:p>
      <w:pPr>
        <w:spacing w:line="240" w:lineRule="auto" w:before="1"/>
        <w:rPr>
          <w:rFonts w:ascii="宋体" w:hAnsi="宋体" w:cs="宋体" w:eastAsia="宋体" w:hint="default"/>
          <w:b/>
          <w:bCs/>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3pt;height:.75pt;mso-position-horizontal-relative:char;mso-position-vertical-relative:line" coordorigin="0,0" coordsize="9026,15">
            <v:group style="position:absolute;left:7;top:7;width:9012;height:2" coordorigin="7,7" coordsize="9012,2">
              <v:shape style="position:absolute;left:7;top:7;width:9012;height:2" coordorigin="7,7" coordsize="9012,0" path="m7,7l9019,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5"/>
        <w:ind w:left="144" w:right="1697" w:firstLine="2789"/>
        <w:jc w:val="left"/>
        <w:rPr>
          <w:b w:val="0"/>
          <w:bCs w:val="0"/>
        </w:rPr>
      </w:pPr>
      <w:bookmarkStart w:name="_TOC_250000" w:id="13"/>
      <w:r>
        <w:rPr/>
        <w:t>第十三节</w:t>
      </w:r>
      <w:r>
        <w:rPr>
          <w:spacing w:val="-6"/>
        </w:rPr>
        <w:t> </w:t>
      </w:r>
      <w:r>
        <w:rPr/>
        <w:t>备查文件目录</w:t>
      </w:r>
      <w:bookmarkEnd w:id="13"/>
      <w:r>
        <w:rPr>
          <w:b w:val="0"/>
          <w:bCs w:val="0"/>
        </w:rPr>
      </w:r>
    </w:p>
    <w:p>
      <w:pPr>
        <w:spacing w:line="240" w:lineRule="auto" w:before="13"/>
        <w:rPr>
          <w:rFonts w:ascii="黑体" w:hAnsi="黑体" w:cs="黑体" w:eastAsia="黑体" w:hint="default"/>
          <w:b/>
          <w:bCs/>
          <w:sz w:val="39"/>
          <w:szCs w:val="39"/>
        </w:rPr>
      </w:pPr>
    </w:p>
    <w:p>
      <w:pPr>
        <w:pStyle w:val="Heading2"/>
        <w:spacing w:line="261" w:lineRule="auto"/>
        <w:ind w:right="1557"/>
        <w:jc w:val="left"/>
        <w:rPr>
          <w:b w:val="0"/>
          <w:bCs w:val="0"/>
        </w:rPr>
      </w:pPr>
      <w:r>
        <w:rPr>
          <w:spacing w:val="-2"/>
        </w:rPr>
        <w:t>一、载有法定代表人、主管会计工作负责人、会计机构负责人签名并盖章</w:t>
      </w:r>
      <w:r>
        <w:rPr>
          <w:spacing w:val="-124"/>
        </w:rPr>
        <w:t> </w:t>
      </w:r>
      <w:r>
        <w:rPr>
          <w:spacing w:val="-124"/>
        </w:rPr>
      </w:r>
      <w:r>
        <w:rPr/>
        <w:t>的财务报表。</w:t>
      </w:r>
      <w:r>
        <w:rPr>
          <w:b w:val="0"/>
          <w:bCs w:val="0"/>
        </w:rPr>
      </w:r>
    </w:p>
    <w:p>
      <w:pPr>
        <w:spacing w:line="240" w:lineRule="auto" w:before="5"/>
        <w:rPr>
          <w:rFonts w:ascii="黑体" w:hAnsi="黑体" w:cs="黑体" w:eastAsia="黑体" w:hint="default"/>
          <w:b/>
          <w:bCs/>
          <w:sz w:val="37"/>
          <w:szCs w:val="37"/>
        </w:rPr>
      </w:pPr>
    </w:p>
    <w:p>
      <w:pPr>
        <w:pStyle w:val="Heading2"/>
        <w:spacing w:line="240" w:lineRule="auto"/>
        <w:ind w:right="1697"/>
        <w:jc w:val="left"/>
        <w:rPr>
          <w:b w:val="0"/>
          <w:bCs w:val="0"/>
        </w:rPr>
      </w:pPr>
      <w:r>
        <w:rPr/>
        <w:t>二、载有会计师事务所盖章、注册会计师签名并盖章的审计报告原件。</w:t>
      </w:r>
      <w:r>
        <w:rPr>
          <w:b w:val="0"/>
          <w:bCs w:val="0"/>
        </w:rPr>
      </w:r>
    </w:p>
    <w:p>
      <w:pPr>
        <w:spacing w:line="240" w:lineRule="auto" w:before="5"/>
        <w:rPr>
          <w:rFonts w:ascii="黑体" w:hAnsi="黑体" w:cs="黑体" w:eastAsia="黑体" w:hint="default"/>
          <w:b/>
          <w:bCs/>
          <w:sz w:val="39"/>
          <w:szCs w:val="39"/>
        </w:rPr>
      </w:pPr>
    </w:p>
    <w:p>
      <w:pPr>
        <w:pStyle w:val="Heading2"/>
        <w:spacing w:line="261" w:lineRule="auto"/>
        <w:ind w:right="1557"/>
        <w:jc w:val="left"/>
        <w:rPr>
          <w:b w:val="0"/>
          <w:bCs w:val="0"/>
        </w:rPr>
      </w:pPr>
      <w:r>
        <w:rPr>
          <w:spacing w:val="-2"/>
        </w:rPr>
        <w:t>三、报告期内在中国证监会指定报纸上公开披露过的所有公司文件的正本</w:t>
      </w:r>
      <w:r>
        <w:rPr>
          <w:spacing w:val="-123"/>
        </w:rPr>
        <w:t> </w:t>
      </w:r>
      <w:r>
        <w:rPr>
          <w:spacing w:val="-123"/>
        </w:rPr>
      </w:r>
      <w:r>
        <w:rPr/>
        <w:t>及公告的原稿。</w:t>
      </w:r>
      <w:r>
        <w:rPr>
          <w:b w:val="0"/>
          <w:bCs w:val="0"/>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pStyle w:val="Heading2"/>
        <w:spacing w:line="434" w:lineRule="auto" w:before="248"/>
        <w:ind w:left="6487" w:right="1557"/>
        <w:jc w:val="center"/>
        <w:rPr>
          <w:rFonts w:ascii="宋体" w:hAnsi="宋体" w:cs="宋体" w:eastAsia="宋体" w:hint="default"/>
          <w:b w:val="0"/>
          <w:bCs w:val="0"/>
        </w:rPr>
      </w:pPr>
      <w:r>
        <w:rPr>
          <w:rFonts w:ascii="宋体" w:hAnsi="宋体" w:cs="宋体" w:eastAsia="宋体" w:hint="default"/>
          <w:w w:val="95"/>
        </w:rPr>
        <w:t>法定代表人：薛向东</w:t>
      </w:r>
      <w:r>
        <w:rPr>
          <w:rFonts w:ascii="宋体" w:hAnsi="宋体" w:cs="宋体" w:eastAsia="宋体" w:hint="default"/>
          <w:spacing w:val="-14"/>
          <w:w w:val="95"/>
        </w:rPr>
        <w:t> </w:t>
      </w:r>
      <w:r>
        <w:rPr>
          <w:rFonts w:ascii="宋体" w:hAnsi="宋体" w:cs="宋体" w:eastAsia="宋体" w:hint="default"/>
          <w:spacing w:val="-14"/>
          <w:w w:val="95"/>
        </w:rPr>
      </w:r>
      <w:r>
        <w:rPr>
          <w:rFonts w:ascii="宋体" w:hAnsi="宋体" w:cs="宋体" w:eastAsia="宋体" w:hint="default"/>
        </w:rPr>
        <w:t>东华软件股份公司</w:t>
      </w:r>
      <w:r>
        <w:rPr>
          <w:rFonts w:ascii="宋体" w:hAnsi="宋体" w:cs="宋体" w:eastAsia="宋体" w:hint="default"/>
          <w:w w:val="99"/>
        </w:rPr>
        <w:t> </w:t>
      </w:r>
      <w:r>
        <w:rPr>
          <w:rFonts w:ascii="宋体" w:hAnsi="宋体" w:cs="宋体" w:eastAsia="宋体" w:hint="default"/>
        </w:rPr>
        <w:t>2012</w:t>
      </w:r>
      <w:r>
        <w:rPr>
          <w:rFonts w:ascii="宋体" w:hAnsi="宋体" w:cs="宋体" w:eastAsia="宋体" w:hint="default"/>
          <w:spacing w:val="-72"/>
        </w:rPr>
        <w:t> </w:t>
      </w:r>
      <w:r>
        <w:rPr>
          <w:rFonts w:ascii="宋体" w:hAnsi="宋体" w:cs="宋体" w:eastAsia="宋体" w:hint="default"/>
        </w:rPr>
        <w:t>年</w:t>
      </w:r>
      <w:r>
        <w:rPr>
          <w:rFonts w:ascii="宋体" w:hAnsi="宋体" w:cs="宋体" w:eastAsia="宋体" w:hint="default"/>
          <w:spacing w:val="-73"/>
        </w:rPr>
        <w:t> </w:t>
      </w:r>
      <w:r>
        <w:rPr>
          <w:rFonts w:ascii="宋体" w:hAnsi="宋体" w:cs="宋体" w:eastAsia="宋体" w:hint="default"/>
        </w:rPr>
        <w:t>4</w:t>
      </w:r>
      <w:r>
        <w:rPr>
          <w:rFonts w:ascii="宋体" w:hAnsi="宋体" w:cs="宋体" w:eastAsia="宋体" w:hint="default"/>
          <w:spacing w:val="-72"/>
        </w:rPr>
        <w:t> </w:t>
      </w:r>
      <w:r>
        <w:rPr>
          <w:rFonts w:ascii="宋体" w:hAnsi="宋体" w:cs="宋体" w:eastAsia="宋体" w:hint="default"/>
        </w:rPr>
        <w:t>月</w:t>
      </w:r>
      <w:r>
        <w:rPr>
          <w:rFonts w:ascii="宋体" w:hAnsi="宋体" w:cs="宋体" w:eastAsia="宋体" w:hint="default"/>
          <w:spacing w:val="-73"/>
        </w:rPr>
        <w:t> </w:t>
      </w:r>
      <w:r>
        <w:rPr>
          <w:rFonts w:ascii="宋体" w:hAnsi="宋体" w:cs="宋体" w:eastAsia="宋体" w:hint="default"/>
        </w:rPr>
        <w:t>26</w:t>
      </w:r>
      <w:r>
        <w:rPr>
          <w:rFonts w:ascii="宋体" w:hAnsi="宋体" w:cs="宋体" w:eastAsia="宋体" w:hint="default"/>
          <w:spacing w:val="-72"/>
        </w:rPr>
        <w:t> </w:t>
      </w:r>
      <w:r>
        <w:rPr>
          <w:rFonts w:ascii="宋体" w:hAnsi="宋体" w:cs="宋体" w:eastAsia="宋体" w:hint="default"/>
        </w:rPr>
        <w:t>日</w:t>
      </w:r>
      <w:r>
        <w:rPr>
          <w:rFonts w:ascii="宋体" w:hAnsi="宋体" w:cs="宋体" w:eastAsia="宋体" w:hint="default"/>
          <w:b w:val="0"/>
          <w:bCs w:val="0"/>
        </w:rPr>
      </w:r>
    </w:p>
    <w:sectPr>
      <w:pgSz w:w="12240" w:h="15840"/>
      <w:pgMar w:header="850" w:footer="956" w:top="1360" w:bottom="1140" w:left="15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576" type="#_x0000_t75" stroked="false">
          <v:imagedata r:id="rId1" o:title=""/>
        </v:shape>
      </w:pict>
    </w:r>
    <w:r>
      <w:rPr/>
      <w:pict>
        <v:shape style="position:absolute;margin-left:301.790009pt;margin-top:731.666016pt;width:8.6pt;height:11pt;mso-position-horizontal-relative:page;mso-position-vertical-relative:page;z-index:-86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048" type="#_x0000_t75" stroked="false">
          <v:imagedata r:id="rId1" o:title=""/>
        </v:shape>
      </w:pict>
    </w:r>
    <w:r>
      <w:rPr/>
      <w:pict>
        <v:shape style="position:absolute;margin-left:299.510010pt;margin-top:731.666016pt;width:13.15pt;height:11pt;mso-position-horizontal-relative:page;mso-position-vertical-relative:page;z-index:-865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000" type="#_x0000_t75" stroked="false">
          <v:imagedata r:id="rId1" o:title=""/>
        </v:shape>
      </w:pict>
    </w:r>
    <w:r>
      <w:rPr/>
      <w:pict>
        <v:shape style="position:absolute;margin-left:299.510010pt;margin-top:731.666016pt;width:13.15pt;height:11pt;mso-position-horizontal-relative:page;mso-position-vertical-relative:page;z-index:-86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952" type="#_x0000_t75" stroked="false">
          <v:imagedata r:id="rId1" o:title=""/>
        </v:shape>
      </w:pict>
    </w:r>
    <w:r>
      <w:rPr/>
      <w:pict>
        <v:shape style="position:absolute;margin-left:300.510010pt;margin-top:731.666016pt;width:11.15pt;height:11pt;mso-position-horizontal-relative:page;mso-position-vertical-relative:page;z-index:-86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904" type="#_x0000_t75" stroked="false">
          <v:imagedata r:id="rId1" o:title=""/>
        </v:shape>
      </w:pict>
    </w:r>
    <w:r>
      <w:rPr/>
      <w:pict>
        <v:shape style="position:absolute;margin-left:299.510010pt;margin-top:731.666016pt;width:13.15pt;height:11pt;mso-position-horizontal-relative:page;mso-position-vertical-relative:page;z-index:-86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856" type="#_x0000_t75" stroked="false">
          <v:imagedata r:id="rId1" o:title=""/>
        </v:shape>
      </w:pict>
    </w:r>
    <w:r>
      <w:rPr/>
      <w:pict>
        <v:shape style="position:absolute;margin-left:299.510010pt;margin-top:731.666016pt;width:13.15pt;height:11pt;mso-position-horizontal-relative:page;mso-position-vertical-relative:page;z-index:-864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34</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808" type="#_x0000_t75" stroked="false">
          <v:imagedata r:id="rId1" o:title=""/>
        </v:shape>
      </w:pict>
    </w:r>
    <w:r>
      <w:rPr/>
      <w:pict>
        <v:shape style="position:absolute;margin-left:300.510010pt;margin-top:731.666016pt;width:11.15pt;height:11pt;mso-position-horizontal-relative:page;mso-position-vertical-relative:page;z-index:-864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760" type="#_x0000_t75" stroked="false">
          <v:imagedata r:id="rId1" o:title=""/>
        </v:shape>
      </w:pict>
    </w:r>
    <w:r>
      <w:rPr/>
      <w:pict>
        <v:shape style="position:absolute;margin-left:300.510010pt;margin-top:731.666016pt;width:11.15pt;height:11pt;mso-position-horizontal-relative:page;mso-position-vertical-relative:page;z-index:-864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712" type="#_x0000_t75" stroked="false">
          <v:imagedata r:id="rId1" o:title=""/>
        </v:shape>
      </w:pict>
    </w:r>
    <w:r>
      <w:rPr/>
      <w:pict>
        <v:shape style="position:absolute;margin-left:299.510010pt;margin-top:731.666016pt;width:13.15pt;height:11pt;mso-position-horizontal-relative:page;mso-position-vertical-relative:page;z-index:-86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42</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664" type="#_x0000_t75" stroked="false">
          <v:imagedata r:id="rId1" o:title=""/>
        </v:shape>
      </w:pict>
    </w:r>
    <w:r>
      <w:rPr/>
      <w:pict>
        <v:shape style="position:absolute;margin-left:299.510010pt;margin-top:731.666016pt;width:13.15pt;height:11pt;mso-position-horizontal-relative:page;mso-position-vertical-relative:page;z-index:-86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43</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616" type="#_x0000_t75" stroked="false">
          <v:imagedata r:id="rId1" o:title=""/>
        </v:shape>
      </w:pict>
    </w:r>
    <w:r>
      <w:rPr/>
      <w:pict>
        <v:shape style="position:absolute;margin-left:300.510010pt;margin-top:731.666016pt;width:11.15pt;height:11pt;mso-position-horizontal-relative:page;mso-position-vertical-relative:page;z-index:-864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528" type="#_x0000_t75" stroked="false">
          <v:imagedata r:id="rId1" o:title=""/>
        </v:shape>
      </w:pict>
    </w:r>
    <w:r>
      <w:rPr/>
      <w:pict>
        <v:shape style="position:absolute;margin-left:301.790009pt;margin-top:731.666016pt;width:8.6pt;height:11pt;mso-position-horizontal-relative:page;mso-position-vertical-relative:page;z-index:-865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568" type="#_x0000_t75" stroked="false">
          <v:imagedata r:id="rId1" o:title=""/>
        </v:shape>
      </w:pict>
    </w:r>
    <w:r>
      <w:rPr/>
      <w:pict>
        <v:shape style="position:absolute;margin-left:300.510010pt;margin-top:731.666016pt;width:11.15pt;height:11pt;mso-position-horizontal-relative:page;mso-position-vertical-relative:page;z-index:-86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520" type="#_x0000_t75" stroked="false">
          <v:imagedata r:id="rId1" o:title=""/>
        </v:shape>
      </w:pict>
    </w:r>
    <w:r>
      <w:rPr/>
      <w:pict>
        <v:shape style="position:absolute;margin-left:299.510010pt;margin-top:731.666016pt;width:13.15pt;height:11pt;mso-position-horizontal-relative:page;mso-position-vertical-relative:page;z-index:-86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472" type="#_x0000_t75" stroked="false">
          <v:imagedata r:id="rId1" o:title=""/>
        </v:shape>
      </w:pict>
    </w:r>
    <w:r>
      <w:rPr/>
      <w:pict>
        <v:shape style="position:absolute;margin-left:299.510010pt;margin-top:731.666016pt;width:13.15pt;height:11pt;mso-position-horizontal-relative:page;mso-position-vertical-relative:page;z-index:-86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424" type="#_x0000_t75" stroked="false">
          <v:imagedata r:id="rId1" o:title=""/>
        </v:shape>
      </w:pict>
    </w:r>
    <w:r>
      <w:rPr/>
      <w:pict>
        <v:shape style="position:absolute;margin-left:300.510010pt;margin-top:731.666016pt;width:11.15pt;height:11pt;mso-position-horizontal-relative:page;mso-position-vertical-relative:page;z-index:-86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376" type="#_x0000_t75" stroked="false">
          <v:imagedata r:id="rId1" o:title=""/>
        </v:shape>
      </w:pict>
    </w:r>
    <w:r>
      <w:rPr/>
      <w:pict>
        <v:shape style="position:absolute;margin-left:300.510010pt;margin-top:731.666016pt;width:11.15pt;height:11pt;mso-position-horizontal-relative:page;mso-position-vertical-relative:page;z-index:-864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328" type="#_x0000_t75" stroked="false">
          <v:imagedata r:id="rId1" o:title=""/>
        </v:shape>
      </w:pict>
    </w:r>
    <w:r>
      <w:rPr/>
      <w:pict>
        <v:shape style="position:absolute;margin-left:299.510010pt;margin-top:731.666016pt;width:13.15pt;height:11pt;mso-position-horizontal-relative:page;mso-position-vertical-relative:page;z-index:-86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62</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280" type="#_x0000_t75" stroked="false">
          <v:imagedata r:id="rId1" o:title=""/>
        </v:shape>
      </w:pict>
    </w:r>
    <w:r>
      <w:rPr/>
      <w:pict>
        <v:shape style="position:absolute;margin-left:299.510010pt;margin-top:731.666016pt;width:13.15pt;height:11pt;mso-position-horizontal-relative:page;mso-position-vertical-relative:page;z-index:-86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232" type="#_x0000_t75" stroked="false">
          <v:imagedata r:id="rId1" o:title=""/>
        </v:shape>
      </w:pict>
    </w:r>
    <w:r>
      <w:rPr/>
      <w:pict>
        <v:shape style="position:absolute;margin-left:300.510010pt;margin-top:731.666016pt;width:11.15pt;height:11pt;mso-position-horizontal-relative:page;mso-position-vertical-relative:page;z-index:-864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184" type="#_x0000_t75" stroked="false">
          <v:imagedata r:id="rId1" o:title=""/>
        </v:shape>
      </w:pict>
    </w:r>
    <w:r>
      <w:rPr/>
      <w:pict>
        <v:shape style="position:absolute;margin-left:300.510010pt;margin-top:731.666016pt;width:11.15pt;height:11pt;mso-position-horizontal-relative:page;mso-position-vertical-relative:page;z-index:-864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136" type="#_x0000_t75" stroked="false">
          <v:imagedata r:id="rId1" o:title=""/>
        </v:shape>
      </w:pict>
    </w:r>
    <w:r>
      <w:rPr/>
      <w:pict>
        <v:shape style="position:absolute;margin-left:299.510010pt;margin-top:731.666016pt;width:13.15pt;height:11pt;mso-position-horizontal-relative:page;mso-position-vertical-relative:page;z-index:-86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72</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384" type="#_x0000_t75" stroked="false">
          <v:imagedata r:id="rId1" o:title=""/>
        </v:shape>
      </w:pict>
    </w:r>
    <w:r>
      <w:rPr/>
      <w:pict>
        <v:shape style="position:absolute;margin-left:300.510010pt;margin-top:731.666016pt;width:11.15pt;height:11pt;mso-position-horizontal-relative:page;mso-position-vertical-relative:page;z-index:-865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4088" type="#_x0000_t75" stroked="false">
          <v:imagedata r:id="rId1" o:title=""/>
        </v:shape>
      </w:pict>
    </w:r>
    <w:r>
      <w:rPr/>
      <w:pict>
        <v:shape style="position:absolute;margin-left:299.510010pt;margin-top:731.666016pt;width:13.15pt;height:11pt;mso-position-horizontal-relative:page;mso-position-vertical-relative:page;z-index:-86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73</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0.75pt;margin-top:554.199768pt;width:101.25pt;height:57.75pt;mso-position-horizontal-relative:page;mso-position-vertical-relative:page;z-index:-863968" type="#_x0000_t75" stroked="false">
          <v:imagedata r:id="rId1" o:title=""/>
        </v:shape>
      </w:pict>
    </w:r>
    <w:r>
      <w:rPr/>
      <w:pict>
        <v:shape style="position:absolute;margin-left:389.48999pt;margin-top:551.690002pt;width:13.15pt;height:11pt;mso-position-horizontal-relative:page;mso-position-vertical-relative:page;z-index:-86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76</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0.75pt;margin-top:554.199768pt;width:101.25pt;height:57.75pt;mso-position-horizontal-relative:page;mso-position-vertical-relative:page;z-index:-863800" type="#_x0000_t75" stroked="false">
          <v:imagedata r:id="rId1" o:title=""/>
        </v:shape>
      </w:pict>
    </w:r>
    <w:r>
      <w:rPr/>
      <w:pict>
        <v:shape style="position:absolute;margin-left:389.48999pt;margin-top:551.690002pt;width:13.15pt;height:11pt;mso-position-horizontal-relative:page;mso-position-vertical-relative:page;z-index:-86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78</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752" type="#_x0000_t75" stroked="false">
          <v:imagedata r:id="rId1" o:title=""/>
        </v:shape>
      </w:pict>
    </w:r>
    <w:r>
      <w:rPr/>
      <w:pict>
        <v:shape style="position:absolute;margin-left:300.510010pt;margin-top:731.666016pt;width:11.15pt;height:11pt;mso-position-horizontal-relative:page;mso-position-vertical-relative:page;z-index:-863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79</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608" type="#_x0000_t75" stroked="false">
          <v:imagedata r:id="rId1" o:title=""/>
        </v:shape>
      </w:pict>
    </w:r>
    <w:r>
      <w:rPr/>
      <w:pict>
        <v:shape style="position:absolute;margin-left:299.510010pt;margin-top:731.666016pt;width:13.15pt;height:11pt;mso-position-horizontal-relative:page;mso-position-vertical-relative:page;z-index:-86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80</w:t>
                </w:r>
                <w:r>
                  <w:rPr/>
                  <w:fldChar w:fldCharType="end"/>
                </w:r>
                <w:r>
                  <w:rPr>
                    <w:rFonts w:ascii="Calibri"/>
                    <w:spacing w:val="-1"/>
                    <w:sz w:val="18"/>
                  </w:rPr>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560" type="#_x0000_t75" stroked="false">
          <v:imagedata r:id="rId1" o:title=""/>
        </v:shape>
      </w:pict>
    </w:r>
    <w:r>
      <w:rPr/>
      <w:pict>
        <v:shape style="position:absolute;margin-left:300.510010pt;margin-top:731.666016pt;width:11.15pt;height:11pt;mso-position-horizontal-relative:page;mso-position-vertical-relative:page;z-index:-863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512" type="#_x0000_t75" stroked="false">
          <v:imagedata r:id="rId1" o:title=""/>
        </v:shape>
      </w:pict>
    </w:r>
    <w:r>
      <w:rPr/>
      <w:pict>
        <v:shape style="position:absolute;margin-left:299.510010pt;margin-top:731.666016pt;width:13.15pt;height:11pt;mso-position-horizontal-relative:page;mso-position-vertical-relative:page;z-index:-863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83</w:t>
                </w:r>
                <w:r>
                  <w:rPr/>
                  <w:fldChar w:fldCharType="end"/>
                </w:r>
                <w:r>
                  <w:rPr>
                    <w:rFonts w:ascii="Calibri"/>
                    <w:spacing w:val="-1"/>
                    <w:sz w:val="18"/>
                  </w:rPr>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464" type="#_x0000_t75" stroked="false">
          <v:imagedata r:id="rId1" o:title=""/>
        </v:shape>
      </w:pict>
    </w:r>
    <w:r>
      <w:rPr/>
      <w:pict>
        <v:shape style="position:absolute;margin-left:299.510010pt;margin-top:731.666016pt;width:13.15pt;height:11pt;mso-position-horizontal-relative:page;mso-position-vertical-relative:page;z-index:-86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84</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416" type="#_x0000_t75" stroked="false">
          <v:imagedata r:id="rId1" o:title=""/>
        </v:shape>
      </w:pict>
    </w:r>
    <w:r>
      <w:rPr/>
      <w:pict>
        <v:shape style="position:absolute;margin-left:300.510010pt;margin-top:731.666016pt;width:11.15pt;height:11pt;mso-position-horizontal-relative:page;mso-position-vertical-relative:page;z-index:-863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336" type="#_x0000_t75" stroked="false">
          <v:imagedata r:id="rId1" o:title=""/>
        </v:shape>
      </w:pict>
    </w:r>
    <w:r>
      <w:rPr/>
      <w:pict>
        <v:shape style="position:absolute;margin-left:300.510010pt;margin-top:731.666016pt;width:11.15pt;height:11pt;mso-position-horizontal-relative:page;mso-position-vertical-relative:page;z-index:-865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368" type="#_x0000_t75" stroked="false">
          <v:imagedata r:id="rId1" o:title=""/>
        </v:shape>
      </w:pict>
    </w:r>
    <w:r>
      <w:rPr/>
      <w:pict>
        <v:shape style="position:absolute;margin-left:300.510010pt;margin-top:731.666016pt;width:11.15pt;height:11pt;mso-position-horizontal-relative:page;mso-position-vertical-relative:page;z-index:-863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91</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224" type="#_x0000_t75" stroked="false">
          <v:imagedata r:id="rId1" o:title=""/>
        </v:shape>
      </w:pict>
    </w:r>
    <w:r>
      <w:rPr/>
      <w:pict>
        <v:shape style="position:absolute;margin-left:299.510010pt;margin-top:738.745972pt;width:13.15pt;height:11pt;mso-position-horizontal-relative:page;mso-position-vertical-relative:page;z-index:-863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94</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176" type="#_x0000_t75" stroked="false">
          <v:imagedata r:id="rId1" o:title=""/>
        </v:shape>
      </w:pict>
    </w:r>
    <w:r>
      <w:rPr/>
      <w:pict>
        <v:shape style="position:absolute;margin-left:299.510010pt;margin-top:738.745972pt;width:13.15pt;height:11pt;mso-position-horizontal-relative:page;mso-position-vertical-relative:page;z-index:-863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95</w:t>
                </w:r>
                <w:r>
                  <w:rPr/>
                  <w:fldChar w:fldCharType="end"/>
                </w:r>
                <w:r>
                  <w:rPr>
                    <w:rFonts w:ascii="Calibri"/>
                    <w:spacing w:val="-1"/>
                    <w:sz w:val="18"/>
                  </w:rPr>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128" type="#_x0000_t75" stroked="false">
          <v:imagedata r:id="rId1" o:title=""/>
        </v:shape>
      </w:pict>
    </w:r>
    <w:r>
      <w:rPr/>
      <w:pict>
        <v:shape style="position:absolute;margin-left:298.230011pt;margin-top:738.745972pt;width:15.7pt;height:11pt;mso-position-horizontal-relative:page;mso-position-vertical-relative:page;z-index:-86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080" type="#_x0000_t75" stroked="false">
          <v:imagedata r:id="rId1" o:title=""/>
        </v:shape>
      </w:pict>
    </w:r>
    <w:r>
      <w:rPr/>
      <w:pict>
        <v:shape style="position:absolute;margin-left:298.230011pt;margin-top:738.745972pt;width:15.7pt;height:11pt;mso-position-horizontal-relative:page;mso-position-vertical-relative:page;z-index:-863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3032" type="#_x0000_t75" stroked="false">
          <v:imagedata r:id="rId1" o:title=""/>
        </v:shape>
      </w:pict>
    </w:r>
    <w:r>
      <w:rPr/>
      <w:pict>
        <v:shape style="position:absolute;margin-left:297.230011pt;margin-top:738.745972pt;width:17.7pt;height:11pt;mso-position-horizontal-relative:page;mso-position-vertical-relative:page;z-index:-863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102</w:t>
                </w:r>
                <w:r>
                  <w:rPr/>
                  <w:fldChar w:fldCharType="end"/>
                </w:r>
                <w:r>
                  <w:rPr>
                    <w:rFonts w:ascii="Calibri"/>
                    <w:spacing w:val="-1"/>
                    <w:sz w:val="18"/>
                  </w:rPr>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984" type="#_x0000_t75" stroked="false">
          <v:imagedata r:id="rId1" o:title=""/>
        </v:shape>
      </w:pict>
    </w:r>
    <w:r>
      <w:rPr/>
      <w:pict>
        <v:shape style="position:absolute;margin-left:297.230011pt;margin-top:738.745972pt;width:17.7pt;height:11pt;mso-position-horizontal-relative:page;mso-position-vertical-relative:page;z-index:-862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103</w:t>
                </w:r>
                <w:r>
                  <w:rPr/>
                  <w:fldChar w:fldCharType="end"/>
                </w:r>
                <w:r>
                  <w:rPr>
                    <w:rFonts w:ascii="Calibri"/>
                    <w:spacing w:val="-1"/>
                    <w:sz w:val="18"/>
                  </w:rPr>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936" type="#_x0000_t75" stroked="false">
          <v:imagedata r:id="rId1" o:title=""/>
        </v:shape>
      </w:pict>
    </w:r>
    <w:r>
      <w:rPr/>
      <w:pict>
        <v:shape style="position:absolute;margin-left:298.230011pt;margin-top:738.745972pt;width:15.7pt;height:11pt;mso-position-horizontal-relative:page;mso-position-vertical-relative:page;z-index:-862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288" type="#_x0000_t75" stroked="false">
          <v:imagedata r:id="rId1" o:title=""/>
        </v:shape>
      </w:pict>
    </w:r>
    <w:r>
      <w:rPr/>
      <w:pict>
        <v:shape style="position:absolute;margin-left:299.510010pt;margin-top:731.666016pt;width:13.15pt;height:11pt;mso-position-horizontal-relative:page;mso-position-vertical-relative:page;z-index:-865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w:t>
                </w:r>
                <w:r>
                  <w:rPr/>
                  <w:fldChar w:fldCharType="end"/>
                </w:r>
                <w:r>
                  <w:rPr>
                    <w:rFonts w:ascii="Calibri"/>
                    <w:spacing w:val="-1"/>
                    <w:sz w:val="18"/>
                  </w:rPr>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888" type="#_x0000_t75" stroked="false">
          <v:imagedata r:id="rId1" o:title=""/>
        </v:shape>
      </w:pict>
    </w:r>
    <w:r>
      <w:rPr/>
      <w:pict>
        <v:shape style="position:absolute;margin-left:298.230011pt;margin-top:738.745972pt;width:15.7pt;height:11pt;mso-position-horizontal-relative:page;mso-position-vertical-relative:page;z-index:-862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840" type="#_x0000_t75" stroked="false">
          <v:imagedata r:id="rId1" o:title=""/>
        </v:shape>
      </w:pict>
    </w:r>
    <w:r>
      <w:rPr/>
      <w:pict>
        <v:shape style="position:absolute;margin-left:297.230011pt;margin-top:738.745972pt;width:17.7pt;height:11pt;mso-position-horizontal-relative:page;mso-position-vertical-relative:page;z-index:-862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112</w:t>
                </w:r>
                <w:r>
                  <w:rPr/>
                  <w:fldChar w:fldCharType="end"/>
                </w:r>
                <w:r>
                  <w:rPr>
                    <w:rFonts w:ascii="Calibri"/>
                    <w:spacing w:val="-1"/>
                    <w:sz w:val="18"/>
                  </w:rPr>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792" type="#_x0000_t75" stroked="false">
          <v:imagedata r:id="rId1" o:title=""/>
        </v:shape>
      </w:pict>
    </w:r>
    <w:r>
      <w:rPr/>
      <w:pict>
        <v:shape style="position:absolute;margin-left:297.230011pt;margin-top:738.745972pt;width:17.7pt;height:11pt;mso-position-horizontal-relative:page;mso-position-vertical-relative:page;z-index:-86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113</w:t>
                </w:r>
                <w:r>
                  <w:rPr/>
                  <w:fldChar w:fldCharType="end"/>
                </w:r>
                <w:r>
                  <w:rPr>
                    <w:rFonts w:ascii="Calibri"/>
                    <w:spacing w:val="-1"/>
                    <w:sz w:val="18"/>
                  </w:rPr>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744" type="#_x0000_t75" stroked="false">
          <v:imagedata r:id="rId1" o:title=""/>
        </v:shape>
      </w:pict>
    </w:r>
    <w:r>
      <w:rPr/>
      <w:pict>
        <v:shape style="position:absolute;margin-left:298.230011pt;margin-top:738.745972pt;width:15.7pt;height:11pt;mso-position-horizontal-relative:page;mso-position-vertical-relative:page;z-index:-862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696" type="#_x0000_t75" stroked="false">
          <v:imagedata r:id="rId1" o:title=""/>
        </v:shape>
      </w:pict>
    </w:r>
    <w:r>
      <w:rPr/>
      <w:pict>
        <v:shape style="position:absolute;margin-left:298.230011pt;margin-top:738.745972pt;width:15.7pt;height:11pt;mso-position-horizontal-relative:page;mso-position-vertical-relative:page;z-index:-862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121</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648" type="#_x0000_t75" stroked="false">
          <v:imagedata r:id="rId1" o:title=""/>
        </v:shape>
      </w:pict>
    </w:r>
    <w:r>
      <w:rPr/>
      <w:pict>
        <v:shape style="position:absolute;margin-left:297.230011pt;margin-top:738.745972pt;width:17.7pt;height:11pt;mso-position-horizontal-relative:page;mso-position-vertical-relative:page;z-index:-862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r>
                  <w:rPr>
                    <w:rFonts w:ascii="Calibri"/>
                    <w:spacing w:val="-1"/>
                    <w:sz w:val="18"/>
                  </w:rPr>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600" type="#_x0000_t75" stroked="false">
          <v:imagedata r:id="rId1" o:title=""/>
        </v:shape>
      </w:pict>
    </w:r>
    <w:r>
      <w:rPr/>
      <w:pict>
        <v:shape style="position:absolute;margin-left:297.230011pt;margin-top:738.745972pt;width:17.7pt;height:11pt;mso-position-horizontal-relative:page;mso-position-vertical-relative:page;z-index:-862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123</w:t>
                </w:r>
                <w:r>
                  <w:rPr/>
                  <w:fldChar w:fldCharType="end"/>
                </w:r>
                <w:r>
                  <w:rPr>
                    <w:rFonts w:ascii="Calibri"/>
                    <w:spacing w:val="-1"/>
                    <w:sz w:val="18"/>
                  </w:rPr>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456" type="#_x0000_t75" stroked="false">
          <v:imagedata r:id="rId1" o:title=""/>
        </v:shape>
      </w:pict>
    </w:r>
    <w:r>
      <w:rPr/>
      <w:pict>
        <v:shape style="position:absolute;margin-left:298.230011pt;margin-top:738.745972pt;width:15.7pt;height:11pt;mso-position-horizontal-relative:page;mso-position-vertical-relative:page;z-index:-86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408" type="#_x0000_t75" stroked="false">
          <v:imagedata r:id="rId1" o:title=""/>
        </v:shape>
      </w:pict>
    </w:r>
    <w:r>
      <w:rPr/>
      <w:pict>
        <v:shape style="position:absolute;margin-left:298.230011pt;margin-top:738.745972pt;width:15.7pt;height:11pt;mso-position-horizontal-relative:page;mso-position-vertical-relative:page;z-index:-862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131</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360" type="#_x0000_t75" stroked="false">
          <v:imagedata r:id="rId1" o:title=""/>
        </v:shape>
      </w:pict>
    </w:r>
    <w:r>
      <w:rPr/>
      <w:pict>
        <v:shape style="position:absolute;margin-left:297.230011pt;margin-top:738.745972pt;width:17.7pt;height:11pt;mso-position-horizontal-relative:page;mso-position-vertical-relative:page;z-index:-86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132</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240" type="#_x0000_t75" stroked="false">
          <v:imagedata r:id="rId1" o:title=""/>
        </v:shape>
      </w:pict>
    </w:r>
    <w:r>
      <w:rPr/>
      <w:pict>
        <v:shape style="position:absolute;margin-left:299.510010pt;margin-top:731.666016pt;width:13.15pt;height:11pt;mso-position-horizontal-relative:page;mso-position-vertical-relative:page;z-index:-86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w:t>
                </w:r>
                <w:r>
                  <w:rPr/>
                  <w:fldChar w:fldCharType="end"/>
                </w:r>
                <w:r>
                  <w:rPr>
                    <w:rFonts w:ascii="Calibri"/>
                    <w:spacing w:val="-1"/>
                    <w:sz w:val="18"/>
                  </w:rPr>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312" type="#_x0000_t75" stroked="false">
          <v:imagedata r:id="rId1" o:title=""/>
        </v:shape>
      </w:pict>
    </w:r>
    <w:r>
      <w:rPr/>
      <w:pict>
        <v:shape style="position:absolute;margin-left:297.230011pt;margin-top:738.745972pt;width:17.7pt;height:11pt;mso-position-horizontal-relative:page;mso-position-vertical-relative:page;z-index:-86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133</w:t>
                </w:r>
                <w:r>
                  <w:rPr/>
                  <w:fldChar w:fldCharType="end"/>
                </w:r>
                <w:r>
                  <w:rPr>
                    <w:rFonts w:ascii="Calibri"/>
                    <w:spacing w:val="-1"/>
                    <w:sz w:val="18"/>
                  </w:rPr>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264" type="#_x0000_t75" stroked="false">
          <v:imagedata r:id="rId1" o:title=""/>
        </v:shape>
      </w:pict>
    </w:r>
    <w:r>
      <w:rPr/>
      <w:pict>
        <v:shape style="position:absolute;margin-left:298.230011pt;margin-top:738.745972pt;width:15.7pt;height:11pt;mso-position-horizontal-relative:page;mso-position-vertical-relative:page;z-index:-862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216" type="#_x0000_t75" stroked="false">
          <v:imagedata r:id="rId1" o:title=""/>
        </v:shape>
      </w:pict>
    </w:r>
    <w:r>
      <w:rPr/>
      <w:pict>
        <v:shape style="position:absolute;margin-left:298.230011pt;margin-top:738.745972pt;width:15.7pt;height:11pt;mso-position-horizontal-relative:page;mso-position-vertical-relative:page;z-index:-862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141</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168" type="#_x0000_t75" stroked="false">
          <v:imagedata r:id="rId1" o:title=""/>
        </v:shape>
      </w:pict>
    </w:r>
    <w:r>
      <w:rPr/>
      <w:pict>
        <v:shape style="position:absolute;margin-left:297.230011pt;margin-top:738.745972pt;width:17.7pt;height:11pt;mso-position-horizontal-relative:page;mso-position-vertical-relative:page;z-index:-862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142</w:t>
                </w:r>
                <w:r>
                  <w:rPr/>
                  <w:fldChar w:fldCharType="end"/>
                </w:r>
                <w:r>
                  <w:rPr>
                    <w:rFonts w:ascii="Calibri"/>
                    <w:spacing w:val="-1"/>
                    <w:sz w:val="18"/>
                  </w:rPr>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120" type="#_x0000_t75" stroked="false">
          <v:imagedata r:id="rId1" o:title=""/>
        </v:shape>
      </w:pict>
    </w:r>
    <w:r>
      <w:rPr/>
      <w:pict>
        <v:shape style="position:absolute;margin-left:297.230011pt;margin-top:738.745972pt;width:17.7pt;height:11pt;mso-position-horizontal-relative:page;mso-position-vertical-relative:page;z-index:-862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143</w:t>
                </w:r>
                <w:r>
                  <w:rPr/>
                  <w:fldChar w:fldCharType="end"/>
                </w:r>
                <w:r>
                  <w:rPr>
                    <w:rFonts w:ascii="Calibri"/>
                    <w:spacing w:val="-1"/>
                    <w:sz w:val="18"/>
                  </w:rPr>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072" type="#_x0000_t75" stroked="false">
          <v:imagedata r:id="rId1" o:title=""/>
        </v:shape>
      </w:pict>
    </w:r>
    <w:r>
      <w:rPr/>
      <w:pict>
        <v:shape style="position:absolute;margin-left:298.230011pt;margin-top:738.745972pt;width:15.7pt;height:11pt;mso-position-horizontal-relative:page;mso-position-vertical-relative:page;z-index:-862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2024" type="#_x0000_t75" stroked="false">
          <v:imagedata r:id="rId1" o:title=""/>
        </v:shape>
      </w:pict>
    </w:r>
    <w:r>
      <w:rPr/>
      <w:pict>
        <v:shape style="position:absolute;margin-left:298.230011pt;margin-top:738.745972pt;width:15.7pt;height:11pt;mso-position-horizontal-relative:page;mso-position-vertical-relative:page;z-index:-862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151</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1976" type="#_x0000_t75" stroked="false">
          <v:imagedata r:id="rId1" o:title=""/>
        </v:shape>
      </w:pict>
    </w:r>
    <w:r>
      <w:rPr/>
      <w:pict>
        <v:shape style="position:absolute;margin-left:297.230011pt;margin-top:738.745972pt;width:17.7pt;height:11pt;mso-position-horizontal-relative:page;mso-position-vertical-relative:page;z-index:-861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152</w:t>
                </w:r>
                <w:r>
                  <w:rPr/>
                  <w:fldChar w:fldCharType="end"/>
                </w:r>
                <w:r>
                  <w:rPr>
                    <w:rFonts w:ascii="Calibri"/>
                    <w:spacing w:val="-1"/>
                    <w:sz w:val="18"/>
                  </w:rPr>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1928" type="#_x0000_t75" stroked="false">
          <v:imagedata r:id="rId1" o:title=""/>
        </v:shape>
      </w:pict>
    </w:r>
    <w:r>
      <w:rPr/>
      <w:pict>
        <v:shape style="position:absolute;margin-left:297.230011pt;margin-top:738.745972pt;width:17.7pt;height:11pt;mso-position-horizontal-relative:page;mso-position-vertical-relative:page;z-index:-861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153</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192" type="#_x0000_t75" stroked="false">
          <v:imagedata r:id="rId1" o:title=""/>
        </v:shape>
      </w:pict>
    </w:r>
    <w:r>
      <w:rPr/>
      <w:pict>
        <v:shape style="position:absolute;margin-left:300.510010pt;margin-top:731.666016pt;width:11.15pt;height:11pt;mso-position-horizontal-relative:page;mso-position-vertical-relative:page;z-index:-865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144" type="#_x0000_t75" stroked="false">
          <v:imagedata r:id="rId1" o:title=""/>
        </v:shape>
      </w:pict>
    </w:r>
    <w:r>
      <w:rPr/>
      <w:pict>
        <v:shape style="position:absolute;margin-left:300.510010pt;margin-top:731.666016pt;width:11.15pt;height:11pt;mso-position-horizontal-relative:page;mso-position-vertical-relative:page;z-index:-865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865096" type="#_x0000_t75" stroked="false">
          <v:imagedata r:id="rId1" o:title=""/>
        </v:shape>
      </w:pict>
    </w:r>
    <w:r>
      <w:rPr/>
      <w:pict>
        <v:shape style="position:absolute;margin-left:299.510010pt;margin-top:731.666016pt;width:13.15pt;height:11pt;mso-position-horizontal-relative:page;mso-position-vertical-relative:page;z-index:-865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55.100006pt;margin-top:44.305618pt;width:74pt;height:11pt;mso-position-horizontal-relative:page;mso-position-vertical-relative:page;z-index:-865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3656" type="#_x0000_t75" stroked="false">
          <v:imagedata r:id="rId1" o:title=""/>
        </v:shape>
      </w:pict>
    </w:r>
    <w:r>
      <w:rPr/>
      <w:pict>
        <v:shape style="position:absolute;margin-left:456.899994pt;margin-top:58.465626pt;width:74pt;height:11pt;mso-position-horizontal-relative:page;mso-position-vertical-relative:page;z-index:-863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3320" type="#_x0000_t75" stroked="false">
          <v:imagedata r:id="rId1" o:title=""/>
        </v:shape>
      </w:pict>
    </w:r>
    <w:r>
      <w:rPr/>
      <w:pict>
        <v:shape style="position:absolute;margin-left:456.899994pt;margin-top:58.465626pt;width:74pt;height:11pt;mso-position-horizontal-relative:page;mso-position-vertical-relative:page;z-index:-863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3272" type="#_x0000_t75" stroked="false">
          <v:imagedata r:id="rId1" o:title=""/>
        </v:shape>
      </w:pict>
    </w:r>
    <w:r>
      <w:rPr/>
      <w:pict>
        <v:shape style="position:absolute;margin-left:456.899994pt;margin-top:58.465626pt;width:74pt;height:11pt;mso-position-horizontal-relative:page;mso-position-vertical-relative:page;z-index:-863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2552" type="#_x0000_t75" stroked="false">
          <v:imagedata r:id="rId1" o:title=""/>
        </v:shape>
      </w:pict>
    </w:r>
    <w:r>
      <w:rPr/>
      <w:pict>
        <v:shape style="position:absolute;margin-left:456.899994pt;margin-top:58.465626pt;width:74pt;height:11pt;mso-position-horizontal-relative:page;mso-position-vertical-relative:page;z-index:-862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2504" type="#_x0000_t75" stroked="false">
          <v:imagedata r:id="rId1" o:title=""/>
        </v:shape>
      </w:pict>
    </w:r>
    <w:r>
      <w:rPr/>
      <w:pict>
        <v:shape style="position:absolute;margin-left:456.899994pt;margin-top:58.465626pt;width:74pt;height:11pt;mso-position-horizontal-relative:page;mso-position-vertical-relative:page;z-index:-862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349998pt;width:96.95pt;height:24.75pt;mso-position-horizontal-relative:page;mso-position-vertical-relative:page;z-index:-865624" type="#_x0000_t75" stroked="false">
          <v:imagedata r:id="rId1" o:title=""/>
        </v:shape>
      </w:pict>
    </w:r>
    <w:r>
      <w:rPr/>
      <w:pict>
        <v:shape style="position:absolute;margin-left:456.899994pt;margin-top:58.345627pt;width:74pt;height:11pt;mso-position-horizontal-relative:page;mso-position-vertical-relative:page;z-index:-865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349998pt;width:96.95pt;height:24.75pt;mso-position-horizontal-relative:page;mso-position-vertical-relative:page;z-index:-865480" type="#_x0000_t75" stroked="false">
          <v:imagedata r:id="rId1" o:title=""/>
        </v:shape>
      </w:pict>
    </w:r>
    <w:r>
      <w:rPr/>
      <w:pict>
        <v:shape style="position:absolute;margin-left:456.899994pt;margin-top:58.345627pt;width:74pt;height:11pt;mso-position-horizontal-relative:page;mso-position-vertical-relative:page;z-index:-865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349998pt;width:96.95pt;height:24.75pt;mso-position-horizontal-relative:page;mso-position-vertical-relative:page;z-index:-865432" type="#_x0000_t75" stroked="false">
          <v:imagedata r:id="rId1" o:title=""/>
        </v:shape>
      </w:pict>
    </w:r>
    <w:r>
      <w:rPr/>
      <w:pict>
        <v:shape style="position:absolute;margin-left:456.899994pt;margin-top:58.345627pt;width:74pt;height:11pt;mso-position-horizontal-relative:page;mso-position-vertical-relative:page;z-index:-865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42.349998pt;width:97pt;height:24.75pt;mso-position-horizontal-relative:page;mso-position-vertical-relative:page;z-index:-864040" type="#_x0000_t75" stroked="false">
          <v:imagedata r:id="rId1" o:title=""/>
        </v:shape>
      </w:pict>
    </w:r>
    <w:r>
      <w:rPr/>
      <w:pict>
        <v:group style="position:absolute;margin-left:69.480003pt;margin-top:70.220001pt;width:653.15pt;height:.1pt;mso-position-horizontal-relative:page;mso-position-vertical-relative:page;z-index:-864016" coordorigin="1390,1404" coordsize="13063,2">
          <v:shape style="position:absolute;left:1390;top:1404;width:13063;height:2" coordorigin="1390,1404" coordsize="13063,0" path="m1390,1404l14452,1404e" filled="false" stroked="true" strokeweight=".72pt" strokecolor="#000000">
            <v:path arrowok="t"/>
          </v:shape>
          <w10:wrap type="none"/>
        </v:group>
      </w:pict>
    </w:r>
    <w:r>
      <w:rPr/>
      <w:pict>
        <v:shape style="position:absolute;margin-left:445.589996pt;margin-top:58.365623pt;width:74pt;height:11pt;mso-position-horizontal-relative:page;mso-position-vertical-relative:page;z-index:-863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42.349998pt;width:97pt;height:24.75pt;mso-position-horizontal-relative:page;mso-position-vertical-relative:page;z-index:-863920" type="#_x0000_t75" stroked="false">
          <v:imagedata r:id="rId1" o:title=""/>
        </v:shape>
      </w:pict>
    </w:r>
    <w:r>
      <w:rPr/>
      <w:pict>
        <v:group style="position:absolute;margin-left:69.480003pt;margin-top:70.220001pt;width:653.15pt;height:.1pt;mso-position-horizontal-relative:page;mso-position-vertical-relative:page;z-index:-863896" coordorigin="1390,1404" coordsize="13063,2">
          <v:shape style="position:absolute;left:1390;top:1404;width:13063;height:2" coordorigin="1390,1404" coordsize="13063,0" path="m1390,1404l14452,1404e" filled="false" stroked="true" strokeweight=".72pt" strokecolor="#000000">
            <v:path arrowok="t"/>
          </v:shape>
          <w10:wrap type="none"/>
        </v:group>
      </w:pict>
    </w:r>
    <w:r>
      <w:rPr/>
      <w:pict>
        <v:shape style="position:absolute;margin-left:445.589996pt;margin-top:58.365623pt;width:74pt;height:11pt;mso-position-horizontal-relative:page;mso-position-vertical-relative:page;z-index:-863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3848" type="#_x0000_t75" stroked="false">
          <v:imagedata r:id="rId1" o:title=""/>
        </v:shape>
      </w:pict>
    </w:r>
    <w:r>
      <w:rPr/>
      <w:pict>
        <v:shape style="position:absolute;margin-left:456.899994pt;margin-top:58.465626pt;width:74pt;height:11pt;mso-position-horizontal-relative:page;mso-position-vertical-relative:page;z-index:-863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99997pt;margin-top:42.5pt;width:96.95pt;height:24.7pt;mso-position-horizontal-relative:page;mso-position-vertical-relative:page;z-index:-863704" type="#_x0000_t75" stroked="false">
          <v:imagedata r:id="rId1" o:title=""/>
        </v:shape>
      </w:pict>
    </w:r>
    <w:r>
      <w:rPr/>
      <w:pict>
        <v:shape style="position:absolute;margin-left:456.899994pt;margin-top:58.465626pt;width:74pt;height:11pt;mso-position-horizontal-relative:page;mso-position-vertical-relative:page;z-index:-863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二〇一一年度报告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5"/>
      <w:ind w:left="144"/>
    </w:pPr>
    <w:rPr>
      <w:rFonts w:ascii="宋体" w:hAnsi="宋体" w:eastAsia="宋体"/>
      <w:sz w:val="24"/>
      <w:szCs w:val="24"/>
    </w:rPr>
  </w:style>
  <w:style w:styleId="BodyText" w:type="paragraph">
    <w:name w:val="Body Text"/>
    <w:basedOn w:val="Normal"/>
    <w:uiPriority w:val="1"/>
    <w:qFormat/>
    <w:pPr>
      <w:ind w:left="144"/>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144"/>
      <w:outlineLvl w:val="2"/>
    </w:pPr>
    <w:rPr>
      <w:rFonts w:ascii="黑体" w:hAnsi="黑体" w:eastAsia="黑体"/>
      <w:b/>
      <w:bCs/>
      <w:sz w:val="28"/>
      <w:szCs w:val="28"/>
    </w:rPr>
  </w:style>
  <w:style w:styleId="Heading3" w:type="paragraph">
    <w:name w:val="Heading 3"/>
    <w:basedOn w:val="Normal"/>
    <w:uiPriority w:val="1"/>
    <w:qFormat/>
    <w:pPr>
      <w:ind w:left="144"/>
      <w:outlineLvl w:val="3"/>
    </w:pPr>
    <w:rPr>
      <w:rFonts w:ascii="黑体" w:hAnsi="黑体" w:eastAsia="黑体"/>
      <w:b/>
      <w:bCs/>
      <w:sz w:val="26"/>
      <w:szCs w:val="26"/>
    </w:rPr>
  </w:style>
  <w:style w:styleId="Heading4" w:type="paragraph">
    <w:name w:val="Heading 4"/>
    <w:basedOn w:val="Normal"/>
    <w:uiPriority w:val="1"/>
    <w:qFormat/>
    <w:pPr>
      <w:ind w:left="144"/>
      <w:outlineLvl w:val="4"/>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3.jpe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yperlink" Target="mailto:strongyang@dhcc.com.cn" TargetMode="External"/><Relationship Id="rId15" Type="http://schemas.openxmlformats.org/officeDocument/2006/relationships/hyperlink" Target="mailto:houjie@dhcc.com.cn" TargetMode="External"/><Relationship Id="rId16" Type="http://schemas.openxmlformats.org/officeDocument/2006/relationships/hyperlink" Target="http://www.dhcc.com.cn/" TargetMode="External"/><Relationship Id="rId17" Type="http://schemas.openxmlformats.org/officeDocument/2006/relationships/hyperlink" Target="http://www.cninfo.com.cn/"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header" Target="header5.xml"/><Relationship Id="rId49" Type="http://schemas.openxmlformats.org/officeDocument/2006/relationships/footer" Target="footer31.xml"/><Relationship Id="rId50" Type="http://schemas.openxmlformats.org/officeDocument/2006/relationships/header" Target="header6.xml"/><Relationship Id="rId51" Type="http://schemas.openxmlformats.org/officeDocument/2006/relationships/footer" Target="footer32.xml"/><Relationship Id="rId52" Type="http://schemas.openxmlformats.org/officeDocument/2006/relationships/header" Target="header7.xml"/><Relationship Id="rId53" Type="http://schemas.openxmlformats.org/officeDocument/2006/relationships/header" Target="header8.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header" Target="header9.xml"/><Relationship Id="rId57" Type="http://schemas.openxmlformats.org/officeDocument/2006/relationships/header" Target="header10.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footer" Target="footer39.xml"/><Relationship Id="rId63" Type="http://schemas.openxmlformats.org/officeDocument/2006/relationships/footer" Target="footer40.xml"/><Relationship Id="rId64" Type="http://schemas.openxmlformats.org/officeDocument/2006/relationships/header" Target="header11.xml"/><Relationship Id="rId65" Type="http://schemas.openxmlformats.org/officeDocument/2006/relationships/footer" Target="footer41.xml"/><Relationship Id="rId66" Type="http://schemas.openxmlformats.org/officeDocument/2006/relationships/header" Target="header12.xml"/><Relationship Id="rId67" Type="http://schemas.openxmlformats.org/officeDocument/2006/relationships/footer" Target="footer42.xml"/><Relationship Id="rId68" Type="http://schemas.openxmlformats.org/officeDocument/2006/relationships/header" Target="header13.xml"/><Relationship Id="rId69" Type="http://schemas.openxmlformats.org/officeDocument/2006/relationships/header" Target="header14.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footer" Target="footer50.xml"/><Relationship Id="rId78" Type="http://schemas.openxmlformats.org/officeDocument/2006/relationships/footer" Target="footer51.xml"/><Relationship Id="rId79" Type="http://schemas.openxmlformats.org/officeDocument/2006/relationships/footer" Target="footer52.xml"/><Relationship Id="rId80" Type="http://schemas.openxmlformats.org/officeDocument/2006/relationships/footer" Target="footer53.xml"/><Relationship Id="rId81" Type="http://schemas.openxmlformats.org/officeDocument/2006/relationships/footer" Target="footer54.xml"/><Relationship Id="rId82" Type="http://schemas.openxmlformats.org/officeDocument/2006/relationships/footer" Target="footer55.xml"/><Relationship Id="rId83" Type="http://schemas.openxmlformats.org/officeDocument/2006/relationships/footer" Target="footer56.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footer" Target="footer57.xml"/><Relationship Id="rId87" Type="http://schemas.openxmlformats.org/officeDocument/2006/relationships/footer" Target="footer58.xml"/><Relationship Id="rId88" Type="http://schemas.openxmlformats.org/officeDocument/2006/relationships/footer" Target="footer59.xml"/><Relationship Id="rId89" Type="http://schemas.openxmlformats.org/officeDocument/2006/relationships/footer" Target="footer60.xml"/><Relationship Id="rId90" Type="http://schemas.openxmlformats.org/officeDocument/2006/relationships/footer" Target="footer61.xml"/><Relationship Id="rId91" Type="http://schemas.openxmlformats.org/officeDocument/2006/relationships/footer" Target="footer62.xml"/><Relationship Id="rId92" Type="http://schemas.openxmlformats.org/officeDocument/2006/relationships/footer" Target="footer63.xml"/><Relationship Id="rId93" Type="http://schemas.openxmlformats.org/officeDocument/2006/relationships/footer" Target="footer64.xml"/><Relationship Id="rId94" Type="http://schemas.openxmlformats.org/officeDocument/2006/relationships/footer" Target="footer65.xml"/><Relationship Id="rId95" Type="http://schemas.openxmlformats.org/officeDocument/2006/relationships/footer" Target="footer66.xml"/><Relationship Id="rId96" Type="http://schemas.openxmlformats.org/officeDocument/2006/relationships/footer" Target="footer67.xml"/><Relationship Id="rId97" Type="http://schemas.openxmlformats.org/officeDocument/2006/relationships/footer" Target="footer6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8.xml.rels><?xml version="1.0" encoding="UTF-8" standalone="yes"?>
<Relationships xmlns="http://schemas.openxmlformats.org/package/2006/relationships"><Relationship Id="rId1" Type="http://schemas.openxmlformats.org/officeDocument/2006/relationships/image" Target="media/image2.png"/></Relationships>

</file>

<file path=word/_rels/footer39.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40.xml.rels><?xml version="1.0" encoding="UTF-8" standalone="yes"?>
<Relationships xmlns="http://schemas.openxmlformats.org/package/2006/relationships"><Relationship Id="rId1" Type="http://schemas.openxmlformats.org/officeDocument/2006/relationships/image" Target="media/image2.png"/></Relationships>

</file>

<file path=word/_rels/footer43.xml.rels><?xml version="1.0" encoding="UTF-8" standalone="yes"?>
<Relationships xmlns="http://schemas.openxmlformats.org/package/2006/relationships"><Relationship Id="rId1" Type="http://schemas.openxmlformats.org/officeDocument/2006/relationships/image" Target="media/image2.png"/></Relationships>

</file>

<file path=word/_rels/footer44.xml.rels><?xml version="1.0" encoding="UTF-8" standalone="yes"?>
<Relationships xmlns="http://schemas.openxmlformats.org/package/2006/relationships"><Relationship Id="rId1" Type="http://schemas.openxmlformats.org/officeDocument/2006/relationships/image" Target="media/image2.png"/></Relationships>

</file>

<file path=word/_rels/footer45.xml.rels><?xml version="1.0" encoding="UTF-8" standalone="yes"?>
<Relationships xmlns="http://schemas.openxmlformats.org/package/2006/relationships"><Relationship Id="rId1" Type="http://schemas.openxmlformats.org/officeDocument/2006/relationships/image" Target="media/image2.png"/></Relationships>

</file>

<file path=word/_rels/footer46.xml.rels><?xml version="1.0" encoding="UTF-8" standalone="yes"?>
<Relationships xmlns="http://schemas.openxmlformats.org/package/2006/relationships"><Relationship Id="rId1" Type="http://schemas.openxmlformats.org/officeDocument/2006/relationships/image" Target="media/image2.png"/></Relationships>

</file>

<file path=word/_rels/footer47.xml.rels><?xml version="1.0" encoding="UTF-8" standalone="yes"?>
<Relationships xmlns="http://schemas.openxmlformats.org/package/2006/relationships"><Relationship Id="rId1" Type="http://schemas.openxmlformats.org/officeDocument/2006/relationships/image" Target="media/image2.png"/></Relationships>

</file>

<file path=word/_rels/footer48.xml.rels><?xml version="1.0" encoding="UTF-8" standalone="yes"?>
<Relationships xmlns="http://schemas.openxmlformats.org/package/2006/relationships"><Relationship Id="rId1" Type="http://schemas.openxmlformats.org/officeDocument/2006/relationships/image" Target="media/image2.png"/></Relationships>

</file>

<file path=word/_rels/footer49.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50.xml.rels><?xml version="1.0" encoding="UTF-8" standalone="yes"?>
<Relationships xmlns="http://schemas.openxmlformats.org/package/2006/relationships"><Relationship Id="rId1" Type="http://schemas.openxmlformats.org/officeDocument/2006/relationships/image" Target="media/image2.png"/></Relationships>

</file>

<file path=word/_rels/footer51.xml.rels><?xml version="1.0" encoding="UTF-8" standalone="yes"?>
<Relationships xmlns="http://schemas.openxmlformats.org/package/2006/relationships"><Relationship Id="rId1" Type="http://schemas.openxmlformats.org/officeDocument/2006/relationships/image" Target="media/image2.png"/></Relationships>

</file>

<file path=word/_rels/footer52.xml.rels><?xml version="1.0" encoding="UTF-8" standalone="yes"?>
<Relationships xmlns="http://schemas.openxmlformats.org/package/2006/relationships"><Relationship Id="rId1" Type="http://schemas.openxmlformats.org/officeDocument/2006/relationships/image" Target="media/image2.png"/></Relationships>

</file>

<file path=word/_rels/footer53.xml.rels><?xml version="1.0" encoding="UTF-8" standalone="yes"?>
<Relationships xmlns="http://schemas.openxmlformats.org/package/2006/relationships"><Relationship Id="rId1" Type="http://schemas.openxmlformats.org/officeDocument/2006/relationships/image" Target="media/image2.png"/></Relationships>

</file>

<file path=word/_rels/footer54.xml.rels><?xml version="1.0" encoding="UTF-8" standalone="yes"?>
<Relationships xmlns="http://schemas.openxmlformats.org/package/2006/relationships"><Relationship Id="rId1" Type="http://schemas.openxmlformats.org/officeDocument/2006/relationships/image" Target="media/image2.png"/></Relationships>

</file>

<file path=word/_rels/footer55.xml.rels><?xml version="1.0" encoding="UTF-8" standalone="yes"?>
<Relationships xmlns="http://schemas.openxmlformats.org/package/2006/relationships"><Relationship Id="rId1" Type="http://schemas.openxmlformats.org/officeDocument/2006/relationships/image" Target="media/image2.png"/></Relationships>

</file>

<file path=word/_rels/footer56.xml.rels><?xml version="1.0" encoding="UTF-8" standalone="yes"?>
<Relationships xmlns="http://schemas.openxmlformats.org/package/2006/relationships"><Relationship Id="rId1" Type="http://schemas.openxmlformats.org/officeDocument/2006/relationships/image" Target="media/image2.png"/></Relationships>

</file>

<file path=word/_rels/footer57.xml.rels><?xml version="1.0" encoding="UTF-8" standalone="yes"?>
<Relationships xmlns="http://schemas.openxmlformats.org/package/2006/relationships"><Relationship Id="rId1" Type="http://schemas.openxmlformats.org/officeDocument/2006/relationships/image" Target="media/image2.png"/></Relationships>

</file>

<file path=word/_rels/footer58.xml.rels><?xml version="1.0" encoding="UTF-8" standalone="yes"?>
<Relationships xmlns="http://schemas.openxmlformats.org/package/2006/relationships"><Relationship Id="rId1" Type="http://schemas.openxmlformats.org/officeDocument/2006/relationships/image" Target="media/image2.png"/></Relationships>

</file>

<file path=word/_rels/footer59.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60.xml.rels><?xml version="1.0" encoding="UTF-8" standalone="yes"?>
<Relationships xmlns="http://schemas.openxmlformats.org/package/2006/relationships"><Relationship Id="rId1" Type="http://schemas.openxmlformats.org/officeDocument/2006/relationships/image" Target="media/image2.png"/></Relationships>

</file>

<file path=word/_rels/footer61.xml.rels><?xml version="1.0" encoding="UTF-8" standalone="yes"?>
<Relationships xmlns="http://schemas.openxmlformats.org/package/2006/relationships"><Relationship Id="rId1" Type="http://schemas.openxmlformats.org/officeDocument/2006/relationships/image" Target="media/image2.png"/></Relationships>

</file>

<file path=word/_rels/footer62.xml.rels><?xml version="1.0" encoding="UTF-8" standalone="yes"?>
<Relationships xmlns="http://schemas.openxmlformats.org/package/2006/relationships"><Relationship Id="rId1" Type="http://schemas.openxmlformats.org/officeDocument/2006/relationships/image" Target="media/image2.png"/></Relationships>

</file>

<file path=word/_rels/footer63.xml.rels><?xml version="1.0" encoding="UTF-8" standalone="yes"?>
<Relationships xmlns="http://schemas.openxmlformats.org/package/2006/relationships"><Relationship Id="rId1" Type="http://schemas.openxmlformats.org/officeDocument/2006/relationships/image" Target="media/image2.png"/></Relationships>

</file>

<file path=word/_rels/footer64.xml.rels><?xml version="1.0" encoding="UTF-8" standalone="yes"?>
<Relationships xmlns="http://schemas.openxmlformats.org/package/2006/relationships"><Relationship Id="rId1" Type="http://schemas.openxmlformats.org/officeDocument/2006/relationships/image" Target="media/image2.png"/></Relationships>

</file>

<file path=word/_rels/footer65.xml.rels><?xml version="1.0" encoding="UTF-8" standalone="yes"?>
<Relationships xmlns="http://schemas.openxmlformats.org/package/2006/relationships"><Relationship Id="rId1" Type="http://schemas.openxmlformats.org/officeDocument/2006/relationships/image" Target="media/image2.png"/></Relationships>

</file>

<file path=word/_rels/footer66.xml.rels><?xml version="1.0" encoding="UTF-8" standalone="yes"?>
<Relationships xmlns="http://schemas.openxmlformats.org/package/2006/relationships"><Relationship Id="rId1" Type="http://schemas.openxmlformats.org/officeDocument/2006/relationships/image" Target="media/image2.png"/></Relationships>

</file>

<file path=word/_rels/footer67.xml.rels><?xml version="1.0" encoding="UTF-8" standalone="yes"?>
<Relationships xmlns="http://schemas.openxmlformats.org/package/2006/relationships"><Relationship Id="rId1" Type="http://schemas.openxmlformats.org/officeDocument/2006/relationships/image" Target="media/image2.png"/></Relationships>

</file>

<file path=word/_rels/footer68.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5.xml.rels><?xml version="1.0" encoding="UTF-8" standalone="yes"?>
<Relationships xmlns="http://schemas.openxmlformats.org/package/2006/relationships"><Relationship Id="rId1" Type="http://schemas.openxmlformats.org/officeDocument/2006/relationships/image" Target="media/image3.jpeg"/></Relationships>

</file>

<file path=word/_rels/header16.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2020-05-03T13:22:28Z</dcterms:created>
  <dcterms:modified xsi:type="dcterms:W3CDTF">2020-05-03T13:22:28Z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Creator">
    <vt:lpwstr>Microsoft® Office Word 2007</vt:lpwstr>
  </property>
  <property fmtid="{D5CDD505-2E9C-101B-9397-08002B2CF9AE}" pid="4" name="LastSaved">
    <vt:filetime>2020-05-03T00:00:00Z</vt:filetime>
  </property>
</Properties>
</file>