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495" w:right="495"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东华软件股份公司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495" w:right="496" w:firstLine="0"/>
        <w:jc w:val="center"/>
        <w:rPr>
          <w:rFonts w:ascii="宋体" w:hAnsi="宋体" w:cs="宋体" w:eastAsia="宋体" w:hint="default"/>
          <w:sz w:val="32"/>
          <w:szCs w:val="32"/>
        </w:rPr>
      </w:pPr>
      <w:r>
        <w:rPr>
          <w:rFonts w:ascii="宋体" w:hAnsi="宋体" w:cs="宋体" w:eastAsia="宋体" w:hint="default"/>
          <w:b/>
          <w:bCs/>
          <w:sz w:val="32"/>
          <w:szCs w:val="32"/>
        </w:rPr>
        <w:t>2014</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3055" w:lineRule="exact"/>
        <w:ind w:left="3249"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2206754" cy="194043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06754" cy="1940432"/>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5"/>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公司经本次董事会审议通过的利润分配预案为：以公司权益分派登记日的</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2"/>
          <w:w w:val="99"/>
          <w:sz w:val="28"/>
          <w:szCs w:val="28"/>
        </w:rPr>
        <w:t>公司股本为基数，向全体股东每</w:t>
      </w:r>
      <w:r>
        <w:rPr>
          <w:rFonts w:ascii="宋体" w:hAnsi="宋体" w:cs="宋体" w:eastAsia="宋体" w:hint="default"/>
          <w:b/>
          <w:bCs/>
          <w:spacing w:val="-58"/>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6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1"/>
          <w:w w:val="99"/>
          <w:sz w:val="28"/>
          <w:szCs w:val="28"/>
        </w:rPr>
        <w:t> </w:t>
      </w:r>
      <w:r>
        <w:rPr>
          <w:rFonts w:ascii="宋体" w:hAnsi="宋体" w:cs="宋体" w:eastAsia="宋体" w:hint="default"/>
          <w:b/>
          <w:bCs/>
          <w:w w:val="99"/>
          <w:sz w:val="28"/>
          <w:szCs w:val="28"/>
        </w:rPr>
        <w:t>1.50</w:t>
      </w:r>
      <w:r>
        <w:rPr>
          <w:rFonts w:ascii="宋体" w:hAnsi="宋体" w:cs="宋体" w:eastAsia="宋体" w:hint="default"/>
          <w:b/>
          <w:bCs/>
          <w:spacing w:val="-61"/>
          <w:w w:val="99"/>
          <w:sz w:val="28"/>
          <w:szCs w:val="28"/>
        </w:rPr>
        <w:t> </w:t>
      </w:r>
      <w:r>
        <w:rPr>
          <w:rFonts w:ascii="宋体" w:hAnsi="宋体" w:cs="宋体" w:eastAsia="宋体" w:hint="default"/>
          <w:b/>
          <w:bCs/>
          <w:spacing w:val="-19"/>
          <w:w w:val="99"/>
          <w:sz w:val="28"/>
          <w:szCs w:val="28"/>
        </w:rPr>
        <w:t>元（含税），不以公积</w:t>
      </w:r>
      <w:r>
        <w:rPr>
          <w:rFonts w:ascii="宋体" w:hAnsi="宋体" w:cs="宋体" w:eastAsia="宋体" w:hint="default"/>
          <w:b/>
          <w:bCs/>
          <w:spacing w:val="-138"/>
          <w:w w:val="99"/>
          <w:sz w:val="28"/>
          <w:szCs w:val="28"/>
        </w:rPr>
        <w:t> </w:t>
      </w:r>
      <w:r>
        <w:rPr>
          <w:rFonts w:ascii="宋体" w:hAnsi="宋体" w:cs="宋体" w:eastAsia="宋体" w:hint="default"/>
          <w:b/>
          <w:bCs/>
          <w:spacing w:val="-138"/>
          <w:w w:val="99"/>
          <w:sz w:val="28"/>
          <w:szCs w:val="28"/>
        </w:rPr>
      </w:r>
      <w:r>
        <w:rPr>
          <w:rFonts w:ascii="宋体" w:hAnsi="宋体" w:cs="宋体" w:eastAsia="宋体" w:hint="default"/>
          <w:b/>
          <w:bCs/>
          <w:sz w:val="28"/>
          <w:szCs w:val="28"/>
        </w:rPr>
        <w:t>金转增股本。</w:t>
      </w:r>
      <w:r>
        <w:rPr>
          <w:rFonts w:ascii="宋体" w:hAnsi="宋体" w:cs="宋体" w:eastAsia="宋体" w:hint="default"/>
          <w:sz w:val="28"/>
          <w:szCs w:val="28"/>
        </w:rPr>
      </w:r>
    </w:p>
    <w:p>
      <w:pPr>
        <w:spacing w:line="410" w:lineRule="auto" w:before="157"/>
        <w:ind w:left="154" w:right="15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公司负责人薛向东、主管会计工作负责人叶莉及会计机构负责人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初美伶声明：保证年度报告中财务报告的真实、准确、完整。</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rPr>
              <w:rFonts w:ascii="宋体" w:hAnsi="宋体" w:cs="宋体" w:eastAsia="宋体" w:hint="default"/>
            </w:rPr>
            <w:t>2014</w:t>
          </w:r>
          <w:r>
            <w:rPr>
              <w:rFonts w:ascii="宋体" w:hAnsi="宋体" w:cs="宋体" w:eastAsia="宋体" w:hint="default"/>
              <w:spacing w:val="-61"/>
            </w:rPr>
            <w:t> </w:t>
          </w:r>
          <w:r>
            <w:rPr/>
            <w:t>年度报告</w:t>
          </w:r>
          <w:r>
            <w:rPr>
              <w:rFonts w:ascii="宋体" w:hAnsi="宋体" w:cs="宋体" w:eastAsia="宋体" w:hint="default"/>
            </w:rPr>
            <w:tab/>
            <w:t>1</w:t>
          </w:r>
          <w:r>
            <w:rPr>
              <w:rFonts w:ascii="宋体" w:hAnsi="宋体" w:cs="宋体" w:eastAsia="宋体" w:hint="default"/>
              <w:b w:val="0"/>
              <w:bCs w:val="0"/>
            </w:rPr>
          </w:r>
        </w:p>
        <w:p>
          <w:pPr>
            <w:pStyle w:val="TOC1"/>
            <w:tabs>
              <w:tab w:pos="9781" w:val="right" w:leader="dot"/>
            </w:tabs>
            <w:spacing w:line="240" w:lineRule="auto"/>
            <w:ind w:right="0"/>
            <w:jc w:val="left"/>
            <w:rPr>
              <w:rFonts w:ascii="宋体" w:hAnsi="宋体" w:cs="宋体" w:eastAsia="宋体" w:hint="default"/>
              <w:b w:val="0"/>
              <w:bCs w:val="0"/>
            </w:rPr>
          </w:pPr>
          <w:hyperlink w:history="true" w:anchor="_TOC_250011">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TOC_250010">
            <w:r>
              <w:rPr/>
              <w:t>第二节</w:t>
            </w:r>
            <w:r>
              <w:rPr>
                <w:spacing w:val="-1"/>
              </w:rPr>
              <w:t> </w:t>
            </w:r>
            <w:r>
              <w:rPr/>
              <w:t>公司简介</w:t>
            </w:r>
            <w:r>
              <w:rPr>
                <w:rFonts w:ascii="宋体" w:hAnsi="宋体" w:cs="宋体" w:eastAsia="宋体" w:hint="default"/>
              </w:rPr>
              <w:tab/>
              <w:t>7</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TOC_250009">
            <w:r>
              <w:rPr/>
              <w:t>第三节</w:t>
            </w:r>
            <w:r>
              <w:rPr>
                <w:spacing w:val="-1"/>
              </w:rPr>
              <w:t> </w:t>
            </w:r>
            <w:r>
              <w:rPr/>
              <w:t>会计数据和财务指标摘要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8">
            <w:r>
              <w:rPr/>
              <w:t>第四节</w:t>
            </w:r>
            <w:r>
              <w:rPr>
                <w:spacing w:val="-1"/>
              </w:rPr>
              <w:t> </w:t>
            </w:r>
            <w:r>
              <w:rPr/>
              <w:t>董事会报告</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7">
            <w:r>
              <w:rPr/>
              <w:t>第五节</w:t>
            </w:r>
            <w:r>
              <w:rPr>
                <w:spacing w:val="-1"/>
              </w:rPr>
              <w:t> </w:t>
            </w:r>
            <w:r>
              <w:rPr/>
              <w:t>重要事项</w:t>
            </w:r>
            <w:r>
              <w:rPr>
                <w:rFonts w:ascii="宋体" w:hAnsi="宋体" w:cs="宋体" w:eastAsia="宋体" w:hint="default"/>
              </w:rPr>
              <w:tab/>
              <w:t>38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6">
            <w:r>
              <w:rPr/>
              <w:t>第六节</w:t>
            </w:r>
            <w:r>
              <w:rPr>
                <w:spacing w:val="-1"/>
              </w:rPr>
              <w:t> </w:t>
            </w:r>
            <w:r>
              <w:rPr/>
              <w:t>股份变动及股东情况</w:t>
            </w:r>
            <w:r>
              <w:rPr>
                <w:rFonts w:ascii="宋体" w:hAnsi="宋体" w:cs="宋体" w:eastAsia="宋体" w:hint="default"/>
              </w:rPr>
              <w:tab/>
              <w:t>49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5">
            <w:r>
              <w:rPr/>
              <w:t>第七节</w:t>
            </w:r>
            <w:r>
              <w:rPr>
                <w:spacing w:val="-1"/>
              </w:rPr>
              <w:t> </w:t>
            </w:r>
            <w:r>
              <w:rPr/>
              <w:t>优先股相关情况</w:t>
            </w:r>
            <w:r>
              <w:rPr>
                <w:rFonts w:ascii="宋体" w:hAnsi="宋体" w:cs="宋体" w:eastAsia="宋体" w:hint="default"/>
              </w:rPr>
              <w:tab/>
              <w:t>57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4">
            <w:r>
              <w:rPr/>
              <w:t>第八节</w:t>
            </w:r>
            <w:r>
              <w:rPr>
                <w:spacing w:val="-1"/>
              </w:rPr>
              <w:t> </w:t>
            </w:r>
            <w:r>
              <w:rPr/>
              <w:t>董事、监事、高级管理人员和员工情况</w:t>
            </w:r>
            <w:r>
              <w:rPr>
                <w:rFonts w:ascii="宋体" w:hAnsi="宋体" w:cs="宋体" w:eastAsia="宋体" w:hint="default"/>
              </w:rPr>
              <w:tab/>
              <w:t>58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3">
            <w:r>
              <w:rPr/>
              <w:t>第九节</w:t>
            </w:r>
            <w:r>
              <w:rPr>
                <w:spacing w:val="-1"/>
              </w:rPr>
              <w:t> </w:t>
            </w:r>
            <w:r>
              <w:rPr/>
              <w:t>公司治理</w:t>
            </w:r>
            <w:r>
              <w:rPr>
                <w:rFonts w:ascii="宋体" w:hAnsi="宋体" w:cs="宋体" w:eastAsia="宋体" w:hint="default"/>
              </w:rPr>
              <w:tab/>
              <w:t>66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2">
            <w:r>
              <w:rPr/>
              <w:t>第十节</w:t>
            </w:r>
            <w:r>
              <w:rPr>
                <w:spacing w:val="-1"/>
              </w:rPr>
              <w:t> </w:t>
            </w:r>
            <w:r>
              <w:rPr/>
              <w:t>内部控制</w:t>
            </w:r>
            <w:r>
              <w:rPr>
                <w:rFonts w:ascii="宋体" w:hAnsi="宋体" w:cs="宋体" w:eastAsia="宋体" w:hint="default"/>
              </w:rPr>
              <w:tab/>
              <w:t>73</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1">
            <w:r>
              <w:rPr/>
              <w:t>第十一节</w:t>
            </w:r>
            <w:r>
              <w:rPr>
                <w:spacing w:val="-1"/>
              </w:rPr>
              <w:t> </w:t>
            </w:r>
            <w:r>
              <w:rPr/>
              <w:t>财务报告</w:t>
            </w:r>
            <w:r>
              <w:rPr>
                <w:rFonts w:ascii="宋体" w:hAnsi="宋体" w:cs="宋体" w:eastAsia="宋体" w:hint="default"/>
              </w:rPr>
              <w:tab/>
              <w:t>76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0">
            <w:r>
              <w:rPr/>
              <w:t>第十二节</w:t>
            </w:r>
            <w:r>
              <w:rPr>
                <w:spacing w:val="-2"/>
              </w:rPr>
              <w:t> </w:t>
            </w:r>
            <w:r>
              <w:rPr/>
              <w:t>备查文件目录</w:t>
            </w:r>
            <w:r>
              <w:rPr>
                <w:rFonts w:ascii="宋体" w:hAnsi="宋体" w:cs="宋体" w:eastAsia="宋体" w:hint="default"/>
              </w:rPr>
              <w:tab/>
              <w:t>184</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7" w:footer="979" w:top="1060" w:bottom="1160" w:left="980" w:right="980"/>
        </w:sectPr>
      </w:pPr>
    </w:p>
    <w:p>
      <w:pPr>
        <w:spacing w:before="946"/>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w:t>
            </w:r>
            <w:r>
              <w:rPr>
                <w:rFonts w:ascii="宋体" w:hAnsi="宋体" w:cs="宋体" w:eastAsia="宋体" w:hint="default"/>
                <w:sz w:val="18"/>
                <w:szCs w:val="18"/>
              </w:rPr>
              <w:t>/</w:t>
            </w:r>
            <w:r>
              <w:rPr>
                <w:rFonts w:ascii="宋体" w:hAnsi="宋体" w:cs="宋体" w:eastAsia="宋体" w:hint="default"/>
                <w:sz w:val="18"/>
                <w:szCs w:val="18"/>
              </w:rPr>
              <w:t>审计师</w:t>
            </w:r>
            <w:r>
              <w:rPr>
                <w:rFonts w:ascii="宋体" w:hAnsi="宋体" w:cs="宋体" w:eastAsia="宋体" w:hint="default"/>
                <w:sz w:val="18"/>
                <w:szCs w:val="18"/>
              </w:rPr>
              <w:t>/</w:t>
            </w:r>
            <w:r>
              <w:rPr>
                <w:rFonts w:ascii="宋体" w:hAnsi="宋体" w:cs="宋体" w:eastAsia="宋体" w:hint="default"/>
                <w:sz w:val="18"/>
                <w:szCs w:val="18"/>
              </w:rPr>
              <w:t>公司会计师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东华合创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北京东华合创数码科技股份有限公司（发行人曾用名，</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日更名为东华软件股份公司）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诚信电脑</w:t>
            </w:r>
            <w:r>
              <w:rPr>
                <w:rFonts w:ascii="宋体" w:hAnsi="宋体" w:cs="宋体" w:eastAsia="宋体" w:hint="default"/>
                <w:sz w:val="18"/>
                <w:szCs w:val="18"/>
              </w:rPr>
              <w:t>/</w:t>
            </w: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工业设备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合创电商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联银通科技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易时科技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普林科技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东华信息技术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卓讯科信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厚盾鸿远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北京厚盾鸿远科技有限公司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神州新桥软件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北京神州新桥软件技术有限公司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东华软件开发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东华博雅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天津东华博雅软件有限公司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光明数据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北京光明数据科技有限公司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before="1"/>
        <w:ind w:left="495" w:right="49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54" w:right="15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公司在未来经营过程中可能存在市场风险、研发风险、并购整合风险、人</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力资源风险，有关风险因素内容与对策措施已在本报告第五届“董事会报告”</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z w:val="28"/>
          <w:szCs w:val="28"/>
        </w:rPr>
        <w:t>部分予以详细描述。敬请广大投资者注意风险。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shape style="position:absolute;margin-left:138pt;margin-top:269.779968pt;width:397pt;height:19.6pt;mso-position-horizontal-relative:page;mso-position-vertical-relative:page;z-index:-905056"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495"/>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002065</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东华软件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DHC Software Co.,Ltd</w:t>
            </w:r>
          </w:p>
        </w:tc>
      </w:tr>
      <w:tr>
        <w:trPr>
          <w:trHeight w:val="402"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2"/>
              <w:ind w:left="11" w:right="0"/>
              <w:jc w:val="left"/>
              <w:rPr>
                <w:rFonts w:ascii="宋体" w:hAnsi="宋体" w:cs="宋体" w:eastAsia="宋体" w:hint="default"/>
                <w:sz w:val="18"/>
                <w:szCs w:val="18"/>
              </w:rPr>
            </w:pPr>
            <w:r>
              <w:rPr>
                <w:rFonts w:ascii="宋体"/>
                <w:sz w:val="18"/>
              </w:rPr>
              <w:t>DHCC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薛向东</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100190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sz w:val="18"/>
              </w:rPr>
              <w:t>100190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9">
              <w:r>
                <w:rPr>
                  <w:rFonts w:ascii="宋体"/>
                  <w:sz w:val="18"/>
                </w:rPr>
                <w:t>http://www.dhcc.com.cn</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hyperlink r:id="rId10">
              <w:r>
                <w:rPr>
                  <w:rFonts w:ascii="宋体"/>
                  <w:sz w:val="18"/>
                </w:rPr>
                <w:t>strongyang@dhcc.com.cn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 晗</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010-62662188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010-62662188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010-62662299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010-62662299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strongyang@dhcc.com.cn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1">
              <w:r>
                <w:rPr>
                  <w:rFonts w:ascii="宋体"/>
                  <w:sz w:val="18"/>
                </w:rPr>
                <w:t>gaohan@dhcc.com.cn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层公司证券部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806"/>
        <w:gridCol w:w="1383"/>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2"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北京市工商行政 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1100001193064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9"/>
              <w:jc w:val="right"/>
              <w:rPr>
                <w:rFonts w:ascii="宋体" w:hAnsi="宋体" w:cs="宋体" w:eastAsia="宋体" w:hint="default"/>
                <w:sz w:val="18"/>
                <w:szCs w:val="18"/>
              </w:rPr>
            </w:pPr>
            <w:r>
              <w:rPr>
                <w:rFonts w:ascii="宋体"/>
                <w:sz w:val="18"/>
              </w:rPr>
              <w:t>110108722618881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722661888-1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北京市工商行政 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110000001930643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9"/>
              <w:jc w:val="right"/>
              <w:rPr>
                <w:rFonts w:ascii="宋体" w:hAnsi="宋体" w:cs="宋体" w:eastAsia="宋体" w:hint="default"/>
                <w:sz w:val="18"/>
                <w:szCs w:val="18"/>
              </w:rPr>
            </w:pPr>
            <w:r>
              <w:rPr>
                <w:rFonts w:ascii="宋体"/>
                <w:sz w:val="18"/>
              </w:rPr>
              <w:t>110108722618881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722661888-1</w:t>
            </w:r>
          </w:p>
        </w:tc>
      </w:tr>
      <w:tr>
        <w:trPr>
          <w:trHeight w:val="402" w:hRule="exact"/>
        </w:trPr>
        <w:tc>
          <w:tcPr>
            <w:tcW w:w="3402"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165" w:type="dxa"/>
            <w:gridSpan w:val="4"/>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pacing w:val="-5"/>
                <w:sz w:val="18"/>
                <w:szCs w:val="18"/>
              </w:rPr>
              <w:t>）无变更</w:t>
            </w:r>
          </w:p>
        </w:tc>
      </w:tr>
      <w:tr>
        <w:trPr>
          <w:trHeight w:val="402" w:hRule="exact"/>
        </w:trPr>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1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2211</w:t>
            </w:r>
            <w:r>
              <w:rPr>
                <w:rFonts w:ascii="宋体" w:hAnsi="宋体" w:cs="宋体" w:eastAsia="宋体" w:hint="default"/>
                <w:spacing w:val="-46"/>
                <w:sz w:val="18"/>
                <w:szCs w:val="18"/>
              </w:rPr>
              <w:t> </w:t>
            </w:r>
            <w:r>
              <w:rPr>
                <w:rFonts w:ascii="宋体" w:hAnsi="宋体" w:cs="宋体" w:eastAsia="宋体" w:hint="default"/>
                <w:sz w:val="18"/>
                <w:szCs w:val="18"/>
              </w:rPr>
              <w:t>房间</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肖丽娟、叶立萍</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吕瑜刚、张东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刘昊、吴学孔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spacing w:line="240" w:lineRule="auto" w:before="0"/>
        <w:rPr>
          <w:rFonts w:ascii="宋体" w:hAnsi="宋体" w:cs="宋体" w:eastAsia="宋体" w:hint="default"/>
          <w:sz w:val="15"/>
          <w:szCs w:val="15"/>
        </w:rPr>
      </w:pPr>
    </w:p>
    <w:p>
      <w:pPr>
        <w:pStyle w:val="BodyText"/>
        <w:spacing w:line="240" w:lineRule="auto"/>
        <w:ind w:right="0"/>
        <w:jc w:val="left"/>
      </w:pPr>
      <w:r>
        <w:rPr/>
        <w:t>√ 是 □ 否</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61"/>
        <w:gridCol w:w="1200"/>
        <w:gridCol w:w="1202"/>
        <w:gridCol w:w="200"/>
        <w:gridCol w:w="1417"/>
        <w:gridCol w:w="784"/>
        <w:gridCol w:w="1202"/>
        <w:gridCol w:w="1204"/>
      </w:tblGrid>
      <w:tr>
        <w:trPr>
          <w:trHeight w:val="162"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6" w:right="27"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4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40"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81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4" w:type="dxa"/>
            <w:vMerge/>
            <w:tcBorders>
              <w:left w:val="single" w:sz="4" w:space="0" w:color="000000"/>
              <w:right w:val="single" w:sz="4" w:space="0" w:color="000000"/>
            </w:tcBorders>
            <w:shd w:val="clear" w:color="auto" w:fill="D2D2D2"/>
          </w:tcPr>
          <w:p>
            <w:pPr/>
          </w:p>
        </w:tc>
        <w:tc>
          <w:tcPr>
            <w:tcW w:w="24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51" w:hRule="exact"/>
        </w:trPr>
        <w:tc>
          <w:tcPr>
            <w:tcW w:w="2361" w:type="dxa"/>
            <w:vMerge w:val="restart"/>
            <w:tcBorders>
              <w:top w:val="nil" w:sz="6" w:space="0" w:color="auto"/>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819" w:type="dxa"/>
            <w:gridSpan w:val="3"/>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c>
          <w:tcPr>
            <w:tcW w:w="2406" w:type="dxa"/>
            <w:gridSpan w:val="2"/>
            <w:vMerge/>
            <w:tcBorders>
              <w:left w:val="single" w:sz="4" w:space="0" w:color="000000"/>
              <w:bottom w:val="nil" w:sz="6" w:space="0" w:color="auto"/>
              <w:right w:val="single" w:sz="4" w:space="0" w:color="000000"/>
            </w:tcBorders>
            <w:shd w:val="clear" w:color="auto" w:fill="D2D2D2"/>
          </w:tcPr>
          <w:p>
            <w:pPr/>
          </w:p>
        </w:tc>
      </w:tr>
      <w:tr>
        <w:trPr>
          <w:trHeight w:val="164"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81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c>
          <w:tcPr>
            <w:tcW w:w="24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2" w:hRule="exact"/>
        </w:trPr>
        <w:tc>
          <w:tcPr>
            <w:tcW w:w="2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5,171,048,660.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402" w:type="dxa"/>
            <w:gridSpan w:val="2"/>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4,422,914,442.35</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4,422,914,442.35</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16.91%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3,491,378,131.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3,491,378,131.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r>
      <w:tr>
        <w:trPr>
          <w:trHeight w:val="391" w:hRule="exact"/>
        </w:trPr>
        <w:tc>
          <w:tcPr>
            <w:tcW w:w="2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4" w:space="0" w:color="000000"/>
              <w:right w:val="single" w:sz="4" w:space="0" w:color="000000"/>
            </w:tcBorders>
          </w:tcPr>
          <w:p>
            <w:pPr/>
          </w:p>
        </w:tc>
        <w:tc>
          <w:tcPr>
            <w:tcW w:w="1402" w:type="dxa"/>
            <w:gridSpan w:val="2"/>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tcPr>
          <w:p>
            <w:pPr/>
          </w:p>
        </w:tc>
        <w:tc>
          <w:tcPr>
            <w:tcW w:w="1402" w:type="dxa"/>
            <w:gridSpan w:val="2"/>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1,038,654,013.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770,870,494.95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770,870,494.95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569,175,307.73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569,175,307.73</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1,017,138,835.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762,218,669.34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762,218,669.34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565,687,294.06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565,687,294.06</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-15,144,074.12</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301,336,413.05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301,336,413.05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-105.03%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166,128,815.04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166,128,815.04</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0.7013</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5" w:right="0"/>
              <w:jc w:val="left"/>
              <w:rPr>
                <w:rFonts w:ascii="Times New Roman" w:hAnsi="Times New Roman" w:cs="Times New Roman" w:eastAsia="Times New Roman" w:hint="default"/>
                <w:sz w:val="18"/>
                <w:szCs w:val="18"/>
              </w:rPr>
            </w:pPr>
            <w:r>
              <w:rPr>
                <w:rFonts w:ascii="Times New Roman"/>
                <w:sz w:val="18"/>
              </w:rPr>
              <w:t>0.5583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0.8249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0.8249</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0.6981</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5" w:right="0"/>
              <w:jc w:val="left"/>
              <w:rPr>
                <w:rFonts w:ascii="Times New Roman" w:hAnsi="Times New Roman" w:cs="Times New Roman" w:eastAsia="Times New Roman" w:hint="default"/>
                <w:sz w:val="18"/>
                <w:szCs w:val="18"/>
              </w:rPr>
            </w:pPr>
            <w:r>
              <w:rPr>
                <w:rFonts w:ascii="Times New Roman"/>
                <w:sz w:val="18"/>
              </w:rPr>
              <w:t>0.5571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0.5571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0.8249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0.8249</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20.74%</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5" w:right="0"/>
              <w:jc w:val="left"/>
              <w:rPr>
                <w:rFonts w:ascii="Times New Roman" w:hAnsi="Times New Roman" w:cs="Times New Roman" w:eastAsia="Times New Roman" w:hint="default"/>
                <w:sz w:val="18"/>
                <w:szCs w:val="18"/>
              </w:rPr>
            </w:pPr>
            <w:r>
              <w:rPr>
                <w:rFonts w:ascii="Times New Roman"/>
                <w:sz w:val="18"/>
              </w:rPr>
              <w:t>24.36%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22.70%</w:t>
            </w:r>
          </w:p>
        </w:tc>
      </w:tr>
      <w:tr>
        <w:trPr>
          <w:trHeight w:val="318"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1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6" w:right="27"/>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4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81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84" w:type="dxa"/>
            <w:vMerge/>
            <w:tcBorders>
              <w:left w:val="single" w:sz="4" w:space="0" w:color="000000"/>
              <w:right w:val="single" w:sz="4" w:space="0" w:color="000000"/>
            </w:tcBorders>
            <w:shd w:val="clear" w:color="auto" w:fill="D2D2D2"/>
          </w:tcPr>
          <w:p>
            <w:pPr/>
          </w:p>
        </w:tc>
        <w:tc>
          <w:tcPr>
            <w:tcW w:w="24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61" w:type="dxa"/>
            <w:vMerge w:val="restart"/>
            <w:tcBorders>
              <w:top w:val="nil" w:sz="6" w:space="0" w:color="auto"/>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819" w:type="dxa"/>
            <w:gridSpan w:val="3"/>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c>
          <w:tcPr>
            <w:tcW w:w="2406" w:type="dxa"/>
            <w:gridSpan w:val="2"/>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819" w:type="dxa"/>
            <w:gridSpan w:val="3"/>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c>
          <w:tcPr>
            <w:tcW w:w="2406"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21" w:hRule="exact"/>
        </w:trPr>
        <w:tc>
          <w:tcPr>
            <w:tcW w:w="2361" w:type="dxa"/>
            <w:vMerge w:val="restart"/>
            <w:tcBorders>
              <w:top w:val="nil" w:sz="6" w:space="0" w:color="auto"/>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2819" w:type="dxa"/>
            <w:gridSpan w:val="3"/>
            <w:vMerge/>
            <w:tcBorders>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c>
          <w:tcPr>
            <w:tcW w:w="2406" w:type="dxa"/>
            <w:gridSpan w:val="2"/>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2" w:hRule="exact"/>
        </w:trPr>
        <w:tc>
          <w:tcPr>
            <w:tcW w:w="2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7,923,961,761.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6,009,623,719.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1618" w:type="dxa"/>
            <w:gridSpan w:val="2"/>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6,009,623,719.70</w:t>
            </w:r>
          </w:p>
        </w:tc>
        <w:tc>
          <w:tcPr>
            <w:tcW w:w="78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31.85%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4,010,462,137.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4,010,462,137.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r>
      <w:tr>
        <w:trPr>
          <w:trHeight w:val="391" w:hRule="exact"/>
        </w:trPr>
        <w:tc>
          <w:tcPr>
            <w:tcW w:w="2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618" w:type="dxa"/>
            <w:gridSpan w:val="2"/>
            <w:vMerge/>
            <w:tcBorders>
              <w:left w:val="single" w:sz="4" w:space="0" w:color="000000"/>
              <w:right w:val="single" w:sz="4" w:space="0" w:color="000000"/>
            </w:tcBorders>
          </w:tcPr>
          <w:p>
            <w:pPr/>
          </w:p>
        </w:tc>
        <w:tc>
          <w:tcPr>
            <w:tcW w:w="784"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r>
      <w:tr>
        <w:trPr>
          <w:trHeight w:val="161"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618" w:type="dxa"/>
            <w:gridSpan w:val="2"/>
            <w:vMerge/>
            <w:tcBorders>
              <w:left w:val="single" w:sz="4" w:space="0" w:color="000000"/>
              <w:bottom w:val="single" w:sz="4" w:space="0" w:color="000000"/>
              <w:right w:val="single" w:sz="4" w:space="0" w:color="000000"/>
            </w:tcBorders>
          </w:tcPr>
          <w:p>
            <w:pPr/>
          </w:p>
        </w:tc>
        <w:tc>
          <w:tcPr>
            <w:tcW w:w="784"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r>
      <w:tr>
        <w:trPr>
          <w:trHeight w:val="715"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6,287,895,827.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3,714,425,920.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3,714,425,920.95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2,765,909,112.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2,765,909,112.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r>
    </w:tbl>
    <w:p>
      <w:pPr>
        <w:spacing w:line="240" w:lineRule="auto" w:before="8"/>
        <w:rPr>
          <w:rFonts w:ascii="宋体" w:hAnsi="宋体" w:cs="宋体" w:eastAsia="宋体" w:hint="default"/>
          <w:sz w:val="6"/>
          <w:szCs w:val="6"/>
        </w:rPr>
      </w:pPr>
    </w:p>
    <w:p>
      <w:pPr>
        <w:pStyle w:val="BodyText"/>
        <w:spacing w:line="316" w:lineRule="auto" w:before="44"/>
        <w:ind w:right="0"/>
        <w:jc w:val="left"/>
      </w:pPr>
      <w:r>
        <w:rPr>
          <w:spacing w:val="-2"/>
        </w:rPr>
        <w:t>公司报告期末至年度报告披露日股本是否因发行新股、增发、配股、股权激励行权、回购等原因发生变化且影响所有者权益</w:t>
      </w:r>
      <w:r>
        <w:rPr>
          <w:spacing w:val="-65"/>
        </w:rPr>
        <w:t> </w:t>
      </w:r>
      <w:r>
        <w:rPr>
          <w:spacing w:val="-65"/>
        </w:rPr>
      </w:r>
      <w:r>
        <w:rPr/>
        <w:t>金额</w:t>
      </w:r>
    </w:p>
    <w:p>
      <w:pPr>
        <w:pStyle w:val="BodyText"/>
        <w:spacing w:line="240" w:lineRule="auto" w:before="139"/>
        <w:ind w:right="0"/>
        <w:jc w:val="left"/>
      </w:pPr>
      <w:r>
        <w:rPr/>
        <w:t>√ 是 □ 否</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公司报告期不存在按照国际会计准则与按照中国会计准则披露的财务报告中净利润和净资产差异情况。</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right="1672"/>
        <w:jc w:val="left"/>
      </w:pPr>
      <w:r>
        <w:rPr/>
        <w:t>□ 适用 √ 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10,884,000.97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105,537.70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30,683.41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股权转让收益及固定 资产清理</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13,738,372.10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8,999,685.88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3,635,844.45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427,111.24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-1,097,740.98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360,673.20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3,111.42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2,436,596.98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814,444.57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181,625.61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21,515,177.63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8,651,825.61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3,488,013.67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对公司根据《公开发行证券的公司信息披露解释性公告第</w:t>
      </w:r>
      <w:r>
        <w:rPr>
          <w:spacing w:val="-48"/>
        </w:rPr>
        <w:t> </w:t>
      </w:r>
      <w:r>
        <w:rPr>
          <w:rFonts w:ascii="宋体" w:hAnsi="宋体" w:cs="宋体" w:eastAsia="宋体" w:hint="default"/>
        </w:rPr>
        <w:t>1</w:t>
      </w:r>
      <w:r>
        <w:rPr>
          <w:rFonts w:ascii="宋体" w:hAnsi="宋体" w:cs="宋体" w:eastAsia="宋体" w:hint="default"/>
          <w:spacing w:val="-49"/>
        </w:rPr>
        <w:t> </w:t>
      </w:r>
      <w:r>
        <w:rPr>
          <w:spacing w:val="-3"/>
        </w:rPr>
        <w:t>号——非经常性损益》定义界定的非经常性损益项目，以及</w:t>
      </w:r>
    </w:p>
    <w:p>
      <w:pPr>
        <w:pStyle w:val="BodyText"/>
        <w:spacing w:line="316" w:lineRule="auto" w:before="76"/>
        <w:ind w:right="136"/>
        <w:jc w:val="left"/>
      </w:pPr>
      <w:r>
        <w:rPr>
          <w:spacing w:val="-2"/>
        </w:rPr>
        <w:t>把《公开发行证券的公司信息披露解释性公告第</w:t>
      </w:r>
      <w:r>
        <w:rPr/>
        <w:t> </w:t>
      </w:r>
      <w:r>
        <w:rPr>
          <w:rFonts w:ascii="宋体" w:hAnsi="宋体" w:cs="宋体" w:eastAsia="宋体" w:hint="default"/>
        </w:rPr>
        <w:t>1</w:t>
      </w:r>
      <w:r>
        <w:rPr>
          <w:rFonts w:ascii="宋体" w:hAnsi="宋体" w:cs="宋体" w:eastAsia="宋体" w:hint="default"/>
          <w:spacing w:val="-68"/>
        </w:rPr>
        <w:t> </w:t>
      </w:r>
      <w:r>
        <w:rPr>
          <w:spacing w:val="-2"/>
        </w:rPr>
        <w:t>号——非经常性损益》中列举的非经常性损益项目界定为经常性损益的项</w:t>
      </w:r>
      <w:r>
        <w:rPr/>
        <w:t> 目，应说明原因</w:t>
      </w:r>
    </w:p>
    <w:p>
      <w:pPr>
        <w:pStyle w:val="BodyText"/>
        <w:spacing w:line="240" w:lineRule="auto" w:before="139"/>
        <w:ind w:right="0"/>
        <w:jc w:val="left"/>
      </w:pPr>
      <w:r>
        <w:rPr/>
        <w:t>□ 适用 √ 不适用</w:t>
      </w:r>
    </w:p>
    <w:p>
      <w:pPr>
        <w:spacing w:line="240" w:lineRule="auto" w:before="0"/>
        <w:rPr>
          <w:rFonts w:ascii="宋体" w:hAnsi="宋体" w:cs="宋体" w:eastAsia="宋体" w:hint="default"/>
          <w:sz w:val="15"/>
          <w:szCs w:val="15"/>
        </w:rPr>
      </w:pPr>
    </w:p>
    <w:p>
      <w:pPr>
        <w:pStyle w:val="BodyText"/>
        <w:spacing w:line="316" w:lineRule="auto"/>
        <w:ind w:right="135" w:firstLine="360"/>
        <w:jc w:val="left"/>
      </w:pPr>
      <w:r>
        <w:rPr/>
        <w:t>公司报告期不存在将根据《公开发行证券的公司信息披露解释性公告第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7"/>
        </w:rPr>
        <w:t> </w:t>
      </w:r>
      <w:r>
        <w:rPr>
          <w:spacing w:val="-3"/>
        </w:rPr>
        <w:t>号——非经常性损益》定义、列举的非经常性</w:t>
      </w:r>
      <w:r>
        <w:rPr/>
        <w:t> 损益项目界定为经常性损益的项目的情形。</w:t>
      </w:r>
    </w:p>
    <w:p>
      <w:pPr>
        <w:spacing w:after="0" w:line="316"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855" w:right="893"/>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rFonts w:ascii="宋体" w:hAnsi="宋体" w:cs="宋体" w:eastAsia="宋体" w:hint="default"/>
          <w:spacing w:val="-2"/>
        </w:rPr>
        <w:t>2014</w:t>
      </w:r>
      <w:r>
        <w:rPr>
          <w:spacing w:val="-2"/>
        </w:rPr>
        <w:t>年，我国软件和信息技术服务业整体呈平稳较快增长态势，收入增速比去年同期有所放缓，产业结构和布局良性调</w:t>
      </w:r>
      <w:r>
        <w:rPr/>
        <w:t> </w:t>
      </w:r>
      <w:r>
        <w:rPr>
          <w:spacing w:val="-2"/>
        </w:rPr>
        <w:t>整，新兴领域业务快速增长。报告期内，公司按照年初制定的经营发展战略，各项业务稳步推进，积极落实经营计划，业绩</w:t>
      </w:r>
      <w:r>
        <w:rPr>
          <w:spacing w:val="-67"/>
        </w:rPr>
        <w:t> </w:t>
      </w:r>
      <w:r>
        <w:rPr>
          <w:spacing w:val="-67"/>
        </w:rPr>
      </w:r>
      <w:r>
        <w:rPr>
          <w:spacing w:val="-2"/>
        </w:rPr>
        <w:t>保持持续稳定增长。过去的一年，公司逐步转变经营理念，注重业务模式创新，不断升级完善现有软件产品，用互联网思维</w:t>
      </w:r>
      <w:r>
        <w:rPr>
          <w:spacing w:val="-66"/>
        </w:rPr>
        <w:t> </w:t>
      </w:r>
      <w:r>
        <w:rPr>
          <w:spacing w:val="-66"/>
        </w:rPr>
      </w:r>
      <w:r>
        <w:rPr/>
        <w:t>打造传统软件企业，发展态势向好。</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、概述</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87" w:firstLine="360"/>
        <w:jc w:val="left"/>
      </w:pPr>
      <w:r>
        <w:rPr>
          <w:spacing w:val="-2"/>
        </w:rPr>
        <w:t>公司继续坚持内生式和外延式发展并举的公司战略，在保持原有业务实现持续增长的同时，积极对外投资以拓展新的业</w:t>
      </w:r>
      <w:r>
        <w:rPr/>
        <w:t> </w:t>
      </w:r>
      <w:r>
        <w:rPr>
          <w:spacing w:val="-4"/>
        </w:rPr>
        <w:t>务领域，有力推动了公司产能布局优化，公司营业规模和盈利能力得到持续提升。</w:t>
      </w:r>
      <w:r>
        <w:rPr>
          <w:rFonts w:ascii="宋体" w:hAnsi="宋体" w:cs="宋体" w:eastAsia="宋体" w:hint="default"/>
          <w:spacing w:val="-4"/>
        </w:rPr>
        <w:t>2014</w:t>
      </w:r>
      <w:r>
        <w:rPr>
          <w:spacing w:val="-4"/>
        </w:rPr>
        <w:t>年，公司经营情况良好，营业总收入、</w:t>
      </w:r>
      <w:r>
        <w:rPr>
          <w:spacing w:val="-36"/>
        </w:rPr>
        <w:t> </w:t>
      </w:r>
      <w:r>
        <w:rPr>
          <w:spacing w:val="-36"/>
        </w:rPr>
      </w:r>
      <w:r>
        <w:rPr>
          <w:spacing w:val="-2"/>
        </w:rPr>
        <w:t>利润总额和净利润保持稳步增长。实现营业收入</w:t>
      </w:r>
      <w:r>
        <w:rPr>
          <w:rFonts w:ascii="宋体" w:hAnsi="宋体" w:cs="宋体" w:eastAsia="宋体" w:hint="default"/>
          <w:spacing w:val="-2"/>
        </w:rPr>
        <w:t>5,171,048,660.00</w:t>
      </w:r>
      <w:r>
        <w:rPr>
          <w:spacing w:val="-2"/>
        </w:rPr>
        <w:t>元，比上年同期增长</w:t>
      </w:r>
      <w:r>
        <w:rPr>
          <w:rFonts w:ascii="宋体" w:hAnsi="宋体" w:cs="宋体" w:eastAsia="宋体" w:hint="default"/>
          <w:spacing w:val="-2"/>
        </w:rPr>
        <w:t>16.91%</w:t>
      </w:r>
      <w:r>
        <w:rPr>
          <w:spacing w:val="-2"/>
        </w:rPr>
        <w:t>；营业利润</w:t>
      </w:r>
      <w:r>
        <w:rPr>
          <w:rFonts w:ascii="宋体" w:hAnsi="宋体" w:cs="宋体" w:eastAsia="宋体" w:hint="default"/>
          <w:spacing w:val="-2"/>
        </w:rPr>
        <w:t>1,081,328,027.80</w:t>
      </w:r>
      <w:r>
        <w:rPr>
          <w:rFonts w:ascii="宋体" w:hAnsi="宋体" w:cs="宋体" w:eastAsia="宋体" w:hint="default"/>
          <w:spacing w:val="-30"/>
        </w:rPr>
        <w:t> </w:t>
      </w:r>
      <w:r>
        <w:rPr>
          <w:spacing w:val="6"/>
        </w:rPr>
        <w:t>元，比上年同期增长</w:t>
      </w:r>
      <w:r>
        <w:rPr>
          <w:rFonts w:ascii="宋体" w:hAnsi="宋体" w:cs="宋体" w:eastAsia="宋体" w:hint="default"/>
          <w:spacing w:val="6"/>
        </w:rPr>
        <w:t>35.33%</w:t>
      </w:r>
      <w:r>
        <w:rPr>
          <w:spacing w:val="6"/>
        </w:rPr>
        <w:t>，利润总额</w:t>
      </w:r>
      <w:r>
        <w:rPr>
          <w:rFonts w:ascii="宋体" w:hAnsi="宋体" w:cs="宋体" w:eastAsia="宋体" w:hint="default"/>
          <w:spacing w:val="6"/>
        </w:rPr>
        <w:t>1,124,838,425.36</w:t>
      </w:r>
      <w:r>
        <w:rPr>
          <w:spacing w:val="6"/>
        </w:rPr>
        <w:t>元，比上年同期增长</w:t>
      </w:r>
      <w:r>
        <w:rPr>
          <w:rFonts w:ascii="宋体" w:hAnsi="宋体" w:cs="宋体" w:eastAsia="宋体" w:hint="default"/>
          <w:spacing w:val="6"/>
        </w:rPr>
        <w:t>31.75%</w:t>
      </w:r>
      <w:r>
        <w:rPr>
          <w:spacing w:val="6"/>
        </w:rPr>
        <w:t>，归属于上市公司股东的净利润</w:t>
      </w:r>
      <w:r>
        <w:rPr>
          <w:spacing w:val="-50"/>
        </w:rPr>
        <w:t> </w:t>
      </w:r>
      <w:r>
        <w:rPr>
          <w:spacing w:val="-50"/>
        </w:rPr>
      </w:r>
      <w:r>
        <w:rPr>
          <w:rFonts w:ascii="宋体" w:hAnsi="宋体" w:cs="宋体" w:eastAsia="宋体" w:hint="default"/>
        </w:rPr>
        <w:t>1,038,654,013.57</w:t>
      </w:r>
      <w:r>
        <w:rPr/>
        <w:t>元，比上年同期增长</w:t>
      </w:r>
      <w:r>
        <w:rPr>
          <w:rFonts w:ascii="宋体" w:hAnsi="宋体" w:cs="宋体" w:eastAsia="宋体" w:hint="default"/>
        </w:rPr>
        <w:t>34.74%</w:t>
      </w:r>
      <w:r>
        <w:rPr/>
        <w:t>。</w:t>
      </w:r>
    </w:p>
    <w:p>
      <w:pPr>
        <w:pStyle w:val="BodyText"/>
        <w:spacing w:line="432" w:lineRule="exact" w:before="3"/>
        <w:ind w:left="515" w:right="190" w:hanging="2"/>
        <w:jc w:val="left"/>
      </w:pPr>
      <w:r>
        <w:rPr/>
        <w:t>公司回顾总结前期披露的发展战略和经营计划在报告期内的进展情况 </w:t>
      </w:r>
      <w:r>
        <w:rPr>
          <w:rFonts w:ascii="宋体" w:hAnsi="宋体" w:cs="宋体" w:eastAsia="宋体" w:hint="default"/>
          <w:b/>
          <w:bCs/>
          <w:spacing w:val="-2"/>
        </w:rPr>
        <w:t>金融保险行业：</w:t>
      </w:r>
      <w:r>
        <w:rPr>
          <w:spacing w:val="-2"/>
        </w:rPr>
        <w:t>银行方面：多年来东华已形成完全自主知识产权、全面银行业务的行业应用体系，是目前国内能为银行</w:t>
      </w:r>
    </w:p>
    <w:p>
      <w:pPr>
        <w:pStyle w:val="BodyText"/>
        <w:spacing w:line="316" w:lineRule="auto" w:before="15"/>
        <w:ind w:right="191"/>
        <w:jc w:val="both"/>
      </w:pPr>
      <w:r>
        <w:rPr>
          <w:spacing w:val="-2"/>
        </w:rPr>
        <w:t>提供全面解决方案的少数几家计算机信息系统集成商之一。</w:t>
      </w:r>
      <w:r>
        <w:rPr>
          <w:rFonts w:ascii="宋体" w:hAnsi="宋体" w:cs="宋体" w:eastAsia="宋体" w:hint="default"/>
          <w:spacing w:val="-2"/>
        </w:rPr>
        <w:t>2014</w:t>
      </w:r>
      <w:r>
        <w:rPr>
          <w:spacing w:val="-2"/>
        </w:rPr>
        <w:t>年公司与金融行业老客户合作进一步加深，相继签约了中国</w:t>
      </w:r>
      <w:r>
        <w:rPr>
          <w:spacing w:val="-59"/>
        </w:rPr>
        <w:t> </w:t>
      </w:r>
      <w:r>
        <w:rPr>
          <w:spacing w:val="-59"/>
        </w:rPr>
      </w:r>
      <w:r>
        <w:rPr>
          <w:spacing w:val="-2"/>
        </w:rPr>
        <w:t>银行数据中心网络产品续保项目，人民银行征信中心及清算中心私有云系统，国家开发银行和华夏银行数据仓库系统，华夏</w:t>
      </w:r>
      <w:r>
        <w:rPr>
          <w:spacing w:val="-66"/>
        </w:rPr>
        <w:t> </w:t>
      </w:r>
      <w:r>
        <w:rPr>
          <w:spacing w:val="-66"/>
        </w:rPr>
      </w:r>
      <w:r>
        <w:rPr/>
        <w:t>银行各分行的同城灾备系统，对公</w:t>
      </w:r>
      <w:r>
        <w:rPr>
          <w:rFonts w:ascii="宋体" w:hAnsi="宋体" w:cs="宋体" w:eastAsia="宋体" w:hint="default"/>
        </w:rPr>
        <w:t>CRM</w:t>
      </w:r>
      <w:r>
        <w:rPr/>
        <w:t>系统及高可用虚拟化设备改造项目、理财类高可用项目、影像集中处理生产设备采购</w:t>
      </w:r>
      <w:r>
        <w:rPr>
          <w:spacing w:val="-83"/>
        </w:rPr>
        <w:t> </w:t>
      </w:r>
      <w:r>
        <w:rPr>
          <w:spacing w:val="-83"/>
        </w:rPr>
      </w:r>
      <w:r>
        <w:rPr>
          <w:spacing w:val="-2"/>
        </w:rPr>
        <w:t>项目、硬件资源池网络采购项目等众多千万级合作案例；继续保持在大型网络项目上集成和实施能力的优势；参股并中标海</w:t>
      </w:r>
      <w:r>
        <w:rPr>
          <w:spacing w:val="-66"/>
        </w:rPr>
        <w:t> </w:t>
      </w:r>
      <w:r>
        <w:rPr>
          <w:spacing w:val="-66"/>
        </w:rPr>
      </w:r>
      <w:r>
        <w:rPr>
          <w:spacing w:val="-2"/>
        </w:rPr>
        <w:t>南银行</w:t>
      </w:r>
      <w:r>
        <w:rPr>
          <w:rFonts w:ascii="宋体" w:hAnsi="宋体" w:cs="宋体" w:eastAsia="宋体" w:hint="default"/>
          <w:spacing w:val="-2"/>
        </w:rPr>
        <w:t>IT</w:t>
      </w:r>
      <w:r>
        <w:rPr>
          <w:spacing w:val="-2"/>
        </w:rPr>
        <w:t>系统建设及中心机房建设项目，中标中国农业银行总行亦庄机房、东单大楼、丰台机房等的网络改造项目，中国银</w:t>
      </w:r>
      <w:r>
        <w:rPr>
          <w:spacing w:val="-64"/>
        </w:rPr>
        <w:t> </w:t>
      </w:r>
      <w:r>
        <w:rPr>
          <w:spacing w:val="-64"/>
        </w:rPr>
      </w:r>
      <w:r>
        <w:rPr>
          <w:spacing w:val="-2"/>
        </w:rPr>
        <w:t>行负载均衡系统，交通银行私有云系统，中国农业发展银行安全系统。积极开拓新客户，在全国各地加快了与地方中小银行</w:t>
      </w:r>
      <w:r>
        <w:rPr>
          <w:spacing w:val="-66"/>
        </w:rPr>
        <w:t> </w:t>
      </w:r>
      <w:r>
        <w:rPr>
          <w:spacing w:val="-66"/>
        </w:rPr>
      </w:r>
      <w:r>
        <w:rPr>
          <w:spacing w:val="-2"/>
        </w:rPr>
        <w:t>的合作，签署了晋中银行服务器硬件采购项目、北京银行第二批一体机采购项目，晋中银行二代支付系统，新疆农信数据仓</w:t>
      </w:r>
      <w:r>
        <w:rPr>
          <w:spacing w:val="-66"/>
        </w:rPr>
        <w:t> </w:t>
      </w:r>
      <w:r>
        <w:rPr>
          <w:spacing w:val="-66"/>
        </w:rPr>
      </w:r>
      <w:r>
        <w:rPr>
          <w:spacing w:val="-2"/>
        </w:rPr>
        <w:t>库农信银二代硬件产品采购项目，黄河银行、恒丰银行、武汉农商行、承德银行数据仓库系统等合同。加强与小微银行的深</w:t>
      </w:r>
      <w:r>
        <w:rPr>
          <w:spacing w:val="-66"/>
        </w:rPr>
        <w:t> </w:t>
      </w:r>
      <w:r>
        <w:rPr>
          <w:spacing w:val="-66"/>
        </w:rPr>
      </w:r>
      <w:r>
        <w:rPr>
          <w:spacing w:val="-2"/>
        </w:rPr>
        <w:t>入合作，签约赣州银行新数据中心机房网络建设项目，与江苏省农信下属几十家农商行合作共同建设</w:t>
      </w:r>
      <w:r>
        <w:rPr>
          <w:rFonts w:ascii="宋体" w:hAnsi="宋体" w:cs="宋体" w:eastAsia="宋体" w:hint="default"/>
          <w:spacing w:val="-2"/>
        </w:rPr>
        <w:t>1104</w:t>
      </w:r>
      <w:r>
        <w:rPr>
          <w:spacing w:val="-2"/>
        </w:rPr>
        <w:t>系统、金融统计系</w:t>
      </w:r>
      <w:r>
        <w:rPr>
          <w:spacing w:val="-62"/>
        </w:rPr>
        <w:t> </w:t>
      </w:r>
      <w:r>
        <w:rPr>
          <w:spacing w:val="-62"/>
        </w:rPr>
      </w:r>
      <w:r>
        <w:rPr>
          <w:spacing w:val="-2"/>
        </w:rPr>
        <w:t>统、客户风险报送系统，与安徽省农信下属十几家农商行合作模拟利润绩效考核系统、产品定价系统。村镇银行方面，云计</w:t>
      </w:r>
      <w:r>
        <w:rPr>
          <w:spacing w:val="-66"/>
        </w:rPr>
        <w:t> </w:t>
      </w:r>
      <w:r>
        <w:rPr>
          <w:spacing w:val="-66"/>
        </w:rPr>
      </w:r>
      <w:r>
        <w:rPr>
          <w:spacing w:val="-2"/>
        </w:rPr>
        <w:t>算托管中心新增邹平青隆、黄骅青龙、新密郑银、鄢陵郑银、青县青隆、东光青隆村镇银行，晋中市榆次融信村镇银行、长</w:t>
      </w:r>
      <w:r>
        <w:rPr>
          <w:spacing w:val="-71"/>
        </w:rPr>
        <w:t> </w:t>
      </w:r>
      <w:r>
        <w:rPr>
          <w:spacing w:val="-71"/>
        </w:rPr>
      </w:r>
      <w:r>
        <w:rPr/>
        <w:t>子县融汇村镇等银行的托管及</w:t>
      </w:r>
      <w:r>
        <w:rPr>
          <w:rFonts w:ascii="宋体" w:hAnsi="宋体" w:cs="宋体" w:eastAsia="宋体" w:hint="default"/>
        </w:rPr>
        <w:t>IT</w:t>
      </w:r>
      <w:r>
        <w:rPr/>
        <w:t>建设硬件采购及系统迁移。</w:t>
      </w:r>
    </w:p>
    <w:p>
      <w:pPr>
        <w:pStyle w:val="BodyText"/>
        <w:spacing w:line="316" w:lineRule="auto" w:before="139"/>
        <w:ind w:right="189" w:firstLine="360"/>
        <w:jc w:val="both"/>
      </w:pPr>
      <w:r>
        <w:rPr/>
        <w:t>子公司联银通成功中标交通银行小型机采购项目，签订交通银行数据中心系统，华夏银行</w:t>
      </w:r>
      <w:r>
        <w:rPr>
          <w:rFonts w:ascii="宋体" w:hAnsi="宋体" w:cs="宋体" w:eastAsia="宋体" w:hint="default"/>
        </w:rPr>
        <w:t>Oracle</w:t>
      </w:r>
      <w:r>
        <w:rPr/>
        <w:t>与</w:t>
      </w:r>
      <w:r>
        <w:rPr>
          <w:rFonts w:ascii="宋体" w:hAnsi="宋体" w:cs="宋体" w:eastAsia="宋体" w:hint="default"/>
        </w:rPr>
        <w:t>WAS</w:t>
      </w:r>
      <w:r>
        <w:rPr/>
        <w:t>第三方开发与运 </w:t>
      </w:r>
      <w:r>
        <w:rPr>
          <w:spacing w:val="-2"/>
        </w:rPr>
        <w:t>维驻场维护，工商多家分行的服务维护，长沙市商业银行审计信息管理平台建设，广州农商行非现场审计系统，陕西省农村</w:t>
      </w:r>
      <w:r>
        <w:rPr>
          <w:spacing w:val="-66"/>
        </w:rPr>
        <w:t> </w:t>
      </w:r>
      <w:r>
        <w:rPr>
          <w:spacing w:val="-66"/>
        </w:rPr>
      </w:r>
      <w:r>
        <w:rPr>
          <w:spacing w:val="-2"/>
        </w:rPr>
        <w:t>信用社联合社稽核审计管理系统项目开发，恒丰银行股份有限公司</w:t>
      </w:r>
      <w:r>
        <w:rPr>
          <w:rFonts w:ascii="宋体" w:hAnsi="宋体" w:cs="宋体" w:eastAsia="宋体" w:hint="default"/>
          <w:spacing w:val="-2"/>
        </w:rPr>
        <w:t>IT</w:t>
      </w:r>
      <w:r>
        <w:rPr>
          <w:spacing w:val="-2"/>
        </w:rPr>
        <w:t>运维管理系统研发及系统维护保养等项目合同；成功承</w:t>
      </w:r>
      <w:r>
        <w:rPr>
          <w:spacing w:val="-62"/>
        </w:rPr>
        <w:t> </w:t>
      </w:r>
      <w:r>
        <w:rPr>
          <w:spacing w:val="-62"/>
        </w:rPr>
      </w:r>
      <w:r>
        <w:rPr>
          <w:spacing w:val="-2"/>
        </w:rPr>
        <w:t>建了中国工商银行多家分行的自助设备监控及服务系统，多家城商行的审计信息管理系统，甘肃省农村信用社的审计信息系</w:t>
      </w:r>
      <w:r>
        <w:rPr>
          <w:spacing w:val="-64"/>
        </w:rPr>
        <w:t> </w:t>
      </w:r>
      <w:r>
        <w:rPr>
          <w:spacing w:val="-64"/>
        </w:rPr>
      </w:r>
      <w:r>
        <w:rPr/>
        <w:t>统项目。</w:t>
      </w:r>
    </w:p>
    <w:p>
      <w:pPr>
        <w:pStyle w:val="BodyText"/>
        <w:spacing w:line="316" w:lineRule="auto" w:before="139"/>
        <w:ind w:right="87" w:firstLine="360"/>
        <w:jc w:val="left"/>
      </w:pPr>
      <w:r>
        <w:rPr>
          <w:spacing w:val="-4"/>
        </w:rPr>
        <w:t>证券保险行业：公司签约泰康人寿私有云中心，新华人寿视频会议系统以及中国人寿存储备份系统；先后中标银河证券、</w:t>
      </w:r>
      <w:r>
        <w:rPr/>
        <w:t> </w:t>
      </w:r>
      <w:r>
        <w:rPr>
          <w:spacing w:val="-2"/>
        </w:rPr>
        <w:t>信达证券、国元证券、广发证券等数据中心系统，国开证券有限责任公司阜外新办公楼</w:t>
      </w:r>
      <w:r>
        <w:rPr>
          <w:rFonts w:ascii="宋体" w:hAnsi="宋体" w:cs="宋体" w:eastAsia="宋体" w:hint="default"/>
          <w:spacing w:val="-2"/>
        </w:rPr>
        <w:t>IT</w:t>
      </w:r>
      <w:r>
        <w:rPr>
          <w:spacing w:val="-2"/>
        </w:rPr>
        <w:t>基础设施建设项目。除此之外，公</w:t>
      </w:r>
      <w:r>
        <w:rPr>
          <w:spacing w:val="-64"/>
        </w:rPr>
        <w:t> </w:t>
      </w:r>
      <w:r>
        <w:rPr>
          <w:spacing w:val="-64"/>
        </w:rPr>
      </w:r>
      <w:r>
        <w:rPr/>
        <w:t>司新增了与中山证券、新华人寿、华融证券、中国银河证券、民生证券等大型券商的集成合作。</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87" w:firstLine="361"/>
        <w:jc w:val="left"/>
      </w:pPr>
      <w:r>
        <w:rPr>
          <w:rFonts w:ascii="宋体" w:hAnsi="宋体" w:cs="宋体" w:eastAsia="宋体" w:hint="default"/>
          <w:b/>
          <w:bCs/>
        </w:rPr>
        <w:t>电力行业：</w:t>
      </w:r>
      <w:r>
        <w:rPr/>
        <w:t>公司不断拓展业务领域，经济扩大公司在电力行业的市场份额。</w:t>
      </w:r>
      <w:r>
        <w:rPr>
          <w:rFonts w:ascii="宋体" w:hAnsi="宋体" w:cs="宋体" w:eastAsia="宋体" w:hint="default"/>
        </w:rPr>
        <w:t>2014</w:t>
      </w:r>
      <w:r>
        <w:rPr/>
        <w:t>年相继签约国家电网总部、湖北电力、 </w:t>
      </w:r>
      <w:r>
        <w:rPr>
          <w:spacing w:val="-2"/>
        </w:rPr>
        <w:t>宁夏电力、江西电力、重庆电力、四川电力、吉林电力、新疆电力、内蒙古电力等多个电力调度数据网项目，公司自有产品</w:t>
      </w:r>
      <w:r>
        <w:rPr>
          <w:spacing w:val="-72"/>
        </w:rPr>
        <w:t> </w:t>
      </w:r>
      <w:r>
        <w:rPr>
          <w:spacing w:val="-72"/>
        </w:rPr>
      </w:r>
      <w:r>
        <w:rPr/>
        <w:t>负载均衡及</w:t>
      </w:r>
      <w:r>
        <w:rPr>
          <w:rFonts w:ascii="宋体" w:hAnsi="宋体" w:cs="宋体" w:eastAsia="宋体" w:hint="default"/>
        </w:rPr>
        <w:t>ITSM</w:t>
      </w:r>
      <w:r>
        <w:rPr/>
        <w:t>在电力行业销售良好；新签约了南方电网</w:t>
      </w:r>
      <w:r>
        <w:rPr>
          <w:rFonts w:ascii="宋体" w:hAnsi="宋体" w:cs="宋体" w:eastAsia="宋体" w:hint="default"/>
        </w:rPr>
        <w:t>500kv</w:t>
      </w:r>
      <w:r>
        <w:rPr/>
        <w:t>输变电工程网络建设合同，科东电力北京在线技术支持中心</w:t>
      </w:r>
      <w:r>
        <w:rPr>
          <w:spacing w:val="-83"/>
        </w:rPr>
        <w:t> </w:t>
      </w:r>
      <w:r>
        <w:rPr>
          <w:spacing w:val="-83"/>
        </w:rPr>
      </w:r>
      <w:r>
        <w:rPr>
          <w:spacing w:val="-2"/>
        </w:rPr>
        <w:t>建设技改项目，中国华能在线经营应用平台开发项目，四川华能涪江水电在线经营等大额软硬件项目合同；除此之外，公司</w:t>
      </w:r>
      <w:r>
        <w:rPr>
          <w:spacing w:val="-65"/>
        </w:rPr>
        <w:t> </w:t>
      </w:r>
      <w:r>
        <w:rPr>
          <w:spacing w:val="-65"/>
        </w:rPr>
      </w:r>
      <w:r>
        <w:rPr/>
        <w:t>还承建了国电电力、大唐、中电投等多个大型发电公司的私有云建设项目，进一步扩大了公司的市场份额。</w:t>
      </w:r>
    </w:p>
    <w:p>
      <w:pPr>
        <w:pStyle w:val="BodyText"/>
        <w:spacing w:line="316" w:lineRule="auto" w:before="137"/>
        <w:ind w:right="87" w:firstLine="361"/>
        <w:jc w:val="left"/>
      </w:pPr>
      <w:r>
        <w:rPr>
          <w:rFonts w:ascii="宋体" w:hAnsi="宋体" w:cs="宋体" w:eastAsia="宋体" w:hint="default"/>
          <w:b/>
          <w:bCs/>
        </w:rPr>
        <w:t>通讯行业：</w:t>
      </w:r>
      <w:r>
        <w:rPr/>
        <w:t>在不断完善和运营去年签订的各项目基础上，</w:t>
      </w:r>
      <w:r>
        <w:rPr>
          <w:rFonts w:ascii="宋体" w:hAnsi="宋体" w:cs="宋体" w:eastAsia="宋体" w:hint="default"/>
        </w:rPr>
        <w:t>2014</w:t>
      </w:r>
      <w:r>
        <w:rPr/>
        <w:t>年公司签约中国移动通信集团河南、山西、云南、河北、 </w:t>
      </w:r>
      <w:r>
        <w:rPr>
          <w:spacing w:val="-2"/>
        </w:rPr>
        <w:t>黑龙江、浙江、江苏、宁夏、湖南、辽宁、天津等有限公司，联通系统集成有限责任公司广东省分公司，新疆信息产业股份</w:t>
      </w:r>
      <w:r>
        <w:rPr>
          <w:spacing w:val="-67"/>
        </w:rPr>
        <w:t> </w:t>
      </w:r>
      <w:r>
        <w:rPr>
          <w:spacing w:val="-67"/>
        </w:rPr>
      </w:r>
      <w:r>
        <w:rPr>
          <w:spacing w:val="-2"/>
        </w:rPr>
        <w:t>有限公司等，业务量、业务收入和用户总数持续快速增长。公司进一步加强与联通、移动、电信的合作，为共同推进智慧城</w:t>
      </w:r>
      <w:r>
        <w:rPr>
          <w:spacing w:val="-68"/>
        </w:rPr>
        <w:t> </w:t>
      </w:r>
      <w:r>
        <w:rPr>
          <w:spacing w:val="-68"/>
        </w:rPr>
      </w:r>
      <w:r>
        <w:rPr>
          <w:spacing w:val="-2"/>
        </w:rPr>
        <w:t>市贡献自己力量。凭借不断提高的服务水平，公司又签约山西移动网管中心</w:t>
      </w:r>
      <w:r>
        <w:rPr>
          <w:rFonts w:ascii="宋体" w:hAnsi="宋体" w:cs="宋体" w:eastAsia="宋体" w:hint="default"/>
          <w:spacing w:val="-2"/>
        </w:rPr>
        <w:t>2014</w:t>
      </w:r>
      <w:r>
        <w:rPr>
          <w:spacing w:val="-2"/>
        </w:rPr>
        <w:t>年业务平台硬件及通用软件维保，山西移动</w:t>
      </w:r>
      <w:r>
        <w:rPr>
          <w:spacing w:val="-62"/>
        </w:rPr>
        <w:t> </w:t>
      </w:r>
      <w:r>
        <w:rPr>
          <w:spacing w:val="-62"/>
        </w:rPr>
      </w:r>
      <w:r>
        <w:rPr/>
        <w:t>通讯数据仓库设备维保服务到期续签及</w:t>
      </w:r>
      <w:r>
        <w:rPr>
          <w:rFonts w:ascii="宋体" w:hAnsi="宋体" w:cs="宋体" w:eastAsia="宋体" w:hint="default"/>
        </w:rPr>
        <w:t>BOSS</w:t>
      </w:r>
      <w:r>
        <w:rPr/>
        <w:t>系统</w:t>
      </w:r>
      <w:r>
        <w:rPr>
          <w:rFonts w:ascii="宋体" w:hAnsi="宋体" w:cs="宋体" w:eastAsia="宋体" w:hint="default"/>
        </w:rPr>
        <w:t>storagefoundation</w:t>
      </w:r>
      <w:r>
        <w:rPr/>
        <w:t>软件</w:t>
      </w:r>
      <w:r>
        <w:rPr>
          <w:rFonts w:ascii="宋体" w:hAnsi="宋体" w:cs="宋体" w:eastAsia="宋体" w:hint="default"/>
        </w:rPr>
        <w:t>14</w:t>
      </w:r>
      <w:r>
        <w:rPr/>
        <w:t>年维保服务等持续服务项目。</w:t>
      </w:r>
    </w:p>
    <w:p>
      <w:pPr>
        <w:pStyle w:val="BodyText"/>
        <w:spacing w:line="316" w:lineRule="auto" w:before="139"/>
        <w:ind w:right="192" w:firstLine="361"/>
        <w:jc w:val="both"/>
      </w:pPr>
      <w:r>
        <w:rPr>
          <w:rFonts w:ascii="宋体" w:hAnsi="宋体" w:cs="宋体" w:eastAsia="宋体" w:hint="default"/>
          <w:b/>
          <w:bCs/>
          <w:spacing w:val="-2"/>
        </w:rPr>
        <w:t>交通运输业：</w:t>
      </w:r>
      <w:r>
        <w:rPr>
          <w:spacing w:val="-2"/>
        </w:rPr>
        <w:t>在继续扩大国航、海航、中航信等老客户市场份额的同时，公司不断拓展新的客户资源，签约广东航道总</w:t>
      </w:r>
      <w:r>
        <w:rPr/>
        <w:t> </w:t>
      </w:r>
      <w:r>
        <w:rPr>
          <w:spacing w:val="-2"/>
        </w:rPr>
        <w:t>局私有云中心、民航机场建设公司、重庆港航局网络系统、深圳航空审计系统；实施连云港数据中心及网络工程、秦皇岛港</w:t>
      </w:r>
      <w:r>
        <w:rPr>
          <w:spacing w:val="-66"/>
        </w:rPr>
        <w:t> </w:t>
      </w:r>
      <w:r>
        <w:rPr>
          <w:spacing w:val="-66"/>
        </w:rPr>
      </w:r>
      <w:r>
        <w:rPr>
          <w:spacing w:val="-2"/>
        </w:rPr>
        <w:t>务局全面预算系统、贵阳市公安交通管理局高清视频监控平台、铁路总公司铁路货运安全监控与管理系统工程、北京市交通</w:t>
      </w:r>
      <w:r>
        <w:rPr>
          <w:spacing w:val="-66"/>
        </w:rPr>
        <w:t> </w:t>
      </w:r>
      <w:r>
        <w:rPr>
          <w:spacing w:val="-66"/>
        </w:rPr>
      </w:r>
      <w:r>
        <w:rPr/>
        <w:t>运行协调指挥中心（</w:t>
      </w:r>
      <w:r>
        <w:rPr>
          <w:rFonts w:ascii="宋体" w:hAnsi="宋体" w:cs="宋体" w:eastAsia="宋体" w:hint="default"/>
        </w:rPr>
        <w:t>TOCC</w:t>
      </w:r>
      <w:r>
        <w:rPr/>
        <w:t>）二期工程综合交通运行监测与服务系统等。</w:t>
      </w:r>
    </w:p>
    <w:p>
      <w:pPr>
        <w:pStyle w:val="BodyText"/>
        <w:spacing w:line="316" w:lineRule="auto" w:before="139"/>
        <w:ind w:right="92" w:firstLine="361"/>
        <w:jc w:val="left"/>
      </w:pPr>
      <w:r>
        <w:rPr>
          <w:rFonts w:ascii="宋体" w:hAnsi="宋体" w:cs="宋体" w:eastAsia="宋体" w:hint="default"/>
          <w:b/>
          <w:bCs/>
          <w:spacing w:val="-2"/>
        </w:rPr>
        <w:t>医疗行业：</w:t>
      </w:r>
      <w:r>
        <w:rPr>
          <w:spacing w:val="-2"/>
        </w:rPr>
        <w:t>继续巩固东华医疗行业</w:t>
      </w:r>
      <w:r>
        <w:rPr>
          <w:rFonts w:ascii="宋体" w:hAnsi="宋体" w:cs="宋体" w:eastAsia="宋体" w:hint="default"/>
          <w:spacing w:val="-2"/>
        </w:rPr>
        <w:t>IT</w:t>
      </w:r>
      <w:r>
        <w:rPr>
          <w:spacing w:val="-2"/>
        </w:rPr>
        <w:t>解决方案在医疗</w:t>
      </w:r>
      <w:r>
        <w:rPr>
          <w:rFonts w:ascii="宋体" w:hAnsi="宋体" w:cs="宋体" w:eastAsia="宋体" w:hint="default"/>
          <w:spacing w:val="-2"/>
        </w:rPr>
        <w:t>IT</w:t>
      </w:r>
      <w:r>
        <w:rPr>
          <w:spacing w:val="-2"/>
        </w:rPr>
        <w:t>领域的领先地位，在坚持做好老客户升级维护服务的基础上，不</w:t>
      </w:r>
      <w:r>
        <w:rPr/>
        <w:t> 断扩大全国大型医院和医疗管理机构的用户数量。在数字化医院领域，新增加了以南方医科大学南方医院、甘肃省中医院、 </w:t>
      </w:r>
      <w:r>
        <w:rPr>
          <w:spacing w:val="-2"/>
        </w:rPr>
        <w:t>河南洛阳市正骨医院、北京市回龙观医院、北京老年医院、广东中山积水潭医院等为代表的数字化医院建设项目；在区域医</w:t>
      </w:r>
      <w:r>
        <w:rPr>
          <w:spacing w:val="-66"/>
        </w:rPr>
        <w:t> </w:t>
      </w:r>
      <w:r>
        <w:rPr>
          <w:spacing w:val="-66"/>
        </w:rPr>
      </w:r>
      <w:r>
        <w:rPr>
          <w:spacing w:val="-2"/>
        </w:rPr>
        <w:t>疗领域和智慧医疗领域，东华软件积极参与搭建全国智慧医疗的支撑平台，相继签署桂林市智慧医疗建设项目、呼和浩特市</w:t>
      </w:r>
      <w:r>
        <w:rPr>
          <w:spacing w:val="-66"/>
        </w:rPr>
        <w:t> </w:t>
      </w:r>
      <w:r>
        <w:rPr>
          <w:spacing w:val="-66"/>
        </w:rPr>
      </w:r>
      <w:r>
        <w:rPr/>
        <w:t>智慧医疗合作框架协议、武汉卫计委和河南南阳卫计委中小医院云模式</w:t>
      </w:r>
      <w:r>
        <w:rPr>
          <w:rFonts w:ascii="宋体" w:hAnsi="宋体" w:cs="宋体" w:eastAsia="宋体" w:hint="default"/>
        </w:rPr>
        <w:t>HIS</w:t>
      </w:r>
      <w:r>
        <w:rPr/>
        <w:t>系统项目、国家卫计委统计信息中心国家健康卡</w:t>
      </w:r>
      <w:r>
        <w:rPr>
          <w:spacing w:val="-82"/>
        </w:rPr>
        <w:t> </w:t>
      </w:r>
      <w:r>
        <w:rPr>
          <w:spacing w:val="-82"/>
        </w:rPr>
      </w:r>
      <w:r>
        <w:rPr>
          <w:spacing w:val="-2"/>
        </w:rPr>
        <w:t>管理平台项目；在互联网医疗领域，东华软件全资健康乐软件有限公司相继推出免费版云诊所系统、与医院内部临床数据管</w:t>
      </w:r>
      <w:r>
        <w:rPr>
          <w:spacing w:val="-66"/>
        </w:rPr>
        <w:t> </w:t>
      </w:r>
      <w:r>
        <w:rPr>
          <w:spacing w:val="-66"/>
        </w:rPr>
      </w:r>
      <w:r>
        <w:rPr>
          <w:spacing w:val="-2"/>
        </w:rPr>
        <w:t>理融为一体的健康乐随访系统，目前北京协和医院数字化医院已整体验收成功，并与几十余家大中医院达成互联网医疗战略</w:t>
      </w:r>
      <w:r>
        <w:rPr>
          <w:spacing w:val="-64"/>
        </w:rPr>
        <w:t> </w:t>
      </w:r>
      <w:r>
        <w:rPr>
          <w:spacing w:val="-64"/>
        </w:rPr>
      </w:r>
      <w:r>
        <w:rPr/>
        <w:t>运营协议。</w:t>
      </w:r>
    </w:p>
    <w:p>
      <w:pPr>
        <w:pStyle w:val="BodyText"/>
        <w:spacing w:line="316" w:lineRule="auto" w:before="139"/>
        <w:ind w:right="87" w:firstLine="361"/>
        <w:jc w:val="left"/>
      </w:pPr>
      <w:r>
        <w:rPr>
          <w:rFonts w:ascii="宋体" w:hAnsi="宋体" w:cs="宋体" w:eastAsia="宋体" w:hint="default"/>
          <w:b/>
          <w:bCs/>
          <w:spacing w:val="-2"/>
        </w:rPr>
        <w:t>政府：</w:t>
      </w:r>
      <w:r>
        <w:rPr>
          <w:spacing w:val="-2"/>
        </w:rPr>
        <w:t>在松辽流域、黄河流域水资源监控平台应用系统开发不断完善的基础上，公司签约国家水资源监控能力建设各地</w:t>
      </w:r>
      <w:r>
        <w:rPr/>
        <w:t> </w:t>
      </w:r>
      <w:r>
        <w:rPr>
          <w:spacing w:val="-2"/>
        </w:rPr>
        <w:t>流域及省厅水资源项目总集、水利财务管理信息系统应用支撑平台项目、水利部国家防汛抗旱指挥系统工程项目、国家防汛</w:t>
      </w:r>
      <w:r>
        <w:rPr>
          <w:spacing w:val="-66"/>
        </w:rPr>
        <w:t> </w:t>
      </w:r>
      <w:r>
        <w:rPr>
          <w:spacing w:val="-66"/>
        </w:rPr>
      </w:r>
      <w:r>
        <w:rPr>
          <w:spacing w:val="-2"/>
        </w:rPr>
        <w:t>抗旱指挥系统二期工程计算机网络与安全系统骨干网项目；承接国家气象局风云二号</w:t>
      </w:r>
      <w:r>
        <w:rPr>
          <w:rFonts w:ascii="宋体" w:hAnsi="宋体" w:cs="宋体" w:eastAsia="宋体" w:hint="default"/>
          <w:spacing w:val="-2"/>
        </w:rPr>
        <w:t>F</w:t>
      </w:r>
      <w:r>
        <w:rPr>
          <w:spacing w:val="-2"/>
        </w:rPr>
        <w:t>星、风云三号</w:t>
      </w:r>
      <w:r>
        <w:rPr>
          <w:rFonts w:ascii="宋体" w:hAnsi="宋体" w:cs="宋体" w:eastAsia="宋体" w:hint="default"/>
          <w:spacing w:val="-2"/>
        </w:rPr>
        <w:t>B</w:t>
      </w:r>
      <w:r>
        <w:rPr>
          <w:spacing w:val="-2"/>
        </w:rPr>
        <w:t>星相关软硬件维保服务</w:t>
      </w:r>
      <w:r>
        <w:rPr>
          <w:spacing w:val="-62"/>
        </w:rPr>
        <w:t> </w:t>
      </w:r>
      <w:r>
        <w:rPr>
          <w:spacing w:val="-2"/>
        </w:rPr>
        <w:t>项目及河南、新疆、湖北等多个省级气象局软件开发及系统集成项目；顺利实施了国家外汇管理局银行数据统计项目、国家</w:t>
      </w:r>
      <w:r>
        <w:rPr>
          <w:spacing w:val="-66"/>
        </w:rPr>
        <w:t> </w:t>
      </w:r>
      <w:r>
        <w:rPr>
          <w:spacing w:val="-66"/>
        </w:rPr>
      </w:r>
      <w:r>
        <w:rPr>
          <w:spacing w:val="-4"/>
        </w:rPr>
        <w:t>现代测绘基准体系基础设施建设项目、内蒙古自治区人民检察院视频中心工程、国家外汇管理局数据统一采集（一期）项目、</w:t>
      </w:r>
      <w:r>
        <w:rPr>
          <w:spacing w:val="-46"/>
        </w:rPr>
        <w:t> </w:t>
      </w:r>
      <w:r>
        <w:rPr>
          <w:spacing w:val="-46"/>
        </w:rPr>
      </w:r>
      <w:r>
        <w:rPr>
          <w:spacing w:val="-2"/>
        </w:rPr>
        <w:t>北京发展和改革委员会中关村现代服务业</w:t>
      </w:r>
      <w:r>
        <w:rPr>
          <w:rFonts w:ascii="宋体" w:hAnsi="宋体" w:cs="宋体" w:eastAsia="宋体" w:hint="default"/>
          <w:spacing w:val="-2"/>
        </w:rPr>
        <w:t>2014</w:t>
      </w:r>
      <w:r>
        <w:rPr>
          <w:spacing w:val="-2"/>
        </w:rPr>
        <w:t>试点项目、国家工商行政管理总局办公厅商标注册与管理自动化系统维护服务</w:t>
      </w:r>
      <w:r>
        <w:rPr>
          <w:spacing w:val="-60"/>
        </w:rPr>
        <w:t> </w:t>
      </w:r>
      <w:r>
        <w:rPr>
          <w:spacing w:val="-60"/>
        </w:rPr>
      </w:r>
      <w:r>
        <w:rPr/>
        <w:t>项目。</w:t>
      </w:r>
    </w:p>
    <w:p>
      <w:pPr>
        <w:pStyle w:val="BodyText"/>
        <w:spacing w:line="316" w:lineRule="auto" w:before="139"/>
        <w:ind w:right="189" w:firstLine="361"/>
        <w:jc w:val="both"/>
      </w:pPr>
      <w:r>
        <w:rPr>
          <w:rFonts w:ascii="宋体" w:hAnsi="宋体" w:cs="宋体" w:eastAsia="宋体" w:hint="default"/>
          <w:b/>
          <w:bCs/>
          <w:spacing w:val="-2"/>
        </w:rPr>
        <w:t>石油石化行业：</w:t>
      </w:r>
      <w:r>
        <w:rPr>
          <w:spacing w:val="-2"/>
        </w:rPr>
        <w:t>签约中国中化股份有限公司，石化盈科信息技术有限责任公司，中国海洋石油总公司，中国石油化工股</w:t>
      </w:r>
      <w:r>
        <w:rPr/>
        <w:t> 份有限公司山西石油分公司，北京中油锐思技术开发有限责任公司，中石油管道物资装备总公司；稳定推进</w:t>
      </w:r>
      <w:r>
        <w:rPr>
          <w:rFonts w:ascii="宋体" w:hAnsi="宋体" w:cs="宋体" w:eastAsia="宋体" w:hint="default"/>
        </w:rPr>
        <w:t>IBM</w:t>
      </w:r>
      <w:r>
        <w:rPr/>
        <w:t>软件产品采</w:t>
      </w:r>
      <w:r>
        <w:rPr>
          <w:spacing w:val="-81"/>
        </w:rPr>
        <w:t> </w:t>
      </w:r>
      <w:r>
        <w:rPr>
          <w:spacing w:val="-2"/>
        </w:rPr>
        <w:t>购，宽带核心设备万兆扩容，</w:t>
      </w:r>
      <w:r>
        <w:rPr>
          <w:rFonts w:ascii="宋体" w:hAnsi="宋体" w:cs="宋体" w:eastAsia="宋体" w:hint="default"/>
          <w:spacing w:val="-2"/>
        </w:rPr>
        <w:t>2014</w:t>
      </w:r>
      <w:r>
        <w:rPr>
          <w:spacing w:val="-2"/>
        </w:rPr>
        <w:t>虚拟服务器扩容项目采购，数据备份与恢复，</w:t>
      </w:r>
      <w:r>
        <w:rPr>
          <w:rFonts w:ascii="宋体" w:hAnsi="宋体" w:cs="宋体" w:eastAsia="宋体" w:hint="default"/>
          <w:spacing w:val="-2"/>
        </w:rPr>
        <w:t>Geolog</w:t>
      </w:r>
      <w:r>
        <w:rPr>
          <w:spacing w:val="-2"/>
        </w:rPr>
        <w:t>测井解释软件采购项目，视频会议系</w:t>
      </w:r>
      <w:r>
        <w:rPr>
          <w:spacing w:val="-56"/>
        </w:rPr>
        <w:t> </w:t>
      </w:r>
      <w:r>
        <w:rPr>
          <w:spacing w:val="-56"/>
        </w:rPr>
      </w:r>
      <w:r>
        <w:rPr>
          <w:spacing w:val="-2"/>
        </w:rPr>
        <w:t>统核心升级备份及移动功能接入，</w:t>
      </w:r>
      <w:r>
        <w:rPr>
          <w:rFonts w:ascii="宋体" w:hAnsi="宋体" w:cs="宋体" w:eastAsia="宋体" w:hint="default"/>
          <w:spacing w:val="-2"/>
        </w:rPr>
        <w:t>PC</w:t>
      </w:r>
      <w:r>
        <w:rPr>
          <w:spacing w:val="-2"/>
        </w:rPr>
        <w:t>服务器，云平台运维、容灾体系建设及演练咨询服务，网络安全域建设，工程师驻场服</w:t>
      </w:r>
      <w:r>
        <w:rPr>
          <w:spacing w:val="-64"/>
        </w:rPr>
        <w:t> </w:t>
      </w:r>
      <w:r>
        <w:rPr>
          <w:spacing w:val="-64"/>
        </w:rPr>
      </w:r>
      <w:r>
        <w:rPr/>
        <w:t>务等项目的运行。</w:t>
      </w:r>
    </w:p>
    <w:p>
      <w:pPr>
        <w:pStyle w:val="BodyText"/>
        <w:spacing w:line="316" w:lineRule="auto" w:before="139"/>
        <w:ind w:right="87" w:firstLine="361"/>
        <w:jc w:val="left"/>
      </w:pPr>
      <w:r>
        <w:rPr>
          <w:rFonts w:ascii="宋体" w:hAnsi="宋体" w:cs="宋体" w:eastAsia="宋体" w:hint="default"/>
          <w:b/>
          <w:bCs/>
          <w:spacing w:val="-2"/>
        </w:rPr>
        <w:t>制造业：</w:t>
      </w:r>
      <w:r>
        <w:rPr>
          <w:spacing w:val="-2"/>
        </w:rPr>
        <w:t>在</w:t>
      </w:r>
      <w:r>
        <w:rPr>
          <w:rFonts w:ascii="宋体" w:hAnsi="宋体" w:cs="宋体" w:eastAsia="宋体" w:hint="default"/>
          <w:spacing w:val="-2"/>
        </w:rPr>
        <w:t>2014</w:t>
      </w:r>
      <w:r>
        <w:rPr>
          <w:spacing w:val="-2"/>
        </w:rPr>
        <w:t>年相继签约中航商用飞机公司、成都飞机公司、江苏中烟公司、金鹰集团、平高集团、许昌烟机、国机</w:t>
      </w:r>
      <w:r>
        <w:rPr/>
        <w:t> </w:t>
      </w:r>
      <w:r>
        <w:rPr>
          <w:spacing w:val="-4"/>
        </w:rPr>
        <w:t>集团、江苏沙钢集团等制造业软件开发及集成项目。继续扩大制造业市场份额，承建了北京汽车集团财务公司数据机房建设，</w:t>
      </w:r>
      <w:r>
        <w:rPr>
          <w:spacing w:val="-44"/>
        </w:rPr>
        <w:t> </w:t>
      </w:r>
      <w:r>
        <w:rPr>
          <w:spacing w:val="-44"/>
        </w:rPr>
      </w:r>
      <w:r>
        <w:rPr>
          <w:spacing w:val="-2"/>
        </w:rPr>
        <w:t>常德烟草机械公司监控系统，许昌烟草机械易地技术改造项目网络系统以及北京首钢自动化信息技术有限公司报表系统、二</w:t>
      </w:r>
      <w:r>
        <w:rPr>
          <w:spacing w:val="-64"/>
        </w:rPr>
        <w:t> </w:t>
      </w:r>
      <w:r>
        <w:rPr>
          <w:spacing w:val="-64"/>
        </w:rPr>
      </w:r>
      <w:r>
        <w:rPr/>
        <w:t>级控制系统的升级改造。</w:t>
      </w:r>
    </w:p>
    <w:p>
      <w:pPr>
        <w:pStyle w:val="BodyText"/>
        <w:spacing w:line="316" w:lineRule="auto" w:before="139"/>
        <w:ind w:right="190" w:firstLine="361"/>
        <w:jc w:val="both"/>
      </w:pPr>
      <w:r>
        <w:rPr>
          <w:rFonts w:ascii="宋体" w:hAnsi="宋体" w:cs="宋体" w:eastAsia="宋体" w:hint="default"/>
          <w:b/>
          <w:bCs/>
          <w:spacing w:val="-2"/>
        </w:rPr>
        <w:t>煤炭行业：</w:t>
      </w:r>
      <w:r>
        <w:rPr>
          <w:spacing w:val="-2"/>
        </w:rPr>
        <w:t>成功签约太原煤炭气化集团有限责任公司调度指挥中心智能化工程，乌苏四棵树煤炭有限责任公司计算机网</w:t>
      </w:r>
      <w:r>
        <w:rPr/>
        <w:t> </w:t>
      </w:r>
      <w:r>
        <w:rPr>
          <w:spacing w:val="-2"/>
        </w:rPr>
        <w:t>络集成，山西煤炭运销集团盖州煤业有限公司矿井综合自动化系统软件集成平台及井上井下工业环网平台系统，神华宁夏煤</w:t>
      </w:r>
      <w:r>
        <w:rPr>
          <w:spacing w:val="-64"/>
        </w:rPr>
        <w:t> </w:t>
      </w:r>
      <w:r>
        <w:rPr>
          <w:spacing w:val="-64"/>
        </w:rPr>
      </w:r>
      <w:r>
        <w:rPr/>
        <w:t>业集团有限责任公司</w:t>
      </w:r>
      <w:r>
        <w:rPr>
          <w:rFonts w:ascii="宋体" w:hAnsi="宋体" w:cs="宋体" w:eastAsia="宋体" w:hint="default"/>
        </w:rPr>
        <w:t>IBM</w:t>
      </w:r>
      <w:r>
        <w:rPr/>
        <w:t>小型机，沈阳焦煤股份有限公司沈煤资源整合一期项目，山西王家岭煤业有限公司办公网络，山东</w:t>
      </w:r>
      <w:r>
        <w:rPr>
          <w:spacing w:val="-83"/>
        </w:rPr>
        <w:t> </w:t>
      </w:r>
      <w:r>
        <w:rPr>
          <w:spacing w:val="-83"/>
        </w:rPr>
      </w:r>
      <w:r>
        <w:rPr>
          <w:spacing w:val="-2"/>
        </w:rPr>
        <w:t>新矿信息技术有限公司焦化园项目等大型项目；并先后签约同煤集团、阳煤集团、兖矿集团、新汶矿业、华电煤业等数字化</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矿山项目。</w:t>
      </w:r>
    </w:p>
    <w:p>
      <w:pPr>
        <w:spacing w:line="240" w:lineRule="auto" w:before="0"/>
        <w:rPr>
          <w:rFonts w:ascii="宋体" w:hAnsi="宋体" w:cs="宋体" w:eastAsia="宋体" w:hint="default"/>
          <w:sz w:val="15"/>
          <w:szCs w:val="15"/>
        </w:rPr>
      </w:pPr>
    </w:p>
    <w:p>
      <w:pPr>
        <w:pStyle w:val="BodyText"/>
        <w:spacing w:line="316" w:lineRule="auto"/>
        <w:ind w:right="190" w:firstLine="361"/>
        <w:jc w:val="both"/>
      </w:pPr>
      <w:r>
        <w:rPr>
          <w:rFonts w:ascii="宋体" w:hAnsi="宋体" w:cs="宋体" w:eastAsia="宋体" w:hint="default"/>
          <w:b/>
          <w:bCs/>
          <w:spacing w:val="-2"/>
        </w:rPr>
        <w:t>农产品及物流业：</w:t>
      </w:r>
      <w:r>
        <w:rPr>
          <w:spacing w:val="-2"/>
        </w:rPr>
        <w:t>公司在维护原有客户的基础上，继续在国内农产品物流市场保持绝对行业领先。签约贵州省渔樵水产</w:t>
      </w:r>
      <w:r>
        <w:rPr/>
        <w:t> </w:t>
      </w:r>
      <w:r>
        <w:rPr>
          <w:spacing w:val="-2"/>
        </w:rPr>
        <w:t>品仓储物流配送中心、福建武平县天宏市场闽粤边农副产品交易市场、福建长泰县芦柑批发市场、湖南绥宁县城乡市场管理</w:t>
      </w:r>
      <w:r>
        <w:rPr>
          <w:spacing w:val="-66"/>
        </w:rPr>
        <w:t> </w:t>
      </w:r>
      <w:r>
        <w:rPr>
          <w:spacing w:val="-66"/>
        </w:rPr>
      </w:r>
      <w:r>
        <w:rPr>
          <w:spacing w:val="-2"/>
        </w:rPr>
        <w:t>服务中心、四川达州市塔沱农副产品批发市场、海南西部农产品产地集配中心、厦门闽南农副产品物流中心、陕西志诚丽景</w:t>
      </w:r>
      <w:r>
        <w:rPr>
          <w:spacing w:val="-66"/>
        </w:rPr>
        <w:t> </w:t>
      </w:r>
      <w:r>
        <w:rPr>
          <w:spacing w:val="-66"/>
        </w:rPr>
      </w:r>
      <w:r>
        <w:rPr>
          <w:spacing w:val="-2"/>
        </w:rPr>
        <w:t>食品交易中心、广州江南果菜批发市场电子交易中心（二期）、陕西和生农产品市场、山东省沾化王尔庄海蜇批发市场、山</w:t>
      </w:r>
      <w:r>
        <w:rPr>
          <w:spacing w:val="-68"/>
        </w:rPr>
        <w:t> </w:t>
      </w:r>
      <w:r>
        <w:rPr>
          <w:spacing w:val="-68"/>
        </w:rPr>
      </w:r>
      <w:r>
        <w:rPr>
          <w:spacing w:val="-2"/>
        </w:rPr>
        <w:t>东省临邑县临南蔬菜批发大市场、山东省商河县富东农产品交易中心、徐州雨润农产品全球采购中心、江苏苏浙皖边境市场</w:t>
      </w:r>
      <w:r>
        <w:rPr>
          <w:spacing w:val="-66"/>
        </w:rPr>
        <w:t> </w:t>
      </w:r>
      <w:r>
        <w:rPr>
          <w:spacing w:val="-66"/>
        </w:rPr>
      </w:r>
      <w:r>
        <w:rPr>
          <w:spacing w:val="-2"/>
        </w:rPr>
        <w:t>等多家农产品市场软件项目。除此之外，物流软件中标中铁集装箱公司铁路集装箱追踪应用升级项目、中铁铁龙特种箱公司</w:t>
      </w:r>
      <w:r>
        <w:rPr>
          <w:spacing w:val="-66"/>
        </w:rPr>
        <w:t> </w:t>
      </w:r>
      <w:r>
        <w:rPr>
          <w:spacing w:val="-66"/>
        </w:rPr>
      </w:r>
      <w:r>
        <w:rPr>
          <w:rFonts w:ascii="宋体" w:hAnsi="宋体" w:cs="宋体" w:eastAsia="宋体" w:hint="default"/>
        </w:rPr>
        <w:t>SAP</w:t>
      </w:r>
      <w:r>
        <w:rPr/>
        <w:t>项目、国通快件作业及管理信息系统合作开发项目。</w:t>
      </w:r>
    </w:p>
    <w:p>
      <w:pPr>
        <w:pStyle w:val="BodyText"/>
        <w:spacing w:line="316" w:lineRule="auto" w:before="139"/>
        <w:ind w:right="92" w:firstLine="361"/>
        <w:jc w:val="left"/>
      </w:pPr>
      <w:r>
        <w:rPr>
          <w:rFonts w:ascii="宋体" w:hAnsi="宋体" w:cs="宋体" w:eastAsia="宋体" w:hint="default"/>
          <w:b/>
          <w:bCs/>
        </w:rPr>
        <w:t>住建、国土及不动产行业：</w:t>
      </w:r>
      <w:r>
        <w:rPr/>
        <w:t>按照公司关于国土房产事业部的总体战略部署，</w:t>
      </w:r>
      <w:r>
        <w:rPr>
          <w:rFonts w:ascii="宋体" w:hAnsi="宋体" w:cs="宋体" w:eastAsia="宋体" w:hint="default"/>
        </w:rPr>
        <w:t>2014</w:t>
      </w:r>
      <w:r>
        <w:rPr/>
        <w:t>年除了广州、武汉、福建漳州等新的 </w:t>
      </w:r>
      <w:r>
        <w:rPr>
          <w:spacing w:val="-4"/>
        </w:rPr>
        <w:t>标杆城市案例签署进入合作阶段之外，同时还成功签约江西上饶，江苏无锡、淮安，安徽淮南，湖南岳阳、湘潭，湖北襄阳、</w:t>
      </w:r>
      <w:r>
        <w:rPr>
          <w:spacing w:val="-47"/>
        </w:rPr>
        <w:t> </w:t>
      </w:r>
      <w:r>
        <w:rPr>
          <w:spacing w:val="-47"/>
        </w:rPr>
      </w:r>
      <w:r>
        <w:rPr>
          <w:spacing w:val="-2"/>
        </w:rPr>
        <w:t>孝感等近</w:t>
      </w:r>
      <w:r>
        <w:rPr>
          <w:rFonts w:ascii="宋体" w:hAnsi="宋体" w:cs="宋体" w:eastAsia="宋体" w:hint="default"/>
          <w:spacing w:val="-2"/>
        </w:rPr>
        <w:t>30</w:t>
      </w:r>
      <w:r>
        <w:rPr>
          <w:spacing w:val="-2"/>
        </w:rPr>
        <w:t>个重点地级城市国土房产信息化项目，实现了在国土房产领域的快速持续性发展。目前，公司在国土住建行业解</w:t>
      </w:r>
      <w:r>
        <w:rPr>
          <w:spacing w:val="-64"/>
        </w:rPr>
        <w:t> </w:t>
      </w:r>
      <w:r>
        <w:rPr>
          <w:spacing w:val="-64"/>
        </w:rPr>
      </w:r>
      <w:r>
        <w:rPr>
          <w:spacing w:val="-2"/>
        </w:rPr>
        <w:t>决方案已经实现国内领先水平，拥有了自厅、省会城市到地级市、区县城市等全面覆盖的多层次解决方案。同时公司紧密跟</w:t>
      </w:r>
      <w:r>
        <w:rPr>
          <w:spacing w:val="-66"/>
        </w:rPr>
        <w:t> </w:t>
      </w:r>
      <w:r>
        <w:rPr>
          <w:spacing w:val="-66"/>
        </w:rPr>
      </w:r>
      <w:r>
        <w:rPr>
          <w:spacing w:val="-2"/>
        </w:rPr>
        <w:t>进国土部牵头的不动产登记新业务，在武汉成立了不动产登记业务研发中心，积极参与配合国土部及各级国土房产单位进行</w:t>
      </w:r>
      <w:r>
        <w:rPr>
          <w:spacing w:val="-64"/>
        </w:rPr>
        <w:t> </w:t>
      </w:r>
      <w:r>
        <w:rPr>
          <w:spacing w:val="-64"/>
        </w:rPr>
      </w:r>
      <w:r>
        <w:rPr>
          <w:spacing w:val="-2"/>
        </w:rPr>
        <w:t>不动产登记的规划设计，结合自身业务优势与积累已经形成了完整的不动产登记的整体解决方案，为未来不动产登记业务做</w:t>
      </w:r>
      <w:r>
        <w:rPr>
          <w:spacing w:val="-64"/>
        </w:rPr>
        <w:t> </w:t>
      </w:r>
      <w:r>
        <w:rPr>
          <w:spacing w:val="-64"/>
        </w:rPr>
      </w:r>
      <w:r>
        <w:rPr/>
        <w:t>好了客户资源与技术的充分储备。截止到</w:t>
      </w:r>
      <w:r>
        <w:rPr>
          <w:rFonts w:ascii="宋体" w:hAnsi="宋体" w:cs="宋体" w:eastAsia="宋体" w:hint="default"/>
        </w:rPr>
        <w:t>2014</w:t>
      </w:r>
      <w:r>
        <w:rPr/>
        <w:t>年底，公司国土房产事业部的重点客户</w:t>
      </w:r>
      <w:r>
        <w:rPr>
          <w:rFonts w:ascii="宋体" w:hAnsi="宋体" w:cs="宋体" w:eastAsia="宋体" w:hint="default"/>
        </w:rPr>
        <w:t>200</w:t>
      </w:r>
      <w:r>
        <w:rPr/>
        <w:t>多家遍布全国各地：浙江、湖北、 山西、湖南等省住建厅，广州、武汉、杭州、太原等省会城市国土住建局，漳州、泰安、上饶、淮南、无锡、岳阳、湘潭、 </w:t>
      </w:r>
      <w:r>
        <w:rPr>
          <w:spacing w:val="-2"/>
        </w:rPr>
        <w:t>阳泉、淮安、荆州、宜昌、孝感、马鞍山、晋城等</w:t>
      </w:r>
      <w:r>
        <w:rPr>
          <w:rFonts w:ascii="宋体" w:hAnsi="宋体" w:cs="宋体" w:eastAsia="宋体" w:hint="default"/>
          <w:spacing w:val="-2"/>
        </w:rPr>
        <w:t>50</w:t>
      </w:r>
      <w:r>
        <w:rPr>
          <w:spacing w:val="-2"/>
        </w:rPr>
        <w:t>多家重点地市级国土住建局单位和仙桃、天门、应城等数百个县市级房</w:t>
      </w:r>
      <w:r>
        <w:rPr>
          <w:spacing w:val="-65"/>
        </w:rPr>
        <w:t> </w:t>
      </w:r>
      <w:r>
        <w:rPr>
          <w:spacing w:val="-65"/>
        </w:rPr>
      </w:r>
      <w:r>
        <w:rPr/>
        <w:t>产局。</w:t>
      </w:r>
    </w:p>
    <w:p>
      <w:pPr>
        <w:spacing w:line="432" w:lineRule="exact" w:before="3"/>
        <w:ind w:left="515" w:right="8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）软件产品开发和产品化情况</w:t>
      </w:r>
      <w:r>
        <w:rPr>
          <w:rFonts w:ascii="宋体" w:hAnsi="宋体" w:cs="宋体" w:eastAsia="宋体" w:hint="default"/>
          <w:b/>
          <w:bCs/>
          <w:w w:val="99"/>
          <w:sz w:val="18"/>
          <w:szCs w:val="18"/>
        </w:rPr>
        <w:t> </w:t>
      </w:r>
      <w:r>
        <w:rPr>
          <w:rFonts w:ascii="宋体" w:hAnsi="宋体" w:cs="宋体" w:eastAsia="宋体" w:hint="default"/>
          <w:b/>
          <w:bCs/>
          <w:spacing w:val="-2"/>
          <w:sz w:val="18"/>
          <w:szCs w:val="18"/>
        </w:rPr>
        <w:t>东华网智：</w:t>
      </w:r>
      <w:r>
        <w:rPr>
          <w:rFonts w:ascii="宋体" w:hAnsi="宋体" w:cs="宋体" w:eastAsia="宋体" w:hint="default"/>
          <w:spacing w:val="-2"/>
          <w:sz w:val="18"/>
          <w:szCs w:val="18"/>
        </w:rPr>
        <w:t>东华软件自主研发的东华网智，提供全方位</w:t>
      </w:r>
      <w:r>
        <w:rPr>
          <w:rFonts w:ascii="宋体" w:hAnsi="宋体" w:cs="宋体" w:eastAsia="宋体" w:hint="default"/>
          <w:spacing w:val="-2"/>
          <w:sz w:val="18"/>
          <w:szCs w:val="18"/>
        </w:rPr>
        <w:t>IT</w:t>
      </w:r>
      <w:r>
        <w:rPr>
          <w:rFonts w:ascii="宋体" w:hAnsi="宋体" w:cs="宋体" w:eastAsia="宋体" w:hint="default"/>
          <w:spacing w:val="-2"/>
          <w:sz w:val="18"/>
          <w:szCs w:val="18"/>
        </w:rPr>
        <w:t>服务管理解决方案，智能整合优化与增值、</w:t>
      </w:r>
      <w:r>
        <w:rPr>
          <w:rFonts w:ascii="宋体" w:hAnsi="宋体" w:cs="宋体" w:eastAsia="宋体" w:hint="default"/>
          <w:spacing w:val="-2"/>
          <w:sz w:val="18"/>
          <w:szCs w:val="18"/>
        </w:rPr>
        <w:t>IT</w:t>
      </w:r>
      <w:r>
        <w:rPr>
          <w:rFonts w:ascii="宋体" w:hAnsi="宋体" w:cs="宋体" w:eastAsia="宋体" w:hint="default"/>
          <w:spacing w:val="-2"/>
          <w:sz w:val="18"/>
          <w:szCs w:val="18"/>
        </w:rPr>
        <w:t>运维管理及信息</w:t>
      </w:r>
    </w:p>
    <w:p>
      <w:pPr>
        <w:pStyle w:val="BodyText"/>
        <w:spacing w:line="319" w:lineRule="auto" w:before="15"/>
        <w:ind w:right="92"/>
        <w:jc w:val="left"/>
      </w:pPr>
      <w:r>
        <w:rPr>
          <w:spacing w:val="-2"/>
        </w:rPr>
        <w:t>安全，致力于为用户建立长远有效、和谐有序的</w:t>
      </w:r>
      <w:r>
        <w:rPr>
          <w:rFonts w:ascii="宋体" w:hAnsi="宋体" w:cs="宋体" w:eastAsia="宋体" w:hint="default"/>
          <w:spacing w:val="-2"/>
        </w:rPr>
        <w:t>IT</w:t>
      </w:r>
      <w:r>
        <w:rPr>
          <w:spacing w:val="-2"/>
        </w:rPr>
        <w:t>运营环境，帮助用户节约运维成本、提升服务效能、实现业务价值，打造</w:t>
      </w:r>
      <w:r>
        <w:rPr>
          <w:spacing w:val="-67"/>
        </w:rPr>
        <w:t> </w:t>
      </w:r>
      <w:r>
        <w:rPr>
          <w:spacing w:val="-67"/>
        </w:rPr>
      </w:r>
      <w:r>
        <w:rPr>
          <w:spacing w:val="-2"/>
        </w:rPr>
        <w:t>面向客户业务信息化发展需求的</w:t>
      </w:r>
      <w:r>
        <w:rPr>
          <w:rFonts w:ascii="宋体" w:hAnsi="宋体" w:cs="宋体" w:eastAsia="宋体" w:hint="default"/>
          <w:spacing w:val="-2"/>
        </w:rPr>
        <w:t>IT</w:t>
      </w:r>
      <w:r>
        <w:rPr>
          <w:spacing w:val="-2"/>
        </w:rPr>
        <w:t>服务管理体系。经过十多年的努力，东华网智系列产品在政府、金融、运营商、电力、石</w:t>
      </w:r>
      <w:r>
        <w:rPr>
          <w:spacing w:val="-66"/>
        </w:rPr>
        <w:t> </w:t>
      </w:r>
      <w:r>
        <w:rPr>
          <w:spacing w:val="-66"/>
        </w:rPr>
      </w:r>
      <w:r>
        <w:rPr/>
        <w:t>油、石化、医疗、军工科研、等行业拥有大量的成功案例，深受市场好评，国家电网、中国移动、中国石油、国家水利部、 中国银行、华夏银行、太平洋保险、银华基金等均为公司长期服务客户。</w:t>
      </w:r>
    </w:p>
    <w:p>
      <w:pPr>
        <w:pStyle w:val="BodyText"/>
        <w:spacing w:line="316" w:lineRule="auto" w:before="137"/>
        <w:ind w:right="191" w:firstLine="361"/>
        <w:jc w:val="both"/>
      </w:pPr>
      <w:r>
        <w:rPr>
          <w:rFonts w:ascii="宋体" w:hAnsi="宋体" w:cs="宋体" w:eastAsia="宋体" w:hint="default"/>
          <w:b/>
          <w:bCs/>
          <w:spacing w:val="-2"/>
        </w:rPr>
        <w:t>医疗软件：</w:t>
      </w:r>
      <w:r>
        <w:rPr>
          <w:rFonts w:ascii="宋体" w:hAnsi="宋体" w:cs="宋体" w:eastAsia="宋体" w:hint="default"/>
          <w:spacing w:val="-2"/>
        </w:rPr>
        <w:t>2014</w:t>
      </w:r>
      <w:r>
        <w:rPr>
          <w:spacing w:val="-2"/>
        </w:rPr>
        <w:t>年度医疗卫生事业部紧密结合国家医药卫生改革政策，在医院信息化、互联网医疗和区域卫生信息化等</w:t>
      </w:r>
      <w:r>
        <w:rPr/>
        <w:t> 多个方向推进新产品研发工作，推出了多项具有自主知识产权的产品。</w:t>
      </w:r>
    </w:p>
    <w:p>
      <w:pPr>
        <w:pStyle w:val="BodyText"/>
        <w:spacing w:line="316" w:lineRule="auto" w:before="139"/>
        <w:ind w:right="191" w:firstLine="360"/>
        <w:jc w:val="both"/>
      </w:pPr>
      <w:r>
        <w:rPr>
          <w:spacing w:val="-2"/>
        </w:rPr>
        <w:t>在医院信息化方面，基于数据驱动业务的新一代数字化医院解决方案</w:t>
      </w:r>
      <w:r>
        <w:rPr>
          <w:rFonts w:ascii="宋体" w:hAnsi="宋体" w:cs="宋体" w:eastAsia="宋体" w:hint="default"/>
          <w:spacing w:val="-2"/>
        </w:rPr>
        <w:t>iMedical8.0P</w:t>
      </w:r>
      <w:r>
        <w:rPr>
          <w:spacing w:val="-2"/>
        </w:rPr>
        <w:t>研发成功；新一代高端电子病历系统</w:t>
      </w:r>
      <w:r>
        <w:rPr/>
        <w:t> </w:t>
      </w:r>
      <w:r>
        <w:rPr>
          <w:rFonts w:ascii="宋体" w:hAnsi="宋体" w:cs="宋体" w:eastAsia="宋体" w:hint="default"/>
          <w:spacing w:val="-2"/>
        </w:rPr>
        <w:t>globalEMR3.0</w:t>
      </w:r>
      <w:r>
        <w:rPr>
          <w:spacing w:val="-2"/>
        </w:rPr>
        <w:t>研发成功并在北京协和医院等大型三甲医院上线运行；基于</w:t>
      </w:r>
      <w:r>
        <w:rPr>
          <w:rFonts w:ascii="宋体" w:hAnsi="宋体" w:cs="宋体" w:eastAsia="宋体" w:hint="default"/>
          <w:spacing w:val="-2"/>
        </w:rPr>
        <w:t>DRGs</w:t>
      </w:r>
      <w:r>
        <w:rPr>
          <w:spacing w:val="-2"/>
        </w:rPr>
        <w:t>的医疗服务监测与分析系统、基于病种的医疗</w:t>
      </w:r>
      <w:r>
        <w:rPr>
          <w:spacing w:val="-48"/>
        </w:rPr>
        <w:t> </w:t>
      </w:r>
      <w:r>
        <w:rPr>
          <w:spacing w:val="-48"/>
        </w:rPr>
      </w:r>
      <w:r>
        <w:rPr/>
        <w:t>质量检测与分析系统研发成功并得到业内的广泛好评；符合国家最新医保政策院端医保控费系统研发成功并在多家医院运</w:t>
      </w:r>
      <w:r>
        <w:rPr>
          <w:spacing w:val="-9"/>
        </w:rPr>
        <w:t> </w:t>
      </w:r>
      <w:r>
        <w:rPr>
          <w:spacing w:val="-9"/>
        </w:rPr>
      </w:r>
      <w:r>
        <w:rPr>
          <w:spacing w:val="-2"/>
        </w:rPr>
        <w:t>行；自主研发的</w:t>
      </w:r>
      <w:r>
        <w:rPr>
          <w:rFonts w:ascii="宋体" w:hAnsi="宋体" w:cs="宋体" w:eastAsia="宋体" w:hint="default"/>
          <w:spacing w:val="-2"/>
        </w:rPr>
        <w:t>PACS</w:t>
      </w:r>
      <w:r>
        <w:rPr>
          <w:spacing w:val="-2"/>
        </w:rPr>
        <w:t>系统</w:t>
      </w:r>
      <w:r>
        <w:rPr>
          <w:rFonts w:ascii="宋体" w:hAnsi="宋体" w:cs="宋体" w:eastAsia="宋体" w:hint="default"/>
          <w:spacing w:val="-2"/>
        </w:rPr>
        <w:t>iMedPACS</w:t>
      </w:r>
      <w:r>
        <w:rPr>
          <w:spacing w:val="-2"/>
        </w:rPr>
        <w:t>研制成功并在多家医院上线运行；此外还推出了支持多机构、多中心、云模式的新版检验</w:t>
      </w:r>
      <w:r>
        <w:rPr>
          <w:spacing w:val="-54"/>
        </w:rPr>
        <w:t> </w:t>
      </w:r>
      <w:r>
        <w:rPr>
          <w:spacing w:val="-54"/>
        </w:rPr>
      </w:r>
      <w:r>
        <w:rPr/>
        <w:t>系统、血液净化系统、临床药师服务平台等十几项新产品。</w:t>
      </w:r>
    </w:p>
    <w:p>
      <w:pPr>
        <w:pStyle w:val="BodyText"/>
        <w:spacing w:line="316" w:lineRule="auto" w:before="139"/>
        <w:ind w:right="193" w:firstLine="360"/>
        <w:jc w:val="both"/>
      </w:pPr>
      <w:r>
        <w:rPr>
          <w:spacing w:val="-2"/>
        </w:rPr>
        <w:t>在互联网及移动医疗方面，研发了面向医生的科研随访系统、面向供应商的医院供应链管理平台，面向医生多点执业的</w:t>
      </w:r>
      <w:r>
        <w:rPr/>
        <w:t> 云诊所等多个产品，并不断对这些产品的功能进行升级和完善。</w:t>
      </w:r>
    </w:p>
    <w:p>
      <w:pPr>
        <w:pStyle w:val="BodyText"/>
        <w:spacing w:line="316" w:lineRule="auto" w:before="139"/>
        <w:ind w:right="191" w:firstLine="360"/>
        <w:jc w:val="both"/>
      </w:pPr>
      <w:r>
        <w:rPr>
          <w:spacing w:val="-2"/>
        </w:rPr>
        <w:t>在区域卫生信息化方面，国家健康卡管理平台成功上线并通过了国家卫计委的验收；省级健康卡管理平台研发成功；衢</w:t>
      </w:r>
      <w:r>
        <w:rPr/>
        <w:t> </w:t>
      </w:r>
      <w:r>
        <w:rPr>
          <w:spacing w:val="-2"/>
        </w:rPr>
        <w:t>州市区域平台项目成功上线并通过验收。此外，还推出了东华区域卫生信息服务总线、东华区域卫生统一身份认证系统、分</w:t>
      </w:r>
      <w:r>
        <w:rPr>
          <w:spacing w:val="-66"/>
        </w:rPr>
        <w:t> </w:t>
      </w:r>
      <w:r>
        <w:rPr>
          <w:spacing w:val="-66"/>
        </w:rPr>
      </w:r>
      <w:r>
        <w:rPr>
          <w:spacing w:val="-2"/>
        </w:rPr>
        <w:t>布式数据同步系统、卫生信息标准管理系统、区域卫生综合管理系统、干部保健管理系统、区域妇幼保健管理系统、公众健</w:t>
      </w:r>
      <w:r>
        <w:rPr>
          <w:spacing w:val="-66"/>
        </w:rPr>
        <w:t> </w:t>
      </w:r>
      <w:r>
        <w:rPr>
          <w:spacing w:val="-66"/>
        </w:rPr>
      </w:r>
      <w:r>
        <w:rPr/>
        <w:t>康服务门户等多个产品，均已正式投入运行。</w:t>
      </w:r>
    </w:p>
    <w:p>
      <w:pPr>
        <w:pStyle w:val="BodyText"/>
        <w:spacing w:line="316" w:lineRule="auto" w:before="139"/>
        <w:ind w:right="87" w:firstLine="361"/>
        <w:jc w:val="left"/>
      </w:pPr>
      <w:r>
        <w:rPr>
          <w:rFonts w:ascii="宋体" w:hAnsi="宋体" w:cs="宋体" w:eastAsia="宋体" w:hint="default"/>
          <w:b/>
          <w:bCs/>
          <w:spacing w:val="-4"/>
        </w:rPr>
        <w:t>全面预算管理软件：</w:t>
      </w:r>
      <w:r>
        <w:rPr>
          <w:spacing w:val="-4"/>
        </w:rPr>
        <w:t>在行业内率先提出四维一体智慧型全面预算管理体系，实现了市场、产品、研发、服务的全面升级，</w:t>
      </w:r>
      <w:r>
        <w:rPr/>
        <w:t> </w:t>
      </w:r>
      <w:r>
        <w:rPr>
          <w:spacing w:val="-2"/>
        </w:rPr>
        <w:t>继续保持了在该行业的领导者地位和快速增长势头。公司以工程项目领域、煤炭行业、装备制造业等擅长领域为基础，并深</w:t>
      </w:r>
      <w:r>
        <w:rPr>
          <w:spacing w:val="-66"/>
        </w:rPr>
        <w:t> </w:t>
      </w:r>
      <w:r>
        <w:rPr>
          <w:spacing w:val="-66"/>
        </w:rPr>
      </w:r>
      <w:r>
        <w:rPr>
          <w:spacing w:val="-2"/>
        </w:rPr>
        <w:t>化、拓展在电力工程、机械制造、金融、港口运输等行业的应用，深入挖掘每个领域的管理痛点。先后签约并成功实施南方</w:t>
      </w:r>
      <w:r>
        <w:rPr>
          <w:spacing w:val="-67"/>
        </w:rPr>
        <w:t> </w:t>
      </w:r>
      <w:r>
        <w:rPr>
          <w:spacing w:val="-67"/>
        </w:rPr>
      </w:r>
      <w:r>
        <w:rPr>
          <w:spacing w:val="-2"/>
        </w:rPr>
        <w:t>航空、有研总院、中能装备等中央企业全面预算管理软件及相关服务，以及沈阳远大企业集团、唐山港集团、大连商品交易</w:t>
      </w:r>
    </w:p>
    <w:p>
      <w:pPr>
        <w:spacing w:after="0" w:line="316" w:lineRule="auto"/>
        <w:jc w:val="left"/>
        <w:sectPr>
          <w:footerReference w:type="default" r:id="rId13"/>
          <w:pgSz w:w="11910" w:h="16840"/>
          <w:pgMar w:footer="979" w:header="747" w:top="1060" w:bottom="1160" w:left="980" w:right="940"/>
          <w:pgNumType w:start="13"/>
        </w:sectPr>
      </w:pPr>
    </w:p>
    <w:p>
      <w:pPr>
        <w:spacing w:line="240" w:lineRule="auto" w:before="12"/>
        <w:rPr>
          <w:rFonts w:ascii="宋体" w:hAnsi="宋体" w:cs="宋体" w:eastAsia="宋体" w:hint="default"/>
          <w:sz w:val="25"/>
          <w:szCs w:val="25"/>
        </w:rPr>
      </w:pPr>
    </w:p>
    <w:p>
      <w:pPr>
        <w:pStyle w:val="BodyText"/>
        <w:spacing w:line="316" w:lineRule="auto" w:before="44"/>
        <w:ind w:right="192"/>
        <w:jc w:val="both"/>
      </w:pPr>
      <w:r>
        <w:rPr>
          <w:spacing w:val="-2"/>
        </w:rPr>
        <w:t>所、山西鄂尔多斯等，为上述企业提供全面预算管理软件服务；与南京城建集团合作研发的城投行业全面预算管理平台也已</w:t>
      </w:r>
      <w:r>
        <w:rPr>
          <w:spacing w:val="-66"/>
        </w:rPr>
        <w:t> </w:t>
      </w:r>
      <w:r>
        <w:rPr>
          <w:spacing w:val="-66"/>
        </w:rPr>
      </w:r>
      <w:r>
        <w:rPr>
          <w:spacing w:val="-2"/>
        </w:rPr>
        <w:t>进入成熟推广阶段。同时，公司顺利完成中国民航建设集团、西北电力设计院、电力工程顾问集团总院、东方园林二期等工</w:t>
      </w:r>
      <w:r>
        <w:rPr>
          <w:spacing w:val="-66"/>
        </w:rPr>
        <w:t> </w:t>
      </w:r>
      <w:r>
        <w:rPr>
          <w:spacing w:val="-66"/>
        </w:rPr>
      </w:r>
      <w:r>
        <w:rPr>
          <w:spacing w:val="-2"/>
        </w:rPr>
        <w:t>程项目型启用全面预算管理系统，并又陆续启动华东电力设计院三期、中南院二期等项目，继续深化工程行业全面预算管理</w:t>
      </w:r>
      <w:r>
        <w:rPr>
          <w:spacing w:val="-66"/>
        </w:rPr>
        <w:t> </w:t>
      </w:r>
      <w:r>
        <w:rPr>
          <w:spacing w:val="-66"/>
        </w:rPr>
      </w:r>
      <w:r>
        <w:rPr/>
        <w:t>应用。同时，中标延长石油北京化工设计院，更是标志着公司全面预算管理解决方案在工程项目型企业的领先优势。</w:t>
      </w:r>
    </w:p>
    <w:p>
      <w:pPr>
        <w:pStyle w:val="BodyText"/>
        <w:spacing w:line="240" w:lineRule="auto" w:before="139"/>
        <w:ind w:right="0"/>
        <w:jc w:val="both"/>
      </w:pPr>
      <w:r>
        <w:rPr/>
        <w:t>公司实际经营业绩较曾公开披露过的本年度盈利预测低于或高于</w:t>
      </w:r>
      <w:r>
        <w:rPr>
          <w:spacing w:val="-45"/>
        </w:rPr>
        <w:t> </w:t>
      </w:r>
      <w:r>
        <w:rPr>
          <w:rFonts w:ascii="宋体" w:hAnsi="宋体" w:cs="宋体" w:eastAsia="宋体" w:hint="default"/>
        </w:rPr>
        <w:t>20%</w:t>
      </w:r>
      <w:r>
        <w:rPr/>
        <w:t>以上的差异原因</w:t>
      </w:r>
    </w:p>
    <w:p>
      <w:pPr>
        <w:spacing w:line="240" w:lineRule="auto" w:before="0"/>
        <w:rPr>
          <w:rFonts w:ascii="宋体" w:hAnsi="宋体" w:cs="宋体" w:eastAsia="宋体" w:hint="default"/>
          <w:sz w:val="15"/>
          <w:szCs w:val="15"/>
        </w:rPr>
      </w:pPr>
    </w:p>
    <w:p>
      <w:pPr>
        <w:pStyle w:val="BodyText"/>
        <w:spacing w:line="240" w:lineRule="auto"/>
        <w:ind w:right="0"/>
        <w:jc w:val="both"/>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2</w:t>
      </w:r>
      <w:r>
        <w:rPr/>
        <w:t>、收入</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00" w:firstLine="360"/>
        <w:jc w:val="both"/>
      </w:pPr>
      <w:r>
        <w:rPr>
          <w:rFonts w:ascii="宋体" w:hAnsi="宋体" w:cs="宋体" w:eastAsia="宋体" w:hint="default"/>
          <w:spacing w:val="-3"/>
        </w:rPr>
        <w:t>2014</w:t>
      </w:r>
      <w:r>
        <w:rPr>
          <w:spacing w:val="-3"/>
        </w:rPr>
        <w:t>年公司签订的项目合同总额为</w:t>
      </w:r>
      <w:r>
        <w:rPr>
          <w:rFonts w:ascii="宋体" w:hAnsi="宋体" w:cs="宋体" w:eastAsia="宋体" w:hint="default"/>
          <w:spacing w:val="-3"/>
        </w:rPr>
        <w:t>54.31</w:t>
      </w:r>
      <w:r>
        <w:rPr>
          <w:spacing w:val="-3"/>
        </w:rPr>
        <w:t>亿元，比上年同期增长</w:t>
      </w:r>
      <w:r>
        <w:rPr>
          <w:rFonts w:ascii="宋体" w:hAnsi="宋体" w:cs="宋体" w:eastAsia="宋体" w:hint="default"/>
          <w:spacing w:val="-3"/>
        </w:rPr>
        <w:t>11.13%</w:t>
      </w:r>
      <w:r>
        <w:rPr>
          <w:spacing w:val="-3"/>
        </w:rPr>
        <w:t>，其中</w:t>
      </w:r>
      <w:r>
        <w:rPr>
          <w:rFonts w:ascii="宋体" w:hAnsi="宋体" w:cs="宋体" w:eastAsia="宋体" w:hint="default"/>
          <w:spacing w:val="-3"/>
        </w:rPr>
        <w:t>1000</w:t>
      </w:r>
      <w:r>
        <w:rPr>
          <w:spacing w:val="-3"/>
        </w:rPr>
        <w:t>万以上销售合同</w:t>
      </w:r>
      <w:r>
        <w:rPr>
          <w:rFonts w:ascii="宋体" w:hAnsi="宋体" w:cs="宋体" w:eastAsia="宋体" w:hint="default"/>
          <w:spacing w:val="-3"/>
        </w:rPr>
        <w:t>78</w:t>
      </w:r>
      <w:r>
        <w:rPr>
          <w:spacing w:val="-3"/>
        </w:rPr>
        <w:t>个，合计</w:t>
      </w:r>
      <w:r>
        <w:rPr>
          <w:rFonts w:ascii="宋体" w:hAnsi="宋体" w:cs="宋体" w:eastAsia="宋体" w:hint="default"/>
          <w:spacing w:val="-3"/>
        </w:rPr>
        <w:t>17.33</w:t>
      </w:r>
      <w:r>
        <w:rPr>
          <w:spacing w:val="-3"/>
        </w:rPr>
        <w:t>亿元。</w:t>
      </w:r>
      <w:r>
        <w:rPr/>
        <w:t> </w:t>
      </w:r>
      <w:r>
        <w:rPr>
          <w:spacing w:val="-2"/>
        </w:rPr>
        <w:t>公司按照上年初制定的经营计划正常开展各项经营活动，在各行业细分市场均取得较好成绩，公司实现营业收入</w:t>
      </w:r>
      <w:r>
        <w:rPr>
          <w:rFonts w:ascii="宋体" w:hAnsi="宋体" w:cs="宋体" w:eastAsia="宋体" w:hint="default"/>
          <w:spacing w:val="-2"/>
        </w:rPr>
        <w:t>51.71</w:t>
      </w:r>
      <w:r>
        <w:rPr>
          <w:spacing w:val="-2"/>
        </w:rPr>
        <w:t>亿元，</w:t>
      </w:r>
      <w:r>
        <w:rPr>
          <w:spacing w:val="-57"/>
        </w:rPr>
        <w:t> </w:t>
      </w:r>
      <w:r>
        <w:rPr/>
        <w:t>较上年同期增长</w:t>
      </w:r>
      <w:r>
        <w:rPr>
          <w:rFonts w:ascii="宋体" w:hAnsi="宋体" w:cs="宋体" w:eastAsia="宋体" w:hint="default"/>
        </w:rPr>
        <w:t>16.91%</w:t>
      </w:r>
      <w:r>
        <w:rPr/>
        <w:t>。</w:t>
      </w:r>
    </w:p>
    <w:p>
      <w:pPr>
        <w:pStyle w:val="BodyText"/>
        <w:spacing w:line="240" w:lineRule="auto" w:before="139"/>
        <w:ind w:right="0"/>
        <w:jc w:val="both"/>
      </w:pPr>
      <w:r>
        <w:rPr/>
        <w:t>公司实物销售收入是否大于劳务收入</w:t>
      </w:r>
    </w:p>
    <w:p>
      <w:pPr>
        <w:spacing w:line="240" w:lineRule="auto" w:before="0"/>
        <w:rPr>
          <w:rFonts w:ascii="宋体" w:hAnsi="宋体" w:cs="宋体" w:eastAsia="宋体" w:hint="default"/>
          <w:sz w:val="15"/>
          <w:szCs w:val="15"/>
        </w:rPr>
      </w:pPr>
    </w:p>
    <w:p>
      <w:pPr>
        <w:pStyle w:val="BodyText"/>
        <w:spacing w:line="439" w:lineRule="auto"/>
        <w:ind w:right="7832"/>
        <w:jc w:val="left"/>
      </w:pPr>
      <w:r>
        <w:rPr/>
        <w:t>□ 是 √ 否 公司重大的在手订单情况</w:t>
      </w:r>
    </w:p>
    <w:p>
      <w:pPr>
        <w:pStyle w:val="BodyText"/>
        <w:spacing w:line="439" w:lineRule="auto" w:before="47"/>
        <w:ind w:right="5492"/>
        <w:jc w:val="left"/>
      </w:pPr>
      <w:r>
        <w:rPr/>
        <w:t>□ 适用 √ 不适用 公司报告期内产品或服务发生重大变化或调整有关情况</w:t>
      </w:r>
    </w:p>
    <w:p>
      <w:pPr>
        <w:pStyle w:val="BodyText"/>
        <w:spacing w:line="441" w:lineRule="auto" w:before="47"/>
        <w:ind w:right="8012"/>
        <w:jc w:val="left"/>
      </w:pPr>
      <w:r>
        <w:rPr/>
        <w:pict>
          <v:shape style="position:absolute;margin-left:56.459999pt;margin-top:41.021725pt;width:479.2pt;height:40.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868,331,925.46</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16.79%</w:t>
                        </w:r>
                      </w:p>
                    </w:tc>
                  </w:tr>
                </w:tbl>
                <w:p>
                  <w:pPr/>
                </w:p>
              </w:txbxContent>
            </v:textbox>
            <w10:wrap type="none"/>
          </v:shape>
        </w:pict>
      </w:r>
      <w:r>
        <w:rPr/>
        <w:t>□ 适用 √ 不适用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right="87"/>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大客户资料</w:t>
      </w:r>
    </w:p>
    <w:p>
      <w:pPr>
        <w:pStyle w:val="BodyText"/>
        <w:spacing w:line="240" w:lineRule="auto" w:before="116"/>
        <w:ind w:right="87"/>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华夏银行股份有限公司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278,689,295.85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交通银行股份有限公司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216,081,983.96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中国工商银行股份有限公司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171,973,431.10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中国移动通信集团公司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131,796,748.07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sz w:val="20"/>
                <w:szCs w:val="20"/>
              </w:rPr>
              <w:t>中国人民银行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69,790,466.48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868,331,925.46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16.79%</w:t>
            </w:r>
          </w:p>
        </w:tc>
      </w:tr>
    </w:tbl>
    <w:p>
      <w:pPr>
        <w:spacing w:line="240" w:lineRule="auto" w:before="2"/>
        <w:rPr>
          <w:rFonts w:ascii="宋体" w:hAnsi="宋体" w:cs="宋体" w:eastAsia="宋体" w:hint="default"/>
          <w:sz w:val="19"/>
          <w:szCs w:val="19"/>
        </w:rPr>
      </w:pPr>
    </w:p>
    <w:p>
      <w:pPr>
        <w:pStyle w:val="Heading3"/>
        <w:spacing w:line="240" w:lineRule="auto" w:before="35"/>
        <w:ind w:right="87"/>
        <w:jc w:val="left"/>
        <w:rPr>
          <w:b w:val="0"/>
          <w:bCs w:val="0"/>
        </w:rPr>
      </w:pPr>
      <w:r>
        <w:rPr>
          <w:rFonts w:ascii="宋体" w:hAnsi="宋体" w:cs="宋体" w:eastAsia="宋体" w:hint="default"/>
        </w:rPr>
        <w:t>3</w:t>
      </w:r>
      <w:r>
        <w:rPr/>
        <w:t>、成本</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87"/>
        <w:jc w:val="left"/>
      </w:pPr>
      <w:r>
        <w:rPr/>
        <w:t>行业分类</w:t>
      </w:r>
    </w:p>
    <w:p>
      <w:pPr>
        <w:pStyle w:val="BodyText"/>
        <w:spacing w:line="240" w:lineRule="auto" w:before="116"/>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899"/>
        <w:gridCol w:w="1702"/>
        <w:gridCol w:w="1417"/>
        <w:gridCol w:w="1559"/>
        <w:gridCol w:w="1419"/>
        <w:gridCol w:w="120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20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899"/>
        <w:gridCol w:w="1702"/>
        <w:gridCol w:w="1417"/>
        <w:gridCol w:w="1559"/>
        <w:gridCol w:w="1419"/>
        <w:gridCol w:w="120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303,264,036.45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267,445,905.93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电力水利铁路交 通行业</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462,012,334.16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400,421,718.22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83,732,741.99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73,789,190.10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301,473,387.09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266,321,220.48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金融保险医保行 业</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1,638,673,798.52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1,456,686,309.60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49.88%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160,646,728.74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135,439,892.64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87,874,404.42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77,861,419.55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213,143,272.71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182,230,057.54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0.13%</w:t>
            </w:r>
          </w:p>
        </w:tc>
      </w:tr>
    </w:tbl>
    <w:p>
      <w:pPr>
        <w:pStyle w:val="BodyText"/>
        <w:spacing w:line="240" w:lineRule="auto" w:before="51"/>
        <w:ind w:right="0"/>
        <w:jc w:val="left"/>
      </w:pPr>
      <w:r>
        <w:rPr/>
        <w:t>产品分类</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899"/>
        <w:gridCol w:w="1677"/>
        <w:gridCol w:w="1367"/>
        <w:gridCol w:w="1634"/>
        <w:gridCol w:w="1419"/>
        <w:gridCol w:w="1134"/>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99"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2,546,818,323.64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76.11%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2,398,405,543.22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自制及定制软件</w:t>
            </w:r>
          </w:p>
        </w:tc>
        <w:tc>
          <w:tcPr>
            <w:tcW w:w="899"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234,151,515.24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243,358,533.43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99"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442,316,613.91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218,431,637.41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5.74%</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风电振动监测系 统</w:t>
            </w:r>
          </w:p>
        </w:tc>
        <w:tc>
          <w:tcPr>
            <w:tcW w:w="899"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27,534,251.29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0.82%</w:t>
            </w:r>
          </w:p>
        </w:tc>
        <w:tc>
          <w:tcPr>
            <w:tcW w:w="16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0.82%</w:t>
            </w:r>
          </w:p>
        </w:tc>
      </w:tr>
    </w:tbl>
    <w:p>
      <w:pPr>
        <w:pStyle w:val="BodyText"/>
        <w:spacing w:line="240" w:lineRule="auto" w:before="51"/>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979,605,912.99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33.05%</w:t>
            </w:r>
          </w:p>
        </w:tc>
      </w:tr>
    </w:tbl>
    <w:p>
      <w:pPr>
        <w:pStyle w:val="BodyText"/>
        <w:spacing w:line="240" w:lineRule="auto" w:before="51"/>
        <w:ind w:right="0"/>
        <w:jc w:val="left"/>
      </w:pPr>
      <w:r>
        <w:rPr/>
        <w:t>公司前</w:t>
      </w:r>
      <w:r>
        <w:rPr>
          <w:spacing w:val="-46"/>
        </w:rPr>
        <w:t> </w:t>
      </w:r>
      <w:r>
        <w:rPr>
          <w:rFonts w:ascii="宋体" w:hAnsi="宋体" w:cs="宋体" w:eastAsia="宋体" w:hint="default"/>
        </w:rPr>
        <w:t>5</w:t>
      </w:r>
      <w:r>
        <w:rPr>
          <w:rFonts w:ascii="宋体" w:hAnsi="宋体" w:cs="宋体" w:eastAsia="宋体" w:hint="default"/>
          <w:spacing w:val="-46"/>
        </w:rPr>
        <w:t> </w:t>
      </w:r>
      <w:r>
        <w:rPr/>
        <w:t>名供应商资料</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杭州华三通信技术有限公司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322,413,477.96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思科系统网络技术有限公司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253,294,896.00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迪堡金融设备有限公司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192,383,022.00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国际商业机器（中国）有限公司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116,909,157.98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北京华为数字技术有限公司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94,605,359.05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979,605,912.99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4</w:t>
      </w:r>
      <w:r>
        <w:rPr/>
        <w:t>、费用</w:t>
      </w:r>
      <w:r>
        <w:rPr>
          <w:b w:val="0"/>
          <w:bCs w:val="0"/>
        </w:rPr>
      </w:r>
    </w:p>
    <w:p>
      <w:pPr>
        <w:spacing w:line="240" w:lineRule="auto" w:before="12"/>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1338"/>
        <w:gridCol w:w="1720"/>
        <w:gridCol w:w="1383"/>
        <w:gridCol w:w="1591"/>
        <w:gridCol w:w="1482"/>
        <w:gridCol w:w="2126"/>
      </w:tblGrid>
      <w:tr>
        <w:trPr>
          <w:trHeight w:val="432" w:hRule="exact"/>
        </w:trPr>
        <w:tc>
          <w:tcPr>
            <w:tcW w:w="1338" w:type="dxa"/>
            <w:vMerge w:val="restart"/>
            <w:tcBorders>
              <w:top w:val="single" w:sz="8" w:space="0" w:color="000000"/>
              <w:left w:val="single" w:sz="8" w:space="0" w:color="000000"/>
              <w:right w:val="single" w:sz="8" w:space="0" w:color="000000"/>
            </w:tcBorders>
            <w:shd w:val="clear" w:color="auto" w:fill="BEBEBE"/>
          </w:tcPr>
          <w:p>
            <w:pPr>
              <w:pStyle w:val="TableParagraph"/>
              <w:spacing w:line="240" w:lineRule="auto" w:before="62"/>
              <w:ind w:left="298"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3102" w:type="dxa"/>
            <w:gridSpan w:val="2"/>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074" w:type="dxa"/>
            <w:gridSpan w:val="2"/>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26" w:type="dxa"/>
            <w:vMerge w:val="restart"/>
            <w:tcBorders>
              <w:top w:val="single" w:sz="8" w:space="0" w:color="000000"/>
              <w:left w:val="single" w:sz="8" w:space="0" w:color="000000"/>
              <w:right w:val="single" w:sz="8" w:space="0" w:color="000000"/>
            </w:tcBorders>
            <w:shd w:val="clear" w:color="auto" w:fill="BEBEBE"/>
          </w:tcPr>
          <w:p>
            <w:pPr>
              <w:pStyle w:val="TableParagraph"/>
              <w:spacing w:line="240" w:lineRule="auto" w:before="62"/>
              <w:ind w:left="69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33" w:hRule="exact"/>
        </w:trPr>
        <w:tc>
          <w:tcPr>
            <w:tcW w:w="1338" w:type="dxa"/>
            <w:vMerge/>
            <w:tcBorders>
              <w:left w:val="single" w:sz="8" w:space="0" w:color="000000"/>
              <w:bottom w:val="single" w:sz="8" w:space="0" w:color="000000"/>
              <w:right w:val="single" w:sz="8" w:space="0" w:color="000000"/>
            </w:tcBorders>
            <w:shd w:val="clear" w:color="auto" w:fill="BEBEBE"/>
          </w:tcPr>
          <w:p>
            <w:pPr/>
          </w:p>
        </w:tc>
        <w:tc>
          <w:tcPr>
            <w:tcW w:w="172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399"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383"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51" w:right="0"/>
              <w:jc w:val="left"/>
              <w:rPr>
                <w:rFonts w:ascii="宋体" w:hAnsi="宋体" w:cs="宋体" w:eastAsia="宋体" w:hint="default"/>
                <w:sz w:val="18"/>
                <w:szCs w:val="18"/>
              </w:rPr>
            </w:pPr>
            <w:r>
              <w:rPr>
                <w:rFonts w:ascii="宋体" w:hAnsi="宋体" w:cs="宋体" w:eastAsia="宋体" w:hint="default"/>
                <w:sz w:val="18"/>
                <w:szCs w:val="18"/>
              </w:rPr>
              <w:t>占总收入的比例</w:t>
            </w:r>
          </w:p>
        </w:tc>
        <w:tc>
          <w:tcPr>
            <w:tcW w:w="159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334"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48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占总收入的比例</w:t>
            </w:r>
          </w:p>
        </w:tc>
        <w:tc>
          <w:tcPr>
            <w:tcW w:w="2126" w:type="dxa"/>
            <w:vMerge/>
            <w:tcBorders>
              <w:left w:val="single" w:sz="8" w:space="0" w:color="000000"/>
              <w:bottom w:val="single" w:sz="8" w:space="0" w:color="000000"/>
              <w:right w:val="single" w:sz="8" w:space="0" w:color="000000"/>
            </w:tcBorders>
            <w:shd w:val="clear" w:color="auto" w:fill="BEBEBE"/>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204" w:type="dxa"/>
        <w:tblLayout w:type="fixed"/>
        <w:tblCellMar>
          <w:top w:w="0" w:type="dxa"/>
          <w:left w:w="0" w:type="dxa"/>
          <w:bottom w:w="0" w:type="dxa"/>
          <w:right w:w="0" w:type="dxa"/>
        </w:tblCellMar>
        <w:tblLook w:val="01E0"/>
      </w:tblPr>
      <w:tblGrid>
        <w:gridCol w:w="1338"/>
        <w:gridCol w:w="1720"/>
        <w:gridCol w:w="1383"/>
        <w:gridCol w:w="1591"/>
        <w:gridCol w:w="1482"/>
        <w:gridCol w:w="2126"/>
      </w:tblGrid>
      <w:tr>
        <w:trPr>
          <w:trHeight w:val="432" w:hRule="exact"/>
        </w:trPr>
        <w:tc>
          <w:tcPr>
            <w:tcW w:w="133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195,292,367.87</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3.78%</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170,424,839.44</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3.85%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14.59%</w:t>
            </w:r>
          </w:p>
        </w:tc>
      </w:tr>
      <w:tr>
        <w:trPr>
          <w:trHeight w:val="432" w:hRule="exact"/>
        </w:trPr>
        <w:tc>
          <w:tcPr>
            <w:tcW w:w="133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500,132,149.65</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9.67%</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443,369,995.19</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10.02%</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12.80%</w:t>
            </w:r>
          </w:p>
        </w:tc>
      </w:tr>
      <w:tr>
        <w:trPr>
          <w:trHeight w:val="432" w:hRule="exact"/>
        </w:trPr>
        <w:tc>
          <w:tcPr>
            <w:tcW w:w="133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7,702,874.65</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0.15%</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37,735,740.53</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0.85%</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-79.59%</w:t>
            </w:r>
          </w:p>
        </w:tc>
      </w:tr>
      <w:tr>
        <w:trPr>
          <w:trHeight w:val="434" w:hRule="exact"/>
        </w:trPr>
        <w:tc>
          <w:tcPr>
            <w:tcW w:w="133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86,218,926.03</w:t>
            </w:r>
          </w:p>
        </w:tc>
        <w:tc>
          <w:tcPr>
            <w:tcW w:w="13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1.67%</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82,903,807.21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1.87%</w:t>
            </w:r>
          </w:p>
        </w:tc>
        <w:tc>
          <w:tcPr>
            <w:tcW w:w="2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4.00%</w:t>
            </w:r>
          </w:p>
        </w:tc>
      </w:tr>
    </w:tbl>
    <w:p>
      <w:pPr>
        <w:spacing w:line="240" w:lineRule="auto" w:before="8"/>
        <w:rPr>
          <w:rFonts w:ascii="宋体" w:hAnsi="宋体" w:cs="宋体" w:eastAsia="宋体" w:hint="default"/>
          <w:b/>
          <w:bCs/>
          <w:sz w:val="6"/>
          <w:szCs w:val="6"/>
        </w:rPr>
      </w:pPr>
    </w:p>
    <w:p>
      <w:pPr>
        <w:pStyle w:val="BodyText"/>
        <w:spacing w:line="316" w:lineRule="auto" w:before="44"/>
        <w:ind w:left="214" w:right="222" w:firstLine="360"/>
        <w:jc w:val="left"/>
      </w:pPr>
      <w:r>
        <w:rPr>
          <w:spacing w:val="-2"/>
        </w:rPr>
        <w:t>财务费用较上年同期减少</w:t>
      </w:r>
      <w:r>
        <w:rPr>
          <w:rFonts w:ascii="宋体" w:hAnsi="宋体" w:cs="宋体" w:eastAsia="宋体" w:hint="default"/>
          <w:spacing w:val="-2"/>
        </w:rPr>
        <w:t>79.59%</w:t>
      </w:r>
      <w:r>
        <w:rPr>
          <w:spacing w:val="-2"/>
        </w:rPr>
        <w:t>，主要原因系</w:t>
      </w:r>
      <w:r>
        <w:rPr>
          <w:rFonts w:ascii="宋体" w:hAnsi="宋体" w:cs="宋体" w:eastAsia="宋体" w:hint="default"/>
          <w:spacing w:val="-2"/>
        </w:rPr>
        <w:t>2013</w:t>
      </w:r>
      <w:r>
        <w:rPr>
          <w:spacing w:val="-2"/>
        </w:rPr>
        <w:t>年公司发行的可转换公司债券负债成分的摊余成本乘以实际利率确定</w:t>
      </w:r>
      <w:r>
        <w:rPr/>
        <w:t> 的利息费用导致</w:t>
      </w:r>
      <w:r>
        <w:rPr>
          <w:rFonts w:ascii="宋体" w:hAnsi="宋体" w:cs="宋体" w:eastAsia="宋体" w:hint="default"/>
        </w:rPr>
        <w:t>2014</w:t>
      </w:r>
      <w:r>
        <w:rPr/>
        <w:t>年财务费用较上年同期减少所致。</w:t>
      </w:r>
    </w:p>
    <w:p>
      <w:pPr>
        <w:spacing w:line="240" w:lineRule="auto" w:before="7"/>
        <w:rPr>
          <w:rFonts w:ascii="宋体" w:hAnsi="宋体" w:cs="宋体" w:eastAsia="宋体" w:hint="default"/>
          <w:sz w:val="22"/>
          <w:szCs w:val="22"/>
        </w:rPr>
      </w:pPr>
    </w:p>
    <w:p>
      <w:pPr>
        <w:pStyle w:val="Heading3"/>
        <w:spacing w:line="240" w:lineRule="auto"/>
        <w:ind w:left="214" w:right="222"/>
        <w:jc w:val="left"/>
        <w:rPr>
          <w:b w:val="0"/>
          <w:bCs w:val="0"/>
        </w:rPr>
      </w:pPr>
      <w:r>
        <w:rPr>
          <w:rFonts w:ascii="宋体" w:hAnsi="宋体" w:cs="宋体" w:eastAsia="宋体" w:hint="default"/>
        </w:rPr>
        <w:t>5</w:t>
      </w:r>
      <w:r>
        <w:rPr/>
        <w:t>、研发支出</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1467"/>
        <w:gridCol w:w="1476"/>
        <w:gridCol w:w="2043"/>
        <w:gridCol w:w="1783"/>
        <w:gridCol w:w="1476"/>
        <w:gridCol w:w="1610"/>
      </w:tblGrid>
      <w:tr>
        <w:trPr>
          <w:trHeight w:val="402" w:hRule="exact"/>
        </w:trPr>
        <w:tc>
          <w:tcPr>
            <w:tcW w:w="146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37"/>
              <w:jc w:val="right"/>
              <w:rPr>
                <w:rFonts w:ascii="宋体" w:hAnsi="宋体" w:cs="宋体" w:eastAsia="宋体" w:hint="default"/>
                <w:sz w:val="18"/>
                <w:szCs w:val="18"/>
              </w:rPr>
            </w:pPr>
            <w:r>
              <w:rPr>
                <w:rFonts w:ascii="宋体" w:hAnsi="宋体" w:cs="宋体" w:eastAsia="宋体" w:hint="default"/>
                <w:sz w:val="18"/>
                <w:szCs w:val="18"/>
              </w:rPr>
              <w:t>占期末净资产比例（</w:t>
            </w:r>
            <w:r>
              <w:rPr>
                <w:rFonts w:ascii="宋体" w:hAnsi="宋体" w:cs="宋体" w:eastAsia="宋体" w:hint="default"/>
                <w:sz w:val="18"/>
                <w:szCs w:val="18"/>
              </w:rPr>
              <w:t>%</w:t>
            </w:r>
            <w:r>
              <w:rPr>
                <w:rFonts w:ascii="宋体" w:hAnsi="宋体" w:cs="宋体" w:eastAsia="宋体" w:hint="default"/>
                <w:sz w:val="18"/>
                <w:szCs w:val="18"/>
              </w:rPr>
              <w:t>）</w:t>
            </w:r>
          </w:p>
        </w:tc>
        <w:tc>
          <w:tcPr>
            <w:tcW w:w="17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占营业收入比例（</w:t>
            </w:r>
            <w:r>
              <w:rPr>
                <w:rFonts w:ascii="宋体" w:hAnsi="宋体" w:cs="宋体" w:eastAsia="宋体" w:hint="default"/>
                <w:spacing w:val="-6"/>
                <w:sz w:val="18"/>
                <w:szCs w:val="18"/>
              </w:rPr>
              <w:t>%</w:t>
            </w:r>
            <w:r>
              <w:rPr>
                <w:rFonts w:ascii="宋体" w:hAnsi="宋体" w:cs="宋体" w:eastAsia="宋体" w:hint="default"/>
                <w:spacing w:val="-6"/>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498,245,268.58</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7.91%</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9.64%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353,785,751.57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7" w:right="0"/>
              <w:jc w:val="left"/>
              <w:rPr>
                <w:rFonts w:ascii="宋体" w:hAnsi="宋体" w:cs="宋体" w:eastAsia="宋体" w:hint="default"/>
                <w:sz w:val="18"/>
                <w:szCs w:val="18"/>
              </w:rPr>
            </w:pPr>
            <w:r>
              <w:rPr>
                <w:rFonts w:ascii="宋体"/>
                <w:sz w:val="18"/>
              </w:rPr>
              <w:t>219,275,700.00</w:t>
            </w:r>
          </w:p>
        </w:tc>
      </w:tr>
    </w:tbl>
    <w:p>
      <w:pPr>
        <w:spacing w:line="240" w:lineRule="auto" w:before="8"/>
        <w:rPr>
          <w:rFonts w:ascii="宋体" w:hAnsi="宋体" w:cs="宋体" w:eastAsia="宋体" w:hint="default"/>
          <w:b/>
          <w:bCs/>
          <w:sz w:val="6"/>
          <w:szCs w:val="6"/>
        </w:rPr>
      </w:pPr>
    </w:p>
    <w:p>
      <w:pPr>
        <w:pStyle w:val="BodyText"/>
        <w:spacing w:line="316" w:lineRule="auto" w:before="44"/>
        <w:ind w:left="214" w:right="229" w:firstLine="360"/>
        <w:jc w:val="both"/>
      </w:pPr>
      <w:r>
        <w:rPr/>
        <w:t>报告期内，公司累计完成研发投入</w:t>
      </w:r>
      <w:r>
        <w:rPr>
          <w:rFonts w:ascii="宋体" w:hAnsi="宋体" w:cs="宋体" w:eastAsia="宋体" w:hint="default"/>
        </w:rPr>
        <w:t>498,245,268.58</w:t>
      </w:r>
      <w:r>
        <w:rPr/>
        <w:t>元，较上年同期增长</w:t>
      </w:r>
      <w:r>
        <w:rPr>
          <w:rFonts w:ascii="宋体" w:hAnsi="宋体" w:cs="宋体" w:eastAsia="宋体" w:hint="default"/>
        </w:rPr>
        <w:t>40.83%</w:t>
      </w:r>
      <w:r>
        <w:rPr/>
        <w:t>。截止报告期末，公司已拥有近</w:t>
      </w:r>
      <w:r>
        <w:rPr>
          <w:rFonts w:ascii="宋体" w:hAnsi="宋体" w:cs="宋体" w:eastAsia="宋体" w:hint="default"/>
        </w:rPr>
        <w:t>600</w:t>
      </w:r>
      <w:r>
        <w:rPr/>
        <w:t>项计</w:t>
      </w:r>
      <w:r>
        <w:rPr>
          <w:spacing w:val="1"/>
        </w:rPr>
        <w:t> </w:t>
      </w:r>
      <w:r>
        <w:rPr/>
        <w:t>算机软件著作权，属于少数可以为用户提供行业应用软件、计算机系统集成及相关服务的综合软件企业。</w:t>
      </w:r>
      <w:r>
        <w:rPr>
          <w:spacing w:val="8"/>
        </w:rPr>
        <w:t> </w:t>
      </w:r>
      <w:r>
        <w:rPr>
          <w:rFonts w:ascii="宋体" w:hAnsi="宋体" w:cs="宋体" w:eastAsia="宋体" w:hint="default"/>
        </w:rPr>
        <w:t>2014</w:t>
      </w:r>
      <w:r>
        <w:rPr/>
        <w:t>年，公司不 </w:t>
      </w:r>
      <w:r>
        <w:rPr>
          <w:spacing w:val="-5"/>
        </w:rPr>
        <w:t>断加强研发投入力度，在不断优化公司传统应用、通用软件的基础上，加大了互联网行业的研发投入，公司“健康乐”、“互</w:t>
      </w:r>
      <w:r>
        <w:rPr>
          <w:spacing w:val="-79"/>
        </w:rPr>
        <w:t> </w:t>
      </w:r>
      <w:r>
        <w:rPr>
          <w:spacing w:val="-79"/>
        </w:rPr>
      </w:r>
      <w:r>
        <w:rPr>
          <w:spacing w:val="-1"/>
        </w:rPr>
        <w:t>联网金融”、“互联网教育”均在</w:t>
      </w:r>
      <w:r>
        <w:rPr>
          <w:rFonts w:ascii="宋体" w:hAnsi="宋体" w:cs="宋体" w:eastAsia="宋体" w:hint="default"/>
          <w:spacing w:val="-1"/>
        </w:rPr>
        <w:t>2014</w:t>
      </w:r>
      <w:r>
        <w:rPr>
          <w:spacing w:val="-1"/>
        </w:rPr>
        <w:t>年取得突破性的进展。</w:t>
      </w:r>
      <w:r>
        <w:rPr>
          <w:spacing w:val="-3"/>
        </w:rPr>
        <w:t> </w:t>
      </w:r>
      <w:r>
        <w:rPr>
          <w:spacing w:val="-2"/>
        </w:rPr>
        <w:t>截止报告期末，公司发行的可转换公司债券，</w:t>
      </w:r>
      <w:r>
        <w:rPr>
          <w:rFonts w:ascii="宋体" w:hAnsi="宋体" w:cs="宋体" w:eastAsia="宋体" w:hint="default"/>
          <w:spacing w:val="-2"/>
        </w:rPr>
        <w:t>6</w:t>
      </w:r>
      <w:r>
        <w:rPr>
          <w:spacing w:val="-2"/>
        </w:rPr>
        <w:t>个募投项目研</w:t>
      </w:r>
      <w:r>
        <w:rPr>
          <w:spacing w:val="-88"/>
        </w:rPr>
        <w:t> </w:t>
      </w:r>
      <w:r>
        <w:rPr/>
        <w:t>发有序进行，强化了公司的研发实力和核心竞争力。</w:t>
      </w:r>
    </w:p>
    <w:p>
      <w:pPr>
        <w:spacing w:line="240" w:lineRule="auto" w:before="7"/>
        <w:rPr>
          <w:rFonts w:ascii="宋体" w:hAnsi="宋体" w:cs="宋体" w:eastAsia="宋体" w:hint="default"/>
          <w:sz w:val="22"/>
          <w:szCs w:val="22"/>
        </w:rPr>
      </w:pPr>
    </w:p>
    <w:p>
      <w:pPr>
        <w:pStyle w:val="Heading3"/>
        <w:spacing w:line="240" w:lineRule="auto"/>
        <w:ind w:left="214" w:right="222"/>
        <w:jc w:val="left"/>
        <w:rPr>
          <w:b w:val="0"/>
          <w:bCs w:val="0"/>
        </w:rPr>
      </w:pPr>
      <w:r>
        <w:rPr>
          <w:rFonts w:ascii="宋体" w:hAnsi="宋体" w:cs="宋体" w:eastAsia="宋体" w:hint="default"/>
        </w:rPr>
        <w:t>6</w:t>
      </w:r>
      <w:r>
        <w:rPr/>
        <w:t>、现金流</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230"/>
        <w:jc w:val="right"/>
      </w:pPr>
      <w:r>
        <w:rPr/>
        <w:t>单位：元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4,675,081,477.49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4,387,631,062.88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4,690,225,551.61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4,086,294,649.83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-15,144,074.12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301,336,413.05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-105.03%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76,865,948.82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1,725,695.53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4,354.20%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504,464,134.26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384,846,762.06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-427,598,185.44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-383,121,066.53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843,663,641.35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1,747,066,662.50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602,330,213.17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851,585,003.46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-29.27%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241,333,428.18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895,481,659.04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-73.05%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-201,390,492.21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813,637,901.49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-124.75%</w:t>
            </w:r>
          </w:p>
        </w:tc>
      </w:tr>
    </w:tbl>
    <w:p>
      <w:pPr>
        <w:spacing w:line="240" w:lineRule="auto" w:before="8"/>
        <w:rPr>
          <w:rFonts w:ascii="宋体" w:hAnsi="宋体" w:cs="宋体" w:eastAsia="宋体" w:hint="default"/>
          <w:sz w:val="6"/>
          <w:szCs w:val="6"/>
        </w:rPr>
      </w:pPr>
    </w:p>
    <w:p>
      <w:pPr>
        <w:pStyle w:val="BodyText"/>
        <w:spacing w:line="240" w:lineRule="auto" w:before="44"/>
        <w:ind w:left="214" w:right="222"/>
        <w:jc w:val="left"/>
      </w:pPr>
      <w:r>
        <w:rPr/>
        <w:t>相关数据同比发生变动</w:t>
      </w:r>
      <w:r>
        <w:rPr>
          <w:rFonts w:ascii="宋体" w:hAnsi="宋体" w:cs="宋体" w:eastAsia="宋体" w:hint="default"/>
        </w:rPr>
        <w:t>30%</w:t>
      </w:r>
      <w:r>
        <w:rPr/>
        <w:t>以上的原因说明</w:t>
      </w:r>
    </w:p>
    <w:p>
      <w:pPr>
        <w:spacing w:line="240" w:lineRule="auto" w:before="0"/>
        <w:rPr>
          <w:rFonts w:ascii="宋体" w:hAnsi="宋体" w:cs="宋体" w:eastAsia="宋体" w:hint="default"/>
          <w:sz w:val="15"/>
          <w:szCs w:val="15"/>
        </w:rPr>
      </w:pPr>
    </w:p>
    <w:p>
      <w:pPr>
        <w:pStyle w:val="BodyText"/>
        <w:spacing w:line="439" w:lineRule="auto"/>
        <w:ind w:left="574" w:right="222" w:hanging="360"/>
        <w:jc w:val="left"/>
      </w:pPr>
      <w:r>
        <w:rPr/>
        <w:t>√ 适用 □ 不适用 经营活动产生的现金流量净额较上年同期减少</w:t>
      </w:r>
      <w:r>
        <w:rPr>
          <w:rFonts w:ascii="宋体" w:hAnsi="宋体" w:cs="宋体" w:eastAsia="宋体" w:hint="default"/>
        </w:rPr>
        <w:t>105.03%</w:t>
      </w:r>
      <w:r>
        <w:rPr/>
        <w:t>，主要原因系公司项目采购货物增加，管理费用、销售费用、人</w:t>
      </w:r>
    </w:p>
    <w:p>
      <w:pPr>
        <w:spacing w:after="0" w:line="439" w:lineRule="auto"/>
        <w:jc w:val="left"/>
        <w:sectPr>
          <w:pgSz w:w="11910" w:h="16840"/>
          <w:pgMar w:header="747" w:footer="979" w:top="1060" w:bottom="1160" w:left="920" w:right="90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员工资增加，及支付应交增值税、所得税增加所致；</w:t>
      </w:r>
    </w:p>
    <w:p>
      <w:pPr>
        <w:spacing w:line="240" w:lineRule="auto" w:before="0"/>
        <w:rPr>
          <w:rFonts w:ascii="宋体" w:hAnsi="宋体" w:cs="宋体" w:eastAsia="宋体" w:hint="default"/>
          <w:sz w:val="15"/>
          <w:szCs w:val="15"/>
        </w:rPr>
      </w:pPr>
    </w:p>
    <w:p>
      <w:pPr>
        <w:pStyle w:val="BodyText"/>
        <w:spacing w:line="316" w:lineRule="auto"/>
        <w:ind w:right="182" w:firstLine="360"/>
        <w:jc w:val="left"/>
      </w:pPr>
      <w:r>
        <w:rPr/>
        <w:t>投资活动现金流入较上年同期增加</w:t>
      </w:r>
      <w:r>
        <w:rPr>
          <w:rFonts w:ascii="宋体" w:hAnsi="宋体" w:cs="宋体" w:eastAsia="宋体" w:hint="default"/>
        </w:rPr>
        <w:t>75,140,253.29</w:t>
      </w:r>
      <w:r>
        <w:rPr/>
        <w:t>元，主要原因系公司转让东方通部分股权收回的投资及收益、收购北 京威锐达测控系统有限公司收到的其他与投资活动有关的现金增加所致；</w:t>
      </w:r>
    </w:p>
    <w:p>
      <w:pPr>
        <w:pStyle w:val="BodyText"/>
        <w:spacing w:line="432" w:lineRule="exact" w:before="4"/>
        <w:ind w:left="514" w:right="92"/>
        <w:jc w:val="left"/>
      </w:pPr>
      <w:r>
        <w:rPr/>
        <w:t>投资活动现金流出较上年同期增加</w:t>
      </w:r>
      <w:r>
        <w:rPr>
          <w:rFonts w:ascii="宋体" w:hAnsi="宋体" w:cs="宋体" w:eastAsia="宋体" w:hint="default"/>
        </w:rPr>
        <w:t>31.08%</w:t>
      </w:r>
      <w:r>
        <w:rPr/>
        <w:t>，主要原因系公司收购北京威锐达测控系统有限公司支付现金购买资产所致。 </w:t>
      </w:r>
      <w:r>
        <w:rPr>
          <w:spacing w:val="-2"/>
        </w:rPr>
        <w:t>筹资活动现金流入较上年同期减少</w:t>
      </w:r>
      <w:r>
        <w:rPr>
          <w:rFonts w:ascii="宋体" w:hAnsi="宋体" w:cs="宋体" w:eastAsia="宋体" w:hint="default"/>
          <w:spacing w:val="-2"/>
        </w:rPr>
        <w:t>51.71%</w:t>
      </w:r>
      <w:r>
        <w:rPr>
          <w:spacing w:val="-2"/>
        </w:rPr>
        <w:t>，主要原因系公司控股子公司北京光明数据信息技术有限公司吸收少数股东投</w:t>
      </w:r>
    </w:p>
    <w:p>
      <w:pPr>
        <w:pStyle w:val="BodyText"/>
        <w:spacing w:line="316" w:lineRule="auto" w:before="15"/>
        <w:ind w:right="87"/>
        <w:jc w:val="left"/>
      </w:pPr>
      <w:r>
        <w:rPr>
          <w:spacing w:val="-2"/>
        </w:rPr>
        <w:t>资收到的现金及公司发行可转换公司债券募集资金较上年同期减少所致，同时导致筹资活动产生的现金流量净额较上年同期</w:t>
      </w:r>
      <w:r>
        <w:rPr>
          <w:spacing w:val="-64"/>
        </w:rPr>
        <w:t> </w:t>
      </w:r>
      <w:r>
        <w:rPr>
          <w:spacing w:val="-64"/>
        </w:rPr>
      </w:r>
      <w:r>
        <w:rPr/>
        <w:t>减少</w:t>
      </w:r>
      <w:r>
        <w:rPr>
          <w:rFonts w:ascii="宋体" w:hAnsi="宋体" w:cs="宋体" w:eastAsia="宋体" w:hint="default"/>
        </w:rPr>
        <w:t>73.05%</w:t>
      </w:r>
      <w:r>
        <w:rPr/>
        <w:t>；</w:t>
      </w:r>
    </w:p>
    <w:p>
      <w:pPr>
        <w:pStyle w:val="BodyText"/>
        <w:spacing w:line="316" w:lineRule="auto" w:before="139"/>
        <w:ind w:right="182" w:firstLine="360"/>
        <w:jc w:val="left"/>
      </w:pPr>
      <w:r>
        <w:rPr/>
        <w:t>现金及现金等价物净增加额较上年同期减少</w:t>
      </w:r>
      <w:r>
        <w:rPr>
          <w:rFonts w:ascii="宋体" w:hAnsi="宋体" w:cs="宋体" w:eastAsia="宋体" w:hint="default"/>
        </w:rPr>
        <w:t>124.75%</w:t>
      </w:r>
      <w:r>
        <w:rPr/>
        <w:t>，主要原因系公司公司项目采购货物增加，管理费用、销售费用、 人员工资增加及公司在</w:t>
      </w:r>
      <w:r>
        <w:rPr>
          <w:rFonts w:ascii="宋体" w:hAnsi="宋体" w:cs="宋体" w:eastAsia="宋体" w:hint="default"/>
        </w:rPr>
        <w:t>2013</w:t>
      </w:r>
      <w:r>
        <w:rPr/>
        <w:t>年发行可转换公司债券募集资金，</w:t>
      </w:r>
      <w:r>
        <w:rPr>
          <w:rFonts w:ascii="宋体" w:hAnsi="宋体" w:cs="宋体" w:eastAsia="宋体" w:hint="default"/>
        </w:rPr>
        <w:t>2014</w:t>
      </w:r>
      <w:r>
        <w:rPr/>
        <w:t>年较上年募集资金减少所致。</w:t>
      </w:r>
    </w:p>
    <w:p>
      <w:pPr>
        <w:pStyle w:val="BodyText"/>
        <w:spacing w:line="240" w:lineRule="auto" w:before="139"/>
        <w:ind w:right="87"/>
        <w:jc w:val="left"/>
      </w:pPr>
      <w:r>
        <w:rPr/>
        <w:t>报告期内公司经营活动的现金流量与本年度净利润存在重大差异的原因说明</w:t>
      </w:r>
    </w:p>
    <w:p>
      <w:pPr>
        <w:spacing w:line="240" w:lineRule="auto" w:before="0"/>
        <w:rPr>
          <w:rFonts w:ascii="宋体" w:hAnsi="宋体" w:cs="宋体" w:eastAsia="宋体" w:hint="default"/>
          <w:sz w:val="15"/>
          <w:szCs w:val="15"/>
        </w:rPr>
      </w:pPr>
    </w:p>
    <w:p>
      <w:pPr>
        <w:pStyle w:val="BodyText"/>
        <w:spacing w:line="240" w:lineRule="auto"/>
        <w:ind w:right="87"/>
        <w:jc w:val="left"/>
      </w:pPr>
      <w:r>
        <w:rPr/>
        <w:t>□ 适用 √ 不适用</w:t>
      </w:r>
    </w:p>
    <w:p>
      <w:pPr>
        <w:spacing w:line="240" w:lineRule="auto" w:before="2"/>
        <w:rPr>
          <w:rFonts w:ascii="宋体" w:hAnsi="宋体" w:cs="宋体" w:eastAsia="宋体" w:hint="default"/>
          <w:sz w:val="25"/>
          <w:szCs w:val="25"/>
        </w:rPr>
      </w:pPr>
    </w:p>
    <w:p>
      <w:pPr>
        <w:pStyle w:val="Heading2"/>
        <w:spacing w:line="240" w:lineRule="auto"/>
        <w:ind w:right="87"/>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608"/>
        <w:gridCol w:w="1559"/>
        <w:gridCol w:w="934"/>
        <w:gridCol w:w="1366"/>
        <w:gridCol w:w="1366"/>
        <w:gridCol w:w="1370"/>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464,764,669.36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303,264,036.45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0.50%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电力水利铁路交 通行业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757,851,544.07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462,012,334.16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128,387,591.26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83,732,741.99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0.61%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464,191,030.99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301,473,387.09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金融保险医保行 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2,545,852,932.93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1,638,673,798.52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0.66%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245,520,231.26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160,646,728.74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130,194,711.14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87,874,404.42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322,608,815.04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213,143,272.71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1.26%</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2,966,259,074.14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2,546,818,323.64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924,294,516.44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234,151,515.24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1,065,247,675.88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442,316,613.91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-10.90%</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风电振动监测系 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103,570,259.59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27,534,251.29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73.41%</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311,726,097.24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199,879,906.88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2,929,256,665.11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1,860,681,021.05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1.49%</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608"/>
        <w:gridCol w:w="1559"/>
        <w:gridCol w:w="934"/>
        <w:gridCol w:w="1366"/>
        <w:gridCol w:w="1366"/>
        <w:gridCol w:w="1370"/>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715,474,922.36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465,904,608.21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180,823,445.15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116,779,872.73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243,883,540.01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160,499,781.95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342,763,246.26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221,844,477.85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335,443,609.92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225,231,035.41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公司主营业务数据统计口径在报告期发生调整的情况下，公司最近</w:t>
      </w:r>
      <w:r>
        <w:rPr>
          <w:rFonts w:ascii="宋体" w:hAnsi="宋体" w:cs="宋体" w:eastAsia="宋体" w:hint="default"/>
        </w:rPr>
        <w:t>1</w:t>
      </w:r>
      <w:r>
        <w:rPr/>
        <w:t>年按报告期末口径调整后的主营业务数据</w:t>
      </w:r>
    </w:p>
    <w:p>
      <w:pPr>
        <w:spacing w:line="240" w:lineRule="auto" w:before="0"/>
        <w:rPr>
          <w:rFonts w:ascii="宋体" w:hAnsi="宋体" w:cs="宋体" w:eastAsia="宋体" w:hint="default"/>
          <w:sz w:val="15"/>
          <w:szCs w:val="15"/>
        </w:rPr>
      </w:pPr>
    </w:p>
    <w:p>
      <w:pPr>
        <w:pStyle w:val="BodyText"/>
        <w:spacing w:line="240" w:lineRule="auto"/>
        <w:ind w:right="0"/>
        <w:jc w:val="left"/>
      </w:pPr>
      <w:r>
        <w:rPr/>
        <w:t>□ 适用 √ 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、资产项目重大变动情况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419"/>
        <w:gridCol w:w="1559"/>
        <w:gridCol w:w="1276"/>
        <w:gridCol w:w="992"/>
        <w:gridCol w:w="134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30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1,096,415,088.85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1,301,601,381.71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-7.82%</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2,952,086,558.85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1,817,558,354.68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7.02%</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1,189,712,797.66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1,260,627,760.89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-5.97%</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531,706,339.22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501,663,159.47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22,110,496.83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21,575,893.87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-0.08%</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2</w:t>
      </w:r>
      <w:r>
        <w:rPr/>
        <w:t>、负债项目重大变动情况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419"/>
        <w:gridCol w:w="1559"/>
        <w:gridCol w:w="1276"/>
        <w:gridCol w:w="992"/>
        <w:gridCol w:w="134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30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5" w:right="0"/>
              <w:jc w:val="left"/>
              <w:rPr>
                <w:rFonts w:ascii="宋体" w:hAnsi="宋体" w:cs="宋体" w:eastAsia="宋体" w:hint="default"/>
                <w:sz w:val="18"/>
                <w:szCs w:val="18"/>
              </w:rPr>
            </w:pPr>
            <w:r>
              <w:rPr>
                <w:rFonts w:ascii="宋体"/>
                <w:sz w:val="18"/>
              </w:rPr>
              <w:t>292,027,009.15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5" w:right="0"/>
              <w:jc w:val="left"/>
              <w:rPr>
                <w:rFonts w:ascii="宋体" w:hAnsi="宋体" w:cs="宋体" w:eastAsia="宋体" w:hint="default"/>
                <w:sz w:val="18"/>
                <w:szCs w:val="18"/>
              </w:rPr>
            </w:pPr>
            <w:r>
              <w:rPr>
                <w:rFonts w:ascii="宋体"/>
                <w:sz w:val="18"/>
              </w:rPr>
              <w:t>3.69%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sz w:val="18"/>
              </w:rPr>
              <w:t>209,800,000.00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3" w:right="0"/>
              <w:jc w:val="left"/>
              <w:rPr>
                <w:rFonts w:ascii="宋体" w:hAnsi="宋体" w:cs="宋体" w:eastAsia="宋体" w:hint="default"/>
                <w:sz w:val="18"/>
                <w:szCs w:val="18"/>
              </w:rPr>
            </w:pPr>
            <w:r>
              <w:rPr>
                <w:rFonts w:ascii="宋体"/>
                <w:sz w:val="18"/>
              </w:rPr>
              <w:t>3.49%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0.20%</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3</w:t>
      </w:r>
      <w:r>
        <w:rPr/>
        <w:t>、以公允价值计量的资产和负债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5" w:right="6891"/>
        <w:jc w:val="center"/>
      </w:pPr>
      <w:r>
        <w:rPr>
          <w:rFonts w:ascii="宋体" w:hAnsi="宋体" w:cs="宋体" w:eastAsia="宋体" w:hint="default"/>
        </w:rPr>
        <w:t>1.</w:t>
      </w:r>
      <w:r>
        <w:rPr/>
        <w:t>公司技术实力雄厚，结构清晰</w:t>
      </w:r>
    </w:p>
    <w:p>
      <w:pPr>
        <w:spacing w:line="240" w:lineRule="auto" w:before="1"/>
        <w:rPr>
          <w:rFonts w:ascii="宋体" w:hAnsi="宋体" w:cs="宋体" w:eastAsia="宋体" w:hint="default"/>
          <w:sz w:val="15"/>
          <w:szCs w:val="15"/>
        </w:rPr>
      </w:pPr>
    </w:p>
    <w:p>
      <w:pPr>
        <w:pStyle w:val="BodyText"/>
        <w:spacing w:line="316" w:lineRule="auto"/>
        <w:ind w:right="149" w:firstLine="360"/>
        <w:jc w:val="both"/>
      </w:pPr>
      <w:r>
        <w:rPr>
          <w:rFonts w:ascii="宋体" w:hAnsi="宋体" w:cs="宋体" w:eastAsia="宋体" w:hint="default"/>
          <w:spacing w:val="-2"/>
        </w:rPr>
        <w:t>2014</w:t>
      </w:r>
      <w:r>
        <w:rPr>
          <w:spacing w:val="-2"/>
        </w:rPr>
        <w:t>年公司获取《国家安全可靠计算机信息系统集成重点企业证书》，国家及地方政府提供财政支持，更新替换服务器</w:t>
      </w:r>
      <w:r>
        <w:rPr/>
        <w:t> </w:t>
      </w:r>
      <w:r>
        <w:rPr>
          <w:spacing w:val="-2"/>
        </w:rPr>
        <w:t>原有系统，海南省政府办公厅已经显示这一资质的拉动作用。公司的软件产品种类较为丰富、功能强大，在多个细分市场具</w:t>
      </w:r>
      <w:r>
        <w:rPr>
          <w:spacing w:val="-66"/>
        </w:rPr>
        <w:t> </w:t>
      </w:r>
      <w:r>
        <w:rPr>
          <w:spacing w:val="-66"/>
        </w:rPr>
      </w:r>
      <w:r>
        <w:rPr/>
        <w:t>有很强的竞争力；同时公司具有很强的行业整合能力</w:t>
      </w:r>
      <w:r>
        <w:rPr>
          <w:rFonts w:ascii="宋体" w:hAnsi="宋体" w:cs="宋体" w:eastAsia="宋体" w:hint="default"/>
        </w:rPr>
        <w:t>,</w:t>
      </w:r>
      <w:r>
        <w:rPr/>
        <w:t>出色的管理以及成本控制能力有助于防范高速扩张所带来的经营管理</w:t>
      </w:r>
      <w:r>
        <w:rPr>
          <w:spacing w:val="-82"/>
        </w:rPr>
        <w:t> </w:t>
      </w:r>
      <w:r>
        <w:rPr>
          <w:spacing w:val="-82"/>
        </w:rPr>
      </w:r>
      <w:r>
        <w:rPr>
          <w:spacing w:val="-2"/>
        </w:rPr>
        <w:t>风险。公司三大主营业务结构清晰：系统集成、软件业务和技术服务。公司将提升企业整体盈利能力的着力点放在了加快软</w:t>
      </w:r>
    </w:p>
    <w:p>
      <w:pPr>
        <w:spacing w:after="0" w:line="316"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439" w:lineRule="auto" w:before="44"/>
        <w:ind w:left="514" w:right="0" w:hanging="360"/>
        <w:jc w:val="left"/>
      </w:pPr>
      <w:r>
        <w:rPr/>
        <w:t>件与技术服务业务的发展，随着自行开发软件产品以及软件服务收入比重不断增大</w:t>
      </w:r>
      <w:r>
        <w:rPr>
          <w:rFonts w:ascii="宋体" w:hAnsi="宋体" w:cs="宋体" w:eastAsia="宋体" w:hint="default"/>
        </w:rPr>
        <w:t>,</w:t>
      </w:r>
      <w:r>
        <w:rPr/>
        <w:t>公司的盈利能力将不断加强。 </w:t>
      </w:r>
      <w:r>
        <w:rPr>
          <w:rFonts w:ascii="宋体" w:hAnsi="宋体" w:cs="宋体" w:eastAsia="宋体" w:hint="default"/>
        </w:rPr>
        <w:t>2.</w:t>
      </w:r>
      <w:r>
        <w:rPr/>
        <w:t>高端客户促进企业竞争力</w:t>
      </w:r>
    </w:p>
    <w:p>
      <w:pPr>
        <w:pStyle w:val="BodyText"/>
        <w:spacing w:line="319" w:lineRule="auto" w:before="47"/>
        <w:ind w:right="151" w:firstLine="360"/>
        <w:jc w:val="both"/>
      </w:pPr>
      <w:r>
        <w:rPr>
          <w:spacing w:val="-2"/>
        </w:rPr>
        <w:t>公司客户所拥有的优质性、稳定性、全面性特点有效的推动了可持续发展，实现公司多行业齐发展的战略规划。公司所</w:t>
      </w:r>
      <w:r>
        <w:rPr/>
        <w:t> </w:t>
      </w:r>
      <w:r>
        <w:rPr>
          <w:spacing w:val="-2"/>
        </w:rPr>
        <w:t>拥有客户资源在广度、深度上都具有明显优势，自成立以来，已经为医疗、金融、电力、电信、煤炭、石油、交通、制造业</w:t>
      </w:r>
      <w:r>
        <w:rPr>
          <w:spacing w:val="-71"/>
        </w:rPr>
        <w:t> </w:t>
      </w:r>
      <w:r>
        <w:rPr>
          <w:spacing w:val="-71"/>
        </w:rPr>
      </w:r>
      <w:r>
        <w:rPr>
          <w:spacing w:val="-2"/>
        </w:rPr>
        <w:t>等各类行业数千名客户提供了优质服务，服务类型也涵盖从基础软件应用、技术平台支持等到为客户打造全方位整体解决方</w:t>
      </w:r>
      <w:r>
        <w:rPr>
          <w:spacing w:val="-64"/>
        </w:rPr>
        <w:t> </w:t>
      </w:r>
      <w:r>
        <w:rPr>
          <w:spacing w:val="-64"/>
        </w:rPr>
      </w:r>
      <w:r>
        <w:rPr>
          <w:spacing w:val="-2"/>
        </w:rPr>
        <w:t>案服务。此外，作为整体解决方案提供商，公司与客户长期保持沟通合作，提供持续服务，并对许多客户情况与需求有着其</w:t>
      </w:r>
      <w:r>
        <w:rPr>
          <w:spacing w:val="-66"/>
        </w:rPr>
        <w:t> </w:t>
      </w:r>
      <w:r>
        <w:rPr>
          <w:spacing w:val="-66"/>
        </w:rPr>
      </w:r>
      <w:r>
        <w:rPr/>
        <w:t>他行业竞争者无法比拟的深刻了解，为双方保持长期良好的合作关系奠定了坚实的基础。</w:t>
      </w:r>
    </w:p>
    <w:p>
      <w:pPr>
        <w:pStyle w:val="BodyText"/>
        <w:spacing w:line="432" w:lineRule="exact" w:before="1"/>
        <w:ind w:left="514" w:right="0"/>
        <w:jc w:val="left"/>
      </w:pPr>
      <w:r>
        <w:rPr>
          <w:rFonts w:ascii="宋体" w:hAnsi="宋体" w:cs="宋体" w:eastAsia="宋体" w:hint="default"/>
        </w:rPr>
        <w:t>3.</w:t>
      </w:r>
      <w:r>
        <w:rPr/>
        <w:t>稳定的战略合作伙伴 </w:t>
      </w:r>
      <w:r>
        <w:rPr>
          <w:spacing w:val="-2"/>
        </w:rPr>
        <w:t>公司合作伙伴的数量急剧增加，已经充分说明公司渠道政策稳定的重要性。目前，公司已经与数十家国内外顶级</w:t>
      </w:r>
      <w:r>
        <w:rPr>
          <w:rFonts w:ascii="宋体" w:hAnsi="宋体" w:cs="宋体" w:eastAsia="宋体" w:hint="default"/>
          <w:spacing w:val="-2"/>
        </w:rPr>
        <w:t>IT</w:t>
      </w:r>
      <w:r>
        <w:rPr>
          <w:spacing w:val="-2"/>
        </w:rPr>
        <w:t>企业</w:t>
      </w:r>
    </w:p>
    <w:p>
      <w:pPr>
        <w:pStyle w:val="BodyText"/>
        <w:spacing w:line="316" w:lineRule="auto" w:before="15"/>
        <w:ind w:right="151"/>
        <w:jc w:val="both"/>
      </w:pPr>
      <w:r>
        <w:rPr>
          <w:spacing w:val="-2"/>
        </w:rPr>
        <w:t>成功建立了战略合作伙伴关系。公司与阿里云计算有限公司决定建立战略合作伙伴关系，双方将在云计算、大数据、智慧城</w:t>
      </w:r>
      <w:r>
        <w:rPr>
          <w:spacing w:val="-66"/>
        </w:rPr>
        <w:t> </w:t>
      </w:r>
      <w:r>
        <w:rPr>
          <w:spacing w:val="-66"/>
        </w:rPr>
      </w:r>
      <w:r>
        <w:rPr>
          <w:spacing w:val="-2"/>
        </w:rPr>
        <w:t>市等多个领域开展合作。趋势科技（中国）与东华软件股份公司签订战略性行业合作协议，双方将在中国大陆全面开展战略</w:t>
      </w:r>
      <w:r>
        <w:rPr>
          <w:spacing w:val="-66"/>
        </w:rPr>
        <w:t> </w:t>
      </w:r>
      <w:r>
        <w:rPr>
          <w:spacing w:val="-66"/>
        </w:rPr>
      </w:r>
      <w:r>
        <w:rPr>
          <w:spacing w:val="-2"/>
        </w:rPr>
        <w:t>合作，利用双方优势共同帮助终端用户应对不断演化的网络威胁。东华软件与常州万联网络数据信息安全股份有限公司签署</w:t>
      </w:r>
      <w:r>
        <w:rPr>
          <w:spacing w:val="-64"/>
        </w:rPr>
        <w:t> </w:t>
      </w:r>
      <w:r>
        <w:rPr>
          <w:spacing w:val="-64"/>
        </w:rPr>
      </w:r>
      <w:r>
        <w:rPr>
          <w:spacing w:val="-3"/>
        </w:rPr>
        <w:t>工业</w:t>
      </w:r>
      <w:r>
        <w:rPr>
          <w:rFonts w:ascii="宋体" w:hAnsi="宋体" w:cs="宋体" w:eastAsia="宋体" w:hint="default"/>
          <w:spacing w:val="-3"/>
        </w:rPr>
        <w:t>4.0</w:t>
      </w:r>
      <w:r>
        <w:rPr>
          <w:spacing w:val="-3"/>
        </w:rPr>
        <w:t>战略合作协议，以实现双方在工业</w:t>
      </w:r>
      <w:r>
        <w:rPr>
          <w:rFonts w:ascii="宋体" w:hAnsi="宋体" w:cs="宋体" w:eastAsia="宋体" w:hint="default"/>
          <w:spacing w:val="-3"/>
        </w:rPr>
        <w:t>4.0</w:t>
      </w:r>
      <w:r>
        <w:rPr>
          <w:spacing w:val="-3"/>
        </w:rPr>
        <w:t>领域的合作共赢。公司全资子神州新桥是</w:t>
      </w:r>
      <w:r>
        <w:rPr>
          <w:rFonts w:ascii="宋体" w:hAnsi="宋体" w:cs="宋体" w:eastAsia="宋体" w:hint="default"/>
          <w:spacing w:val="-3"/>
        </w:rPr>
        <w:t>ORACLE</w:t>
      </w:r>
      <w:r>
        <w:rPr>
          <w:spacing w:val="-3"/>
        </w:rPr>
        <w:t>的高级合作伙伴，公司是</w:t>
      </w:r>
      <w:r>
        <w:rPr>
          <w:rFonts w:ascii="宋体" w:hAnsi="宋体" w:cs="宋体" w:eastAsia="宋体" w:hint="default"/>
          <w:spacing w:val="-3"/>
        </w:rPr>
        <w:t>Cisco</w:t>
      </w:r>
      <w:r>
        <w:rPr>
          <w:rFonts w:ascii="宋体" w:hAnsi="宋体" w:cs="宋体" w:eastAsia="宋体" w:hint="default"/>
          <w:spacing w:val="-75"/>
        </w:rPr>
        <w:t> </w:t>
      </w:r>
      <w:r>
        <w:rPr>
          <w:spacing w:val="-2"/>
        </w:rPr>
        <w:t>公司的金牌合作伙伴，并拥有含金量极高的</w:t>
      </w:r>
      <w:r>
        <w:rPr>
          <w:rFonts w:ascii="宋体" w:hAnsi="宋体" w:cs="宋体" w:eastAsia="宋体" w:hint="default"/>
          <w:spacing w:val="-2"/>
        </w:rPr>
        <w:t>4</w:t>
      </w:r>
      <w:r>
        <w:rPr>
          <w:spacing w:val="-2"/>
        </w:rPr>
        <w:t>项</w:t>
      </w:r>
      <w:r>
        <w:rPr>
          <w:rFonts w:ascii="宋体" w:hAnsi="宋体" w:cs="宋体" w:eastAsia="宋体" w:hint="default"/>
          <w:spacing w:val="-2"/>
        </w:rPr>
        <w:t>Cisco</w:t>
      </w:r>
      <w:r>
        <w:rPr>
          <w:spacing w:val="-2"/>
        </w:rPr>
        <w:t>专业化认证；在公司积极布局智慧城市、智慧医疗、云计算等关键领域</w:t>
      </w:r>
      <w:r>
        <w:rPr>
          <w:spacing w:val="-60"/>
        </w:rPr>
        <w:t> </w:t>
      </w:r>
      <w:r>
        <w:rPr>
          <w:spacing w:val="-60"/>
        </w:rPr>
      </w:r>
      <w:r>
        <w:rPr>
          <w:spacing w:val="-3"/>
        </w:rPr>
        <w:t>中，</w:t>
      </w:r>
      <w:r>
        <w:rPr>
          <w:rFonts w:ascii="宋体" w:hAnsi="宋体" w:cs="宋体" w:eastAsia="宋体" w:hint="default"/>
          <w:spacing w:val="-3"/>
        </w:rPr>
        <w:t>IBM</w:t>
      </w:r>
      <w:r>
        <w:rPr>
          <w:spacing w:val="-3"/>
        </w:rPr>
        <w:t>是公司稳定的解决方案合作伙伴，</w:t>
      </w:r>
      <w:r>
        <w:rPr>
          <w:rFonts w:ascii="宋体" w:hAnsi="宋体" w:cs="宋体" w:eastAsia="宋体" w:hint="default"/>
          <w:spacing w:val="-3"/>
        </w:rPr>
        <w:t>EMC</w:t>
      </w:r>
      <w:r>
        <w:rPr>
          <w:spacing w:val="-3"/>
        </w:rPr>
        <w:t>、</w:t>
      </w:r>
      <w:r>
        <w:rPr>
          <w:rFonts w:ascii="宋体" w:hAnsi="宋体" w:cs="宋体" w:eastAsia="宋体" w:hint="default"/>
          <w:spacing w:val="-3"/>
        </w:rPr>
        <w:t>Vmware</w:t>
      </w:r>
      <w:r>
        <w:rPr>
          <w:spacing w:val="-3"/>
        </w:rPr>
        <w:t>有效提供了很多重要的高级解决方案；此外，公司作为华为公司和</w:t>
      </w:r>
      <w:r>
        <w:rPr>
          <w:rFonts w:ascii="宋体" w:hAnsi="宋体" w:cs="宋体" w:eastAsia="宋体" w:hint="default"/>
          <w:spacing w:val="-3"/>
        </w:rPr>
        <w:t>H3C</w:t>
      </w:r>
      <w:r>
        <w:rPr>
          <w:rFonts w:ascii="宋体" w:hAnsi="宋体" w:cs="宋体" w:eastAsia="宋体" w:hint="default"/>
          <w:spacing w:val="-78"/>
        </w:rPr>
        <w:t> </w:t>
      </w:r>
      <w:r>
        <w:rPr/>
        <w:t>一级代理商具有主网络五星服务认证，同时也是</w:t>
      </w:r>
      <w:r>
        <w:rPr>
          <w:rFonts w:ascii="宋体" w:hAnsi="宋体" w:cs="宋体" w:eastAsia="宋体" w:hint="default"/>
        </w:rPr>
        <w:t>HP</w:t>
      </w:r>
      <w:r>
        <w:rPr/>
        <w:t>渠道铂金合作伙伴、施耐德电气高级认证合作伙伴等。</w:t>
      </w:r>
    </w:p>
    <w:p>
      <w:pPr>
        <w:pStyle w:val="BodyText"/>
        <w:spacing w:line="432" w:lineRule="exact" w:before="3"/>
        <w:ind w:left="604" w:right="142"/>
        <w:jc w:val="left"/>
      </w:pPr>
      <w:r>
        <w:rPr>
          <w:rFonts w:ascii="宋体" w:hAnsi="宋体" w:cs="宋体" w:eastAsia="宋体" w:hint="default"/>
        </w:rPr>
        <w:t>4.</w:t>
      </w:r>
      <w:r>
        <w:rPr/>
        <w:t>“诚信、快捷、专业、理性”的服务原则 公司服务周到、及时、专业，在客户中素享盛誉。为了满足客户最大的需求，为客户创造更大价值，助其实现跨越式</w:t>
      </w:r>
    </w:p>
    <w:p>
      <w:pPr>
        <w:pStyle w:val="BodyText"/>
        <w:spacing w:line="319" w:lineRule="auto" w:before="15"/>
        <w:ind w:right="151"/>
        <w:jc w:val="both"/>
      </w:pPr>
      <w:r>
        <w:rPr>
          <w:spacing w:val="-2"/>
        </w:rPr>
        <w:t>成长，公司将“客户为中心”的理念贯穿到所有战略之中：开发了以通用软件为平台的个性化产品，建立解决方案的应用平</w:t>
      </w:r>
      <w:r>
        <w:rPr>
          <w:spacing w:val="-66"/>
        </w:rPr>
        <w:t> </w:t>
      </w:r>
      <w:r>
        <w:rPr>
          <w:spacing w:val="-66"/>
        </w:rPr>
      </w:r>
      <w:r>
        <w:rPr>
          <w:spacing w:val="-2"/>
        </w:rPr>
        <w:t>台，创立了“绿色通道”服务品牌，制定了软件实施规范和应用标准。公司服务过许多政府及大型企业客户，客户满意度均</w:t>
      </w:r>
      <w:r>
        <w:rPr>
          <w:spacing w:val="-66"/>
        </w:rPr>
        <w:t> </w:t>
      </w:r>
      <w:r>
        <w:rPr>
          <w:spacing w:val="-66"/>
        </w:rPr>
      </w:r>
      <w:r>
        <w:rPr/>
        <w:t>保持在很高的水平上。</w:t>
      </w:r>
    </w:p>
    <w:p>
      <w:pPr>
        <w:pStyle w:val="BodyText"/>
        <w:spacing w:line="316" w:lineRule="auto" w:before="137"/>
        <w:ind w:right="149" w:firstLine="360"/>
        <w:jc w:val="both"/>
      </w:pPr>
      <w:r>
        <w:rPr>
          <w:spacing w:val="-2"/>
        </w:rPr>
        <w:t>公司在大力发展开拓市场的同时，秉承“诚信、快捷、专业、理性”的企业文化理念，不断改进和完善公司服务方式方</w:t>
      </w:r>
      <w:r>
        <w:rPr/>
        <w:t> </w:t>
      </w:r>
      <w:r>
        <w:rPr>
          <w:spacing w:val="-2"/>
        </w:rPr>
        <w:t>法，努力做透服务，不断提升公司的服务品牌，不断追求“一流的形象，一流的品质，一流的服务”。为客户提供优质的产</w:t>
      </w:r>
      <w:r>
        <w:rPr>
          <w:spacing w:val="-68"/>
        </w:rPr>
        <w:t> </w:t>
      </w:r>
      <w:r>
        <w:rPr>
          <w:spacing w:val="-68"/>
        </w:rPr>
      </w:r>
      <w:r>
        <w:rPr/>
        <w:t>品与完善的售后服务，共同实现双赢的目标。</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、对外股权投资情况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）对外投资情况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5" w:right="0"/>
              <w:jc w:val="left"/>
              <w:rPr>
                <w:rFonts w:ascii="宋体" w:hAnsi="宋体" w:cs="宋体" w:eastAsia="宋体" w:hint="default"/>
                <w:sz w:val="18"/>
                <w:szCs w:val="18"/>
              </w:rPr>
            </w:pPr>
            <w:r>
              <w:rPr>
                <w:rFonts w:ascii="宋体"/>
                <w:sz w:val="18"/>
              </w:rPr>
              <w:t>15,017,000.00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40,617,000.00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-63.03%</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计算机技术开发、转让、咨询；销售计 算机软硬件及外围设备。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安徽五星食品股份有限公司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家禽家畜育种、养殖、加工、收购、销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674"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售；饲料加工、销售；粮食收购；养殖 技术咨询。</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系统集成和软件开发、提供全面解决方 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19.76%</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北京东方通科技股份有限公司 技术推 广；软件服务；销售计算机、软件及辅 助设备。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7.70%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）持有金融企业股权情况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7072"/>
        <w:jc w:val="left"/>
      </w:pPr>
      <w:r>
        <w:rPr/>
        <w:t>□ 适用 √ 不适用 公司报告期未持有金融企业股权。</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宋体" w:hAnsi="宋体" w:cs="宋体" w:eastAsia="宋体" w:hint="default"/>
        </w:rPr>
        <w:t>3</w:t>
      </w:r>
      <w:r>
        <w:rPr/>
        <w:t>）证券投资情况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7432"/>
        <w:jc w:val="left"/>
      </w:pPr>
      <w:r>
        <w:rPr/>
        <w:t>□ 适用 √ 不适用 公司报告期不存在证券投资。</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宋体" w:hAnsi="宋体" w:cs="宋体" w:eastAsia="宋体" w:hint="default"/>
        </w:rPr>
        <w:t>4</w:t>
      </w:r>
      <w:r>
        <w:rPr/>
        <w:t>）持有其他上市公司股权情况的说明</w:t>
      </w:r>
      <w:r>
        <w:rPr>
          <w:b w:val="0"/>
          <w:bCs w:val="0"/>
        </w:rPr>
      </w:r>
    </w:p>
    <w:p>
      <w:pPr>
        <w:pStyle w:val="BodyText"/>
        <w:spacing w:line="430" w:lineRule="atLeast" w:before="170"/>
        <w:ind w:left="514" w:right="0" w:hanging="360"/>
        <w:jc w:val="left"/>
        <w:rPr>
          <w:rFonts w:ascii="宋体" w:hAnsi="宋体" w:cs="宋体" w:eastAsia="宋体" w:hint="default"/>
        </w:rPr>
      </w:pPr>
      <w:r>
        <w:rPr/>
        <w:t>√ 适用 □ 不适用 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日，公司持有北京东方通科技股份有限公司</w:t>
      </w:r>
      <w:r>
        <w:rPr>
          <w:rFonts w:ascii="宋体" w:hAnsi="宋体" w:cs="宋体" w:eastAsia="宋体" w:hint="default"/>
        </w:rPr>
        <w:t>7.70%</w:t>
      </w:r>
      <w:r>
        <w:rPr/>
        <w:t>的股份，东方通科技股份有限公司于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28</w:t>
      </w:r>
    </w:p>
    <w:p>
      <w:pPr>
        <w:pStyle w:val="BodyText"/>
        <w:spacing w:line="240" w:lineRule="auto" w:before="76"/>
        <w:ind w:right="0"/>
        <w:jc w:val="left"/>
      </w:pPr>
      <w:r>
        <w:rPr/>
        <w:t>日登陆深圳证券交易所，股票简称：东方通；股票代码：</w:t>
      </w:r>
      <w:r>
        <w:rPr>
          <w:rFonts w:ascii="宋体" w:hAnsi="宋体" w:cs="宋体" w:eastAsia="宋体" w:hint="default"/>
        </w:rPr>
        <w:t>300379</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、委托理财、衍生品投资和委托贷款情况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）委托理财情况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475"/>
        <w:gridCol w:w="709"/>
        <w:gridCol w:w="992"/>
        <w:gridCol w:w="709"/>
        <w:gridCol w:w="850"/>
        <w:gridCol w:w="851"/>
        <w:gridCol w:w="568"/>
        <w:gridCol w:w="850"/>
        <w:gridCol w:w="710"/>
        <w:gridCol w:w="992"/>
        <w:gridCol w:w="1066"/>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77"/>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7" w:right="77" w:hanging="90"/>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黄河农村 商业银行</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封闭式保本 浮动收益型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中国工商 银行股份 有限公司 泰安高新 区支行</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9"/>
              <w:jc w:val="both"/>
              <w:rPr>
                <w:rFonts w:ascii="宋体" w:hAnsi="宋体" w:cs="宋体" w:eastAsia="宋体" w:hint="default"/>
                <w:sz w:val="18"/>
                <w:szCs w:val="18"/>
              </w:rPr>
            </w:pPr>
            <w:r>
              <w:rPr>
                <w:rFonts w:ascii="宋体" w:hAnsi="宋体" w:cs="宋体" w:eastAsia="宋体" w:hint="default"/>
                <w:sz w:val="18"/>
                <w:szCs w:val="18"/>
              </w:rPr>
              <w:t>无固定期限 超短期人民 币理财产品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0.66</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工银瑞信</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宋体" w:hAnsi="宋体" w:cs="宋体" w:eastAsia="宋体" w:hint="default"/>
                <w:sz w:val="18"/>
                <w:szCs w:val="18"/>
              </w:rPr>
              <w:t>契约型开发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42.05</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475"/>
        <w:gridCol w:w="709"/>
        <w:gridCol w:w="992"/>
        <w:gridCol w:w="709"/>
        <w:gridCol w:w="850"/>
        <w:gridCol w:w="851"/>
        <w:gridCol w:w="568"/>
        <w:gridCol w:w="850"/>
        <w:gridCol w:w="710"/>
        <w:gridCol w:w="992"/>
        <w:gridCol w:w="1066"/>
      </w:tblGrid>
      <w:tr>
        <w:trPr>
          <w:trHeight w:val="98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both"/>
              <w:rPr>
                <w:rFonts w:ascii="宋体" w:hAnsi="宋体" w:cs="宋体" w:eastAsia="宋体" w:hint="default"/>
                <w:sz w:val="18"/>
                <w:szCs w:val="18"/>
              </w:rPr>
            </w:pPr>
            <w:r>
              <w:rPr>
                <w:rFonts w:ascii="宋体" w:hAnsi="宋体" w:cs="宋体" w:eastAsia="宋体" w:hint="default"/>
                <w:sz w:val="18"/>
                <w:szCs w:val="18"/>
              </w:rPr>
              <w:t>基金基金 管理有限 公司</w:t>
            </w:r>
          </w:p>
        </w:tc>
        <w:tc>
          <w:tcPr>
            <w:tcW w:w="4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式</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5" w:right="0"/>
              <w:jc w:val="left"/>
              <w:rPr>
                <w:rFonts w:ascii="宋体" w:hAnsi="宋体" w:cs="宋体" w:eastAsia="宋体" w:hint="default"/>
                <w:sz w:val="18"/>
                <w:szCs w:val="18"/>
              </w:rPr>
            </w:pPr>
            <w:r>
              <w:rPr>
                <w:rFonts w:ascii="宋体"/>
                <w:sz w:val="18"/>
              </w:rPr>
              <w:t>8,150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sz w:val="18"/>
              </w:rPr>
              <w:t>6,150</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8" w:right="0"/>
              <w:jc w:val="left"/>
              <w:rPr>
                <w:rFonts w:ascii="宋体" w:hAnsi="宋体" w:cs="宋体" w:eastAsia="宋体" w:hint="default"/>
                <w:sz w:val="18"/>
                <w:szCs w:val="18"/>
              </w:rPr>
            </w:pPr>
            <w:r>
              <w:rPr>
                <w:rFonts w:ascii="宋体"/>
                <w:sz w:val="18"/>
              </w:rPr>
              <w:t>95.81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sz w:val="18"/>
              </w:rPr>
              <w:t>42.71</w:t>
            </w:r>
          </w:p>
        </w:tc>
      </w:tr>
      <w:tr>
        <w:trPr>
          <w:trHeight w:val="402"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5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5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714"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委托理财审批董事会公告披露日期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z w:val="18"/>
                <w:szCs w:val="18"/>
              </w:rPr>
              <w:t>)</w:t>
            </w:r>
          </w:p>
        </w:tc>
        <w:tc>
          <w:tcPr>
            <w:tcW w:w="65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委托理财审批股东会公告披露日期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z w:val="18"/>
                <w:szCs w:val="18"/>
              </w:rPr>
              <w:t>)</w:t>
            </w:r>
          </w:p>
        </w:tc>
        <w:tc>
          <w:tcPr>
            <w:tcW w:w="6595"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）衍生品投资情况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7252"/>
        <w:jc w:val="left"/>
      </w:pPr>
      <w:r>
        <w:rPr/>
        <w:t>□ 适用 √ 不适用 公司报告期不存在衍生品投资。</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宋体" w:hAnsi="宋体" w:cs="宋体" w:eastAsia="宋体" w:hint="default"/>
        </w:rPr>
        <w:t>3</w:t>
      </w:r>
      <w:r>
        <w:rPr/>
        <w:t>）委托贷款情况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7432"/>
        <w:jc w:val="left"/>
      </w:pPr>
      <w:r>
        <w:rPr/>
        <w:t>□ 适用 √ 不适用 公司报告期不存在委托贷款。</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3</w:t>
      </w:r>
      <w:r>
        <w:rPr/>
        <w:t>、募集资金使用情况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97,640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27,959.96</w:t>
            </w:r>
          </w:p>
        </w:tc>
      </w:tr>
      <w:tr>
        <w:trPr>
          <w:trHeight w:val="407"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65,167.87</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公司实际收到资金净额为人民币</w:t>
            </w:r>
            <w:r>
              <w:rPr>
                <w:rFonts w:ascii="宋体" w:hAnsi="宋体" w:cs="宋体" w:eastAsia="宋体" w:hint="default"/>
                <w:spacing w:val="-46"/>
                <w:sz w:val="18"/>
                <w:szCs w:val="18"/>
              </w:rPr>
              <w:t> </w:t>
            </w:r>
            <w:r>
              <w:rPr>
                <w:rFonts w:ascii="宋体" w:hAnsi="宋体" w:cs="宋体" w:eastAsia="宋体" w:hint="default"/>
                <w:sz w:val="18"/>
                <w:szCs w:val="18"/>
              </w:rPr>
              <w:t>97,640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年公司累计使用募集资金</w:t>
            </w:r>
            <w:r>
              <w:rPr>
                <w:rFonts w:ascii="宋体" w:hAnsi="宋体" w:cs="宋体" w:eastAsia="宋体" w:hint="default"/>
                <w:spacing w:val="-46"/>
                <w:sz w:val="18"/>
                <w:szCs w:val="18"/>
              </w:rPr>
              <w:t> </w:t>
            </w:r>
            <w:r>
              <w:rPr>
                <w:rFonts w:ascii="宋体" w:hAnsi="宋体" w:cs="宋体" w:eastAsia="宋体" w:hint="default"/>
                <w:sz w:val="18"/>
                <w:szCs w:val="18"/>
              </w:rPr>
              <w:t>27,959.96</w:t>
            </w:r>
            <w:r>
              <w:rPr>
                <w:rFonts w:ascii="宋体" w:hAnsi="宋体" w:cs="宋体" w:eastAsia="宋体" w:hint="default"/>
                <w:spacing w:val="-46"/>
                <w:sz w:val="18"/>
                <w:szCs w:val="18"/>
              </w:rPr>
              <w:t> </w:t>
            </w:r>
            <w:r>
              <w:rPr>
                <w:rFonts w:ascii="宋体" w:hAnsi="宋体" w:cs="宋体" w:eastAsia="宋体" w:hint="default"/>
                <w:sz w:val="18"/>
                <w:szCs w:val="18"/>
              </w:rPr>
              <w:t>万元，已累计使用募集资金</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总额为</w:t>
            </w:r>
            <w:r>
              <w:rPr>
                <w:rFonts w:ascii="宋体" w:hAnsi="宋体" w:cs="宋体" w:eastAsia="宋体" w:hint="default"/>
                <w:spacing w:val="-46"/>
                <w:sz w:val="18"/>
                <w:szCs w:val="18"/>
              </w:rPr>
              <w:t> </w:t>
            </w:r>
            <w:r>
              <w:rPr>
                <w:rFonts w:ascii="宋体" w:hAnsi="宋体" w:cs="宋体" w:eastAsia="宋体" w:hint="default"/>
                <w:sz w:val="18"/>
                <w:szCs w:val="18"/>
              </w:rPr>
              <w:t>65,167.87</w:t>
            </w:r>
            <w:r>
              <w:rPr>
                <w:rFonts w:ascii="宋体" w:hAnsi="宋体" w:cs="宋体" w:eastAsia="宋体" w:hint="default"/>
                <w:spacing w:val="-46"/>
                <w:sz w:val="18"/>
                <w:szCs w:val="18"/>
              </w:rPr>
              <w:t> </w:t>
            </w:r>
            <w:r>
              <w:rPr>
                <w:rFonts w:ascii="宋体" w:hAnsi="宋体" w:cs="宋体" w:eastAsia="宋体" w:hint="default"/>
                <w:spacing w:val="-3"/>
                <w:sz w:val="18"/>
                <w:szCs w:val="18"/>
              </w:rPr>
              <w:t>万元，截至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4"/>
                <w:sz w:val="18"/>
                <w:szCs w:val="18"/>
              </w:rPr>
              <w:t>日，尚有</w:t>
            </w:r>
            <w:r>
              <w:rPr>
                <w:rFonts w:ascii="宋体" w:hAnsi="宋体" w:cs="宋体" w:eastAsia="宋体" w:hint="default"/>
                <w:spacing w:val="-46"/>
                <w:sz w:val="18"/>
                <w:szCs w:val="18"/>
              </w:rPr>
              <w:t> </w:t>
            </w:r>
            <w:r>
              <w:rPr>
                <w:rFonts w:ascii="宋体" w:hAnsi="宋体" w:cs="宋体" w:eastAsia="宋体" w:hint="default"/>
                <w:sz w:val="18"/>
                <w:szCs w:val="18"/>
              </w:rPr>
              <w:t>8,350</w:t>
            </w:r>
            <w:r>
              <w:rPr>
                <w:rFonts w:ascii="宋体" w:hAnsi="宋体" w:cs="宋体" w:eastAsia="宋体" w:hint="default"/>
                <w:spacing w:val="-46"/>
                <w:sz w:val="18"/>
                <w:szCs w:val="18"/>
              </w:rPr>
              <w:t> </w:t>
            </w:r>
            <w:r>
              <w:rPr>
                <w:rFonts w:ascii="宋体" w:hAnsi="宋体" w:cs="宋体" w:eastAsia="宋体" w:hint="default"/>
                <w:sz w:val="18"/>
                <w:szCs w:val="18"/>
              </w:rPr>
              <w:t>万元闲置募集资金补充公司流动资金未归还</w:t>
            </w:r>
            <w:r>
              <w:rPr>
                <w:rFonts w:ascii="宋体" w:hAnsi="宋体" w:cs="宋体" w:eastAsia="宋体" w:hint="default"/>
                <w:sz w:val="18"/>
                <w:szCs w:val="18"/>
              </w:rPr>
              <w:t>(</w:t>
            </w:r>
            <w:r>
              <w:rPr>
                <w:rFonts w:ascii="宋体" w:hAnsi="宋体" w:cs="宋体" w:eastAsia="宋体" w:hint="default"/>
                <w:sz w:val="18"/>
                <w:szCs w:val="18"/>
              </w:rPr>
              <w:t>具体说明详见</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“附表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：募集资金使用情况对照表”中“用闲置募集资金补充公司流动资金”部分</w:t>
            </w:r>
            <w:r>
              <w:rPr>
                <w:rFonts w:ascii="宋体" w:hAnsi="宋体" w:cs="宋体" w:eastAsia="宋体" w:hint="default"/>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日募集资金</w:t>
            </w:r>
          </w:p>
          <w:p>
            <w:pPr>
              <w:pStyle w:val="TableParagraph"/>
              <w:spacing w:line="319"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58"/>
                <w:sz w:val="18"/>
                <w:szCs w:val="18"/>
              </w:rPr>
              <w:t> </w:t>
            </w:r>
            <w:r>
              <w:rPr>
                <w:rFonts w:ascii="宋体" w:hAnsi="宋体" w:cs="宋体" w:eastAsia="宋体" w:hint="default"/>
                <w:sz w:val="18"/>
                <w:szCs w:val="18"/>
              </w:rPr>
              <w:t>24,122.13</w:t>
            </w:r>
            <w:r>
              <w:rPr>
                <w:rFonts w:ascii="宋体" w:hAnsi="宋体" w:cs="宋体" w:eastAsia="宋体" w:hint="default"/>
                <w:spacing w:val="-58"/>
                <w:sz w:val="18"/>
                <w:szCs w:val="18"/>
              </w:rPr>
              <w:t> </w:t>
            </w:r>
            <w:r>
              <w:rPr>
                <w:rFonts w:ascii="宋体" w:hAnsi="宋体" w:cs="宋体" w:eastAsia="宋体" w:hint="default"/>
                <w:spacing w:val="-4"/>
                <w:sz w:val="18"/>
                <w:szCs w:val="18"/>
              </w:rPr>
              <w:t>万元，募集资金专用账户利息收入扣手续费净额共计</w:t>
            </w:r>
            <w:r>
              <w:rPr>
                <w:rFonts w:ascii="宋体" w:hAnsi="宋体" w:cs="宋体" w:eastAsia="宋体" w:hint="default"/>
                <w:spacing w:val="-58"/>
                <w:sz w:val="18"/>
                <w:szCs w:val="18"/>
              </w:rPr>
              <w:t> </w:t>
            </w:r>
            <w:r>
              <w:rPr>
                <w:rFonts w:ascii="宋体" w:hAnsi="宋体" w:cs="宋体" w:eastAsia="宋体" w:hint="default"/>
                <w:sz w:val="18"/>
                <w:szCs w:val="18"/>
              </w:rPr>
              <w:t>1,246.24</w:t>
            </w:r>
            <w:r>
              <w:rPr>
                <w:rFonts w:ascii="宋体" w:hAnsi="宋体" w:cs="宋体" w:eastAsia="宋体" w:hint="default"/>
                <w:spacing w:val="-58"/>
                <w:sz w:val="18"/>
                <w:szCs w:val="18"/>
              </w:rPr>
              <w:t> </w:t>
            </w:r>
            <w:r>
              <w:rPr>
                <w:rFonts w:ascii="宋体" w:hAnsi="宋体" w:cs="宋体" w:eastAsia="宋体" w:hint="default"/>
                <w:spacing w:val="-7"/>
                <w:sz w:val="18"/>
                <w:szCs w:val="18"/>
              </w:rPr>
              <w:t>万元，募集资金专户余额合计为</w:t>
            </w:r>
            <w:r>
              <w:rPr>
                <w:rFonts w:ascii="宋体" w:hAnsi="宋体" w:cs="宋体" w:eastAsia="宋体" w:hint="default"/>
                <w:spacing w:val="-58"/>
                <w:sz w:val="18"/>
                <w:szCs w:val="18"/>
              </w:rPr>
              <w:t> </w:t>
            </w:r>
            <w:r>
              <w:rPr>
                <w:rFonts w:ascii="宋体" w:hAnsi="宋体" w:cs="宋体" w:eastAsia="宋体" w:hint="default"/>
                <w:sz w:val="18"/>
                <w:szCs w:val="18"/>
              </w:rPr>
              <w:t>25,368.37 </w:t>
            </w:r>
            <w:r>
              <w:rPr>
                <w:rFonts w:ascii="宋体" w:hAnsi="宋体" w:cs="宋体" w:eastAsia="宋体" w:hint="default"/>
                <w:sz w:val="18"/>
                <w:szCs w:val="18"/>
              </w:rPr>
              <w:t>万元。</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r>
        <w:rPr/>
        <w:pict>
          <v:shape style="position:absolute;margin-left:74.757004pt;margin-top:546.700012pt;width:460.15pt;height:50.85pt;mso-position-horizontal-relative:page;mso-position-vertical-relative:page;z-index:-9050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（分具体项目）</w:t>
                  </w:r>
                </w:p>
              </w:txbxContent>
            </v:textbox>
            <w10:wrap type="none"/>
          </v:shape>
        </w:pict>
      </w:r>
      <w:r>
        <w:rPr/>
        <w:pict>
          <v:group style="position:absolute;margin-left:134.960007pt;margin-top:546.700012pt;width:399.95pt;height:15.6pt;mso-position-horizontal-relative:page;mso-position-vertical-relative:page;z-index:-904984" coordorigin="2699,10934" coordsize="7999,312">
            <v:shape style="position:absolute;left:2699;top:10934;width:7999;height:312" coordorigin="2699,10934" coordsize="7999,312" path="m2699,11246l10698,11246,10698,10934,2699,10934,2699,11246xe" filled="true" fillcolor="#ffffff" stroked="false">
              <v:path arrowok="t"/>
              <v:fill type="solid"/>
            </v:shape>
            <w10:wrap type="none"/>
          </v:group>
        </w:pict>
      </w:r>
      <w:r>
        <w:rPr/>
        <w:pict>
          <v:group style="position:absolute;margin-left:134.960007pt;margin-top:581.919983pt;width:399.95pt;height:15.6pt;mso-position-horizontal-relative:page;mso-position-vertical-relative:page;z-index:-904960" coordorigin="2699,11638" coordsize="7999,312">
            <v:shape style="position:absolute;left:2699;top:11638;width:7999;height:312" coordorigin="2699,11638" coordsize="7999,312" path="m2699,11950l10698,11950,10698,11638,2699,11638,2699,11950xe" filled="true" fillcolor="#ffffff" stroked="false">
              <v:path arrowok="t"/>
              <v:fill type="solid"/>
            </v:shape>
            <w10:wrap type="none"/>
          </v:group>
        </w:pict>
      </w:r>
    </w:p>
    <w:p>
      <w:pPr>
        <w:pStyle w:val="Heading3"/>
        <w:spacing w:line="240" w:lineRule="auto" w:before="35"/>
        <w:ind w:right="0"/>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567"/>
        <w:gridCol w:w="991"/>
        <w:gridCol w:w="993"/>
        <w:gridCol w:w="992"/>
        <w:gridCol w:w="992"/>
        <w:gridCol w:w="708"/>
        <w:gridCol w:w="851"/>
        <w:gridCol w:w="992"/>
        <w:gridCol w:w="425"/>
        <w:gridCol w:w="496"/>
      </w:tblGrid>
      <w:tr>
        <w:trPr>
          <w:trHeight w:val="227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24" w:right="54"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4" w:firstLine="45"/>
              <w:jc w:val="both"/>
              <w:rPr>
                <w:rFonts w:ascii="宋体" w:hAnsi="宋体" w:cs="宋体" w:eastAsia="宋体" w:hint="default"/>
                <w:sz w:val="18"/>
                <w:szCs w:val="18"/>
              </w:rPr>
            </w:pPr>
            <w:r>
              <w:rPr>
                <w:rFonts w:ascii="宋体" w:hAnsi="宋体" w:cs="宋体" w:eastAsia="宋体" w:hint="default"/>
                <w:sz w:val="18"/>
                <w:szCs w:val="18"/>
              </w:rPr>
              <w:t>是否 已变 更项 目</w:t>
            </w:r>
            <w:r>
              <w:rPr>
                <w:rFonts w:ascii="宋体" w:hAnsi="宋体" w:cs="宋体" w:eastAsia="宋体" w:hint="default"/>
                <w:sz w:val="18"/>
                <w:szCs w:val="18"/>
              </w:rPr>
              <w:t>(</w:t>
            </w:r>
            <w:r>
              <w:rPr>
                <w:rFonts w:ascii="宋体" w:hAnsi="宋体" w:cs="宋体" w:eastAsia="宋体" w:hint="default"/>
                <w:sz w:val="18"/>
                <w:szCs w:val="18"/>
              </w:rPr>
              <w:t>含 部分 变更</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 w:right="3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5" w:right="40" w:hanging="135"/>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0"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截至期末累 计投入金额 </w:t>
            </w:r>
            <w:r>
              <w:rPr>
                <w:rFonts w:ascii="宋体" w:hAnsi="宋体" w:cs="宋体" w:eastAsia="宋体"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firstLine="44"/>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3" w:right="32" w:firstLine="22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0" w:right="4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1"/>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东华基础架构云平 台项目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8,418.96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8,418.96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3,110.95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6,838.06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81.22%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1,869.39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中小商业银行一体 化云服务平台项目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33,029.34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33,029.34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8,906.8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11,959.1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8,798.1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区域性数字医疗服 务信息云平台项目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19,065.16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19,065.16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5,637.74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15,550.84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81.57%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1,990.61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智慧城市一体化解 决方案项目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13,657.35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13,657.35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3,352.16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11,236.78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82.28%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1,998.29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智慧矿山一体化信 息平台项目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10,258.26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10,258.26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3,444.97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9,446.45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92.09%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1,832.58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59"/>
                <w:sz w:val="18"/>
                <w:szCs w:val="18"/>
              </w:rPr>
              <w:t> </w:t>
            </w:r>
            <w:r>
              <w:rPr>
                <w:rFonts w:ascii="宋体" w:hAnsi="宋体" w:cs="宋体" w:eastAsia="宋体" w:hint="default"/>
                <w:sz w:val="18"/>
                <w:szCs w:val="18"/>
              </w:rPr>
              <w:t>IT</w:t>
            </w:r>
            <w:r>
              <w:rPr>
                <w:rFonts w:ascii="宋体" w:hAnsi="宋体" w:cs="宋体" w:eastAsia="宋体" w:hint="default"/>
                <w:spacing w:val="-59"/>
                <w:sz w:val="18"/>
                <w:szCs w:val="18"/>
              </w:rPr>
              <w:t> </w:t>
            </w:r>
            <w:r>
              <w:rPr>
                <w:rFonts w:ascii="宋体" w:hAnsi="宋体" w:cs="宋体" w:eastAsia="宋体" w:hint="default"/>
                <w:sz w:val="18"/>
                <w:szCs w:val="18"/>
              </w:rPr>
              <w:t>运维管理 系统项目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13,210.93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13,210.93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3,507.34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10,136.64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76.73%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668.82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27,959.96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65,167.87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17,157.79</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
              <w:jc w:val="right"/>
              <w:rPr>
                <w:rFonts w:ascii="宋体" w:hAnsi="宋体" w:cs="宋体" w:eastAsia="宋体" w:hint="default"/>
                <w:sz w:val="18"/>
                <w:szCs w:val="18"/>
              </w:rPr>
            </w:pPr>
            <w:r>
              <w:rPr>
                <w:rFonts w:ascii="宋体"/>
                <w:sz w:val="18"/>
              </w:rPr>
              <w:t>--</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1"/>
              <w:jc w:val="right"/>
              <w:rPr>
                <w:rFonts w:ascii="宋体" w:hAnsi="宋体" w:cs="宋体" w:eastAsia="宋体" w:hint="default"/>
                <w:sz w:val="18"/>
                <w:szCs w:val="18"/>
              </w:rPr>
            </w:pPr>
            <w:r>
              <w:rPr>
                <w:rFonts w:ascii="宋体"/>
                <w:sz w:val="18"/>
              </w:rPr>
              <w:t>--</w:t>
            </w:r>
          </w:p>
        </w:tc>
      </w:tr>
      <w:tr>
        <w:trPr>
          <w:trHeight w:val="39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97,640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sz w:val="18"/>
              </w:rPr>
              <w:t>97,640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27,959.96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65,167.87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宋体" w:hAnsi="宋体" w:cs="宋体" w:eastAsia="宋体" w:hint="default"/>
                <w:sz w:val="18"/>
                <w:szCs w:val="18"/>
              </w:rPr>
            </w:pPr>
            <w:r>
              <w:rPr>
                <w:rFonts w:ascii="宋体"/>
                <w:sz w:val="18"/>
              </w:rPr>
              <w:t>17,157.79</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16"/>
              <w:jc w:val="right"/>
              <w:rPr>
                <w:rFonts w:ascii="宋体" w:hAnsi="宋体" w:cs="宋体" w:eastAsia="宋体" w:hint="default"/>
                <w:sz w:val="18"/>
                <w:szCs w:val="18"/>
              </w:rPr>
            </w:pPr>
            <w:r>
              <w:rPr>
                <w:rFonts w:ascii="宋体"/>
                <w:sz w:val="18"/>
              </w:rPr>
              <w:t>--</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51"/>
              <w:jc w:val="right"/>
              <w:rPr>
                <w:rFonts w:ascii="宋体" w:hAnsi="宋体" w:cs="宋体" w:eastAsia="宋体" w:hint="default"/>
                <w:sz w:val="18"/>
                <w:szCs w:val="18"/>
              </w:rPr>
            </w:pPr>
            <w:r>
              <w:rPr>
                <w:rFonts w:ascii="宋体"/>
                <w:sz w:val="18"/>
              </w:rPr>
              <w:t>--</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w:t>
            </w:r>
          </w:p>
        </w:tc>
        <w:tc>
          <w:tcPr>
            <w:tcW w:w="155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1"/>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center"/>
              <w:rPr>
                <w:rFonts w:ascii="宋体" w:hAnsi="宋体" w:cs="宋体" w:eastAsia="宋体" w:hint="default"/>
                <w:sz w:val="18"/>
                <w:szCs w:val="18"/>
              </w:rPr>
            </w:pPr>
            <w:r>
              <w:rPr>
                <w:rFonts w:ascii="宋体" w:hAnsi="宋体" w:cs="宋体" w:eastAsia="宋体" w:hint="default"/>
                <w:sz w:val="18"/>
                <w:szCs w:val="18"/>
              </w:rPr>
              <w:t>。</w:t>
            </w:r>
          </w:p>
        </w:tc>
        <w:tc>
          <w:tcPr>
            <w:tcW w:w="993"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96"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项目可行性无重大变化。</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00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60" w:type="dxa"/>
            <w:vMerge/>
            <w:tcBorders>
              <w:left w:val="single" w:sz="4" w:space="0" w:color="000000"/>
              <w:right w:val="single" w:sz="4" w:space="0" w:color="000000"/>
            </w:tcBorders>
            <w:shd w:val="clear" w:color="auto" w:fill="D2D2D2"/>
          </w:tcPr>
          <w:p>
            <w:pPr/>
          </w:p>
        </w:tc>
        <w:tc>
          <w:tcPr>
            <w:tcW w:w="800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00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800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800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8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5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、经</w:t>
            </w:r>
            <w:r>
              <w:rPr>
                <w:rFonts w:ascii="宋体" w:hAnsi="宋体" w:cs="宋体" w:eastAsia="宋体" w:hint="default"/>
                <w:spacing w:val="-2"/>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日召开的第五届董事会第十次会议审议通过，同意公司于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53"/>
                <w:sz w:val="18"/>
                <w:szCs w:val="18"/>
              </w:rPr>
              <w:t> </w:t>
            </w:r>
            <w:r>
              <w:rPr>
                <w:rFonts w:ascii="宋体" w:hAnsi="宋体" w:cs="宋体" w:eastAsia="宋体" w:hint="default"/>
                <w:sz w:val="18"/>
                <w:szCs w:val="18"/>
              </w:rPr>
              <w:t>6,912</w:t>
            </w:r>
            <w:r>
              <w:rPr>
                <w:rFonts w:ascii="宋体" w:hAnsi="宋体" w:cs="宋体" w:eastAsia="宋体" w:hint="default"/>
                <w:spacing w:val="-53"/>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元闲置募集资金补充公司流动资金</w:t>
            </w:r>
            <w:r>
              <w:rPr>
                <w:rFonts w:ascii="宋体" w:hAnsi="宋体" w:cs="宋体" w:eastAsia="宋体" w:hint="default"/>
                <w:spacing w:val="-90"/>
                <w:sz w:val="18"/>
                <w:szCs w:val="18"/>
              </w:rPr>
              <w:t>，</w:t>
            </w:r>
            <w:r>
              <w:rPr>
                <w:rFonts w:ascii="宋体" w:hAnsi="宋体" w:cs="宋体" w:eastAsia="宋体" w:hint="default"/>
                <w:sz w:val="18"/>
                <w:szCs w:val="18"/>
              </w:rPr>
              <w:t>该笔资金的使用期限截止</w:t>
            </w:r>
            <w:r>
              <w:rPr>
                <w:rFonts w:ascii="宋体" w:hAnsi="宋体" w:cs="宋体" w:eastAsia="宋体" w:hint="default"/>
                <w:spacing w:val="-52"/>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17</w:t>
            </w:r>
            <w:r>
              <w:rPr>
                <w:rFonts w:ascii="宋体" w:hAnsi="宋体" w:cs="宋体" w:eastAsia="宋体" w:hint="default"/>
                <w:spacing w:val="-5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2014</w:t>
            </w:r>
            <w:r>
              <w:rPr>
                <w:rFonts w:ascii="宋体" w:hAnsi="宋体" w:cs="宋体" w:eastAsia="宋体" w:hint="default"/>
                <w:spacing w:val="1"/>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月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日，公司已将上述资金全部归还并转入公司募集资金专用账户。</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、经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日召开的第五届董事会第十二次会议审议通过，同意公司于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日起使用</w:t>
            </w:r>
            <w:r>
              <w:rPr>
                <w:rFonts w:ascii="宋体" w:hAnsi="宋体" w:cs="宋体" w:eastAsia="宋体" w:hint="default"/>
                <w:spacing w:val="-46"/>
                <w:sz w:val="18"/>
                <w:szCs w:val="18"/>
              </w:rPr>
              <w:t> </w:t>
            </w:r>
            <w:r>
              <w:rPr>
                <w:rFonts w:ascii="宋体" w:hAnsi="宋体" w:cs="宋体" w:eastAsia="宋体" w:hint="default"/>
                <w:sz w:val="18"/>
                <w:szCs w:val="18"/>
              </w:rPr>
              <w:t>9,900</w:t>
            </w:r>
            <w:r>
              <w:rPr>
                <w:rFonts w:ascii="宋体" w:hAnsi="宋体" w:cs="宋体" w:eastAsia="宋体" w:hint="default"/>
                <w:spacing w:val="-46"/>
                <w:sz w:val="18"/>
                <w:szCs w:val="18"/>
              </w:rPr>
              <w:t> </w:t>
            </w:r>
            <w:r>
              <w:rPr>
                <w:rFonts w:ascii="宋体" w:hAnsi="宋体" w:cs="宋体" w:eastAsia="宋体" w:hint="default"/>
                <w:sz w:val="18"/>
                <w:szCs w:val="18"/>
              </w:rPr>
              <w:t>万元闲置募集资金补充公司流动资金，该笔资金的使用期限截止</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日，公司归还</w:t>
            </w:r>
            <w:r>
              <w:rPr>
                <w:rFonts w:ascii="宋体" w:hAnsi="宋体" w:cs="宋体" w:eastAsia="宋体" w:hint="default"/>
                <w:spacing w:val="-46"/>
                <w:sz w:val="18"/>
                <w:szCs w:val="18"/>
              </w:rPr>
              <w:t> </w:t>
            </w:r>
            <w:r>
              <w:rPr>
                <w:rFonts w:ascii="宋体" w:hAnsi="宋体" w:cs="宋体" w:eastAsia="宋体" w:hint="default"/>
                <w:sz w:val="18"/>
                <w:szCs w:val="18"/>
              </w:rPr>
              <w:t>1,550</w:t>
            </w:r>
            <w:r>
              <w:rPr>
                <w:rFonts w:ascii="宋体" w:hAnsi="宋体" w:cs="宋体" w:eastAsia="宋体" w:hint="default"/>
                <w:spacing w:val="-46"/>
                <w:sz w:val="18"/>
                <w:szCs w:val="18"/>
              </w:rPr>
              <w:t> </w:t>
            </w:r>
            <w:r>
              <w:rPr>
                <w:rFonts w:ascii="宋体" w:hAnsi="宋体" w:cs="宋体" w:eastAsia="宋体" w:hint="default"/>
                <w:sz w:val="18"/>
                <w:szCs w:val="18"/>
              </w:rPr>
              <w:t>万元至公司募集资金专用账户。</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日，尚有</w:t>
            </w:r>
            <w:r>
              <w:rPr>
                <w:rFonts w:ascii="宋体" w:hAnsi="宋体" w:cs="宋体" w:eastAsia="宋体" w:hint="default"/>
                <w:spacing w:val="-46"/>
                <w:sz w:val="18"/>
                <w:szCs w:val="18"/>
              </w:rPr>
              <w:t> </w:t>
            </w:r>
            <w:r>
              <w:rPr>
                <w:rFonts w:ascii="宋体" w:hAnsi="宋体" w:cs="宋体" w:eastAsia="宋体" w:hint="default"/>
                <w:sz w:val="18"/>
                <w:szCs w:val="18"/>
              </w:rPr>
              <w:t>8,350</w:t>
            </w:r>
            <w:r>
              <w:rPr>
                <w:rFonts w:ascii="宋体" w:hAnsi="宋体" w:cs="宋体" w:eastAsia="宋体" w:hint="default"/>
                <w:spacing w:val="-46"/>
                <w:sz w:val="18"/>
                <w:szCs w:val="18"/>
              </w:rPr>
              <w:t> </w:t>
            </w:r>
            <w:r>
              <w:rPr>
                <w:rFonts w:ascii="宋体" w:hAnsi="宋体" w:cs="宋体" w:eastAsia="宋体" w:hint="default"/>
                <w:sz w:val="18"/>
                <w:szCs w:val="18"/>
              </w:rPr>
              <w:t>万元闲置募集资金补充公司流动资金未归还。</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0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尚未使用的募集资金仍存放于募集资金专用账户，将继续用于原承诺投资的募集资金投资项目。</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不存在问题。</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6352"/>
        <w:jc w:val="left"/>
      </w:pPr>
      <w:r>
        <w:rPr/>
        <w:t>□ 适用 √ 不适用 公司报告期不存在募集资金变更项目情况。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4</w:t>
      </w:r>
      <w:r>
        <w:rPr/>
        <w:t>、主要子公司、参股公司分析</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980"/>
        </w:sectPr>
      </w:pPr>
    </w:p>
    <w:p>
      <w:pPr>
        <w:pStyle w:val="BodyText"/>
        <w:spacing w:line="360" w:lineRule="auto" w:before="44"/>
        <w:ind w:right="-20"/>
        <w:jc w:val="left"/>
      </w:pPr>
      <w:r>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2" w:equalWidth="0">
            <w:col w:w="2315" w:space="6605"/>
            <w:col w:w="103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883"/>
        <w:gridCol w:w="851"/>
        <w:gridCol w:w="850"/>
        <w:gridCol w:w="1134"/>
        <w:gridCol w:w="1066"/>
        <w:gridCol w:w="956"/>
        <w:gridCol w:w="957"/>
        <w:gridCol w:w="958"/>
        <w:gridCol w:w="956"/>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9" w:right="59"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7"/>
              <w:jc w:val="both"/>
              <w:rPr>
                <w:rFonts w:ascii="宋体" w:hAnsi="宋体" w:cs="宋体" w:eastAsia="宋体" w:hint="default"/>
                <w:sz w:val="18"/>
                <w:szCs w:val="18"/>
              </w:rPr>
            </w:pPr>
            <w:r>
              <w:rPr>
                <w:rFonts w:ascii="宋体" w:hAnsi="宋体" w:cs="宋体" w:eastAsia="宋体" w:hint="default"/>
                <w:sz w:val="18"/>
                <w:szCs w:val="18"/>
              </w:rPr>
              <w:t>北京东华合 创科技有限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sz w:val="18"/>
              </w:rPr>
              <w:t>200,000,000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596,501,469</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390,941,00</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9.56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475,220,76</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0.10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69,623,994</w:t>
            </w:r>
          </w:p>
          <w:p>
            <w:pPr>
              <w:pStyle w:val="TableParagraph"/>
              <w:spacing w:line="240" w:lineRule="auto" w:before="76"/>
              <w:ind w:right="23"/>
              <w:jc w:val="right"/>
              <w:rPr>
                <w:rFonts w:ascii="宋体" w:hAnsi="宋体" w:cs="宋体" w:eastAsia="宋体" w:hint="default"/>
                <w:sz w:val="18"/>
                <w:szCs w:val="18"/>
              </w:rPr>
            </w:pPr>
            <w:r>
              <w:rPr>
                <w:rFonts w:ascii="宋体"/>
                <w:sz w:val="18"/>
              </w:rPr>
              <w:t>.61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63,435,616</w:t>
            </w:r>
          </w:p>
          <w:p>
            <w:pPr>
              <w:pStyle w:val="TableParagraph"/>
              <w:spacing w:line="240" w:lineRule="auto" w:before="76"/>
              <w:ind w:right="20"/>
              <w:jc w:val="right"/>
              <w:rPr>
                <w:rFonts w:ascii="宋体" w:hAnsi="宋体" w:cs="宋体" w:eastAsia="宋体" w:hint="default"/>
                <w:sz w:val="18"/>
                <w:szCs w:val="18"/>
              </w:rPr>
            </w:pPr>
            <w:r>
              <w:rPr>
                <w:rFonts w:ascii="宋体"/>
                <w:sz w:val="18"/>
              </w:rPr>
              <w:t>.56</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7"/>
              <w:jc w:val="both"/>
              <w:rPr>
                <w:rFonts w:ascii="宋体" w:hAnsi="宋体" w:cs="宋体" w:eastAsia="宋体" w:hint="default"/>
                <w:sz w:val="18"/>
                <w:szCs w:val="18"/>
              </w:rPr>
            </w:pPr>
            <w:r>
              <w:rPr>
                <w:rFonts w:ascii="宋体" w:hAnsi="宋体" w:cs="宋体" w:eastAsia="宋体" w:hint="default"/>
                <w:sz w:val="18"/>
                <w:szCs w:val="18"/>
              </w:rPr>
              <w:t>广州东华合 创数码科技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sz w:val="18"/>
              </w:rPr>
              <w:t>1,000,000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1,957,239.4</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4" w:right="0"/>
              <w:jc w:val="left"/>
              <w:rPr>
                <w:rFonts w:ascii="宋体" w:hAnsi="宋体" w:cs="宋体" w:eastAsia="宋体" w:hint="default"/>
                <w:sz w:val="18"/>
                <w:szCs w:val="18"/>
              </w:rPr>
            </w:pPr>
            <w:r>
              <w:rPr>
                <w:rFonts w:ascii="宋体"/>
                <w:sz w:val="18"/>
              </w:rPr>
              <w:t>86,751.03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1,377,071.</w:t>
            </w:r>
          </w:p>
          <w:p>
            <w:pPr>
              <w:pStyle w:val="TableParagraph"/>
              <w:spacing w:line="240" w:lineRule="auto" w:before="76"/>
              <w:ind w:right="20"/>
              <w:jc w:val="right"/>
              <w:rPr>
                <w:rFonts w:ascii="宋体" w:hAnsi="宋体" w:cs="宋体" w:eastAsia="宋体" w:hint="default"/>
                <w:sz w:val="18"/>
                <w:szCs w:val="18"/>
              </w:rPr>
            </w:pPr>
            <w:r>
              <w:rPr>
                <w:rFonts w:ascii="宋体"/>
                <w:sz w:val="18"/>
              </w:rPr>
              <w:t>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-100,357.7</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-100,670.6</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883"/>
        <w:gridCol w:w="851"/>
        <w:gridCol w:w="850"/>
        <w:gridCol w:w="1134"/>
        <w:gridCol w:w="1066"/>
        <w:gridCol w:w="956"/>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北京联银通 科技有限公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309,749,880</w:t>
            </w:r>
          </w:p>
          <w:p>
            <w:pPr>
              <w:pStyle w:val="TableParagraph"/>
              <w:spacing w:line="240" w:lineRule="auto" w:before="77"/>
              <w:ind w:right="20"/>
              <w:jc w:val="right"/>
              <w:rPr>
                <w:rFonts w:ascii="宋体" w:hAnsi="宋体" w:cs="宋体" w:eastAsia="宋体" w:hint="default"/>
                <w:sz w:val="18"/>
                <w:szCs w:val="18"/>
              </w:rPr>
            </w:pPr>
            <w:r>
              <w:rPr>
                <w:rFonts w:ascii="宋体"/>
                <w:sz w:val="18"/>
              </w:rPr>
              <w:t>.04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271,660,24</w:t>
            </w:r>
          </w:p>
          <w:p>
            <w:pPr>
              <w:pStyle w:val="TableParagraph"/>
              <w:spacing w:line="240" w:lineRule="auto" w:before="77"/>
              <w:ind w:left="564" w:right="0"/>
              <w:jc w:val="left"/>
              <w:rPr>
                <w:rFonts w:ascii="宋体" w:hAnsi="宋体" w:cs="宋体" w:eastAsia="宋体" w:hint="default"/>
                <w:sz w:val="18"/>
                <w:szCs w:val="18"/>
              </w:rPr>
            </w:pPr>
            <w:r>
              <w:rPr>
                <w:rFonts w:ascii="宋体"/>
                <w:sz w:val="18"/>
              </w:rPr>
              <w:t>7.20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222,300,96</w:t>
            </w:r>
          </w:p>
          <w:p>
            <w:pPr>
              <w:pStyle w:val="TableParagraph"/>
              <w:spacing w:line="240" w:lineRule="auto" w:before="77"/>
              <w:ind w:left="564" w:right="0"/>
              <w:jc w:val="left"/>
              <w:rPr>
                <w:rFonts w:ascii="宋体" w:hAnsi="宋体" w:cs="宋体" w:eastAsia="宋体" w:hint="default"/>
                <w:sz w:val="18"/>
                <w:szCs w:val="18"/>
              </w:rPr>
            </w:pPr>
            <w:r>
              <w:rPr>
                <w:rFonts w:ascii="宋体"/>
                <w:sz w:val="18"/>
              </w:rPr>
              <w:t>7.75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41,126,114</w:t>
            </w:r>
          </w:p>
          <w:p>
            <w:pPr>
              <w:pStyle w:val="TableParagraph"/>
              <w:spacing w:line="240" w:lineRule="auto" w:before="77"/>
              <w:ind w:right="23"/>
              <w:jc w:val="right"/>
              <w:rPr>
                <w:rFonts w:ascii="宋体" w:hAnsi="宋体" w:cs="宋体" w:eastAsia="宋体" w:hint="default"/>
                <w:sz w:val="18"/>
                <w:szCs w:val="18"/>
              </w:rPr>
            </w:pPr>
            <w:r>
              <w:rPr>
                <w:rFonts w:ascii="宋体"/>
                <w:sz w:val="18"/>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38,243,449</w:t>
            </w:r>
          </w:p>
          <w:p>
            <w:pPr>
              <w:pStyle w:val="TableParagraph"/>
              <w:spacing w:line="240" w:lineRule="auto" w:before="77"/>
              <w:ind w:right="20"/>
              <w:jc w:val="right"/>
              <w:rPr>
                <w:rFonts w:ascii="宋体" w:hAnsi="宋体" w:cs="宋体" w:eastAsia="宋体" w:hint="default"/>
                <w:sz w:val="18"/>
                <w:szCs w:val="18"/>
              </w:rPr>
            </w:pPr>
            <w:r>
              <w:rPr>
                <w:rFonts w:ascii="宋体"/>
                <w:sz w:val="18"/>
              </w:rPr>
              <w:t>.28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泰安东华合 创软件有限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38,000,000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73,252,495.</w:t>
            </w:r>
          </w:p>
          <w:p>
            <w:pPr>
              <w:pStyle w:val="TableParagraph"/>
              <w:spacing w:line="240" w:lineRule="auto" w:before="77"/>
              <w:ind w:right="20"/>
              <w:jc w:val="right"/>
              <w:rPr>
                <w:rFonts w:ascii="宋体" w:hAnsi="宋体" w:cs="宋体" w:eastAsia="宋体" w:hint="default"/>
                <w:sz w:val="18"/>
                <w:szCs w:val="18"/>
              </w:rPr>
            </w:pPr>
            <w:r>
              <w:rPr>
                <w:rFonts w:ascii="宋体"/>
                <w:sz w:val="18"/>
              </w:rPr>
              <w:t>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34,305,074</w:t>
            </w:r>
          </w:p>
          <w:p>
            <w:pPr>
              <w:pStyle w:val="TableParagraph"/>
              <w:spacing w:line="240" w:lineRule="auto" w:before="77"/>
              <w:ind w:right="20"/>
              <w:jc w:val="right"/>
              <w:rPr>
                <w:rFonts w:ascii="宋体" w:hAnsi="宋体" w:cs="宋体" w:eastAsia="宋体" w:hint="default"/>
                <w:sz w:val="18"/>
                <w:szCs w:val="18"/>
              </w:rPr>
            </w:pPr>
            <w:r>
              <w:rPr>
                <w:rFonts w:ascii="宋体"/>
                <w:sz w:val="18"/>
              </w:rPr>
              <w:t>.34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37,346,204</w:t>
            </w:r>
          </w:p>
          <w:p>
            <w:pPr>
              <w:pStyle w:val="TableParagraph"/>
              <w:spacing w:line="240" w:lineRule="auto" w:before="77"/>
              <w:ind w:right="20"/>
              <w:jc w:val="right"/>
              <w:rPr>
                <w:rFonts w:ascii="宋体" w:hAnsi="宋体" w:cs="宋体" w:eastAsia="宋体" w:hint="default"/>
                <w:sz w:val="18"/>
                <w:szCs w:val="18"/>
              </w:rPr>
            </w:pPr>
            <w:r>
              <w:rPr>
                <w:rFonts w:ascii="宋体"/>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1,232,164.</w:t>
            </w:r>
          </w:p>
          <w:p>
            <w:pPr>
              <w:pStyle w:val="TableParagraph"/>
              <w:spacing w:line="240" w:lineRule="auto" w:before="77"/>
              <w:ind w:right="23"/>
              <w:jc w:val="right"/>
              <w:rPr>
                <w:rFonts w:ascii="宋体" w:hAnsi="宋体" w:cs="宋体" w:eastAsia="宋体" w:hint="default"/>
                <w:sz w:val="18"/>
                <w:szCs w:val="18"/>
              </w:rPr>
            </w:pPr>
            <w:r>
              <w:rPr>
                <w:rFonts w:ascii="宋体"/>
                <w:sz w:val="18"/>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2,866,841.</w:t>
            </w:r>
          </w:p>
          <w:p>
            <w:pPr>
              <w:pStyle w:val="TableParagraph"/>
              <w:spacing w:line="240" w:lineRule="auto" w:before="77"/>
              <w:ind w:right="20"/>
              <w:jc w:val="right"/>
              <w:rPr>
                <w:rFonts w:ascii="宋体" w:hAnsi="宋体" w:cs="宋体" w:eastAsia="宋体" w:hint="default"/>
                <w:sz w:val="18"/>
                <w:szCs w:val="18"/>
              </w:rPr>
            </w:pPr>
            <w:r>
              <w:rPr>
                <w:rFonts w:ascii="宋体"/>
                <w:sz w:val="18"/>
              </w:rPr>
              <w:t>42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北京东华合 创香港有限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sz w:val="18"/>
              </w:rPr>
              <w:t>HKD 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5,233,475.3</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sz w:val="18"/>
              </w:rPr>
              <w:t>632,371.69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6,590,991.</w:t>
            </w:r>
          </w:p>
          <w:p>
            <w:pPr>
              <w:pStyle w:val="TableParagraph"/>
              <w:spacing w:line="240" w:lineRule="auto" w:before="77"/>
              <w:ind w:right="20"/>
              <w:jc w:val="right"/>
              <w:rPr>
                <w:rFonts w:ascii="宋体" w:hAnsi="宋体" w:cs="宋体" w:eastAsia="宋体" w:hint="default"/>
                <w:sz w:val="18"/>
                <w:szCs w:val="18"/>
              </w:rPr>
            </w:pPr>
            <w:r>
              <w:rPr>
                <w:rFonts w:ascii="宋体"/>
                <w:sz w:val="18"/>
              </w:rPr>
              <w:t>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483,174.71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340,040.66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东华软件工 程有限公司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275,676,711</w:t>
            </w:r>
          </w:p>
          <w:p>
            <w:pPr>
              <w:pStyle w:val="TableParagraph"/>
              <w:spacing w:line="240" w:lineRule="auto" w:before="77"/>
              <w:ind w:right="20"/>
              <w:jc w:val="right"/>
              <w:rPr>
                <w:rFonts w:ascii="宋体" w:hAnsi="宋体" w:cs="宋体" w:eastAsia="宋体" w:hint="default"/>
                <w:sz w:val="18"/>
                <w:szCs w:val="18"/>
              </w:rPr>
            </w:pPr>
            <w:r>
              <w:rPr>
                <w:rFonts w:ascii="宋体"/>
                <w:sz w:val="18"/>
              </w:rPr>
              <w:t>.89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259,910,17</w:t>
            </w:r>
          </w:p>
          <w:p>
            <w:pPr>
              <w:pStyle w:val="TableParagraph"/>
              <w:spacing w:line="240" w:lineRule="auto" w:before="77"/>
              <w:ind w:left="564" w:right="0"/>
              <w:jc w:val="left"/>
              <w:rPr>
                <w:rFonts w:ascii="宋体" w:hAnsi="宋体" w:cs="宋体" w:eastAsia="宋体" w:hint="default"/>
                <w:sz w:val="18"/>
                <w:szCs w:val="18"/>
              </w:rPr>
            </w:pPr>
            <w:r>
              <w:rPr>
                <w:rFonts w:ascii="宋体"/>
                <w:sz w:val="18"/>
              </w:rPr>
              <w:t>6.49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101,779,63</w:t>
            </w:r>
          </w:p>
          <w:p>
            <w:pPr>
              <w:pStyle w:val="TableParagraph"/>
              <w:spacing w:line="240" w:lineRule="auto" w:before="77"/>
              <w:ind w:left="564" w:right="0"/>
              <w:jc w:val="left"/>
              <w:rPr>
                <w:rFonts w:ascii="宋体" w:hAnsi="宋体" w:cs="宋体" w:eastAsia="宋体" w:hint="default"/>
                <w:sz w:val="18"/>
                <w:szCs w:val="18"/>
              </w:rPr>
            </w:pPr>
            <w:r>
              <w:rPr>
                <w:rFonts w:ascii="宋体"/>
                <w:sz w:val="18"/>
              </w:rPr>
              <w:t>1.46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3,610,767.</w:t>
            </w:r>
          </w:p>
          <w:p>
            <w:pPr>
              <w:pStyle w:val="TableParagraph"/>
              <w:spacing w:line="240" w:lineRule="auto" w:before="77"/>
              <w:ind w:right="23"/>
              <w:jc w:val="right"/>
              <w:rPr>
                <w:rFonts w:ascii="宋体" w:hAnsi="宋体" w:cs="宋体" w:eastAsia="宋体" w:hint="default"/>
                <w:sz w:val="18"/>
                <w:szCs w:val="18"/>
              </w:rPr>
            </w:pPr>
            <w:r>
              <w:rPr>
                <w:rFonts w:ascii="宋体"/>
                <w:sz w:val="18"/>
              </w:rPr>
              <w:t>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9,982,302.</w:t>
            </w:r>
          </w:p>
          <w:p>
            <w:pPr>
              <w:pStyle w:val="TableParagraph"/>
              <w:spacing w:line="240" w:lineRule="auto" w:before="77"/>
              <w:ind w:right="20"/>
              <w:jc w:val="right"/>
              <w:rPr>
                <w:rFonts w:ascii="宋体" w:hAnsi="宋体" w:cs="宋体" w:eastAsia="宋体" w:hint="default"/>
                <w:sz w:val="18"/>
                <w:szCs w:val="18"/>
              </w:rPr>
            </w:pPr>
            <w:r>
              <w:rPr>
                <w:rFonts w:ascii="宋体"/>
                <w:sz w:val="18"/>
              </w:rPr>
              <w:t>77</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北京厚盾科 技有限公司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1,240,881.9</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-7,138,724</w:t>
            </w:r>
          </w:p>
          <w:p>
            <w:pPr>
              <w:pStyle w:val="TableParagraph"/>
              <w:spacing w:line="240" w:lineRule="auto" w:before="77"/>
              <w:ind w:right="20"/>
              <w:jc w:val="right"/>
              <w:rPr>
                <w:rFonts w:ascii="宋体" w:hAnsi="宋体" w:cs="宋体" w:eastAsia="宋体" w:hint="default"/>
                <w:sz w:val="18"/>
                <w:szCs w:val="18"/>
              </w:rPr>
            </w:pPr>
            <w:r>
              <w:rPr>
                <w:rFonts w:ascii="宋体"/>
                <w:sz w:val="18"/>
              </w:rPr>
              <w:t>.62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-796,984.1</w:t>
            </w:r>
          </w:p>
          <w:p>
            <w:pPr>
              <w:pStyle w:val="TableParagraph"/>
              <w:spacing w:line="240" w:lineRule="auto" w:before="77"/>
              <w:ind w:right="23"/>
              <w:jc w:val="right"/>
              <w:rPr>
                <w:rFonts w:ascii="宋体" w:hAnsi="宋体" w:cs="宋体" w:eastAsia="宋体" w:hint="default"/>
                <w:sz w:val="18"/>
                <w:szCs w:val="18"/>
              </w:rPr>
            </w:pPr>
            <w:r>
              <w:rPr>
                <w:rFonts w:ascii="宋体"/>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-796,984.1</w:t>
            </w:r>
          </w:p>
          <w:p>
            <w:pPr>
              <w:pStyle w:val="TableParagraph"/>
              <w:spacing w:line="240" w:lineRule="auto" w:before="77"/>
              <w:ind w:right="20"/>
              <w:jc w:val="right"/>
              <w:rPr>
                <w:rFonts w:ascii="宋体" w:hAnsi="宋体" w:cs="宋体" w:eastAsia="宋体" w:hint="default"/>
                <w:sz w:val="18"/>
                <w:szCs w:val="18"/>
              </w:rPr>
            </w:pPr>
            <w:r>
              <w:rPr>
                <w:rFonts w:ascii="宋体"/>
                <w:sz w:val="18"/>
              </w:rPr>
              <w:t>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哈尔滨东华 软件有限公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18,092,770.</w:t>
            </w:r>
          </w:p>
          <w:p>
            <w:pPr>
              <w:pStyle w:val="TableParagraph"/>
              <w:spacing w:line="240" w:lineRule="auto" w:before="77"/>
              <w:ind w:right="20"/>
              <w:jc w:val="right"/>
              <w:rPr>
                <w:rFonts w:ascii="宋体" w:hAnsi="宋体" w:cs="宋体" w:eastAsia="宋体" w:hint="default"/>
                <w:sz w:val="18"/>
                <w:szCs w:val="18"/>
              </w:rPr>
            </w:pPr>
            <w:r>
              <w:rPr>
                <w:rFonts w:ascii="宋体"/>
                <w:sz w:val="18"/>
              </w:rPr>
              <w:t>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15,940,375</w:t>
            </w:r>
          </w:p>
          <w:p>
            <w:pPr>
              <w:pStyle w:val="TableParagraph"/>
              <w:spacing w:line="240" w:lineRule="auto" w:before="77"/>
              <w:ind w:right="20"/>
              <w:jc w:val="right"/>
              <w:rPr>
                <w:rFonts w:ascii="宋体" w:hAnsi="宋体" w:cs="宋体" w:eastAsia="宋体" w:hint="default"/>
                <w:sz w:val="18"/>
                <w:szCs w:val="18"/>
              </w:rPr>
            </w:pPr>
            <w:r>
              <w:rPr>
                <w:rFonts w:ascii="宋体"/>
                <w:sz w:val="18"/>
              </w:rPr>
              <w:t>.21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3,706,575.</w:t>
            </w:r>
          </w:p>
          <w:p>
            <w:pPr>
              <w:pStyle w:val="TableParagraph"/>
              <w:spacing w:line="240" w:lineRule="auto" w:before="77"/>
              <w:ind w:right="20"/>
              <w:jc w:val="right"/>
              <w:rPr>
                <w:rFonts w:ascii="宋体" w:hAnsi="宋体" w:cs="宋体" w:eastAsia="宋体" w:hint="default"/>
                <w:sz w:val="18"/>
                <w:szCs w:val="18"/>
              </w:rPr>
            </w:pPr>
            <w:r>
              <w:rPr>
                <w:rFonts w:ascii="宋体"/>
                <w:sz w:val="18"/>
              </w:rPr>
              <w:t>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-2,045,072</w:t>
            </w:r>
          </w:p>
          <w:p>
            <w:pPr>
              <w:pStyle w:val="TableParagraph"/>
              <w:spacing w:line="240" w:lineRule="auto" w:before="77"/>
              <w:ind w:right="23"/>
              <w:jc w:val="right"/>
              <w:rPr>
                <w:rFonts w:ascii="宋体" w:hAnsi="宋体" w:cs="宋体" w:eastAsia="宋体" w:hint="default"/>
                <w:sz w:val="18"/>
                <w:szCs w:val="18"/>
              </w:rPr>
            </w:pPr>
            <w:r>
              <w:rPr>
                <w:rFonts w:ascii="宋体"/>
                <w:sz w:val="18"/>
              </w:rPr>
              <w:t>.20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-2,045,072</w:t>
            </w:r>
          </w:p>
          <w:p>
            <w:pPr>
              <w:pStyle w:val="TableParagraph"/>
              <w:spacing w:line="240" w:lineRule="auto" w:before="77"/>
              <w:ind w:right="20"/>
              <w:jc w:val="right"/>
              <w:rPr>
                <w:rFonts w:ascii="宋体" w:hAnsi="宋体" w:cs="宋体" w:eastAsia="宋体" w:hint="default"/>
                <w:sz w:val="18"/>
                <w:szCs w:val="18"/>
              </w:rPr>
            </w:pPr>
            <w:r>
              <w:rPr>
                <w:rFonts w:ascii="宋体"/>
                <w:sz w:val="18"/>
              </w:rPr>
              <w:t>.20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东华合创软 件有限公司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42,043,943.</w:t>
            </w:r>
          </w:p>
          <w:p>
            <w:pPr>
              <w:pStyle w:val="TableParagraph"/>
              <w:spacing w:line="240" w:lineRule="auto" w:before="77"/>
              <w:ind w:right="20"/>
              <w:jc w:val="right"/>
              <w:rPr>
                <w:rFonts w:ascii="宋体" w:hAnsi="宋体" w:cs="宋体" w:eastAsia="宋体" w:hint="default"/>
                <w:sz w:val="18"/>
                <w:szCs w:val="18"/>
              </w:rPr>
            </w:pPr>
            <w:r>
              <w:rPr>
                <w:rFonts w:ascii="宋体"/>
                <w:sz w:val="18"/>
              </w:rPr>
              <w:t>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37,701,373</w:t>
            </w:r>
          </w:p>
          <w:p>
            <w:pPr>
              <w:pStyle w:val="TableParagraph"/>
              <w:spacing w:line="240" w:lineRule="auto" w:before="77"/>
              <w:ind w:right="20"/>
              <w:jc w:val="right"/>
              <w:rPr>
                <w:rFonts w:ascii="宋体" w:hAnsi="宋体" w:cs="宋体" w:eastAsia="宋体" w:hint="default"/>
                <w:sz w:val="18"/>
                <w:szCs w:val="18"/>
              </w:rPr>
            </w:pPr>
            <w:r>
              <w:rPr>
                <w:rFonts w:ascii="宋体"/>
                <w:sz w:val="18"/>
              </w:rPr>
              <w:t>.43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16,033,471</w:t>
            </w:r>
          </w:p>
          <w:p>
            <w:pPr>
              <w:pStyle w:val="TableParagraph"/>
              <w:spacing w:line="240" w:lineRule="auto" w:before="77"/>
              <w:ind w:right="20"/>
              <w:jc w:val="right"/>
              <w:rPr>
                <w:rFonts w:ascii="宋体" w:hAnsi="宋体" w:cs="宋体" w:eastAsia="宋体" w:hint="default"/>
                <w:sz w:val="18"/>
                <w:szCs w:val="18"/>
              </w:rPr>
            </w:pPr>
            <w:r>
              <w:rPr>
                <w:rFonts w:ascii="宋体"/>
                <w:sz w:val="18"/>
              </w:rPr>
              <w:t>.96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-5,922,736</w:t>
            </w:r>
          </w:p>
          <w:p>
            <w:pPr>
              <w:pStyle w:val="TableParagraph"/>
              <w:spacing w:line="240" w:lineRule="auto" w:before="77"/>
              <w:ind w:right="23"/>
              <w:jc w:val="right"/>
              <w:rPr>
                <w:rFonts w:ascii="宋体" w:hAnsi="宋体" w:cs="宋体" w:eastAsia="宋体" w:hint="default"/>
                <w:sz w:val="18"/>
                <w:szCs w:val="18"/>
              </w:rPr>
            </w:pPr>
            <w:r>
              <w:rPr>
                <w:rFonts w:ascii="宋体"/>
                <w:sz w:val="18"/>
              </w:rPr>
              <w:t>.34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-3,418,041</w:t>
            </w:r>
          </w:p>
          <w:p>
            <w:pPr>
              <w:pStyle w:val="TableParagraph"/>
              <w:spacing w:line="240" w:lineRule="auto" w:before="77"/>
              <w:ind w:right="20"/>
              <w:jc w:val="right"/>
              <w:rPr>
                <w:rFonts w:ascii="宋体" w:hAnsi="宋体" w:cs="宋体" w:eastAsia="宋体" w:hint="default"/>
                <w:sz w:val="18"/>
                <w:szCs w:val="18"/>
              </w:rPr>
            </w:pPr>
            <w:r>
              <w:rPr>
                <w:rFonts w:ascii="宋体"/>
                <w:sz w:val="18"/>
              </w:rPr>
              <w:t>.81</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东华软件技 术有限公司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70,627,461.</w:t>
            </w:r>
          </w:p>
          <w:p>
            <w:pPr>
              <w:pStyle w:val="TableParagraph"/>
              <w:spacing w:line="240" w:lineRule="auto" w:before="77"/>
              <w:ind w:right="20"/>
              <w:jc w:val="right"/>
              <w:rPr>
                <w:rFonts w:ascii="宋体" w:hAnsi="宋体" w:cs="宋体" w:eastAsia="宋体" w:hint="default"/>
                <w:sz w:val="18"/>
                <w:szCs w:val="18"/>
              </w:rPr>
            </w:pPr>
            <w:r>
              <w:rPr>
                <w:rFonts w:ascii="宋体"/>
                <w:sz w:val="18"/>
              </w:rPr>
              <w:t>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39,762,204</w:t>
            </w:r>
          </w:p>
          <w:p>
            <w:pPr>
              <w:pStyle w:val="TableParagraph"/>
              <w:spacing w:line="240" w:lineRule="auto" w:before="77"/>
              <w:ind w:right="20"/>
              <w:jc w:val="right"/>
              <w:rPr>
                <w:rFonts w:ascii="宋体" w:hAnsi="宋体" w:cs="宋体" w:eastAsia="宋体" w:hint="default"/>
                <w:sz w:val="18"/>
                <w:szCs w:val="18"/>
              </w:rPr>
            </w:pPr>
            <w:r>
              <w:rPr>
                <w:rFonts w:ascii="宋体"/>
                <w:sz w:val="18"/>
              </w:rPr>
              <w:t>.34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31,756,254</w:t>
            </w:r>
          </w:p>
          <w:p>
            <w:pPr>
              <w:pStyle w:val="TableParagraph"/>
              <w:spacing w:line="240" w:lineRule="auto" w:before="77"/>
              <w:ind w:right="20"/>
              <w:jc w:val="right"/>
              <w:rPr>
                <w:rFonts w:ascii="宋体" w:hAnsi="宋体" w:cs="宋体" w:eastAsia="宋体" w:hint="default"/>
                <w:sz w:val="18"/>
                <w:szCs w:val="18"/>
              </w:rPr>
            </w:pPr>
            <w:r>
              <w:rPr>
                <w:rFonts w:ascii="宋体"/>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-5,580,691</w:t>
            </w:r>
          </w:p>
          <w:p>
            <w:pPr>
              <w:pStyle w:val="TableParagraph"/>
              <w:spacing w:line="240" w:lineRule="auto" w:before="77"/>
              <w:ind w:right="23"/>
              <w:jc w:val="right"/>
              <w:rPr>
                <w:rFonts w:ascii="宋体" w:hAnsi="宋体" w:cs="宋体" w:eastAsia="宋体" w:hint="default"/>
                <w:sz w:val="18"/>
                <w:szCs w:val="18"/>
              </w:rPr>
            </w:pPr>
            <w:r>
              <w:rPr>
                <w:rFonts w:ascii="宋体"/>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-5,579,691</w:t>
            </w:r>
          </w:p>
          <w:p>
            <w:pPr>
              <w:pStyle w:val="TableParagraph"/>
              <w:spacing w:line="240" w:lineRule="auto" w:before="77"/>
              <w:ind w:right="20"/>
              <w:jc w:val="right"/>
              <w:rPr>
                <w:rFonts w:ascii="宋体" w:hAnsi="宋体" w:cs="宋体" w:eastAsia="宋体" w:hint="default"/>
                <w:sz w:val="18"/>
                <w:szCs w:val="18"/>
              </w:rPr>
            </w:pPr>
            <w:r>
              <w:rPr>
                <w:rFonts w:ascii="宋体"/>
                <w:sz w:val="18"/>
              </w:rPr>
              <w:t>.60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东华合创科 技有限公司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40,125,766.</w:t>
            </w:r>
          </w:p>
          <w:p>
            <w:pPr>
              <w:pStyle w:val="TableParagraph"/>
              <w:spacing w:line="240" w:lineRule="auto" w:before="77"/>
              <w:ind w:right="20"/>
              <w:jc w:val="right"/>
              <w:rPr>
                <w:rFonts w:ascii="宋体" w:hAnsi="宋体" w:cs="宋体" w:eastAsia="宋体" w:hint="default"/>
                <w:sz w:val="18"/>
                <w:szCs w:val="18"/>
              </w:rPr>
            </w:pPr>
            <w:r>
              <w:rPr>
                <w:rFonts w:ascii="宋体"/>
                <w:sz w:val="18"/>
              </w:rPr>
              <w:t>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36,291,626</w:t>
            </w:r>
          </w:p>
          <w:p>
            <w:pPr>
              <w:pStyle w:val="TableParagraph"/>
              <w:spacing w:line="240" w:lineRule="auto" w:before="77"/>
              <w:ind w:right="20"/>
              <w:jc w:val="right"/>
              <w:rPr>
                <w:rFonts w:ascii="宋体" w:hAnsi="宋体" w:cs="宋体" w:eastAsia="宋体" w:hint="default"/>
                <w:sz w:val="18"/>
                <w:szCs w:val="18"/>
              </w:rPr>
            </w:pPr>
            <w:r>
              <w:rPr>
                <w:rFonts w:ascii="宋体"/>
                <w:sz w:val="18"/>
              </w:rPr>
              <w:t>.88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117,948.72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-6,969,567</w:t>
            </w:r>
          </w:p>
          <w:p>
            <w:pPr>
              <w:pStyle w:val="TableParagraph"/>
              <w:spacing w:line="240" w:lineRule="auto" w:before="77"/>
              <w:ind w:right="23"/>
              <w:jc w:val="right"/>
              <w:rPr>
                <w:rFonts w:ascii="宋体" w:hAnsi="宋体" w:cs="宋体" w:eastAsia="宋体" w:hint="default"/>
                <w:sz w:val="18"/>
                <w:szCs w:val="18"/>
              </w:rPr>
            </w:pPr>
            <w:r>
              <w:rPr>
                <w:rFonts w:ascii="宋体"/>
                <w:sz w:val="18"/>
              </w:rPr>
              <w:t>.29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-6,969,567</w:t>
            </w:r>
          </w:p>
          <w:p>
            <w:pPr>
              <w:pStyle w:val="TableParagraph"/>
              <w:spacing w:line="240" w:lineRule="auto" w:before="77"/>
              <w:ind w:right="20"/>
              <w:jc w:val="right"/>
              <w:rPr>
                <w:rFonts w:ascii="宋体" w:hAnsi="宋体" w:cs="宋体" w:eastAsia="宋体" w:hint="default"/>
                <w:sz w:val="18"/>
                <w:szCs w:val="18"/>
              </w:rPr>
            </w:pPr>
            <w:r>
              <w:rPr>
                <w:rFonts w:ascii="宋体"/>
                <w:sz w:val="18"/>
              </w:rPr>
              <w:t>.29</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北京东华厚 盾软件有限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12,396,549.</w:t>
            </w:r>
          </w:p>
          <w:p>
            <w:pPr>
              <w:pStyle w:val="TableParagraph"/>
              <w:spacing w:line="240" w:lineRule="auto" w:before="77"/>
              <w:ind w:right="20"/>
              <w:jc w:val="right"/>
              <w:rPr>
                <w:rFonts w:ascii="宋体" w:hAnsi="宋体" w:cs="宋体" w:eastAsia="宋体" w:hint="default"/>
                <w:sz w:val="18"/>
                <w:szCs w:val="18"/>
              </w:rPr>
            </w:pPr>
            <w:r>
              <w:rPr>
                <w:rFonts w:ascii="宋体"/>
                <w:sz w:val="18"/>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8,941,574.</w:t>
            </w:r>
          </w:p>
          <w:p>
            <w:pPr>
              <w:pStyle w:val="TableParagraph"/>
              <w:spacing w:line="240" w:lineRule="auto" w:before="77"/>
              <w:ind w:right="20"/>
              <w:jc w:val="right"/>
              <w:rPr>
                <w:rFonts w:ascii="宋体" w:hAnsi="宋体" w:cs="宋体" w:eastAsia="宋体" w:hint="default"/>
                <w:sz w:val="18"/>
                <w:szCs w:val="18"/>
              </w:rPr>
            </w:pPr>
            <w:r>
              <w:rPr>
                <w:rFonts w:ascii="宋体"/>
                <w:sz w:val="18"/>
              </w:rPr>
              <w:t>57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7,524,015.</w:t>
            </w:r>
          </w:p>
          <w:p>
            <w:pPr>
              <w:pStyle w:val="TableParagraph"/>
              <w:spacing w:line="240" w:lineRule="auto" w:before="77"/>
              <w:ind w:right="20"/>
              <w:jc w:val="right"/>
              <w:rPr>
                <w:rFonts w:ascii="宋体" w:hAnsi="宋体" w:cs="宋体" w:eastAsia="宋体" w:hint="default"/>
                <w:sz w:val="18"/>
                <w:szCs w:val="18"/>
              </w:rPr>
            </w:pPr>
            <w:r>
              <w:rPr>
                <w:rFonts w:ascii="宋体"/>
                <w:sz w:val="18"/>
              </w:rPr>
              <w:t>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-371.71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338,596.62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北京东华易 时科技有限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6,139,413.5</w:t>
            </w:r>
          </w:p>
          <w:p>
            <w:pPr>
              <w:pStyle w:val="TableParagraph"/>
              <w:spacing w:line="240" w:lineRule="auto" w:before="77"/>
              <w:ind w:right="20"/>
              <w:jc w:val="right"/>
              <w:rPr>
                <w:rFonts w:ascii="宋体" w:hAnsi="宋体" w:cs="宋体" w:eastAsia="宋体" w:hint="default"/>
                <w:sz w:val="18"/>
                <w:szCs w:val="18"/>
              </w:rPr>
            </w:pPr>
            <w:r>
              <w:rPr>
                <w:rFonts w:ascii="宋体"/>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-19,359,48</w:t>
            </w:r>
          </w:p>
          <w:p>
            <w:pPr>
              <w:pStyle w:val="TableParagraph"/>
              <w:spacing w:line="240" w:lineRule="auto" w:before="77"/>
              <w:ind w:left="564" w:right="0"/>
              <w:jc w:val="left"/>
              <w:rPr>
                <w:rFonts w:ascii="宋体" w:hAnsi="宋体" w:cs="宋体" w:eastAsia="宋体" w:hint="default"/>
                <w:sz w:val="18"/>
                <w:szCs w:val="18"/>
              </w:rPr>
            </w:pPr>
            <w:r>
              <w:rPr>
                <w:rFonts w:ascii="宋体"/>
                <w:sz w:val="18"/>
              </w:rPr>
              <w:t>8.19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3,729,369.</w:t>
            </w:r>
          </w:p>
          <w:p>
            <w:pPr>
              <w:pStyle w:val="TableParagraph"/>
              <w:spacing w:line="240" w:lineRule="auto" w:before="77"/>
              <w:ind w:right="20"/>
              <w:jc w:val="right"/>
              <w:rPr>
                <w:rFonts w:ascii="宋体" w:hAnsi="宋体" w:cs="宋体" w:eastAsia="宋体" w:hint="default"/>
                <w:sz w:val="18"/>
                <w:szCs w:val="18"/>
              </w:rPr>
            </w:pPr>
            <w:r>
              <w:rPr>
                <w:rFonts w:ascii="宋体"/>
                <w:sz w:val="18"/>
              </w:rPr>
              <w:t>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-9,929,926</w:t>
            </w:r>
          </w:p>
          <w:p>
            <w:pPr>
              <w:pStyle w:val="TableParagraph"/>
              <w:spacing w:line="240" w:lineRule="auto" w:before="77"/>
              <w:ind w:right="23"/>
              <w:jc w:val="right"/>
              <w:rPr>
                <w:rFonts w:ascii="宋体" w:hAnsi="宋体" w:cs="宋体" w:eastAsia="宋体" w:hint="default"/>
                <w:sz w:val="18"/>
                <w:szCs w:val="18"/>
              </w:rPr>
            </w:pPr>
            <w:r>
              <w:rPr>
                <w:rFonts w:ascii="宋体"/>
                <w:sz w:val="18"/>
              </w:rPr>
              <w:t>.33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-9,929,985</w:t>
            </w:r>
          </w:p>
          <w:p>
            <w:pPr>
              <w:pStyle w:val="TableParagraph"/>
              <w:spacing w:line="240" w:lineRule="auto" w:before="77"/>
              <w:ind w:right="20"/>
              <w:jc w:val="right"/>
              <w:rPr>
                <w:rFonts w:ascii="宋体" w:hAnsi="宋体" w:cs="宋体" w:eastAsia="宋体" w:hint="default"/>
                <w:sz w:val="18"/>
                <w:szCs w:val="18"/>
              </w:rPr>
            </w:pPr>
            <w:r>
              <w:rPr>
                <w:rFonts w:ascii="宋体"/>
                <w:sz w:val="18"/>
              </w:rPr>
              <w:t>.34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北京神州新 桥科技有限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596,374,112</w:t>
            </w:r>
          </w:p>
          <w:p>
            <w:pPr>
              <w:pStyle w:val="TableParagraph"/>
              <w:spacing w:line="240" w:lineRule="auto" w:before="77"/>
              <w:ind w:right="20"/>
              <w:jc w:val="right"/>
              <w:rPr>
                <w:rFonts w:ascii="宋体" w:hAnsi="宋体" w:cs="宋体" w:eastAsia="宋体" w:hint="default"/>
                <w:sz w:val="18"/>
                <w:szCs w:val="18"/>
              </w:rPr>
            </w:pPr>
            <w:r>
              <w:rPr>
                <w:rFonts w:ascii="宋体"/>
                <w:sz w:val="18"/>
              </w:rPr>
              <w:t>.89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304,029,27</w:t>
            </w:r>
          </w:p>
          <w:p>
            <w:pPr>
              <w:pStyle w:val="TableParagraph"/>
              <w:spacing w:line="240" w:lineRule="auto" w:before="77"/>
              <w:ind w:left="564" w:right="0"/>
              <w:jc w:val="left"/>
              <w:rPr>
                <w:rFonts w:ascii="宋体" w:hAnsi="宋体" w:cs="宋体" w:eastAsia="宋体" w:hint="default"/>
                <w:sz w:val="18"/>
                <w:szCs w:val="18"/>
              </w:rPr>
            </w:pPr>
            <w:r>
              <w:rPr>
                <w:rFonts w:ascii="宋体"/>
                <w:sz w:val="18"/>
              </w:rPr>
              <w:t>6.16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911,920,75</w:t>
            </w:r>
          </w:p>
          <w:p>
            <w:pPr>
              <w:pStyle w:val="TableParagraph"/>
              <w:spacing w:line="240" w:lineRule="auto" w:before="77"/>
              <w:ind w:left="564" w:right="0"/>
              <w:jc w:val="left"/>
              <w:rPr>
                <w:rFonts w:ascii="宋体" w:hAnsi="宋体" w:cs="宋体" w:eastAsia="宋体" w:hint="default"/>
                <w:sz w:val="18"/>
                <w:szCs w:val="18"/>
              </w:rPr>
            </w:pPr>
            <w:r>
              <w:rPr>
                <w:rFonts w:ascii="宋体"/>
                <w:sz w:val="18"/>
              </w:rPr>
              <w:t>3.94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65,325,389</w:t>
            </w:r>
          </w:p>
          <w:p>
            <w:pPr>
              <w:pStyle w:val="TableParagraph"/>
              <w:spacing w:line="240" w:lineRule="auto" w:before="77"/>
              <w:ind w:right="23"/>
              <w:jc w:val="right"/>
              <w:rPr>
                <w:rFonts w:ascii="宋体" w:hAnsi="宋体" w:cs="宋体" w:eastAsia="宋体" w:hint="default"/>
                <w:sz w:val="18"/>
                <w:szCs w:val="18"/>
              </w:rPr>
            </w:pPr>
            <w:r>
              <w:rPr>
                <w:rFonts w:ascii="宋体"/>
                <w:sz w:val="18"/>
              </w:rPr>
              <w:t>.76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56,399,169</w:t>
            </w:r>
          </w:p>
          <w:p>
            <w:pPr>
              <w:pStyle w:val="TableParagraph"/>
              <w:spacing w:line="240" w:lineRule="auto" w:before="77"/>
              <w:ind w:right="20"/>
              <w:jc w:val="right"/>
              <w:rPr>
                <w:rFonts w:ascii="宋体" w:hAnsi="宋体" w:cs="宋体" w:eastAsia="宋体" w:hint="default"/>
                <w:sz w:val="18"/>
                <w:szCs w:val="18"/>
              </w:rPr>
            </w:pPr>
            <w:r>
              <w:rPr>
                <w:rFonts w:ascii="宋体"/>
                <w:sz w:val="18"/>
              </w:rPr>
              <w:t>.55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沈阳普林科 技有限公司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18,064,761.</w:t>
            </w:r>
          </w:p>
          <w:p>
            <w:pPr>
              <w:pStyle w:val="TableParagraph"/>
              <w:spacing w:line="240" w:lineRule="auto" w:before="77"/>
              <w:ind w:right="20"/>
              <w:jc w:val="right"/>
              <w:rPr>
                <w:rFonts w:ascii="宋体" w:hAnsi="宋体" w:cs="宋体" w:eastAsia="宋体" w:hint="default"/>
                <w:sz w:val="18"/>
                <w:szCs w:val="18"/>
              </w:rPr>
            </w:pPr>
            <w:r>
              <w:rPr>
                <w:rFonts w:ascii="宋体"/>
                <w:sz w:val="18"/>
              </w:rPr>
              <w:t>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10,026,398</w:t>
            </w:r>
          </w:p>
          <w:p>
            <w:pPr>
              <w:pStyle w:val="TableParagraph"/>
              <w:spacing w:line="240" w:lineRule="auto" w:before="77"/>
              <w:ind w:right="20"/>
              <w:jc w:val="right"/>
              <w:rPr>
                <w:rFonts w:ascii="宋体" w:hAnsi="宋体" w:cs="宋体" w:eastAsia="宋体" w:hint="default"/>
                <w:sz w:val="18"/>
                <w:szCs w:val="18"/>
              </w:rPr>
            </w:pPr>
            <w:r>
              <w:rPr>
                <w:rFonts w:ascii="宋体"/>
                <w:sz w:val="18"/>
              </w:rPr>
              <w:t>.46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9,393,146.</w:t>
            </w:r>
          </w:p>
          <w:p>
            <w:pPr>
              <w:pStyle w:val="TableParagraph"/>
              <w:spacing w:line="240" w:lineRule="auto" w:before="77"/>
              <w:ind w:right="20"/>
              <w:jc w:val="right"/>
              <w:rPr>
                <w:rFonts w:ascii="宋体" w:hAnsi="宋体" w:cs="宋体" w:eastAsia="宋体" w:hint="default"/>
                <w:sz w:val="18"/>
                <w:szCs w:val="18"/>
              </w:rPr>
            </w:pPr>
            <w:r>
              <w:rPr>
                <w:rFonts w:ascii="宋体"/>
                <w:sz w:val="18"/>
              </w:rPr>
              <w:t>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-6,893,594</w:t>
            </w:r>
          </w:p>
          <w:p>
            <w:pPr>
              <w:pStyle w:val="TableParagraph"/>
              <w:spacing w:line="240" w:lineRule="auto" w:before="77"/>
              <w:ind w:right="23"/>
              <w:jc w:val="right"/>
              <w:rPr>
                <w:rFonts w:ascii="宋体" w:hAnsi="宋体" w:cs="宋体" w:eastAsia="宋体" w:hint="default"/>
                <w:sz w:val="18"/>
                <w:szCs w:val="18"/>
              </w:rPr>
            </w:pPr>
            <w:r>
              <w:rPr>
                <w:rFonts w:ascii="宋体"/>
                <w:sz w:val="18"/>
              </w:rPr>
              <w:t>.10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-6,906,373</w:t>
            </w:r>
          </w:p>
          <w:p>
            <w:pPr>
              <w:pStyle w:val="TableParagraph"/>
              <w:spacing w:line="240" w:lineRule="auto" w:before="77"/>
              <w:ind w:right="20"/>
              <w:jc w:val="right"/>
              <w:rPr>
                <w:rFonts w:ascii="宋体" w:hAnsi="宋体" w:cs="宋体" w:eastAsia="宋体" w:hint="default"/>
                <w:sz w:val="18"/>
                <w:szCs w:val="18"/>
              </w:rPr>
            </w:pPr>
            <w:r>
              <w:rPr>
                <w:rFonts w:ascii="宋体"/>
                <w:sz w:val="18"/>
              </w:rPr>
              <w:t>.23</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西安东华软</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软件和技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3" w:right="0"/>
              <w:jc w:val="left"/>
              <w:rPr>
                <w:rFonts w:ascii="宋体" w:hAnsi="宋体" w:cs="宋体" w:eastAsia="宋体" w:hint="default"/>
                <w:sz w:val="18"/>
                <w:szCs w:val="18"/>
              </w:rPr>
            </w:pPr>
            <w:r>
              <w:rPr>
                <w:rFonts w:ascii="宋体"/>
                <w:sz w:val="18"/>
              </w:rPr>
              <w:t>99,689,832.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sz w:val="18"/>
              </w:rPr>
              <w:t>93,819,269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宋体" w:hAnsi="宋体" w:cs="宋体" w:eastAsia="宋体" w:hint="default"/>
                <w:sz w:val="18"/>
                <w:szCs w:val="18"/>
              </w:rPr>
            </w:pPr>
            <w:r>
              <w:rPr>
                <w:rFonts w:ascii="宋体"/>
                <w:sz w:val="18"/>
              </w:rPr>
              <w:t>60,436,539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18"/>
                <w:szCs w:val="18"/>
              </w:rPr>
            </w:pPr>
            <w:r>
              <w:rPr>
                <w:rFonts w:ascii="宋体"/>
                <w:sz w:val="18"/>
              </w:rPr>
              <w:t>6,310,177.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sz w:val="18"/>
              </w:rPr>
              <w:t>11,484,421</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883"/>
        <w:gridCol w:w="851"/>
        <w:gridCol w:w="850"/>
        <w:gridCol w:w="1134"/>
        <w:gridCol w:w="1066"/>
        <w:gridCol w:w="956"/>
        <w:gridCol w:w="957"/>
        <w:gridCol w:w="958"/>
        <w:gridCol w:w="956"/>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8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和系统集 成</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南昌东华软 件有限公司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48,239,528.</w:t>
            </w:r>
          </w:p>
          <w:p>
            <w:pPr>
              <w:pStyle w:val="TableParagraph"/>
              <w:spacing w:line="240" w:lineRule="auto" w:before="77"/>
              <w:ind w:right="20"/>
              <w:jc w:val="right"/>
              <w:rPr>
                <w:rFonts w:ascii="宋体" w:hAnsi="宋体" w:cs="宋体" w:eastAsia="宋体" w:hint="default"/>
                <w:sz w:val="18"/>
                <w:szCs w:val="18"/>
              </w:rPr>
            </w:pPr>
            <w:r>
              <w:rPr>
                <w:rFonts w:ascii="宋体"/>
                <w:sz w:val="18"/>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46,565,989</w:t>
            </w:r>
          </w:p>
          <w:p>
            <w:pPr>
              <w:pStyle w:val="TableParagraph"/>
              <w:spacing w:line="240" w:lineRule="auto" w:before="77"/>
              <w:ind w:right="20"/>
              <w:jc w:val="right"/>
              <w:rPr>
                <w:rFonts w:ascii="宋体" w:hAnsi="宋体" w:cs="宋体" w:eastAsia="宋体" w:hint="default"/>
                <w:sz w:val="18"/>
                <w:szCs w:val="18"/>
              </w:rPr>
            </w:pPr>
            <w:r>
              <w:rPr>
                <w:rFonts w:ascii="宋体"/>
                <w:sz w:val="18"/>
              </w:rPr>
              <w:t>.11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2,987,401.</w:t>
            </w:r>
          </w:p>
          <w:p>
            <w:pPr>
              <w:pStyle w:val="TableParagraph"/>
              <w:spacing w:line="240" w:lineRule="auto" w:before="77"/>
              <w:ind w:right="20"/>
              <w:jc w:val="right"/>
              <w:rPr>
                <w:rFonts w:ascii="宋体" w:hAnsi="宋体" w:cs="宋体" w:eastAsia="宋体" w:hint="default"/>
                <w:sz w:val="18"/>
                <w:szCs w:val="18"/>
              </w:rPr>
            </w:pPr>
            <w:r>
              <w:rPr>
                <w:rFonts w:ascii="宋体"/>
                <w:sz w:val="18"/>
              </w:rPr>
              <w:t>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-2,839,260</w:t>
            </w:r>
          </w:p>
          <w:p>
            <w:pPr>
              <w:pStyle w:val="TableParagraph"/>
              <w:spacing w:line="240" w:lineRule="auto" w:before="77"/>
              <w:ind w:right="23"/>
              <w:jc w:val="right"/>
              <w:rPr>
                <w:rFonts w:ascii="宋体" w:hAnsi="宋体" w:cs="宋体" w:eastAsia="宋体" w:hint="default"/>
                <w:sz w:val="18"/>
                <w:szCs w:val="18"/>
              </w:rPr>
            </w:pPr>
            <w:r>
              <w:rPr>
                <w:rFonts w:ascii="宋体"/>
                <w:sz w:val="18"/>
              </w:rPr>
              <w:t>.32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-2,839,260</w:t>
            </w:r>
          </w:p>
          <w:p>
            <w:pPr>
              <w:pStyle w:val="TableParagraph"/>
              <w:spacing w:line="240" w:lineRule="auto" w:before="77"/>
              <w:ind w:right="20"/>
              <w:jc w:val="right"/>
              <w:rPr>
                <w:rFonts w:ascii="宋体" w:hAnsi="宋体" w:cs="宋体" w:eastAsia="宋体" w:hint="default"/>
                <w:sz w:val="18"/>
                <w:szCs w:val="18"/>
              </w:rPr>
            </w:pPr>
            <w:r>
              <w:rPr>
                <w:rFonts w:ascii="宋体"/>
                <w:sz w:val="18"/>
              </w:rPr>
              <w:t>.32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山西东华软 件有限公司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48,009,554.</w:t>
            </w:r>
          </w:p>
          <w:p>
            <w:pPr>
              <w:pStyle w:val="TableParagraph"/>
              <w:spacing w:line="240" w:lineRule="auto" w:before="76"/>
              <w:ind w:right="20"/>
              <w:jc w:val="right"/>
              <w:rPr>
                <w:rFonts w:ascii="宋体" w:hAnsi="宋体" w:cs="宋体" w:eastAsia="宋体" w:hint="default"/>
                <w:sz w:val="18"/>
                <w:szCs w:val="18"/>
              </w:rPr>
            </w:pPr>
            <w:r>
              <w:rPr>
                <w:rFonts w:ascii="宋体"/>
                <w:sz w:val="18"/>
              </w:rPr>
              <w:t>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42,924,836</w:t>
            </w:r>
          </w:p>
          <w:p>
            <w:pPr>
              <w:pStyle w:val="TableParagraph"/>
              <w:spacing w:line="240" w:lineRule="auto" w:before="76"/>
              <w:ind w:right="20"/>
              <w:jc w:val="right"/>
              <w:rPr>
                <w:rFonts w:ascii="宋体" w:hAnsi="宋体" w:cs="宋体" w:eastAsia="宋体" w:hint="default"/>
                <w:sz w:val="18"/>
                <w:szCs w:val="18"/>
              </w:rPr>
            </w:pPr>
            <w:r>
              <w:rPr>
                <w:rFonts w:ascii="宋体"/>
                <w:sz w:val="18"/>
              </w:rPr>
              <w:t>.84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31,610,663</w:t>
            </w:r>
          </w:p>
          <w:p>
            <w:pPr>
              <w:pStyle w:val="TableParagraph"/>
              <w:spacing w:line="240" w:lineRule="auto" w:before="76"/>
              <w:ind w:right="20"/>
              <w:jc w:val="right"/>
              <w:rPr>
                <w:rFonts w:ascii="宋体" w:hAnsi="宋体" w:cs="宋体" w:eastAsia="宋体" w:hint="default"/>
                <w:sz w:val="18"/>
                <w:szCs w:val="18"/>
              </w:rPr>
            </w:pPr>
            <w:r>
              <w:rPr>
                <w:rFonts w:ascii="宋体"/>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-3,436,423</w:t>
            </w:r>
          </w:p>
          <w:p>
            <w:pPr>
              <w:pStyle w:val="TableParagraph"/>
              <w:spacing w:line="240" w:lineRule="auto" w:before="76"/>
              <w:ind w:right="23"/>
              <w:jc w:val="right"/>
              <w:rPr>
                <w:rFonts w:ascii="宋体" w:hAnsi="宋体" w:cs="宋体" w:eastAsia="宋体" w:hint="default"/>
                <w:sz w:val="18"/>
                <w:szCs w:val="18"/>
              </w:rPr>
            </w:pPr>
            <w:r>
              <w:rPr>
                <w:rFonts w:ascii="宋体"/>
                <w:sz w:val="18"/>
              </w:rPr>
              <w:t>.62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-3,436,423</w:t>
            </w:r>
          </w:p>
          <w:p>
            <w:pPr>
              <w:pStyle w:val="TableParagraph"/>
              <w:spacing w:line="240" w:lineRule="auto" w:before="76"/>
              <w:ind w:right="20"/>
              <w:jc w:val="right"/>
              <w:rPr>
                <w:rFonts w:ascii="宋体" w:hAnsi="宋体" w:cs="宋体" w:eastAsia="宋体" w:hint="default"/>
                <w:sz w:val="18"/>
                <w:szCs w:val="18"/>
              </w:rPr>
            </w:pPr>
            <w:r>
              <w:rPr>
                <w:rFonts w:ascii="宋体"/>
                <w:sz w:val="18"/>
              </w:rPr>
              <w:t>.62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北京卓讯科 信技术有限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1,080,000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9,473,381.0</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-10,908,73</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3.88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9,402,959.</w:t>
            </w:r>
          </w:p>
          <w:p>
            <w:pPr>
              <w:pStyle w:val="TableParagraph"/>
              <w:spacing w:line="240" w:lineRule="auto" w:before="76"/>
              <w:ind w:right="20"/>
              <w:jc w:val="right"/>
              <w:rPr>
                <w:rFonts w:ascii="宋体" w:hAnsi="宋体" w:cs="宋体" w:eastAsia="宋体" w:hint="default"/>
                <w:sz w:val="18"/>
                <w:szCs w:val="18"/>
              </w:rPr>
            </w:pPr>
            <w:r>
              <w:rPr>
                <w:rFonts w:ascii="宋体"/>
                <w:sz w:val="18"/>
              </w:rPr>
              <w:t>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-4,020,763</w:t>
            </w:r>
          </w:p>
          <w:p>
            <w:pPr>
              <w:pStyle w:val="TableParagraph"/>
              <w:spacing w:line="240" w:lineRule="auto" w:before="76"/>
              <w:ind w:right="23"/>
              <w:jc w:val="right"/>
              <w:rPr>
                <w:rFonts w:ascii="宋体" w:hAnsi="宋体" w:cs="宋体" w:eastAsia="宋体" w:hint="default"/>
                <w:sz w:val="18"/>
                <w:szCs w:val="18"/>
              </w:rPr>
            </w:pPr>
            <w:r>
              <w:rPr>
                <w:rFonts w:ascii="宋体"/>
                <w:sz w:val="18"/>
              </w:rPr>
              <w:t>.81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-4,020,763</w:t>
            </w:r>
          </w:p>
          <w:p>
            <w:pPr>
              <w:pStyle w:val="TableParagraph"/>
              <w:spacing w:line="240" w:lineRule="auto" w:before="76"/>
              <w:ind w:right="20"/>
              <w:jc w:val="right"/>
              <w:rPr>
                <w:rFonts w:ascii="宋体" w:hAnsi="宋体" w:cs="宋体" w:eastAsia="宋体" w:hint="default"/>
                <w:sz w:val="18"/>
                <w:szCs w:val="18"/>
              </w:rPr>
            </w:pPr>
            <w:r>
              <w:rPr>
                <w:rFonts w:ascii="宋体"/>
                <w:sz w:val="18"/>
              </w:rPr>
              <w:t>.81</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北京东华信 息技术有限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2,793,548.3</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-7,155,393</w:t>
            </w:r>
          </w:p>
          <w:p>
            <w:pPr>
              <w:pStyle w:val="TableParagraph"/>
              <w:spacing w:line="240" w:lineRule="auto" w:before="76"/>
              <w:ind w:right="20"/>
              <w:jc w:val="right"/>
              <w:rPr>
                <w:rFonts w:ascii="宋体" w:hAnsi="宋体" w:cs="宋体" w:eastAsia="宋体" w:hint="default"/>
                <w:sz w:val="18"/>
                <w:szCs w:val="18"/>
              </w:rPr>
            </w:pPr>
            <w:r>
              <w:rPr>
                <w:rFonts w:ascii="宋体"/>
                <w:sz w:val="18"/>
              </w:rPr>
              <w:t>.39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1,087,075.</w:t>
            </w:r>
          </w:p>
          <w:p>
            <w:pPr>
              <w:pStyle w:val="TableParagraph"/>
              <w:spacing w:line="240" w:lineRule="auto" w:before="76"/>
              <w:ind w:right="20"/>
              <w:jc w:val="right"/>
              <w:rPr>
                <w:rFonts w:ascii="宋体" w:hAnsi="宋体" w:cs="宋体" w:eastAsia="宋体" w:hint="default"/>
                <w:sz w:val="18"/>
                <w:szCs w:val="18"/>
              </w:rPr>
            </w:pPr>
            <w:r>
              <w:rPr>
                <w:rFonts w:ascii="宋体"/>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-387,213.3</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-43,369.04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东华软件开 发有限公司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8,603,303.2</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8,600,068.</w:t>
            </w:r>
          </w:p>
          <w:p>
            <w:pPr>
              <w:pStyle w:val="TableParagraph"/>
              <w:spacing w:line="240" w:lineRule="auto" w:before="76"/>
              <w:ind w:right="20"/>
              <w:jc w:val="right"/>
              <w:rPr>
                <w:rFonts w:ascii="宋体" w:hAnsi="宋体" w:cs="宋体" w:eastAsia="宋体" w:hint="default"/>
                <w:sz w:val="18"/>
                <w:szCs w:val="18"/>
              </w:rPr>
            </w:pPr>
            <w:r>
              <w:rPr>
                <w:rFonts w:ascii="宋体"/>
                <w:sz w:val="18"/>
              </w:rPr>
              <w:t>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-795,700.2</w:t>
            </w:r>
          </w:p>
          <w:p>
            <w:pPr>
              <w:pStyle w:val="TableParagraph"/>
              <w:spacing w:line="240" w:lineRule="auto" w:before="76"/>
              <w:ind w:right="23"/>
              <w:jc w:val="right"/>
              <w:rPr>
                <w:rFonts w:ascii="宋体" w:hAnsi="宋体" w:cs="宋体" w:eastAsia="宋体" w:hint="default"/>
                <w:sz w:val="18"/>
                <w:szCs w:val="18"/>
              </w:rPr>
            </w:pPr>
            <w:r>
              <w:rPr>
                <w:rFonts w:ascii="宋体"/>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38,826.48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天津东华博 雅有限公司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64,884,608.</w:t>
            </w:r>
          </w:p>
          <w:p>
            <w:pPr>
              <w:pStyle w:val="TableParagraph"/>
              <w:spacing w:line="240" w:lineRule="auto" w:before="76"/>
              <w:ind w:right="20"/>
              <w:jc w:val="right"/>
              <w:rPr>
                <w:rFonts w:ascii="宋体" w:hAnsi="宋体" w:cs="宋体" w:eastAsia="宋体" w:hint="default"/>
                <w:sz w:val="18"/>
                <w:szCs w:val="18"/>
              </w:rPr>
            </w:pPr>
            <w:r>
              <w:rPr>
                <w:rFonts w:ascii="宋体"/>
                <w:sz w:val="18"/>
              </w:rPr>
              <w:t>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55,097,768</w:t>
            </w:r>
          </w:p>
          <w:p>
            <w:pPr>
              <w:pStyle w:val="TableParagraph"/>
              <w:spacing w:line="240" w:lineRule="auto" w:before="76"/>
              <w:ind w:right="20"/>
              <w:jc w:val="right"/>
              <w:rPr>
                <w:rFonts w:ascii="宋体" w:hAnsi="宋体" w:cs="宋体" w:eastAsia="宋体" w:hint="default"/>
                <w:sz w:val="18"/>
                <w:szCs w:val="18"/>
              </w:rPr>
            </w:pPr>
            <w:r>
              <w:rPr>
                <w:rFonts w:ascii="宋体"/>
                <w:sz w:val="18"/>
              </w:rPr>
              <w:t>.07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114,781,53</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7.10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14,638,198</w:t>
            </w:r>
          </w:p>
          <w:p>
            <w:pPr>
              <w:pStyle w:val="TableParagraph"/>
              <w:spacing w:line="240" w:lineRule="auto" w:before="76"/>
              <w:ind w:right="23"/>
              <w:jc w:val="right"/>
              <w:rPr>
                <w:rFonts w:ascii="宋体" w:hAnsi="宋体" w:cs="宋体" w:eastAsia="宋体" w:hint="default"/>
                <w:sz w:val="18"/>
                <w:szCs w:val="18"/>
              </w:rPr>
            </w:pPr>
            <w:r>
              <w:rPr>
                <w:rFonts w:ascii="宋体"/>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17,327,510</w:t>
            </w:r>
          </w:p>
          <w:p>
            <w:pPr>
              <w:pStyle w:val="TableParagraph"/>
              <w:spacing w:line="240" w:lineRule="auto" w:before="76"/>
              <w:ind w:right="20"/>
              <w:jc w:val="right"/>
              <w:rPr>
                <w:rFonts w:ascii="宋体" w:hAnsi="宋体" w:cs="宋体" w:eastAsia="宋体" w:hint="default"/>
                <w:sz w:val="18"/>
                <w:szCs w:val="18"/>
              </w:rPr>
            </w:pPr>
            <w:r>
              <w:rPr>
                <w:rFonts w:ascii="宋体"/>
                <w:sz w:val="18"/>
              </w:rPr>
              <w:t>.44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东华星联科 技有限公司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200,000,000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195,430,356</w:t>
            </w:r>
          </w:p>
          <w:p>
            <w:pPr>
              <w:pStyle w:val="TableParagraph"/>
              <w:spacing w:line="240" w:lineRule="auto" w:before="76"/>
              <w:ind w:right="20"/>
              <w:jc w:val="right"/>
              <w:rPr>
                <w:rFonts w:ascii="宋体" w:hAnsi="宋体" w:cs="宋体" w:eastAsia="宋体" w:hint="default"/>
                <w:sz w:val="18"/>
                <w:szCs w:val="18"/>
              </w:rPr>
            </w:pPr>
            <w:r>
              <w:rPr>
                <w:rFonts w:ascii="宋体"/>
                <w:sz w:val="18"/>
              </w:rPr>
              <w:t>.47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192,639,74</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7.53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158,490.54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-7,014,824</w:t>
            </w:r>
          </w:p>
          <w:p>
            <w:pPr>
              <w:pStyle w:val="TableParagraph"/>
              <w:spacing w:line="240" w:lineRule="auto" w:before="76"/>
              <w:ind w:right="23"/>
              <w:jc w:val="right"/>
              <w:rPr>
                <w:rFonts w:ascii="宋体" w:hAnsi="宋体" w:cs="宋体" w:eastAsia="宋体" w:hint="default"/>
                <w:sz w:val="18"/>
                <w:szCs w:val="18"/>
              </w:rPr>
            </w:pPr>
            <w:r>
              <w:rPr>
                <w:rFonts w:ascii="宋体"/>
                <w:sz w:val="18"/>
              </w:rPr>
              <w:t>.26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-7,014,824</w:t>
            </w:r>
          </w:p>
          <w:p>
            <w:pPr>
              <w:pStyle w:val="TableParagraph"/>
              <w:spacing w:line="240" w:lineRule="auto" w:before="76"/>
              <w:ind w:right="20"/>
              <w:jc w:val="right"/>
              <w:rPr>
                <w:rFonts w:ascii="宋体" w:hAnsi="宋体" w:cs="宋体" w:eastAsia="宋体" w:hint="default"/>
                <w:sz w:val="18"/>
                <w:szCs w:val="18"/>
              </w:rPr>
            </w:pPr>
            <w:r>
              <w:rPr>
                <w:rFonts w:ascii="宋体"/>
                <w:sz w:val="18"/>
              </w:rPr>
              <w:t>.26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东华云计算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58,309,728.</w:t>
            </w:r>
          </w:p>
          <w:p>
            <w:pPr>
              <w:pStyle w:val="TableParagraph"/>
              <w:spacing w:line="240" w:lineRule="auto" w:before="76"/>
              <w:ind w:right="20"/>
              <w:jc w:val="right"/>
              <w:rPr>
                <w:rFonts w:ascii="宋体" w:hAnsi="宋体" w:cs="宋体" w:eastAsia="宋体" w:hint="default"/>
                <w:sz w:val="18"/>
                <w:szCs w:val="18"/>
              </w:rPr>
            </w:pPr>
            <w:r>
              <w:rPr>
                <w:rFonts w:ascii="宋体"/>
                <w:sz w:val="18"/>
              </w:rPr>
              <w:t>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58,301,968</w:t>
            </w:r>
          </w:p>
          <w:p>
            <w:pPr>
              <w:pStyle w:val="TableParagraph"/>
              <w:spacing w:line="240" w:lineRule="auto" w:before="76"/>
              <w:ind w:right="20"/>
              <w:jc w:val="right"/>
              <w:rPr>
                <w:rFonts w:ascii="宋体" w:hAnsi="宋体" w:cs="宋体" w:eastAsia="宋体" w:hint="default"/>
                <w:sz w:val="18"/>
                <w:szCs w:val="18"/>
              </w:rPr>
            </w:pPr>
            <w:r>
              <w:rPr>
                <w:rFonts w:ascii="宋体"/>
                <w:sz w:val="18"/>
              </w:rPr>
              <w:t>.87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-1,499,358</w:t>
            </w:r>
          </w:p>
          <w:p>
            <w:pPr>
              <w:pStyle w:val="TableParagraph"/>
              <w:spacing w:line="240" w:lineRule="auto" w:before="76"/>
              <w:ind w:right="23"/>
              <w:jc w:val="right"/>
              <w:rPr>
                <w:rFonts w:ascii="宋体" w:hAnsi="宋体" w:cs="宋体" w:eastAsia="宋体" w:hint="default"/>
                <w:sz w:val="18"/>
                <w:szCs w:val="18"/>
              </w:rPr>
            </w:pPr>
            <w:r>
              <w:rPr>
                <w:rFonts w:ascii="宋体"/>
                <w:sz w:val="18"/>
              </w:rPr>
              <w:t>.42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-1,499,358</w:t>
            </w:r>
          </w:p>
          <w:p>
            <w:pPr>
              <w:pStyle w:val="TableParagraph"/>
              <w:spacing w:line="240" w:lineRule="auto" w:before="76"/>
              <w:ind w:right="20"/>
              <w:jc w:val="right"/>
              <w:rPr>
                <w:rFonts w:ascii="宋体" w:hAnsi="宋体" w:cs="宋体" w:eastAsia="宋体" w:hint="default"/>
                <w:sz w:val="18"/>
                <w:szCs w:val="18"/>
              </w:rPr>
            </w:pPr>
            <w:r>
              <w:rPr>
                <w:rFonts w:ascii="宋体"/>
                <w:sz w:val="18"/>
              </w:rPr>
              <w:t>.42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北京光明数 据信息技术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993,745.71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982,499.21</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-17,500.79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-17,500.79</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北京威锐达 测控系统有 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风电机组 振动监测 诊断系统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测控系统 和机电产 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12,100,000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159,794,274</w:t>
            </w:r>
          </w:p>
          <w:p>
            <w:pPr>
              <w:pStyle w:val="TableParagraph"/>
              <w:spacing w:line="240" w:lineRule="auto" w:before="76"/>
              <w:ind w:right="20"/>
              <w:jc w:val="right"/>
              <w:rPr>
                <w:rFonts w:ascii="宋体" w:hAnsi="宋体" w:cs="宋体" w:eastAsia="宋体" w:hint="default"/>
                <w:sz w:val="18"/>
                <w:szCs w:val="18"/>
              </w:rPr>
            </w:pPr>
            <w:r>
              <w:rPr>
                <w:rFonts w:ascii="宋体"/>
                <w:sz w:val="18"/>
              </w:rPr>
              <w:t>.74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131,470,08</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9.94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118,829,51</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4.83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69,271,607</w:t>
            </w:r>
          </w:p>
          <w:p>
            <w:pPr>
              <w:pStyle w:val="TableParagraph"/>
              <w:spacing w:line="240" w:lineRule="auto" w:before="76"/>
              <w:ind w:right="23"/>
              <w:jc w:val="right"/>
              <w:rPr>
                <w:rFonts w:ascii="宋体" w:hAnsi="宋体" w:cs="宋体" w:eastAsia="宋体" w:hint="default"/>
                <w:sz w:val="18"/>
                <w:szCs w:val="18"/>
              </w:rPr>
            </w:pPr>
            <w:r>
              <w:rPr>
                <w:rFonts w:ascii="宋体"/>
                <w:sz w:val="18"/>
              </w:rPr>
              <w:t>.65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63,958,410</w:t>
            </w:r>
          </w:p>
          <w:p>
            <w:pPr>
              <w:pStyle w:val="TableParagraph"/>
              <w:spacing w:line="240" w:lineRule="auto" w:before="76"/>
              <w:ind w:right="20"/>
              <w:jc w:val="right"/>
              <w:rPr>
                <w:rFonts w:ascii="宋体" w:hAnsi="宋体" w:cs="宋体" w:eastAsia="宋体" w:hint="default"/>
                <w:sz w:val="18"/>
                <w:szCs w:val="18"/>
              </w:rPr>
            </w:pPr>
            <w:r>
              <w:rPr>
                <w:rFonts w:ascii="宋体"/>
                <w:sz w:val="18"/>
              </w:rPr>
              <w:t>.50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兰州东华软 件有限公司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58,468.04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-41,531.96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-41,531.96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-41,531.96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7"/>
              <w:jc w:val="left"/>
              <w:rPr>
                <w:rFonts w:ascii="宋体" w:hAnsi="宋体" w:cs="宋体" w:eastAsia="宋体" w:hint="default"/>
                <w:sz w:val="18"/>
                <w:szCs w:val="18"/>
              </w:rPr>
            </w:pPr>
            <w:r>
              <w:rPr>
                <w:rFonts w:ascii="宋体" w:hAnsi="宋体" w:cs="宋体" w:eastAsia="宋体" w:hint="default"/>
                <w:sz w:val="18"/>
                <w:szCs w:val="18"/>
              </w:rPr>
              <w:t>健康乐软件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软件开发 和系统集 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13,982,272.</w:t>
            </w:r>
          </w:p>
          <w:p>
            <w:pPr>
              <w:pStyle w:val="TableParagraph"/>
              <w:spacing w:line="240" w:lineRule="auto" w:before="77"/>
              <w:ind w:right="20"/>
              <w:jc w:val="right"/>
              <w:rPr>
                <w:rFonts w:ascii="宋体" w:hAnsi="宋体" w:cs="宋体" w:eastAsia="宋体" w:hint="default"/>
                <w:sz w:val="18"/>
                <w:szCs w:val="18"/>
              </w:rPr>
            </w:pPr>
            <w:r>
              <w:rPr>
                <w:rFonts w:ascii="宋体"/>
                <w:sz w:val="18"/>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13,620,275</w:t>
            </w:r>
          </w:p>
          <w:p>
            <w:pPr>
              <w:pStyle w:val="TableParagraph"/>
              <w:spacing w:line="240" w:lineRule="auto" w:before="77"/>
              <w:ind w:right="20"/>
              <w:jc w:val="right"/>
              <w:rPr>
                <w:rFonts w:ascii="宋体" w:hAnsi="宋体" w:cs="宋体" w:eastAsia="宋体" w:hint="default"/>
                <w:sz w:val="18"/>
                <w:szCs w:val="18"/>
              </w:rPr>
            </w:pPr>
            <w:r>
              <w:rPr>
                <w:rFonts w:ascii="宋体"/>
                <w:sz w:val="18"/>
              </w:rPr>
              <w:t>.39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12,214,846</w:t>
            </w:r>
          </w:p>
          <w:p>
            <w:pPr>
              <w:pStyle w:val="TableParagraph"/>
              <w:spacing w:line="240" w:lineRule="auto" w:before="77"/>
              <w:ind w:right="20"/>
              <w:jc w:val="right"/>
              <w:rPr>
                <w:rFonts w:ascii="宋体" w:hAnsi="宋体" w:cs="宋体" w:eastAsia="宋体" w:hint="default"/>
                <w:sz w:val="18"/>
                <w:szCs w:val="18"/>
              </w:rPr>
            </w:pPr>
            <w:r>
              <w:rPr>
                <w:rFonts w:ascii="宋体"/>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-161,060.7</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-239,724.6</w:t>
            </w:r>
          </w:p>
          <w:p>
            <w:pPr>
              <w:pStyle w:val="TableParagraph"/>
              <w:spacing w:line="240" w:lineRule="auto" w:before="77"/>
              <w:ind w:right="20"/>
              <w:jc w:val="right"/>
              <w:rPr>
                <w:rFonts w:ascii="宋体" w:hAnsi="宋体" w:cs="宋体" w:eastAsia="宋体" w:hint="default"/>
                <w:sz w:val="18"/>
                <w:szCs w:val="18"/>
              </w:rPr>
            </w:pPr>
            <w:r>
              <w:rPr>
                <w:rFonts w:ascii="宋体"/>
                <w:sz w:val="18"/>
              </w:rPr>
              <w:t>1</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7"/>
              <w:jc w:val="left"/>
              <w:rPr>
                <w:rFonts w:ascii="宋体" w:hAnsi="宋体" w:cs="宋体" w:eastAsia="宋体" w:hint="default"/>
                <w:sz w:val="18"/>
                <w:szCs w:val="18"/>
              </w:rPr>
            </w:pPr>
            <w:r>
              <w:rPr>
                <w:rFonts w:ascii="宋体" w:hAnsi="宋体" w:cs="宋体" w:eastAsia="宋体" w:hint="default"/>
                <w:sz w:val="18"/>
                <w:szCs w:val="18"/>
              </w:rPr>
              <w:t>东华智慧城 市股份有限</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6"/>
              <w:jc w:val="left"/>
              <w:rPr>
                <w:rFonts w:ascii="宋体" w:hAnsi="宋体" w:cs="宋体" w:eastAsia="宋体" w:hint="default"/>
                <w:sz w:val="18"/>
                <w:szCs w:val="18"/>
              </w:rPr>
            </w:pPr>
            <w:r>
              <w:rPr>
                <w:rFonts w:ascii="宋体" w:hAnsi="宋体" w:cs="宋体" w:eastAsia="宋体" w:hint="default"/>
                <w:sz w:val="18"/>
                <w:szCs w:val="18"/>
              </w:rPr>
              <w:t>软件和技 术信息服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95"/>
              <w:jc w:val="left"/>
              <w:rPr>
                <w:rFonts w:ascii="宋体" w:hAnsi="宋体" w:cs="宋体" w:eastAsia="宋体" w:hint="default"/>
                <w:sz w:val="18"/>
                <w:szCs w:val="18"/>
              </w:rPr>
            </w:pPr>
            <w:r>
              <w:rPr>
                <w:rFonts w:ascii="宋体" w:hAnsi="宋体" w:cs="宋体" w:eastAsia="宋体" w:hint="default"/>
                <w:sz w:val="18"/>
                <w:szCs w:val="18"/>
              </w:rPr>
              <w:t>软件开发 和系统集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21,797,183.</w:t>
            </w:r>
          </w:p>
          <w:p>
            <w:pPr>
              <w:pStyle w:val="TableParagraph"/>
              <w:spacing w:line="240" w:lineRule="auto" w:before="76"/>
              <w:ind w:right="20"/>
              <w:jc w:val="right"/>
              <w:rPr>
                <w:rFonts w:ascii="宋体" w:hAnsi="宋体" w:cs="宋体" w:eastAsia="宋体" w:hint="default"/>
                <w:sz w:val="18"/>
                <w:szCs w:val="18"/>
              </w:rPr>
            </w:pPr>
            <w:r>
              <w:rPr>
                <w:rFonts w:ascii="宋体"/>
                <w:sz w:val="18"/>
              </w:rPr>
              <w:t>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21,568,315</w:t>
            </w:r>
          </w:p>
          <w:p>
            <w:pPr>
              <w:pStyle w:val="TableParagraph"/>
              <w:spacing w:line="240" w:lineRule="auto" w:before="76"/>
              <w:ind w:right="20"/>
              <w:jc w:val="right"/>
              <w:rPr>
                <w:rFonts w:ascii="宋体" w:hAnsi="宋体" w:cs="宋体" w:eastAsia="宋体" w:hint="default"/>
                <w:sz w:val="18"/>
                <w:szCs w:val="18"/>
              </w:rPr>
            </w:pPr>
            <w:r>
              <w:rPr>
                <w:rFonts w:ascii="宋体"/>
                <w:sz w:val="18"/>
              </w:rPr>
              <w:t>.06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283,018.86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-56,684.99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-56,684.94</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10.016998pt;margin-top:90.599983pt;width:80.4pt;height:206.85pt;mso-position-horizontal-relative:page;mso-position-vertical-relative:page;z-index:-90493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销售；</w:t>
                  </w:r>
                </w:p>
              </w:txbxContent>
            </v:textbox>
            <w10:wrap type="none"/>
          </v:shape>
        </w:pict>
      </w:r>
      <w:r>
        <w:rPr/>
        <w:pict>
          <v:shape style="position:absolute;margin-left:210.016998pt;margin-top:297.919983pt;width:80.4pt;height:160.050pt;mso-position-horizontal-relative:page;mso-position-vertical-relative:page;z-index:-90491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加工、</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883"/>
        <w:gridCol w:w="851"/>
        <w:gridCol w:w="850"/>
        <w:gridCol w:w="1134"/>
        <w:gridCol w:w="1066"/>
        <w:gridCol w:w="956"/>
        <w:gridCol w:w="957"/>
        <w:gridCol w:w="958"/>
        <w:gridCol w:w="956"/>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福州东华炜 如数码科技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软件开 发、 计算机系 统集成及 技术应用 服务；办 公设备、 电子产 品、网络 设备、计 算机及配 件批发、 代购代销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sz w:val="18"/>
              </w:rPr>
              <w:t>1,500,000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33" w:right="0"/>
              <w:jc w:val="left"/>
              <w:rPr>
                <w:rFonts w:ascii="宋体" w:hAnsi="宋体" w:cs="宋体" w:eastAsia="宋体" w:hint="default"/>
                <w:sz w:val="18"/>
                <w:szCs w:val="18"/>
              </w:rPr>
            </w:pPr>
            <w:r>
              <w:rPr>
                <w:rFonts w:ascii="宋体"/>
                <w:sz w:val="18"/>
              </w:rPr>
              <w:t>949,639.51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sz w:val="18"/>
              </w:rPr>
              <w:t>102,701.28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sz w:val="18"/>
              </w:rPr>
              <w:t>-16,383.73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sz w:val="18"/>
              </w:rPr>
              <w:t>-16,683.73</w:t>
            </w:r>
          </w:p>
        </w:tc>
      </w:tr>
      <w:tr>
        <w:trPr>
          <w:trHeight w:val="32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7"/>
              <w:jc w:val="both"/>
              <w:rPr>
                <w:rFonts w:ascii="宋体" w:hAnsi="宋体" w:cs="宋体" w:eastAsia="宋体" w:hint="default"/>
                <w:sz w:val="18"/>
                <w:szCs w:val="18"/>
              </w:rPr>
            </w:pPr>
            <w:r>
              <w:rPr>
                <w:rFonts w:ascii="宋体" w:hAnsi="宋体" w:cs="宋体" w:eastAsia="宋体" w:hint="default"/>
                <w:sz w:val="18"/>
                <w:szCs w:val="18"/>
              </w:rPr>
              <w:t>安徽五星食 品股份有限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畜牧业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家禽家畜 有种、养 殖、 收购、销 售；饲料 加工、销 售；粮食 收购；养 殖技术咨 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66,000,000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627,492,712</w:t>
            </w:r>
          </w:p>
          <w:p>
            <w:pPr>
              <w:pStyle w:val="TableParagraph"/>
              <w:spacing w:line="240" w:lineRule="auto" w:before="76"/>
              <w:ind w:right="20"/>
              <w:jc w:val="right"/>
              <w:rPr>
                <w:rFonts w:ascii="宋体" w:hAnsi="宋体" w:cs="宋体" w:eastAsia="宋体" w:hint="default"/>
                <w:sz w:val="18"/>
                <w:szCs w:val="18"/>
              </w:rPr>
            </w:pPr>
            <w:r>
              <w:rPr>
                <w:rFonts w:ascii="宋体"/>
                <w:sz w:val="18"/>
              </w:rPr>
              <w:t>.92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212,180,13</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9.96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9,587,430.</w:t>
            </w:r>
          </w:p>
          <w:p>
            <w:pPr>
              <w:pStyle w:val="TableParagraph"/>
              <w:spacing w:line="240" w:lineRule="auto" w:before="76"/>
              <w:ind w:right="20"/>
              <w:jc w:val="right"/>
              <w:rPr>
                <w:rFonts w:ascii="宋体" w:hAnsi="宋体" w:cs="宋体" w:eastAsia="宋体" w:hint="default"/>
                <w:sz w:val="18"/>
                <w:szCs w:val="18"/>
              </w:rPr>
            </w:pPr>
            <w:r>
              <w:rPr>
                <w:rFonts w:ascii="宋体"/>
                <w:sz w:val="18"/>
              </w:rPr>
              <w:t>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18"/>
                <w:szCs w:val="18"/>
              </w:rPr>
            </w:pPr>
            <w:r>
              <w:rPr>
                <w:rFonts w:ascii="宋体"/>
                <w:sz w:val="18"/>
              </w:rPr>
              <w:t>5,486,332.</w:t>
            </w:r>
          </w:p>
          <w:p>
            <w:pPr>
              <w:pStyle w:val="TableParagraph"/>
              <w:spacing w:line="240" w:lineRule="auto" w:before="76"/>
              <w:ind w:right="23"/>
              <w:jc w:val="right"/>
              <w:rPr>
                <w:rFonts w:ascii="宋体" w:hAnsi="宋体" w:cs="宋体" w:eastAsia="宋体" w:hint="default"/>
                <w:sz w:val="18"/>
                <w:szCs w:val="18"/>
              </w:rPr>
            </w:pPr>
            <w:r>
              <w:rPr>
                <w:rFonts w:ascii="宋体"/>
                <w:sz w:val="18"/>
              </w:rPr>
              <w:t>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14,328,144</w:t>
            </w:r>
          </w:p>
          <w:p>
            <w:pPr>
              <w:pStyle w:val="TableParagraph"/>
              <w:spacing w:line="240" w:lineRule="auto" w:before="76"/>
              <w:ind w:right="20"/>
              <w:jc w:val="right"/>
              <w:rPr>
                <w:rFonts w:ascii="宋体" w:hAnsi="宋体" w:cs="宋体" w:eastAsia="宋体" w:hint="default"/>
                <w:sz w:val="18"/>
                <w:szCs w:val="18"/>
              </w:rPr>
            </w:pPr>
            <w:r>
              <w:rPr>
                <w:rFonts w:ascii="宋体"/>
                <w:sz w:val="18"/>
              </w:rPr>
              <w:t>.15</w:t>
            </w:r>
          </w:p>
        </w:tc>
      </w:tr>
      <w:tr>
        <w:trPr>
          <w:trHeight w:val="22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7"/>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技术推 广；软件 服务；销 售计算 机、 及辅助设 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sz w:val="18"/>
              </w:rPr>
              <w:t>45,000,000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930,931,222</w:t>
            </w:r>
          </w:p>
          <w:p>
            <w:pPr>
              <w:pStyle w:val="TableParagraph"/>
              <w:spacing w:line="240" w:lineRule="auto" w:before="76"/>
              <w:ind w:right="20"/>
              <w:jc w:val="right"/>
              <w:rPr>
                <w:rFonts w:ascii="宋体" w:hAnsi="宋体" w:cs="宋体" w:eastAsia="宋体" w:hint="default"/>
                <w:sz w:val="18"/>
                <w:szCs w:val="18"/>
              </w:rPr>
            </w:pPr>
            <w:r>
              <w:rPr>
                <w:rFonts w:ascii="宋体"/>
                <w:sz w:val="18"/>
              </w:rPr>
              <w:t>.04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sz w:val="18"/>
              </w:rPr>
              <w:t>781,298,88</w:t>
            </w:r>
          </w:p>
          <w:p>
            <w:pPr>
              <w:pStyle w:val="TableParagraph"/>
              <w:spacing w:line="240" w:lineRule="auto" w:before="76"/>
              <w:ind w:left="564" w:right="0"/>
              <w:jc w:val="left"/>
              <w:rPr>
                <w:rFonts w:ascii="宋体" w:hAnsi="宋体" w:cs="宋体" w:eastAsia="宋体" w:hint="default"/>
                <w:sz w:val="18"/>
                <w:szCs w:val="18"/>
              </w:rPr>
            </w:pPr>
            <w:r>
              <w:rPr>
                <w:rFonts w:ascii="宋体"/>
                <w:sz w:val="18"/>
              </w:rPr>
              <w:t>4.36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30,347,041</w:t>
            </w:r>
          </w:p>
          <w:p>
            <w:pPr>
              <w:pStyle w:val="TableParagraph"/>
              <w:spacing w:line="240" w:lineRule="auto" w:before="76"/>
              <w:ind w:right="20"/>
              <w:jc w:val="right"/>
              <w:rPr>
                <w:rFonts w:ascii="宋体" w:hAnsi="宋体" w:cs="宋体" w:eastAsia="宋体" w:hint="default"/>
                <w:sz w:val="18"/>
                <w:szCs w:val="18"/>
              </w:rPr>
            </w:pPr>
            <w:r>
              <w:rPr>
                <w:rFonts w:ascii="宋体"/>
                <w:sz w:val="18"/>
              </w:rPr>
              <w:t>.79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16,876,388</w:t>
            </w:r>
          </w:p>
          <w:p>
            <w:pPr>
              <w:pStyle w:val="TableParagraph"/>
              <w:spacing w:line="240" w:lineRule="auto" w:before="76"/>
              <w:ind w:right="23"/>
              <w:jc w:val="right"/>
              <w:rPr>
                <w:rFonts w:ascii="宋体" w:hAnsi="宋体" w:cs="宋体" w:eastAsia="宋体" w:hint="default"/>
                <w:sz w:val="18"/>
                <w:szCs w:val="18"/>
              </w:rPr>
            </w:pPr>
            <w:r>
              <w:rPr>
                <w:rFonts w:ascii="宋体"/>
                <w:sz w:val="18"/>
              </w:rPr>
              <w:t>.38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43,037,421</w:t>
            </w:r>
          </w:p>
          <w:p>
            <w:pPr>
              <w:pStyle w:val="TableParagraph"/>
              <w:spacing w:line="240" w:lineRule="auto" w:before="76"/>
              <w:ind w:right="20"/>
              <w:jc w:val="right"/>
              <w:rPr>
                <w:rFonts w:ascii="宋体" w:hAnsi="宋体" w:cs="宋体" w:eastAsia="宋体" w:hint="default"/>
                <w:sz w:val="18"/>
                <w:szCs w:val="18"/>
              </w:rPr>
            </w:pPr>
            <w:r>
              <w:rPr>
                <w:rFonts w:ascii="宋体"/>
                <w:sz w:val="18"/>
              </w:rPr>
              <w:t>.06</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7"/>
              <w:jc w:val="both"/>
              <w:rPr>
                <w:rFonts w:ascii="宋体" w:hAnsi="宋体" w:cs="宋体" w:eastAsia="宋体" w:hint="default"/>
                <w:sz w:val="18"/>
                <w:szCs w:val="18"/>
              </w:rPr>
            </w:pPr>
            <w:r>
              <w:rPr>
                <w:rFonts w:ascii="宋体" w:hAnsi="宋体" w:cs="宋体" w:eastAsia="宋体" w:hint="default"/>
                <w:sz w:val="18"/>
                <w:szCs w:val="18"/>
              </w:rPr>
              <w:t>成都高新区 中科前程科 技有限公司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both"/>
              <w:rPr>
                <w:rFonts w:ascii="宋体" w:hAnsi="宋体" w:cs="宋体" w:eastAsia="宋体" w:hint="default"/>
                <w:sz w:val="18"/>
                <w:szCs w:val="18"/>
              </w:rPr>
            </w:pPr>
            <w:r>
              <w:rPr>
                <w:rFonts w:ascii="宋体" w:hAnsi="宋体" w:cs="宋体" w:eastAsia="宋体" w:hint="default"/>
                <w:sz w:val="18"/>
                <w:szCs w:val="18"/>
              </w:rPr>
              <w:t>软件和技 术信息服 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系统集成 和软件开 发、提供 全面解决 方案。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sz w:val="18"/>
              </w:rPr>
              <w:t>10,500,000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12,633,950.</w:t>
            </w:r>
          </w:p>
          <w:p>
            <w:pPr>
              <w:pStyle w:val="TableParagraph"/>
              <w:spacing w:line="240" w:lineRule="auto" w:before="76"/>
              <w:ind w:right="20"/>
              <w:jc w:val="right"/>
              <w:rPr>
                <w:rFonts w:ascii="宋体" w:hAnsi="宋体" w:cs="宋体" w:eastAsia="宋体" w:hint="default"/>
                <w:sz w:val="18"/>
                <w:szCs w:val="18"/>
              </w:rPr>
            </w:pPr>
            <w:r>
              <w:rPr>
                <w:rFonts w:ascii="宋体"/>
                <w:sz w:val="18"/>
              </w:rPr>
              <w:t>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9,383,737.</w:t>
            </w:r>
          </w:p>
          <w:p>
            <w:pPr>
              <w:pStyle w:val="TableParagraph"/>
              <w:spacing w:line="240" w:lineRule="auto" w:before="76"/>
              <w:ind w:right="20"/>
              <w:jc w:val="right"/>
              <w:rPr>
                <w:rFonts w:ascii="宋体" w:hAnsi="宋体" w:cs="宋体" w:eastAsia="宋体" w:hint="default"/>
                <w:sz w:val="18"/>
                <w:szCs w:val="18"/>
              </w:rPr>
            </w:pPr>
            <w:r>
              <w:rPr>
                <w:rFonts w:ascii="宋体"/>
                <w:sz w:val="18"/>
              </w:rPr>
              <w:t>96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left"/>
              <w:rPr>
                <w:rFonts w:ascii="宋体" w:hAnsi="宋体" w:cs="宋体" w:eastAsia="宋体" w:hint="default"/>
                <w:sz w:val="18"/>
                <w:szCs w:val="18"/>
              </w:rPr>
            </w:pPr>
            <w:r>
              <w:rPr>
                <w:rFonts w:ascii="宋体"/>
                <w:sz w:val="18"/>
              </w:rPr>
              <w:t>1,000.00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-370,826.0</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-369,826.0</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r>
    </w:tbl>
    <w:p>
      <w:pPr>
        <w:spacing w:line="240" w:lineRule="auto" w:before="6"/>
        <w:rPr>
          <w:rFonts w:ascii="Times New Roman" w:hAnsi="Times New Roman" w:cs="Times New Roman" w:eastAsia="Times New Roman" w:hint="default"/>
          <w:sz w:val="7"/>
          <w:szCs w:val="7"/>
        </w:rPr>
      </w:pPr>
    </w:p>
    <w:p>
      <w:pPr>
        <w:pStyle w:val="BodyText"/>
        <w:spacing w:line="240" w:lineRule="auto" w:before="44"/>
        <w:ind w:right="0"/>
        <w:jc w:val="left"/>
      </w:pPr>
      <w:r>
        <w:rPr/>
        <w:pict>
          <v:shape style="position:absolute;margin-left:210.016998pt;margin-top:-200.528275pt;width:80.4pt;height:113.25pt;mso-position-horizontal-relative:page;mso-position-vertical-relative:paragraph;z-index:-9048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软件、</w:t>
                  </w:r>
                </w:p>
              </w:txbxContent>
            </v:textbox>
            <w10:wrap type="none"/>
          </v:shape>
        </w:pict>
      </w:r>
      <w:r>
        <w:rPr/>
        <w:pict>
          <v:group style="position:absolute;margin-left:234.139999pt;margin-top:-568.368286pt;width:56.25pt;height:481.1pt;mso-position-horizontal-relative:page;mso-position-vertical-relative:paragraph;z-index:-904864" coordorigin="4683,-11367" coordsize="1125,9622">
            <v:group style="position:absolute;left:4683;top:-11367;width:1125;height:4137" coordorigin="4683,-11367" coordsize="1125,4137">
              <v:shape style="position:absolute;left:4683;top:-11367;width:1125;height:4137" coordorigin="4683,-11367" coordsize="1125,4137" path="m4683,-7231l5808,-7231,5808,-11367,4683,-11367,4683,-7231xe" filled="true" fillcolor="#ffffff" stroked="false">
                <v:path arrowok="t"/>
                <v:fill type="solid"/>
              </v:shape>
            </v:group>
            <v:group style="position:absolute;left:4707;top:-9495;width:1078;height:393" coordorigin="4707,-9495" coordsize="1078,393">
              <v:shape style="position:absolute;left:4707;top:-9495;width:1078;height:393" coordorigin="4707,-9495" coordsize="1078,393" path="m4707,-9103l5785,-9103,5785,-9495,4707,-9495,4707,-9103xe" filled="true" fillcolor="#ffffff" stroked="false">
                <v:path arrowok="t"/>
                <v:fill type="solid"/>
              </v:shape>
            </v:group>
            <v:group style="position:absolute;left:4683;top:-7221;width:1125;height:3201" coordorigin="4683,-7221" coordsize="1125,3201">
              <v:shape style="position:absolute;left:4683;top:-7221;width:1125;height:3201" coordorigin="4683,-7221" coordsize="1125,3201" path="m4683,-4020l5808,-4020,5808,-7221,4683,-7221,4683,-4020xe" filled="true" fillcolor="#ffffff" stroked="false">
                <v:path arrowok="t"/>
                <v:fill type="solid"/>
              </v:shape>
            </v:group>
            <v:group style="position:absolute;left:4707;top:-5817;width:1078;height:393" coordorigin="4707,-5817" coordsize="1078,393">
              <v:shape style="position:absolute;left:4707;top:-5817;width:1078;height:393" coordorigin="4707,-5817" coordsize="1078,393" path="m4707,-5425l5785,-5425,5785,-5817,4707,-5817,4707,-5425xe" filled="true" fillcolor="#ffffff" stroked="false">
                <v:path arrowok="t"/>
                <v:fill type="solid"/>
              </v:shape>
            </v:group>
            <v:group style="position:absolute;left:4683;top:-4011;width:1125;height:2265" coordorigin="4683,-4011" coordsize="1125,2265">
              <v:shape style="position:absolute;left:4683;top:-4011;width:1125;height:2265" coordorigin="4683,-4011" coordsize="1125,2265" path="m4683,-1746l5808,-1746,5808,-4011,4683,-4011,4683,-1746xe" filled="true" fillcolor="#ffffff" stroked="false">
                <v:path arrowok="t"/>
                <v:fill type="solid"/>
              </v:shape>
            </v:group>
            <v:group style="position:absolute;left:4707;top:-3075;width:1078;height:393" coordorigin="4707,-3075" coordsize="1078,393">
              <v:shape style="position:absolute;left:4707;top:-3075;width:1078;height:393" coordorigin="4707,-3075" coordsize="1078,393" path="m4707,-2682l5785,-2682,5785,-3075,4707,-3075,4707,-2682xe" filled="true" fillcolor="#ffffff" stroked="false">
                <v:path arrowok="t"/>
                <v:fill type="solid"/>
              </v:shape>
            </v:group>
            <w10:wrap type="none"/>
          </v:group>
        </w:pict>
      </w:r>
      <w:r>
        <w:rPr/>
        <w:t>主要子公司、参股公司情况说明</w:t>
      </w:r>
    </w:p>
    <w:p>
      <w:pPr>
        <w:spacing w:line="240" w:lineRule="auto" w:before="0"/>
        <w:rPr>
          <w:rFonts w:ascii="宋体" w:hAnsi="宋体" w:cs="宋体" w:eastAsia="宋体" w:hint="default"/>
          <w:sz w:val="15"/>
          <w:szCs w:val="15"/>
        </w:rPr>
      </w:pPr>
    </w:p>
    <w:p>
      <w:pPr>
        <w:pStyle w:val="BodyText"/>
        <w:spacing w:line="319" w:lineRule="auto"/>
        <w:ind w:right="0" w:firstLine="360"/>
        <w:jc w:val="left"/>
      </w:pPr>
      <w:r>
        <w:rPr>
          <w:spacing w:val="-2"/>
        </w:rPr>
        <w:t>报告期内，公司拥有</w:t>
      </w:r>
      <w:r>
        <w:rPr>
          <w:rFonts w:ascii="宋体" w:hAnsi="宋体" w:cs="宋体" w:eastAsia="宋体" w:hint="default"/>
          <w:spacing w:val="-2"/>
        </w:rPr>
        <w:t>29</w:t>
      </w:r>
      <w:r>
        <w:rPr>
          <w:spacing w:val="-2"/>
        </w:rPr>
        <w:t>家子公司，其中通过设立或投资方式取得的子公司</w:t>
      </w:r>
      <w:r>
        <w:rPr>
          <w:rFonts w:ascii="宋体" w:hAnsi="宋体" w:cs="宋体" w:eastAsia="宋体" w:hint="default"/>
          <w:spacing w:val="-2"/>
        </w:rPr>
        <w:t>23</w:t>
      </w:r>
      <w:r>
        <w:rPr>
          <w:spacing w:val="-2"/>
        </w:rPr>
        <w:t>家，通过非同一控制下企业合并取得的子公</w:t>
      </w:r>
      <w:r>
        <w:rPr/>
        <w:t> 司</w:t>
      </w:r>
      <w:r>
        <w:rPr>
          <w:rFonts w:ascii="宋体" w:hAnsi="宋体" w:cs="宋体" w:eastAsia="宋体" w:hint="default"/>
        </w:rPr>
        <w:t>6</w:t>
      </w:r>
      <w:r>
        <w:rPr/>
        <w:t>家，参股公司</w:t>
      </w:r>
      <w:r>
        <w:rPr>
          <w:rFonts w:ascii="宋体" w:hAnsi="宋体" w:cs="宋体" w:eastAsia="宋体" w:hint="default"/>
        </w:rPr>
        <w:t>4</w:t>
      </w:r>
      <w:r>
        <w:rPr/>
        <w:t>家。</w:t>
      </w:r>
    </w:p>
    <w:p>
      <w:pPr>
        <w:pStyle w:val="BodyText"/>
        <w:spacing w:line="316" w:lineRule="auto" w:before="137"/>
        <w:ind w:right="142" w:firstLine="360"/>
        <w:jc w:val="left"/>
      </w:pPr>
      <w:r>
        <w:rPr/>
        <w:t>（</w:t>
      </w:r>
      <w:r>
        <w:rPr>
          <w:rFonts w:ascii="宋体" w:hAnsi="宋体" w:cs="宋体" w:eastAsia="宋体" w:hint="default"/>
        </w:rPr>
        <w:t>1</w:t>
      </w:r>
      <w:r>
        <w:rPr/>
        <w:t>）北京联银通科技有限公司，成立于</w:t>
      </w:r>
      <w:r>
        <w:rPr>
          <w:rFonts w:ascii="宋体" w:hAnsi="宋体" w:cs="宋体" w:eastAsia="宋体" w:hint="default"/>
        </w:rPr>
        <w:t>2000</w:t>
      </w:r>
      <w:r>
        <w:rPr/>
        <w:t>年</w:t>
      </w:r>
      <w:r>
        <w:rPr>
          <w:rFonts w:ascii="宋体" w:hAnsi="宋体" w:cs="宋体" w:eastAsia="宋体" w:hint="default"/>
        </w:rPr>
        <w:t>2</w:t>
      </w:r>
      <w:r>
        <w:rPr/>
        <w:t>月</w:t>
      </w:r>
      <w:r>
        <w:rPr>
          <w:rFonts w:ascii="宋体" w:hAnsi="宋体" w:cs="宋体" w:eastAsia="宋体" w:hint="default"/>
        </w:rPr>
        <w:t>1</w:t>
      </w:r>
      <w:r>
        <w:rPr/>
        <w:t>日，注册资本：</w:t>
      </w:r>
      <w:r>
        <w:rPr>
          <w:rFonts w:ascii="宋体" w:hAnsi="宋体" w:cs="宋体" w:eastAsia="宋体" w:hint="default"/>
        </w:rPr>
        <w:t>10,000</w:t>
      </w:r>
      <w:r>
        <w:rPr/>
        <w:t>万元，注册地点：北京市，经营范围：金融 行业软件开发和信息系统集成及相关服务业务。</w:t>
      </w:r>
    </w:p>
    <w:p>
      <w:pPr>
        <w:spacing w:after="0" w:line="316"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87" w:firstLine="360"/>
        <w:jc w:val="left"/>
      </w:pPr>
      <w:r>
        <w:rPr/>
        <w:t>（</w:t>
      </w:r>
      <w:r>
        <w:rPr>
          <w:rFonts w:ascii="宋体" w:hAnsi="宋体" w:cs="宋体" w:eastAsia="宋体" w:hint="default"/>
        </w:rPr>
        <w:t>2</w:t>
      </w:r>
      <w:r>
        <w:rPr/>
        <w:t>）北京东华合创科技有限公司，成立于</w:t>
      </w:r>
      <w:r>
        <w:rPr>
          <w:rFonts w:ascii="宋体" w:hAnsi="宋体" w:cs="宋体" w:eastAsia="宋体" w:hint="default"/>
        </w:rPr>
        <w:t>2006</w:t>
      </w:r>
      <w:r>
        <w:rPr/>
        <w:t>年</w:t>
      </w:r>
      <w:r>
        <w:rPr>
          <w:rFonts w:ascii="宋体" w:hAnsi="宋体" w:cs="宋体" w:eastAsia="宋体" w:hint="default"/>
        </w:rPr>
        <w:t>10</w:t>
      </w:r>
      <w:r>
        <w:rPr/>
        <w:t>月</w:t>
      </w:r>
      <w:r>
        <w:rPr>
          <w:rFonts w:ascii="宋体" w:hAnsi="宋体" w:cs="宋体" w:eastAsia="宋体" w:hint="default"/>
        </w:rPr>
        <w:t>13</w:t>
      </w:r>
      <w:r>
        <w:rPr/>
        <w:t>日，注册资本</w:t>
      </w:r>
      <w:r>
        <w:rPr>
          <w:rFonts w:ascii="宋体" w:hAnsi="宋体" w:cs="宋体" w:eastAsia="宋体" w:hint="default"/>
        </w:rPr>
        <w:t>20,000</w:t>
      </w:r>
      <w:r>
        <w:rPr/>
        <w:t>万元，注册地点：北京市，经营范围：技 </w:t>
      </w:r>
      <w:r>
        <w:rPr>
          <w:spacing w:val="-4"/>
        </w:rPr>
        <w:t>术开发，技术推广，技术转让，技术咨询，技术服务；生产、加工计算机软硬件；计算机系统服务，数据处理，计算机维修，</w:t>
      </w:r>
      <w:r>
        <w:rPr>
          <w:spacing w:val="-50"/>
        </w:rPr>
        <w:t> </w:t>
      </w:r>
      <w:r>
        <w:rPr>
          <w:spacing w:val="-50"/>
        </w:rPr>
      </w:r>
      <w:r>
        <w:rPr/>
        <w:t>计算机咨询；软件服务；销售计算机及附注设备；计算机、通讯设备租赁；货物进出口，代理进出口。</w:t>
      </w:r>
    </w:p>
    <w:p>
      <w:pPr>
        <w:pStyle w:val="BodyText"/>
        <w:spacing w:line="319" w:lineRule="auto" w:before="139"/>
        <w:ind w:right="87" w:firstLine="360"/>
        <w:jc w:val="left"/>
      </w:pPr>
      <w:r>
        <w:rPr>
          <w:spacing w:val="-2"/>
        </w:rPr>
        <w:t>（</w:t>
      </w:r>
      <w:r>
        <w:rPr>
          <w:rFonts w:ascii="宋体" w:hAnsi="宋体" w:cs="宋体" w:eastAsia="宋体" w:hint="default"/>
          <w:spacing w:val="-2"/>
        </w:rPr>
        <w:t>3</w:t>
      </w:r>
      <w:r>
        <w:rPr>
          <w:spacing w:val="-2"/>
        </w:rPr>
        <w:t>）广州东华合创数码科技有限公司，成立于</w:t>
      </w:r>
      <w:r>
        <w:rPr>
          <w:rFonts w:ascii="宋体" w:hAnsi="宋体" w:cs="宋体" w:eastAsia="宋体" w:hint="default"/>
          <w:spacing w:val="-2"/>
        </w:rPr>
        <w:t>2001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日，注册资本：</w:t>
      </w:r>
      <w:r>
        <w:rPr>
          <w:rFonts w:ascii="宋体" w:hAnsi="宋体" w:cs="宋体" w:eastAsia="宋体" w:hint="default"/>
          <w:spacing w:val="-2"/>
        </w:rPr>
        <w:t>100</w:t>
      </w:r>
      <w:r>
        <w:rPr>
          <w:spacing w:val="-2"/>
        </w:rPr>
        <w:t>万元，注册地点：广东省广州市，经营范</w:t>
      </w:r>
      <w:r>
        <w:rPr/>
        <w:t> 围：计算机技术开发、转让、咨询；销售计算机软硬件及外围设备的销售业务。</w:t>
      </w:r>
    </w:p>
    <w:p>
      <w:pPr>
        <w:pStyle w:val="BodyText"/>
        <w:spacing w:line="316" w:lineRule="auto" w:before="137"/>
        <w:ind w:right="87" w:firstLine="360"/>
        <w:jc w:val="left"/>
      </w:pPr>
      <w:r>
        <w:rPr/>
        <w:t>（</w:t>
      </w:r>
      <w:r>
        <w:rPr>
          <w:rFonts w:ascii="宋体" w:hAnsi="宋体" w:cs="宋体" w:eastAsia="宋体" w:hint="default"/>
        </w:rPr>
        <w:t>4</w:t>
      </w:r>
      <w:r>
        <w:rPr/>
        <w:t>）泰安东华合创软件有限公司，成立于</w:t>
      </w: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25</w:t>
      </w:r>
      <w:r>
        <w:rPr/>
        <w:t>日，注册资本：</w:t>
      </w:r>
      <w:r>
        <w:rPr>
          <w:rFonts w:ascii="宋体" w:hAnsi="宋体" w:cs="宋体" w:eastAsia="宋体" w:hint="default"/>
        </w:rPr>
        <w:t>3,800</w:t>
      </w:r>
      <w:r>
        <w:rPr/>
        <w:t>万元，注册地点：山东省泰安市，经营范 围：机电设备的设计、制造、销售</w:t>
      </w:r>
      <w:r>
        <w:rPr>
          <w:rFonts w:ascii="宋体" w:hAnsi="宋体" w:cs="宋体" w:eastAsia="宋体" w:hint="default"/>
        </w:rPr>
        <w:t>;</w:t>
      </w:r>
      <w:r>
        <w:rPr/>
        <w:t>计算机技术的开发、生产、销售、转让、培训；软件外包；开发、生产、销售计算机软</w:t>
      </w:r>
      <w:r>
        <w:rPr>
          <w:spacing w:val="-83"/>
        </w:rPr>
        <w:t> </w:t>
      </w:r>
      <w:r>
        <w:rPr>
          <w:spacing w:val="-83"/>
        </w:rPr>
      </w:r>
      <w:r>
        <w:rPr>
          <w:spacing w:val="-4"/>
        </w:rPr>
        <w:t>硬件及外围设备；承接计算机网络工程；工业自动化控制系统工程</w:t>
      </w:r>
      <w:r>
        <w:rPr>
          <w:rFonts w:ascii="宋体" w:hAnsi="宋体" w:cs="宋体" w:eastAsia="宋体" w:hint="default"/>
          <w:spacing w:val="-4"/>
        </w:rPr>
        <w:t>;</w:t>
      </w:r>
      <w:r>
        <w:rPr>
          <w:spacing w:val="-4"/>
        </w:rPr>
        <w:t>开发电子商务系统</w:t>
      </w:r>
      <w:r>
        <w:rPr>
          <w:rFonts w:ascii="宋体" w:hAnsi="宋体" w:cs="宋体" w:eastAsia="宋体" w:hint="default"/>
          <w:spacing w:val="-4"/>
        </w:rPr>
        <w:t>;</w:t>
      </w:r>
      <w:r>
        <w:rPr>
          <w:spacing w:val="-4"/>
        </w:rPr>
        <w:t>自营和代理各类商品及技术的进出口，</w:t>
      </w:r>
      <w:r>
        <w:rPr>
          <w:spacing w:val="-39"/>
        </w:rPr>
        <w:t> </w:t>
      </w:r>
      <w:r>
        <w:rPr/>
        <w:t>但国家限定公司经营或禁止进出口的商品和技术除外。</w:t>
      </w:r>
    </w:p>
    <w:p>
      <w:pPr>
        <w:pStyle w:val="BodyText"/>
        <w:spacing w:line="316" w:lineRule="auto" w:before="139"/>
        <w:ind w:right="87" w:firstLine="360"/>
        <w:jc w:val="left"/>
      </w:pPr>
      <w:r>
        <w:rPr>
          <w:spacing w:val="-2"/>
        </w:rPr>
        <w:t>（</w:t>
      </w:r>
      <w:r>
        <w:rPr>
          <w:rFonts w:ascii="宋体" w:hAnsi="宋体" w:cs="宋体" w:eastAsia="宋体" w:hint="default"/>
          <w:spacing w:val="-2"/>
        </w:rPr>
        <w:t>5</w:t>
      </w:r>
      <w:r>
        <w:rPr>
          <w:spacing w:val="-2"/>
        </w:rPr>
        <w:t>）北京东华合创香港有限公司，成立于</w:t>
      </w:r>
      <w:r>
        <w:rPr>
          <w:rFonts w:ascii="宋体" w:hAnsi="宋体" w:cs="宋体" w:eastAsia="宋体" w:hint="default"/>
          <w:spacing w:val="-2"/>
        </w:rPr>
        <w:t>2008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w:t>
      </w:r>
      <w:r>
        <w:rPr>
          <w:spacing w:val="-2"/>
        </w:rPr>
        <w:t>日，注册资本：</w:t>
      </w:r>
      <w:r>
        <w:rPr>
          <w:rFonts w:ascii="宋体" w:hAnsi="宋体" w:cs="宋体" w:eastAsia="宋体" w:hint="default"/>
          <w:spacing w:val="-2"/>
        </w:rPr>
        <w:t>1,000</w:t>
      </w:r>
      <w:r>
        <w:rPr>
          <w:spacing w:val="-2"/>
        </w:rPr>
        <w:t>万港元，注册地点：香港，主要负责代理母</w:t>
      </w:r>
      <w:r>
        <w:rPr/>
        <w:t> 公司进口设备等业务。</w:t>
      </w:r>
    </w:p>
    <w:p>
      <w:pPr>
        <w:pStyle w:val="BodyText"/>
        <w:spacing w:line="316" w:lineRule="auto" w:before="139"/>
        <w:ind w:right="87" w:firstLine="360"/>
        <w:jc w:val="left"/>
      </w:pPr>
      <w:r>
        <w:rPr>
          <w:spacing w:val="-2"/>
        </w:rPr>
        <w:t>（</w:t>
      </w:r>
      <w:r>
        <w:rPr>
          <w:rFonts w:ascii="宋体" w:hAnsi="宋体" w:cs="宋体" w:eastAsia="宋体" w:hint="default"/>
          <w:spacing w:val="-2"/>
        </w:rPr>
        <w:t>6</w:t>
      </w:r>
      <w:r>
        <w:rPr>
          <w:spacing w:val="-2"/>
        </w:rPr>
        <w:t>）北京厚盾科技有限公司，成立于</w:t>
      </w:r>
      <w:r>
        <w:rPr>
          <w:rFonts w:ascii="宋体" w:hAnsi="宋体" w:cs="宋体" w:eastAsia="宋体" w:hint="default"/>
          <w:spacing w:val="-2"/>
        </w:rPr>
        <w:t>2003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日，注册资本：</w:t>
      </w:r>
      <w:r>
        <w:rPr>
          <w:rFonts w:ascii="宋体" w:hAnsi="宋体" w:cs="宋体" w:eastAsia="宋体" w:hint="default"/>
          <w:spacing w:val="-2"/>
        </w:rPr>
        <w:t>500</w:t>
      </w:r>
      <w:r>
        <w:rPr>
          <w:spacing w:val="-2"/>
        </w:rPr>
        <w:t>万元，注册地点：北京市，经营范围：技术开发、</w:t>
      </w:r>
      <w:r>
        <w:rPr/>
        <w:t> 技术咨询、技术服务、技术转让；销售自行开发后的产品；计算机系统服务。</w:t>
      </w:r>
    </w:p>
    <w:p>
      <w:pPr>
        <w:pStyle w:val="BodyText"/>
        <w:spacing w:line="316" w:lineRule="auto" w:before="139"/>
        <w:ind w:right="110" w:firstLine="360"/>
        <w:jc w:val="both"/>
      </w:pPr>
      <w:r>
        <w:rPr/>
        <w:t>（</w:t>
      </w:r>
      <w:r>
        <w:rPr>
          <w:rFonts w:ascii="宋体" w:hAnsi="宋体" w:cs="宋体" w:eastAsia="宋体" w:hint="default"/>
        </w:rPr>
        <w:t>7</w:t>
      </w:r>
      <w:r>
        <w:rPr/>
        <w:t>）东华软件工程有限公司，成立于</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16</w:t>
      </w:r>
      <w:r>
        <w:rPr/>
        <w:t>日，注册资本：</w:t>
      </w:r>
      <w:r>
        <w:rPr>
          <w:rFonts w:ascii="宋体" w:hAnsi="宋体" w:cs="宋体" w:eastAsia="宋体" w:hint="default"/>
        </w:rPr>
        <w:t>10,000</w:t>
      </w:r>
      <w:r>
        <w:rPr/>
        <w:t>万元，注册地点：安徽省马鞍山市，经营范 </w:t>
      </w:r>
      <w:r>
        <w:rPr>
          <w:spacing w:val="-2"/>
        </w:rPr>
        <w:t>围：计算机应用软件开发、服务及销售、代理软件产品销售及服务，信息系统集成和服务，计算机和网络信息系统相关硬件</w:t>
      </w:r>
      <w:r>
        <w:rPr>
          <w:spacing w:val="-66"/>
        </w:rPr>
        <w:t> </w:t>
      </w:r>
      <w:r>
        <w:rPr>
          <w:spacing w:val="-66"/>
        </w:rPr>
      </w:r>
      <w:r>
        <w:rPr/>
        <w:t>产品的研制、开发、销售及维护服务，自动控制系统、监控系统、弱电工程、容灾系统的研制、开发、销售、施工及服务。</w:t>
      </w:r>
    </w:p>
    <w:p>
      <w:pPr>
        <w:pStyle w:val="BodyText"/>
        <w:spacing w:line="316" w:lineRule="auto" w:before="139"/>
        <w:ind w:right="89" w:firstLine="360"/>
        <w:jc w:val="left"/>
      </w:pPr>
      <w:r>
        <w:rPr>
          <w:spacing w:val="-3"/>
        </w:rPr>
        <w:t>（</w:t>
      </w:r>
      <w:r>
        <w:rPr>
          <w:rFonts w:ascii="宋体" w:hAnsi="宋体" w:cs="宋体" w:eastAsia="宋体" w:hint="default"/>
          <w:spacing w:val="-3"/>
        </w:rPr>
        <w:t>8</w:t>
      </w:r>
      <w:r>
        <w:rPr>
          <w:spacing w:val="-3"/>
        </w:rPr>
        <w:t>）哈尔滨东华软件有限公司，成立于</w:t>
      </w:r>
      <w:r>
        <w:rPr>
          <w:rFonts w:ascii="宋体" w:hAnsi="宋体" w:cs="宋体" w:eastAsia="宋体" w:hint="default"/>
          <w:spacing w:val="-3"/>
        </w:rPr>
        <w:t>2010</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6</w:t>
      </w:r>
      <w:r>
        <w:rPr>
          <w:spacing w:val="-3"/>
        </w:rPr>
        <w:t>日，注册资本</w:t>
      </w:r>
      <w:r>
        <w:rPr>
          <w:rFonts w:ascii="宋体" w:hAnsi="宋体" w:cs="宋体" w:eastAsia="宋体" w:hint="default"/>
          <w:spacing w:val="-3"/>
        </w:rPr>
        <w:t>2,000</w:t>
      </w:r>
      <w:r>
        <w:rPr>
          <w:spacing w:val="-3"/>
        </w:rPr>
        <w:t>万元，注册地点：黑龙江省哈尔滨市，经营范围：</w:t>
      </w:r>
      <w:r>
        <w:rPr/>
        <w:t> 计算机软硬件技术开发、技术服务及相关产品销售；计算机系统集成及技术服务；网络工程、弱电工程的设计、施工。</w:t>
      </w:r>
    </w:p>
    <w:p>
      <w:pPr>
        <w:pStyle w:val="BodyText"/>
        <w:spacing w:line="319" w:lineRule="auto" w:before="139"/>
        <w:ind w:right="110" w:firstLine="360"/>
        <w:jc w:val="both"/>
      </w:pPr>
      <w:r>
        <w:rPr/>
        <w:t>（</w:t>
      </w:r>
      <w:r>
        <w:rPr>
          <w:rFonts w:ascii="宋体" w:hAnsi="宋体" w:cs="宋体" w:eastAsia="宋体" w:hint="default"/>
        </w:rPr>
        <w:t>9</w:t>
      </w:r>
      <w:r>
        <w:rPr/>
        <w:t>）东华合创软件有限公司，成立于</w:t>
      </w:r>
      <w:r>
        <w:rPr>
          <w:rFonts w:ascii="宋体" w:hAnsi="宋体" w:cs="宋体" w:eastAsia="宋体" w:hint="default"/>
        </w:rPr>
        <w:t>2010</w:t>
      </w:r>
      <w:r>
        <w:rPr/>
        <w:t>年</w:t>
      </w:r>
      <w:r>
        <w:rPr>
          <w:rFonts w:ascii="宋体" w:hAnsi="宋体" w:cs="宋体" w:eastAsia="宋体" w:hint="default"/>
        </w:rPr>
        <w:t>1</w:t>
      </w:r>
      <w:r>
        <w:rPr/>
        <w:t>月</w:t>
      </w:r>
      <w:r>
        <w:rPr>
          <w:rFonts w:ascii="宋体" w:hAnsi="宋体" w:cs="宋体" w:eastAsia="宋体" w:hint="default"/>
        </w:rPr>
        <w:t>15</w:t>
      </w:r>
      <w:r>
        <w:rPr/>
        <w:t>日，注册资本：</w:t>
      </w:r>
      <w:r>
        <w:rPr>
          <w:rFonts w:ascii="宋体" w:hAnsi="宋体" w:cs="宋体" w:eastAsia="宋体" w:hint="default"/>
        </w:rPr>
        <w:t>5,000</w:t>
      </w:r>
      <w:r>
        <w:rPr/>
        <w:t>万元，注册地点：天津市，经营范围：软件制 </w:t>
      </w:r>
      <w:r>
        <w:rPr>
          <w:spacing w:val="-2"/>
        </w:rPr>
        <w:t>作；机电一体化，软件技术开发、咨询、服务、转让；计算机系统集成；计算机及外围设备、机械设备、电器设备的批发兼</w:t>
      </w:r>
      <w:r>
        <w:rPr>
          <w:spacing w:val="-69"/>
        </w:rPr>
        <w:t> </w:t>
      </w:r>
      <w:r>
        <w:rPr>
          <w:spacing w:val="-69"/>
        </w:rPr>
      </w:r>
      <w:r>
        <w:rPr/>
        <w:t>零售；安全技术防范工程设计、施工；楼宇智能化工程设计、施工；楼宇智能化工程设计、施工；货物和技术进出口业务。</w:t>
      </w:r>
    </w:p>
    <w:p>
      <w:pPr>
        <w:pStyle w:val="BodyText"/>
        <w:spacing w:line="316" w:lineRule="auto" w:before="137"/>
        <w:ind w:right="190" w:firstLine="360"/>
        <w:jc w:val="both"/>
      </w:pPr>
      <w:r>
        <w:rPr/>
        <w:t>（</w:t>
      </w:r>
      <w:r>
        <w:rPr>
          <w:rFonts w:ascii="宋体" w:hAnsi="宋体" w:cs="宋体" w:eastAsia="宋体" w:hint="default"/>
        </w:rPr>
        <w:t>10</w:t>
      </w:r>
      <w:r>
        <w:rPr/>
        <w:t>）东华软件技术有限公司，成立于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7</w:t>
      </w:r>
      <w:r>
        <w:rPr/>
        <w:t>日，注册资本：</w:t>
      </w:r>
      <w:r>
        <w:rPr>
          <w:rFonts w:ascii="宋体" w:hAnsi="宋体" w:cs="宋体" w:eastAsia="宋体" w:hint="default"/>
        </w:rPr>
        <w:t>5,000</w:t>
      </w:r>
      <w:r>
        <w:rPr/>
        <w:t>万元，注册地点：江苏省南京市，经营范围： </w:t>
      </w:r>
      <w:r>
        <w:rPr>
          <w:spacing w:val="-2"/>
        </w:rPr>
        <w:t>计算机、自动化、网络通讯系统及软硬件产品的研发、销售、系统集成、维修、咨询服务；智能交通、智能建筑、机电一体</w:t>
      </w:r>
      <w:r>
        <w:rPr>
          <w:spacing w:val="-69"/>
        </w:rPr>
        <w:t> </w:t>
      </w:r>
      <w:r>
        <w:rPr>
          <w:spacing w:val="-69"/>
        </w:rPr>
      </w:r>
      <w:r>
        <w:rPr/>
        <w:t>化系统及产品的研发、销售、施工。</w:t>
      </w:r>
    </w:p>
    <w:p>
      <w:pPr>
        <w:pStyle w:val="BodyText"/>
        <w:spacing w:line="316" w:lineRule="auto" w:before="139"/>
        <w:ind w:right="92" w:firstLine="360"/>
        <w:jc w:val="left"/>
      </w:pPr>
      <w:r>
        <w:rPr/>
        <w:t>（</w:t>
      </w:r>
      <w:r>
        <w:rPr>
          <w:rFonts w:ascii="宋体" w:hAnsi="宋体" w:cs="宋体" w:eastAsia="宋体" w:hint="default"/>
        </w:rPr>
        <w:t>11</w:t>
      </w:r>
      <w:r>
        <w:rPr/>
        <w:t>）东华合创科技有限公司，成立于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23</w:t>
      </w:r>
      <w:r>
        <w:rPr/>
        <w:t>日，注册资本：</w:t>
      </w:r>
      <w:r>
        <w:rPr>
          <w:rFonts w:ascii="宋体" w:hAnsi="宋体" w:cs="宋体" w:eastAsia="宋体" w:hint="default"/>
        </w:rPr>
        <w:t>5,000</w:t>
      </w:r>
      <w:r>
        <w:rPr/>
        <w:t>万元，注册地点：安徽省合肥市，经营范围： </w:t>
      </w:r>
      <w:r>
        <w:rPr>
          <w:spacing w:val="-2"/>
        </w:rPr>
        <w:t>计算机、自动化、网络通讯系统及软硬件产品的研究、设计、开发、外包、维修、咨询服务，系统集成；智能交通、智能建</w:t>
      </w:r>
      <w:r>
        <w:rPr>
          <w:spacing w:val="-71"/>
        </w:rPr>
        <w:t> </w:t>
      </w:r>
      <w:r>
        <w:rPr>
          <w:spacing w:val="-71"/>
        </w:rPr>
      </w:r>
      <w:r>
        <w:rPr>
          <w:spacing w:val="-4"/>
        </w:rPr>
        <w:t>筑、机电一体化系统及产品的研究、设计、开发、销售、施工、服务，公共安全防范工程、信息系统安全工程的设计、施工、</w:t>
      </w:r>
      <w:r>
        <w:rPr>
          <w:spacing w:val="-50"/>
        </w:rPr>
        <w:t> </w:t>
      </w:r>
      <w:r>
        <w:rPr>
          <w:spacing w:val="-50"/>
        </w:rPr>
      </w:r>
      <w:r>
        <w:rPr/>
        <w:t>服务。</w:t>
      </w:r>
    </w:p>
    <w:p>
      <w:pPr>
        <w:pStyle w:val="BodyText"/>
        <w:spacing w:line="316" w:lineRule="auto" w:before="139"/>
        <w:ind w:right="87" w:firstLine="360"/>
        <w:jc w:val="left"/>
      </w:pPr>
      <w:r>
        <w:rPr>
          <w:spacing w:val="-2"/>
        </w:rPr>
        <w:t>（</w:t>
      </w:r>
      <w:r>
        <w:rPr>
          <w:rFonts w:ascii="宋体" w:hAnsi="宋体" w:cs="宋体" w:eastAsia="宋体" w:hint="default"/>
          <w:spacing w:val="-2"/>
        </w:rPr>
        <w:t>12</w:t>
      </w:r>
      <w:r>
        <w:rPr>
          <w:spacing w:val="-2"/>
        </w:rPr>
        <w:t>）北京东华厚盾软件有限公司，成立于</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22</w:t>
      </w:r>
      <w:r>
        <w:rPr>
          <w:spacing w:val="-2"/>
        </w:rPr>
        <w:t>日，注册资本：</w:t>
      </w:r>
      <w:r>
        <w:rPr>
          <w:rFonts w:ascii="宋体" w:hAnsi="宋体" w:cs="宋体" w:eastAsia="宋体" w:hint="default"/>
          <w:spacing w:val="-2"/>
        </w:rPr>
        <w:t>1,000</w:t>
      </w:r>
      <w:r>
        <w:rPr>
          <w:spacing w:val="-2"/>
        </w:rPr>
        <w:t>万元，注册地点：北京市，经营范围：应</w:t>
      </w:r>
      <w:r>
        <w:rPr/>
        <w:t> </w:t>
      </w:r>
      <w:r>
        <w:rPr>
          <w:spacing w:val="-4"/>
        </w:rPr>
        <w:t>用软件服务；货物进出口；技术进出口；代理进出口；销售计算机软硬件及外围设备（不含计算机信息系统安全专用产品）；</w:t>
      </w:r>
      <w:r>
        <w:rPr>
          <w:spacing w:val="-44"/>
        </w:rPr>
        <w:t> </w:t>
      </w:r>
      <w:r>
        <w:rPr>
          <w:spacing w:val="-44"/>
        </w:rPr>
      </w:r>
      <w:r>
        <w:rPr/>
        <w:t>技术开发；技术咨询；技术服务；技术转让；计算机系统设计、集成。</w:t>
      </w:r>
    </w:p>
    <w:p>
      <w:pPr>
        <w:pStyle w:val="BodyText"/>
        <w:spacing w:line="316" w:lineRule="auto" w:before="139"/>
        <w:ind w:right="192" w:firstLine="360"/>
        <w:jc w:val="both"/>
      </w:pPr>
      <w:r>
        <w:rPr>
          <w:spacing w:val="-2"/>
        </w:rPr>
        <w:t>（</w:t>
      </w:r>
      <w:r>
        <w:rPr>
          <w:rFonts w:ascii="宋体" w:hAnsi="宋体" w:cs="宋体" w:eastAsia="宋体" w:hint="default"/>
          <w:spacing w:val="-2"/>
        </w:rPr>
        <w:t>13</w:t>
      </w:r>
      <w:r>
        <w:rPr>
          <w:spacing w:val="-2"/>
        </w:rPr>
        <w:t>）北京东华易时科技有限公司，成立于</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11</w:t>
      </w:r>
      <w:r>
        <w:rPr>
          <w:spacing w:val="-2"/>
        </w:rPr>
        <w:t>日，注册资本：</w:t>
      </w:r>
      <w:r>
        <w:rPr>
          <w:rFonts w:ascii="宋体" w:hAnsi="宋体" w:cs="宋体" w:eastAsia="宋体" w:hint="default"/>
          <w:spacing w:val="-2"/>
        </w:rPr>
        <w:t>2,000</w:t>
      </w:r>
      <w:r>
        <w:rPr>
          <w:spacing w:val="-2"/>
        </w:rPr>
        <w:t>万元，注册地点：北京市，经营范围：技</w:t>
      </w:r>
      <w:r>
        <w:rPr/>
        <w:t> </w:t>
      </w:r>
      <w:r>
        <w:rPr>
          <w:spacing w:val="-2"/>
        </w:rPr>
        <w:t>术开发、技术咨询、技术转让、技术服务；货物进出口、技术进出口、代理进出口；销售计算机软硬件及外围设备（不含计</w:t>
      </w:r>
      <w:r>
        <w:rPr>
          <w:spacing w:val="-67"/>
        </w:rPr>
        <w:t> </w:t>
      </w:r>
      <w:r>
        <w:rPr>
          <w:spacing w:val="-67"/>
        </w:rPr>
      </w:r>
      <w:r>
        <w:rPr/>
        <w:t>算机信息系统安全专用产品）、机械设备、五金交电、通信终端设备；安装机械设备；工程项目管理；计算机系统集成。</w:t>
      </w:r>
    </w:p>
    <w:p>
      <w:pPr>
        <w:pStyle w:val="BodyText"/>
        <w:spacing w:line="319" w:lineRule="auto" w:before="139"/>
        <w:ind w:right="92" w:firstLine="360"/>
        <w:jc w:val="left"/>
      </w:pPr>
      <w:r>
        <w:rPr/>
        <w:t>（</w:t>
      </w:r>
      <w:r>
        <w:rPr>
          <w:rFonts w:ascii="宋体" w:hAnsi="宋体" w:cs="宋体" w:eastAsia="宋体" w:hint="default"/>
        </w:rPr>
        <w:t>14</w:t>
      </w:r>
      <w:r>
        <w:rPr/>
        <w:t>）北京神州新桥科技有限公司，成立于</w:t>
      </w:r>
      <w:r>
        <w:rPr>
          <w:rFonts w:ascii="宋体" w:hAnsi="宋体" w:cs="宋体" w:eastAsia="宋体" w:hint="default"/>
        </w:rPr>
        <w:t>2001</w:t>
      </w:r>
      <w:r>
        <w:rPr/>
        <w:t>年</w:t>
      </w:r>
      <w:r>
        <w:rPr>
          <w:rFonts w:ascii="宋体" w:hAnsi="宋体" w:cs="宋体" w:eastAsia="宋体" w:hint="default"/>
        </w:rPr>
        <w:t>7</w:t>
      </w:r>
      <w:r>
        <w:rPr/>
        <w:t>月</w:t>
      </w:r>
      <w:r>
        <w:rPr>
          <w:rFonts w:ascii="宋体" w:hAnsi="宋体" w:cs="宋体" w:eastAsia="宋体" w:hint="default"/>
        </w:rPr>
        <w:t>30</w:t>
      </w:r>
      <w:r>
        <w:rPr/>
        <w:t>日，注册资本：</w:t>
      </w:r>
      <w:r>
        <w:rPr>
          <w:rFonts w:ascii="宋体" w:hAnsi="宋体" w:cs="宋体" w:eastAsia="宋体" w:hint="default"/>
        </w:rPr>
        <w:t>12,000</w:t>
      </w:r>
      <w:r>
        <w:rPr/>
        <w:t>万元，注册地点：北京市，经营范围： 技术开发、技术转让、技术咨询、技术服务；计算机系统服务；销售电子产品、计算机及辅助设备、机械设备、通讯设备。</w:t>
      </w:r>
    </w:p>
    <w:p>
      <w:pPr>
        <w:pStyle w:val="BodyText"/>
        <w:spacing w:line="240" w:lineRule="auto" w:before="137"/>
        <w:ind w:left="514" w:right="87"/>
        <w:jc w:val="left"/>
      </w:pPr>
      <w:r>
        <w:rPr/>
        <w:t>北京神州新桥科技有限公司系本公司</w:t>
      </w:r>
      <w:r>
        <w:rPr>
          <w:rFonts w:ascii="宋体" w:hAnsi="宋体" w:cs="宋体" w:eastAsia="宋体" w:hint="default"/>
        </w:rPr>
        <w:t>2011</w:t>
      </w:r>
      <w:r>
        <w:rPr/>
        <w:t>年</w:t>
      </w:r>
      <w:r>
        <w:rPr>
          <w:rFonts w:ascii="宋体" w:hAnsi="宋体" w:cs="宋体" w:eastAsia="宋体" w:hint="default"/>
        </w:rPr>
        <w:t>2</w:t>
      </w:r>
      <w:r>
        <w:rPr/>
        <w:t>月以发行股份购买的非同一控制下的子公司。</w:t>
      </w:r>
    </w:p>
    <w:p>
      <w:pPr>
        <w:spacing w:line="240" w:lineRule="auto" w:before="0"/>
        <w:rPr>
          <w:rFonts w:ascii="宋体" w:hAnsi="宋体" w:cs="宋体" w:eastAsia="宋体" w:hint="default"/>
          <w:sz w:val="15"/>
          <w:szCs w:val="15"/>
        </w:rPr>
      </w:pPr>
    </w:p>
    <w:p>
      <w:pPr>
        <w:pStyle w:val="BodyText"/>
        <w:spacing w:line="316" w:lineRule="auto"/>
        <w:ind w:right="182" w:firstLine="360"/>
        <w:jc w:val="left"/>
      </w:pPr>
      <w:r>
        <w:rPr/>
        <w:t>（</w:t>
      </w:r>
      <w:r>
        <w:rPr>
          <w:rFonts w:ascii="宋体" w:hAnsi="宋体" w:cs="宋体" w:eastAsia="宋体" w:hint="default"/>
        </w:rPr>
        <w:t>15</w:t>
      </w:r>
      <w:r>
        <w:rPr/>
        <w:t>）沈阳普林科技有限公司，成立于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3</w:t>
      </w:r>
      <w:r>
        <w:rPr/>
        <w:t>日，注册资本：</w:t>
      </w:r>
      <w:r>
        <w:rPr>
          <w:rFonts w:ascii="宋体" w:hAnsi="宋体" w:cs="宋体" w:eastAsia="宋体" w:hint="default"/>
        </w:rPr>
        <w:t>2,000</w:t>
      </w:r>
      <w:r>
        <w:rPr/>
        <w:t>万元，注册地点：辽宁省沈阳市，经营范围： </w:t>
      </w:r>
      <w:r>
        <w:rPr>
          <w:spacing w:val="-2"/>
        </w:rPr>
        <w:t>软件技术开发；应用软件服务；各类商品和技术的进出口业务；信息系统集成和服务；计算机、软件和计算机辅助设备、通</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信设备及配件销售。</w:t>
      </w:r>
    </w:p>
    <w:p>
      <w:pPr>
        <w:spacing w:line="240" w:lineRule="auto" w:before="0"/>
        <w:rPr>
          <w:rFonts w:ascii="宋体" w:hAnsi="宋体" w:cs="宋体" w:eastAsia="宋体" w:hint="default"/>
          <w:sz w:val="15"/>
          <w:szCs w:val="15"/>
        </w:rPr>
      </w:pPr>
    </w:p>
    <w:p>
      <w:pPr>
        <w:pStyle w:val="BodyText"/>
        <w:spacing w:line="316" w:lineRule="auto"/>
        <w:ind w:right="92" w:firstLine="360"/>
        <w:jc w:val="left"/>
      </w:pPr>
      <w:r>
        <w:rPr/>
        <w:t>（</w:t>
      </w:r>
      <w:r>
        <w:rPr>
          <w:rFonts w:ascii="宋体" w:hAnsi="宋体" w:cs="宋体" w:eastAsia="宋体" w:hint="default"/>
        </w:rPr>
        <w:t>16</w:t>
      </w:r>
      <w:r>
        <w:rPr/>
        <w:t>）西安东华软件有限公司，成立于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18</w:t>
      </w:r>
      <w:r>
        <w:rPr/>
        <w:t>日，注册资本：</w:t>
      </w:r>
      <w:r>
        <w:rPr>
          <w:rFonts w:ascii="宋体" w:hAnsi="宋体" w:cs="宋体" w:eastAsia="宋体" w:hint="default"/>
        </w:rPr>
        <w:t>5,000</w:t>
      </w:r>
      <w:r>
        <w:rPr/>
        <w:t>万元，注册地点：陕西省西安市，经营范围： </w:t>
      </w:r>
      <w:r>
        <w:rPr>
          <w:spacing w:val="-2"/>
        </w:rPr>
        <w:t>计算机、自动化、网络通讯系统及软硬件产品的研发、销售、集成、维修、咨询服务；智能交通、智能建筑、机电一体化系</w:t>
      </w:r>
      <w:r>
        <w:rPr>
          <w:spacing w:val="-69"/>
        </w:rPr>
        <w:t> </w:t>
      </w:r>
      <w:r>
        <w:rPr>
          <w:spacing w:val="-69"/>
        </w:rPr>
      </w:r>
      <w:r>
        <w:rPr/>
        <w:t>统及产品的研发、制造、销售、施工及服务。</w:t>
      </w:r>
    </w:p>
    <w:p>
      <w:pPr>
        <w:pStyle w:val="BodyText"/>
        <w:spacing w:line="316" w:lineRule="auto" w:before="139"/>
        <w:ind w:right="102" w:firstLine="360"/>
        <w:jc w:val="both"/>
      </w:pPr>
      <w:r>
        <w:rPr>
          <w:spacing w:val="-2"/>
        </w:rPr>
        <w:t>（</w:t>
      </w:r>
      <w:r>
        <w:rPr>
          <w:rFonts w:ascii="宋体" w:hAnsi="宋体" w:cs="宋体" w:eastAsia="宋体" w:hint="default"/>
          <w:spacing w:val="-2"/>
        </w:rPr>
        <w:t>17</w:t>
      </w:r>
      <w:r>
        <w:rPr>
          <w:spacing w:val="-2"/>
        </w:rPr>
        <w:t>）南昌东华软件有限公司，成立于</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日，注册资本：</w:t>
      </w:r>
      <w:r>
        <w:rPr>
          <w:rFonts w:ascii="宋体" w:hAnsi="宋体" w:cs="宋体" w:eastAsia="宋体" w:hint="default"/>
          <w:spacing w:val="-2"/>
        </w:rPr>
        <w:t>5,000</w:t>
      </w:r>
      <w:r>
        <w:rPr>
          <w:spacing w:val="-2"/>
        </w:rPr>
        <w:t>万元，注册地点：江西省南昌市，经营范围：</w:t>
      </w:r>
      <w:r>
        <w:rPr/>
        <w:t> 计算机软硬件产品研发、生产、销售；建筑智能化、机电一体化、智能交通系统的研发、销售；安防工程；信息系统集成； 网络通讯系统的研发、设计、维修、咨询服务。</w:t>
      </w:r>
    </w:p>
    <w:p>
      <w:pPr>
        <w:pStyle w:val="BodyText"/>
        <w:spacing w:line="316" w:lineRule="auto" w:before="139"/>
        <w:ind w:right="109" w:firstLine="360"/>
        <w:jc w:val="both"/>
      </w:pPr>
      <w:r>
        <w:rPr/>
        <w:t>（</w:t>
      </w:r>
      <w:r>
        <w:rPr>
          <w:rFonts w:ascii="宋体" w:hAnsi="宋体" w:cs="宋体" w:eastAsia="宋体" w:hint="default"/>
        </w:rPr>
        <w:t>18</w:t>
      </w:r>
      <w:r>
        <w:rPr/>
        <w:t>）山西东华软件有限公司，成立于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4</w:t>
      </w:r>
      <w:r>
        <w:rPr/>
        <w:t>日，注册资本：</w:t>
      </w:r>
      <w:r>
        <w:rPr>
          <w:rFonts w:ascii="宋体" w:hAnsi="宋体" w:cs="宋体" w:eastAsia="宋体" w:hint="default"/>
        </w:rPr>
        <w:t>5,000</w:t>
      </w:r>
      <w:r>
        <w:rPr/>
        <w:t>万元 ，注册地点：山西省太原市，经营范围： 计算机软件的开发；计算机系统集成。</w:t>
      </w:r>
    </w:p>
    <w:p>
      <w:pPr>
        <w:pStyle w:val="BodyText"/>
        <w:spacing w:line="316" w:lineRule="auto" w:before="139"/>
        <w:ind w:right="87" w:firstLine="360"/>
        <w:jc w:val="left"/>
      </w:pPr>
      <w:r>
        <w:rPr>
          <w:spacing w:val="-2"/>
        </w:rPr>
        <w:t>（</w:t>
      </w:r>
      <w:r>
        <w:rPr>
          <w:rFonts w:ascii="宋体" w:hAnsi="宋体" w:cs="宋体" w:eastAsia="宋体" w:hint="default"/>
          <w:spacing w:val="-2"/>
        </w:rPr>
        <w:t>19</w:t>
      </w:r>
      <w:r>
        <w:rPr>
          <w:spacing w:val="-2"/>
        </w:rPr>
        <w:t>）北京卓讯科信技术有限公司，成立于</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23</w:t>
      </w:r>
      <w:r>
        <w:rPr>
          <w:spacing w:val="-2"/>
        </w:rPr>
        <w:t>日，注册资本：</w:t>
      </w:r>
      <w:r>
        <w:rPr>
          <w:rFonts w:ascii="宋体" w:hAnsi="宋体" w:cs="宋体" w:eastAsia="宋体" w:hint="default"/>
          <w:spacing w:val="-2"/>
        </w:rPr>
        <w:t>108</w:t>
      </w:r>
      <w:r>
        <w:rPr>
          <w:spacing w:val="-2"/>
        </w:rPr>
        <w:t>万元，注册地点：北京市，经营范围：技术</w:t>
      </w:r>
      <w:r>
        <w:rPr/>
        <w:t> </w:t>
      </w:r>
      <w:r>
        <w:rPr>
          <w:spacing w:val="-4"/>
        </w:rPr>
        <w:t>开发、技术推广、技术转让、技术咨询、技术服务；经济贸易咨询；市场调查；投资咨询、企业管理咨询、企业计划、设计；</w:t>
      </w:r>
      <w:r>
        <w:rPr>
          <w:spacing w:val="-43"/>
        </w:rPr>
        <w:t> </w:t>
      </w:r>
      <w:r>
        <w:rPr>
          <w:spacing w:val="-43"/>
        </w:rPr>
      </w:r>
      <w:r>
        <w:rPr/>
        <w:t>销售电子产品、器件和元件、计算机、软件及辅助设备、通讯设备、机械设备、五金交电。</w:t>
      </w:r>
    </w:p>
    <w:p>
      <w:pPr>
        <w:pStyle w:val="BodyText"/>
        <w:spacing w:line="240" w:lineRule="auto" w:before="139"/>
        <w:ind w:left="514" w:right="87"/>
        <w:jc w:val="left"/>
      </w:pPr>
      <w:r>
        <w:rPr/>
        <w:t>北京卓讯科信技术有限公司系本公司于</w:t>
      </w:r>
      <w:r>
        <w:rPr>
          <w:rFonts w:ascii="宋体" w:hAnsi="宋体" w:cs="宋体" w:eastAsia="宋体" w:hint="default"/>
        </w:rPr>
        <w:t>2011</w:t>
      </w:r>
      <w:r>
        <w:rPr/>
        <w:t>年</w:t>
      </w:r>
      <w:r>
        <w:rPr>
          <w:rFonts w:ascii="宋体" w:hAnsi="宋体" w:cs="宋体" w:eastAsia="宋体" w:hint="default"/>
        </w:rPr>
        <w:t>8</w:t>
      </w:r>
      <w:r>
        <w:rPr/>
        <w:t>月以货币资金出资购买的非同一控制下的子公司。</w:t>
      </w:r>
    </w:p>
    <w:p>
      <w:pPr>
        <w:spacing w:line="240" w:lineRule="auto" w:before="0"/>
        <w:rPr>
          <w:rFonts w:ascii="宋体" w:hAnsi="宋体" w:cs="宋体" w:eastAsia="宋体" w:hint="default"/>
          <w:sz w:val="15"/>
          <w:szCs w:val="15"/>
        </w:rPr>
      </w:pPr>
    </w:p>
    <w:p>
      <w:pPr>
        <w:pStyle w:val="BodyText"/>
        <w:spacing w:line="316" w:lineRule="auto"/>
        <w:ind w:right="192" w:firstLine="360"/>
        <w:jc w:val="both"/>
      </w:pPr>
      <w:r>
        <w:rPr>
          <w:spacing w:val="-2"/>
        </w:rPr>
        <w:t>（</w:t>
      </w:r>
      <w:r>
        <w:rPr>
          <w:rFonts w:ascii="宋体" w:hAnsi="宋体" w:cs="宋体" w:eastAsia="宋体" w:hint="default"/>
          <w:spacing w:val="-2"/>
        </w:rPr>
        <w:t>20</w:t>
      </w:r>
      <w:r>
        <w:rPr>
          <w:spacing w:val="-2"/>
        </w:rPr>
        <w:t>）北京东华信息技术有限公司，成立于</w:t>
      </w:r>
      <w:r>
        <w:rPr>
          <w:rFonts w:ascii="宋体" w:hAnsi="宋体" w:cs="宋体" w:eastAsia="宋体" w:hint="default"/>
          <w:spacing w:val="-2"/>
        </w:rPr>
        <w:t>2006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14</w:t>
      </w:r>
      <w:r>
        <w:rPr>
          <w:spacing w:val="-2"/>
        </w:rPr>
        <w:t>日，注册资本：</w:t>
      </w:r>
      <w:r>
        <w:rPr>
          <w:rFonts w:ascii="宋体" w:hAnsi="宋体" w:cs="宋体" w:eastAsia="宋体" w:hint="default"/>
          <w:spacing w:val="-2"/>
        </w:rPr>
        <w:t>200</w:t>
      </w:r>
      <w:r>
        <w:rPr>
          <w:spacing w:val="-2"/>
        </w:rPr>
        <w:t>万元，注册地点：北京市，经营范围：应用</w:t>
      </w:r>
      <w:r>
        <w:rPr/>
        <w:t> </w:t>
      </w:r>
      <w:r>
        <w:rPr>
          <w:spacing w:val="-2"/>
        </w:rPr>
        <w:t>软件服务；基础软件服务；计算机系统服务；销售计算机、软件及辅助设备、电子产品、机械设备；自然科学研究与试验发</w:t>
      </w:r>
      <w:r>
        <w:rPr>
          <w:spacing w:val="-72"/>
        </w:rPr>
        <w:t> </w:t>
      </w:r>
      <w:r>
        <w:rPr>
          <w:spacing w:val="-72"/>
        </w:rPr>
      </w:r>
      <w:r>
        <w:rPr/>
        <w:t>展；教学咨询。</w:t>
      </w:r>
    </w:p>
    <w:p>
      <w:pPr>
        <w:pStyle w:val="BodyText"/>
        <w:spacing w:line="240" w:lineRule="auto" w:before="139"/>
        <w:ind w:left="514" w:right="87"/>
        <w:jc w:val="left"/>
      </w:pPr>
      <w:r>
        <w:rPr/>
        <w:t>北京东华信息技术有限公司系本公司于</w:t>
      </w:r>
      <w:r>
        <w:rPr>
          <w:rFonts w:ascii="宋体" w:hAnsi="宋体" w:cs="宋体" w:eastAsia="宋体" w:hint="default"/>
        </w:rPr>
        <w:t>2011</w:t>
      </w:r>
      <w:r>
        <w:rPr/>
        <w:t>年</w:t>
      </w:r>
      <w:r>
        <w:rPr>
          <w:rFonts w:ascii="宋体" w:hAnsi="宋体" w:cs="宋体" w:eastAsia="宋体" w:hint="default"/>
        </w:rPr>
        <w:t>11</w:t>
      </w:r>
      <w:r>
        <w:rPr/>
        <w:t>月以货币资金出资购买的非同一控制下的子公司。</w:t>
      </w:r>
    </w:p>
    <w:p>
      <w:pPr>
        <w:spacing w:line="240" w:lineRule="auto" w:before="0"/>
        <w:rPr>
          <w:rFonts w:ascii="宋体" w:hAnsi="宋体" w:cs="宋体" w:eastAsia="宋体" w:hint="default"/>
          <w:sz w:val="15"/>
          <w:szCs w:val="15"/>
        </w:rPr>
      </w:pPr>
    </w:p>
    <w:p>
      <w:pPr>
        <w:pStyle w:val="BodyText"/>
        <w:spacing w:line="319" w:lineRule="auto"/>
        <w:ind w:right="192" w:firstLine="360"/>
        <w:jc w:val="both"/>
      </w:pPr>
      <w:r>
        <w:rPr>
          <w:spacing w:val="-2"/>
        </w:rPr>
        <w:t>（</w:t>
      </w:r>
      <w:r>
        <w:rPr>
          <w:rFonts w:ascii="宋体" w:hAnsi="宋体" w:cs="宋体" w:eastAsia="宋体" w:hint="default"/>
          <w:spacing w:val="-2"/>
        </w:rPr>
        <w:t>21</w:t>
      </w:r>
      <w:r>
        <w:rPr>
          <w:spacing w:val="-2"/>
        </w:rPr>
        <w:t>）东华软件开发有限公司，成立于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日，注册资本</w:t>
      </w:r>
      <w:r>
        <w:rPr>
          <w:rFonts w:ascii="宋体" w:hAnsi="宋体" w:cs="宋体" w:eastAsia="宋体" w:hint="default"/>
          <w:spacing w:val="-2"/>
        </w:rPr>
        <w:t>5,000</w:t>
      </w:r>
      <w:r>
        <w:rPr>
          <w:spacing w:val="-2"/>
        </w:rPr>
        <w:t>万元，注册地点：江苏省盐城市，经营范围：计</w:t>
      </w:r>
      <w:r>
        <w:rPr/>
        <w:t> </w:t>
      </w:r>
      <w:r>
        <w:rPr>
          <w:spacing w:val="-2"/>
        </w:rPr>
        <w:t>算机、自动化、网络通信系统及软硬件产品的研究、设计、开发、制造、系统集成、及相应的外包、维修、咨询等服务，数</w:t>
      </w:r>
      <w:r>
        <w:rPr>
          <w:spacing w:val="-71"/>
        </w:rPr>
        <w:t> </w:t>
      </w:r>
      <w:r>
        <w:rPr>
          <w:spacing w:val="-71"/>
        </w:rPr>
      </w:r>
      <w:r>
        <w:rPr>
          <w:spacing w:val="-2"/>
        </w:rPr>
        <w:t>字医疗、只能交通、智能建筑、机电一体化系统及产品的研究、设计、开发、制造、施工及服务，公共安全防范工作及系统</w:t>
      </w:r>
      <w:r>
        <w:rPr>
          <w:spacing w:val="-67"/>
        </w:rPr>
        <w:t> </w:t>
      </w:r>
      <w:r>
        <w:rPr>
          <w:spacing w:val="-67"/>
        </w:rPr>
      </w:r>
      <w:r>
        <w:rPr/>
        <w:t>信息安全工程的设计、施工及服务。</w:t>
      </w:r>
    </w:p>
    <w:p>
      <w:pPr>
        <w:pStyle w:val="BodyText"/>
        <w:spacing w:line="316" w:lineRule="auto" w:before="137"/>
        <w:ind w:right="192" w:firstLine="360"/>
        <w:jc w:val="both"/>
      </w:pPr>
      <w:r>
        <w:rPr>
          <w:spacing w:val="-2"/>
        </w:rPr>
        <w:t>（</w:t>
      </w:r>
      <w:r>
        <w:rPr>
          <w:rFonts w:ascii="宋体" w:hAnsi="宋体" w:cs="宋体" w:eastAsia="宋体" w:hint="default"/>
          <w:spacing w:val="-2"/>
        </w:rPr>
        <w:t>22</w:t>
      </w:r>
      <w:r>
        <w:rPr>
          <w:spacing w:val="-2"/>
        </w:rPr>
        <w:t>）天津东华博雅有限公司，成立于</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29</w:t>
      </w:r>
      <w:r>
        <w:rPr>
          <w:spacing w:val="-2"/>
        </w:rPr>
        <w:t>日，注册资本</w:t>
      </w:r>
      <w:r>
        <w:rPr>
          <w:rFonts w:ascii="宋体" w:hAnsi="宋体" w:cs="宋体" w:eastAsia="宋体" w:hint="default"/>
          <w:spacing w:val="-2"/>
        </w:rPr>
        <w:t>5,000</w:t>
      </w:r>
      <w:r>
        <w:rPr>
          <w:spacing w:val="-2"/>
        </w:rPr>
        <w:t>万元，注册地点：天津市，经营范围：法律、行</w:t>
      </w:r>
      <w:r>
        <w:rPr/>
        <w:t> </w:t>
      </w:r>
      <w:r>
        <w:rPr>
          <w:spacing w:val="-2"/>
        </w:rPr>
        <w:t>政法规、国务院决定禁止的，不得经营；应经审批的，未获批准不得经营；法律、行政法规、国务院决定未审批的，自主经</w:t>
      </w:r>
      <w:r>
        <w:rPr>
          <w:spacing w:val="-66"/>
        </w:rPr>
        <w:t> </w:t>
      </w:r>
      <w:r>
        <w:rPr>
          <w:spacing w:val="-66"/>
        </w:rPr>
      </w:r>
      <w:r>
        <w:rPr/>
        <w:t>营。（以上经营范围涉及行业许可的凭许可的凭证可证件，在有效期内经营，国家有专项专营规定的按规定办理）</w:t>
      </w:r>
    </w:p>
    <w:p>
      <w:pPr>
        <w:pStyle w:val="BodyText"/>
        <w:spacing w:line="316" w:lineRule="auto" w:before="139"/>
        <w:ind w:right="87" w:firstLine="360"/>
        <w:jc w:val="left"/>
      </w:pPr>
      <w:r>
        <w:rPr/>
        <w:t>（</w:t>
      </w:r>
      <w:r>
        <w:rPr>
          <w:rFonts w:ascii="宋体" w:hAnsi="宋体" w:cs="宋体" w:eastAsia="宋体" w:hint="default"/>
        </w:rPr>
        <w:t>23</w:t>
      </w:r>
      <w:r>
        <w:rPr/>
        <w:t>）东华星联科技有限公司，成立于</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24</w:t>
      </w:r>
      <w:r>
        <w:rPr/>
        <w:t>日，注册资本</w:t>
      </w:r>
      <w:r>
        <w:rPr>
          <w:rFonts w:ascii="宋体" w:hAnsi="宋体" w:cs="宋体" w:eastAsia="宋体" w:hint="default"/>
        </w:rPr>
        <w:t>20,000</w:t>
      </w:r>
      <w:r>
        <w:rPr/>
        <w:t>万元，注册地点：广东省深圳市，经营范围： </w:t>
      </w:r>
      <w:r>
        <w:rPr>
          <w:spacing w:val="-2"/>
        </w:rPr>
        <w:t>计算机软件、信息系统软件的开发、销售；信息系统设计、集成、运行维护；信息技术系统咨询；集成电路设计、研发；计</w:t>
      </w:r>
      <w:r>
        <w:rPr>
          <w:spacing w:val="-70"/>
        </w:rPr>
        <w:t> </w:t>
      </w:r>
      <w:r>
        <w:rPr>
          <w:spacing w:val="-70"/>
        </w:rPr>
      </w:r>
      <w:r>
        <w:rPr>
          <w:spacing w:val="-4"/>
        </w:rPr>
        <w:t>算机、软件及辅助设备的销售；通讯设备的销售；电子产品批发销售；国内贸易；经营进出口业务；计算机及通讯设备租赁；</w:t>
      </w:r>
      <w:r>
        <w:rPr>
          <w:spacing w:val="-44"/>
        </w:rPr>
        <w:t> </w:t>
      </w:r>
      <w:r>
        <w:rPr>
          <w:spacing w:val="-44"/>
        </w:rPr>
      </w:r>
      <w:r>
        <w:rPr/>
        <w:t>信息咨询；电子、通信与自动化控制技术研究；计算机科学技术研究；新材料技术、节能技术推广；供应链管理。</w:t>
      </w:r>
    </w:p>
    <w:p>
      <w:pPr>
        <w:pStyle w:val="BodyText"/>
        <w:spacing w:line="316" w:lineRule="auto" w:before="139"/>
        <w:ind w:right="192" w:firstLine="360"/>
        <w:jc w:val="both"/>
      </w:pPr>
      <w:r>
        <w:rPr>
          <w:spacing w:val="-2"/>
        </w:rPr>
        <w:t>（</w:t>
      </w:r>
      <w:r>
        <w:rPr>
          <w:rFonts w:ascii="宋体" w:hAnsi="宋体" w:cs="宋体" w:eastAsia="宋体" w:hint="default"/>
          <w:spacing w:val="-2"/>
        </w:rPr>
        <w:t>24</w:t>
      </w:r>
      <w:r>
        <w:rPr>
          <w:spacing w:val="-2"/>
        </w:rPr>
        <w:t>）东华云计算有限公司，成立于</w:t>
      </w: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日，注册资本</w:t>
      </w:r>
      <w:r>
        <w:rPr>
          <w:rFonts w:ascii="宋体" w:hAnsi="宋体" w:cs="宋体" w:eastAsia="宋体" w:hint="default"/>
          <w:spacing w:val="-2"/>
        </w:rPr>
        <w:t>10,000</w:t>
      </w:r>
      <w:r>
        <w:rPr>
          <w:spacing w:val="-2"/>
        </w:rPr>
        <w:t>万元，注册地点：浙江省衢州市，经营范围：云</w:t>
      </w:r>
      <w:r>
        <w:rPr/>
        <w:t> 计算技术开发、技术推广、技术咨询、技术服务；计算机系统服务、数据处理；软件咨询；计算机软硬件的开发及销售。</w:t>
      </w:r>
    </w:p>
    <w:p>
      <w:pPr>
        <w:pStyle w:val="BodyText"/>
        <w:spacing w:line="316" w:lineRule="auto" w:before="139"/>
        <w:ind w:right="189" w:firstLine="360"/>
        <w:jc w:val="both"/>
      </w:pPr>
      <w:r>
        <w:rPr>
          <w:spacing w:val="-2"/>
        </w:rPr>
        <w:t>（</w:t>
      </w:r>
      <w:r>
        <w:rPr>
          <w:rFonts w:ascii="宋体" w:hAnsi="宋体" w:cs="宋体" w:eastAsia="宋体" w:hint="default"/>
          <w:spacing w:val="-2"/>
        </w:rPr>
        <w:t>25</w:t>
      </w:r>
      <w:r>
        <w:rPr>
          <w:spacing w:val="-2"/>
        </w:rPr>
        <w:t>）北京光明数据信息技术有限公司，成立于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13</w:t>
      </w:r>
      <w:r>
        <w:rPr>
          <w:spacing w:val="-2"/>
        </w:rPr>
        <w:t>日，注册资本</w:t>
      </w:r>
      <w:r>
        <w:rPr>
          <w:rFonts w:ascii="宋体" w:hAnsi="宋体" w:cs="宋体" w:eastAsia="宋体" w:hint="default"/>
          <w:spacing w:val="-2"/>
        </w:rPr>
        <w:t>100</w:t>
      </w:r>
      <w:r>
        <w:rPr>
          <w:spacing w:val="-2"/>
        </w:rPr>
        <w:t>万元，注册地点：北京市海淀区紫金数码</w:t>
      </w:r>
      <w:r>
        <w:rPr/>
        <w:t> 园</w:t>
      </w:r>
      <w:r>
        <w:rPr>
          <w:rFonts w:ascii="宋体" w:hAnsi="宋体" w:cs="宋体" w:eastAsia="宋体" w:hint="default"/>
        </w:rPr>
        <w:t>3</w:t>
      </w:r>
      <w:r>
        <w:rPr/>
        <w:t>号楼</w:t>
      </w:r>
      <w:r>
        <w:rPr>
          <w:rFonts w:ascii="宋体" w:hAnsi="宋体" w:cs="宋体" w:eastAsia="宋体" w:hint="default"/>
        </w:rPr>
        <w:t>11</w:t>
      </w:r>
      <w:r>
        <w:rPr/>
        <w:t>层</w:t>
      </w:r>
      <w:r>
        <w:rPr>
          <w:rFonts w:ascii="宋体" w:hAnsi="宋体" w:cs="宋体" w:eastAsia="宋体" w:hint="default"/>
        </w:rPr>
        <w:t>1107</w:t>
      </w:r>
      <w:r>
        <w:rPr/>
        <w:t>室，经营范围：技术开发、技术推广、技术转让、技术咨询、技术服务；计算机技术培训；数据处理；计</w:t>
      </w:r>
      <w:r>
        <w:rPr>
          <w:spacing w:val="-82"/>
        </w:rPr>
        <w:t> </w:t>
      </w:r>
      <w:r>
        <w:rPr>
          <w:spacing w:val="-82"/>
        </w:rPr>
      </w:r>
      <w:r>
        <w:rPr>
          <w:spacing w:val="-2"/>
        </w:rPr>
        <w:t>算机系统服务；基础软件服务；应用软件服务；市场调查；经济贸易咨询；投资咨询；销售计算机、软件及辅助设备、机械</w:t>
      </w:r>
      <w:r>
        <w:rPr>
          <w:spacing w:val="-67"/>
        </w:rPr>
        <w:t> </w:t>
      </w:r>
      <w:r>
        <w:rPr>
          <w:spacing w:val="-67"/>
        </w:rPr>
      </w:r>
      <w:r>
        <w:rPr/>
        <w:t>设备、电子产品。</w:t>
      </w:r>
    </w:p>
    <w:p>
      <w:pPr>
        <w:pStyle w:val="BodyText"/>
        <w:spacing w:line="319" w:lineRule="auto" w:before="139"/>
        <w:ind w:right="190" w:firstLine="360"/>
        <w:jc w:val="both"/>
      </w:pPr>
      <w:r>
        <w:rPr/>
        <w:t>（</w:t>
      </w:r>
      <w:r>
        <w:rPr>
          <w:rFonts w:ascii="宋体" w:hAnsi="宋体" w:cs="宋体" w:eastAsia="宋体" w:hint="default"/>
        </w:rPr>
        <w:t>26</w:t>
      </w:r>
      <w:r>
        <w:rPr/>
        <w:t>）北京威锐达测控系统有限公司，成立于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23</w:t>
      </w:r>
      <w:r>
        <w:rPr/>
        <w:t>日，注册资本</w:t>
      </w:r>
      <w:r>
        <w:rPr>
          <w:rFonts w:ascii="宋体" w:hAnsi="宋体" w:cs="宋体" w:eastAsia="宋体" w:hint="default"/>
        </w:rPr>
        <w:t>1210</w:t>
      </w:r>
      <w:r>
        <w:rPr/>
        <w:t>万元，注册地点：北京市西城区月坛北街 </w:t>
      </w:r>
      <w:r>
        <w:rPr>
          <w:rFonts w:ascii="宋体" w:hAnsi="宋体" w:cs="宋体" w:eastAsia="宋体" w:hint="default"/>
        </w:rPr>
        <w:t>26</w:t>
      </w:r>
      <w:r>
        <w:rPr/>
        <w:t>号</w:t>
      </w:r>
      <w:r>
        <w:rPr>
          <w:rFonts w:ascii="宋体" w:hAnsi="宋体" w:cs="宋体" w:eastAsia="宋体" w:hint="default"/>
        </w:rPr>
        <w:t>608</w:t>
      </w:r>
      <w:r>
        <w:rPr/>
        <w:t>室，经营范围测控系统，机电产品和计算机软件的开发、销售；技术服务；经济信息咨询。</w:t>
      </w:r>
    </w:p>
    <w:p>
      <w:pPr>
        <w:pStyle w:val="BodyText"/>
        <w:spacing w:line="316" w:lineRule="auto" w:before="137"/>
        <w:ind w:right="192" w:firstLine="360"/>
        <w:jc w:val="both"/>
      </w:pPr>
      <w:r>
        <w:rPr>
          <w:spacing w:val="-3"/>
        </w:rPr>
        <w:t>（</w:t>
      </w:r>
      <w:r>
        <w:rPr>
          <w:rFonts w:ascii="宋体" w:hAnsi="宋体" w:cs="宋体" w:eastAsia="宋体" w:hint="default"/>
          <w:spacing w:val="-3"/>
        </w:rPr>
        <w:t>27</w:t>
      </w:r>
      <w:r>
        <w:rPr>
          <w:spacing w:val="-3"/>
        </w:rPr>
        <w:t>）兰州东华软件有限公司，成立于</w:t>
      </w:r>
      <w:r>
        <w:rPr>
          <w:rFonts w:ascii="宋体" w:hAnsi="宋体" w:cs="宋体" w:eastAsia="宋体" w:hint="default"/>
          <w:spacing w:val="-3"/>
        </w:rPr>
        <w:t>2014</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23</w:t>
      </w:r>
      <w:r>
        <w:rPr>
          <w:spacing w:val="-3"/>
        </w:rPr>
        <w:t>日，注册资本</w:t>
      </w:r>
      <w:r>
        <w:rPr>
          <w:rFonts w:ascii="宋体" w:hAnsi="宋体" w:cs="宋体" w:eastAsia="宋体" w:hint="default"/>
          <w:spacing w:val="-3"/>
        </w:rPr>
        <w:t>500</w:t>
      </w:r>
      <w:r>
        <w:rPr>
          <w:spacing w:val="-3"/>
        </w:rPr>
        <w:t>万元，注册地点：甘肃省兰州市城关区排洪南路</w:t>
      </w:r>
      <w:r>
        <w:rPr>
          <w:rFonts w:ascii="宋体" w:hAnsi="宋体" w:cs="宋体" w:eastAsia="宋体" w:hint="default"/>
          <w:spacing w:val="-3"/>
        </w:rPr>
        <w:t>313</w:t>
      </w:r>
      <w:r>
        <w:rPr>
          <w:rFonts w:ascii="宋体" w:hAnsi="宋体" w:cs="宋体" w:eastAsia="宋体" w:hint="default"/>
        </w:rPr>
        <w:t> </w:t>
      </w:r>
      <w:r>
        <w:rPr>
          <w:spacing w:val="-2"/>
        </w:rPr>
        <w:t>号兰州汽车配件城综合大楼六楼，经营范围：软件技术开发、咨询、服务、转让；计算机技术培训；数据处理；计算机系统</w:t>
      </w:r>
      <w:r>
        <w:rPr>
          <w:spacing w:val="-67"/>
        </w:rPr>
        <w:t> </w:t>
      </w:r>
      <w:r>
        <w:rPr>
          <w:spacing w:val="-67"/>
        </w:rPr>
      </w:r>
      <w:r>
        <w:rPr>
          <w:spacing w:val="-2"/>
        </w:rPr>
        <w:t>服务；基础软件服务；应用软件服务；公共软件服务；销售计算机软、硬件及外围设备、通讯设备；承接计算机工业自动化</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控制系统工程；计算机通讯工程、智能楼宇以及数据中心计算机系统工程。</w:t>
      </w:r>
    </w:p>
    <w:p>
      <w:pPr>
        <w:spacing w:line="240" w:lineRule="auto" w:before="0"/>
        <w:rPr>
          <w:rFonts w:ascii="宋体" w:hAnsi="宋体" w:cs="宋体" w:eastAsia="宋体" w:hint="default"/>
          <w:sz w:val="15"/>
          <w:szCs w:val="15"/>
        </w:rPr>
      </w:pPr>
    </w:p>
    <w:p>
      <w:pPr>
        <w:pStyle w:val="BodyText"/>
        <w:spacing w:line="319" w:lineRule="auto"/>
        <w:ind w:right="92" w:firstLine="360"/>
        <w:jc w:val="left"/>
      </w:pPr>
      <w:r>
        <w:rPr/>
        <w:t>（</w:t>
      </w:r>
      <w:r>
        <w:rPr>
          <w:rFonts w:ascii="宋体" w:hAnsi="宋体" w:cs="宋体" w:eastAsia="宋体" w:hint="default"/>
        </w:rPr>
        <w:t>28</w:t>
      </w:r>
      <w:r>
        <w:rPr/>
        <w:t>）健康乐软件有限公司，成立于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31</w:t>
      </w:r>
      <w:r>
        <w:rPr/>
        <w:t>日，注册资本</w:t>
      </w:r>
      <w:r>
        <w:rPr>
          <w:rFonts w:ascii="宋体" w:hAnsi="宋体" w:cs="宋体" w:eastAsia="宋体" w:hint="default"/>
        </w:rPr>
        <w:t>10,000</w:t>
      </w:r>
      <w:r>
        <w:rPr/>
        <w:t>万元，注册地点：海南省老城高新技术产业示范 </w:t>
      </w:r>
      <w:r>
        <w:rPr>
          <w:spacing w:val="-2"/>
        </w:rPr>
        <w:t>区海南生态软件园，经营范围：设计、研究、开发、销售计算机软件、基于智能移动终端的健康管理应用产品；提供技术服</w:t>
      </w:r>
      <w:r>
        <w:rPr>
          <w:spacing w:val="-72"/>
        </w:rPr>
        <w:t> </w:t>
      </w:r>
      <w:r>
        <w:rPr>
          <w:spacing w:val="-72"/>
        </w:rPr>
      </w:r>
      <w:r>
        <w:rPr/>
        <w:t>务、技术咨询、健康管理服务、健康信息咨询（上述经营项目不含诊疗）；互联网信息服务（除新闻、出版、教育、药品、 医疗器械以外的内容，含医疗保健）。</w:t>
      </w:r>
    </w:p>
    <w:p>
      <w:pPr>
        <w:pStyle w:val="BodyText"/>
        <w:spacing w:line="316" w:lineRule="auto" w:before="137"/>
        <w:ind w:right="189" w:firstLine="360"/>
        <w:jc w:val="both"/>
      </w:pPr>
      <w:r>
        <w:rPr/>
        <w:t>（</w:t>
      </w:r>
      <w:r>
        <w:rPr>
          <w:rFonts w:ascii="宋体" w:hAnsi="宋体" w:cs="宋体" w:eastAsia="宋体" w:hint="default"/>
        </w:rPr>
        <w:t>29</w:t>
      </w:r>
      <w:r>
        <w:rPr/>
        <w:t>）东华智慧城市股份有限公司，成立于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27</w:t>
      </w:r>
      <w:r>
        <w:rPr/>
        <w:t>日，注册资本</w:t>
      </w:r>
      <w:r>
        <w:rPr>
          <w:rFonts w:ascii="宋体" w:hAnsi="宋体" w:cs="宋体" w:eastAsia="宋体" w:hint="default"/>
        </w:rPr>
        <w:t>10,000</w:t>
      </w:r>
      <w:r>
        <w:rPr/>
        <w:t>万元，注册地点：衢州市凯旋南路</w:t>
      </w:r>
      <w:r>
        <w:rPr>
          <w:rFonts w:ascii="宋体" w:hAnsi="宋体" w:cs="宋体" w:eastAsia="宋体" w:hint="default"/>
        </w:rPr>
        <w:t>6</w:t>
      </w:r>
      <w:r>
        <w:rPr/>
        <w:t>号慧 </w:t>
      </w:r>
      <w:r>
        <w:rPr>
          <w:spacing w:val="-2"/>
        </w:rPr>
        <w:t>谷工业园</w:t>
      </w:r>
      <w:r>
        <w:rPr>
          <w:rFonts w:ascii="宋体" w:hAnsi="宋体" w:cs="宋体" w:eastAsia="宋体" w:hint="default"/>
          <w:spacing w:val="-2"/>
        </w:rPr>
        <w:t>1</w:t>
      </w:r>
      <w:r>
        <w:rPr>
          <w:spacing w:val="-2"/>
        </w:rPr>
        <w:t>号楼</w:t>
      </w:r>
      <w:r>
        <w:rPr>
          <w:rFonts w:ascii="宋体" w:hAnsi="宋体" w:cs="宋体" w:eastAsia="宋体" w:hint="default"/>
          <w:spacing w:val="-2"/>
        </w:rPr>
        <w:t>2</w:t>
      </w:r>
      <w:r>
        <w:rPr>
          <w:spacing w:val="-2"/>
        </w:rPr>
        <w:t>楼，经营范围：基于智慧城市及云产业的技术研发、技术咨询、技术服务、技术推广、技术转让；应用软件</w:t>
      </w:r>
      <w:r>
        <w:rPr>
          <w:spacing w:val="-70"/>
        </w:rPr>
        <w:t> </w:t>
      </w:r>
      <w:r>
        <w:rPr>
          <w:spacing w:val="-70"/>
        </w:rPr>
      </w:r>
      <w:r>
        <w:rPr>
          <w:spacing w:val="-2"/>
        </w:rPr>
        <w:t>服务；公共软件服务；技术进出口（法律法规限制的除外，应当取得许可证的凭许可证经营）；基于云计算的智慧城市整体</w:t>
      </w:r>
      <w:r>
        <w:rPr>
          <w:spacing w:val="-67"/>
        </w:rPr>
        <w:t> </w:t>
      </w:r>
      <w:r>
        <w:rPr>
          <w:spacing w:val="-67"/>
        </w:rPr>
      </w:r>
      <w:r>
        <w:rPr/>
        <w:t>解决方案设计、咨询、服务。</w:t>
      </w:r>
    </w:p>
    <w:p>
      <w:pPr>
        <w:pStyle w:val="BodyText"/>
        <w:spacing w:line="316" w:lineRule="auto" w:before="139"/>
        <w:ind w:right="87" w:firstLine="360"/>
        <w:jc w:val="left"/>
      </w:pPr>
      <w:r>
        <w:rPr>
          <w:spacing w:val="-2"/>
        </w:rPr>
        <w:t>（</w:t>
      </w:r>
      <w:r>
        <w:rPr>
          <w:rFonts w:ascii="宋体" w:hAnsi="宋体" w:cs="宋体" w:eastAsia="宋体" w:hint="default"/>
          <w:spacing w:val="-2"/>
        </w:rPr>
        <w:t>30</w:t>
      </w:r>
      <w:r>
        <w:rPr>
          <w:spacing w:val="-2"/>
        </w:rPr>
        <w:t>）福州东华炜如数码科技有限公司，成立于</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22</w:t>
      </w:r>
      <w:r>
        <w:rPr>
          <w:spacing w:val="-2"/>
        </w:rPr>
        <w:t>日，注册资本：</w:t>
      </w:r>
      <w:r>
        <w:rPr>
          <w:rFonts w:ascii="宋体" w:hAnsi="宋体" w:cs="宋体" w:eastAsia="宋体" w:hint="default"/>
          <w:spacing w:val="-2"/>
        </w:rPr>
        <w:t>150</w:t>
      </w:r>
      <w:r>
        <w:rPr>
          <w:spacing w:val="-2"/>
        </w:rPr>
        <w:t>万元，注册地点：福建省福州市，经营</w:t>
      </w:r>
      <w:r>
        <w:rPr/>
        <w:t> </w:t>
      </w:r>
      <w:r>
        <w:rPr>
          <w:spacing w:val="-4"/>
        </w:rPr>
        <w:t>范围：软件开发、销售；计算机系统集成及技术应用服务；办公设备、电子产品、网络设备、计算机及配件批发、代购代销。</w:t>
      </w:r>
      <w:r>
        <w:rPr>
          <w:spacing w:val="-46"/>
        </w:rPr>
        <w:t> </w:t>
      </w:r>
      <w:r>
        <w:rPr>
          <w:spacing w:val="-46"/>
        </w:rPr>
      </w:r>
      <w:r>
        <w:rPr/>
        <w:t>福州东华炜如数码科技有限公司系本公司参股公司。</w:t>
      </w:r>
    </w:p>
    <w:p>
      <w:pPr>
        <w:pStyle w:val="BodyText"/>
        <w:spacing w:line="316" w:lineRule="auto" w:before="139"/>
        <w:ind w:right="189" w:firstLine="360"/>
        <w:jc w:val="both"/>
      </w:pPr>
      <w:r>
        <w:rPr>
          <w:spacing w:val="-2"/>
        </w:rPr>
        <w:t>（</w:t>
      </w:r>
      <w:r>
        <w:rPr>
          <w:rFonts w:ascii="宋体" w:hAnsi="宋体" w:cs="宋体" w:eastAsia="宋体" w:hint="default"/>
          <w:spacing w:val="-2"/>
        </w:rPr>
        <w:t>31</w:t>
      </w:r>
      <w:r>
        <w:rPr>
          <w:spacing w:val="-2"/>
        </w:rPr>
        <w:t>）安徽五星食品股份有限公司，成立于</w:t>
      </w:r>
      <w:r>
        <w:rPr>
          <w:rFonts w:ascii="宋体" w:hAnsi="宋体" w:cs="宋体" w:eastAsia="宋体" w:hint="default"/>
          <w:spacing w:val="-2"/>
        </w:rPr>
        <w:t>2007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日，注册资本：</w:t>
      </w:r>
      <w:r>
        <w:rPr>
          <w:rFonts w:ascii="宋体" w:hAnsi="宋体" w:cs="宋体" w:eastAsia="宋体" w:hint="default"/>
          <w:spacing w:val="-2"/>
        </w:rPr>
        <w:t>6,600</w:t>
      </w:r>
      <w:r>
        <w:rPr>
          <w:spacing w:val="-2"/>
        </w:rPr>
        <w:t>万元</w:t>
      </w:r>
      <w:r>
        <w:rPr>
          <w:rFonts w:ascii="宋体" w:hAnsi="宋体" w:cs="宋体" w:eastAsia="宋体" w:hint="default"/>
          <w:spacing w:val="-2"/>
        </w:rPr>
        <w:t>,</w:t>
      </w:r>
      <w:r>
        <w:rPr>
          <w:spacing w:val="-2"/>
        </w:rPr>
        <w:t>注册地点：安徽省宁国市，经营范</w:t>
      </w:r>
      <w:r>
        <w:rPr/>
        <w:t> </w:t>
      </w:r>
      <w:r>
        <w:rPr>
          <w:spacing w:val="-2"/>
        </w:rPr>
        <w:t>围：家禽家畜育种、养殖、加工、收购、销售；饲料加工、销售；粮食收购；养殖技术咨询。安徽五星食品股份有限公司系</w:t>
      </w:r>
      <w:r>
        <w:rPr>
          <w:spacing w:val="-71"/>
        </w:rPr>
        <w:t> </w:t>
      </w:r>
      <w:r>
        <w:rPr>
          <w:spacing w:val="-71"/>
        </w:rPr>
      </w:r>
      <w:r>
        <w:rPr/>
        <w:t>本公司参股公司。安徽五星食品股份有限公司系本公司参股公司。</w:t>
      </w:r>
    </w:p>
    <w:p>
      <w:pPr>
        <w:pStyle w:val="BodyText"/>
        <w:spacing w:line="316" w:lineRule="auto" w:before="139"/>
        <w:ind w:right="190" w:firstLine="360"/>
        <w:jc w:val="both"/>
      </w:pPr>
      <w:r>
        <w:rPr/>
        <w:t>（</w:t>
      </w:r>
      <w:r>
        <w:rPr>
          <w:rFonts w:ascii="宋体" w:hAnsi="宋体" w:cs="宋体" w:eastAsia="宋体" w:hint="default"/>
        </w:rPr>
        <w:t>32</w:t>
      </w:r>
      <w:r>
        <w:rPr/>
        <w:t>）北京东方通科技股份有限公司，成立于</w:t>
      </w:r>
      <w:r>
        <w:rPr>
          <w:rFonts w:ascii="宋体" w:hAnsi="宋体" w:cs="宋体" w:eastAsia="宋体" w:hint="default"/>
        </w:rPr>
        <w:t>1997</w:t>
      </w:r>
      <w:r>
        <w:rPr/>
        <w:t>年</w:t>
      </w:r>
      <w:r>
        <w:rPr>
          <w:rFonts w:ascii="宋体" w:hAnsi="宋体" w:cs="宋体" w:eastAsia="宋体" w:hint="default"/>
        </w:rPr>
        <w:t>8</w:t>
      </w:r>
      <w:r>
        <w:rPr/>
        <w:t>月</w:t>
      </w:r>
      <w:r>
        <w:rPr>
          <w:rFonts w:ascii="宋体" w:hAnsi="宋体" w:cs="宋体" w:eastAsia="宋体" w:hint="default"/>
        </w:rPr>
        <w:t>11</w:t>
      </w:r>
      <w:r>
        <w:rPr/>
        <w:t>日，注册地点：北京市，经营范围：技术推广；软件服务； </w:t>
      </w:r>
      <w:r>
        <w:rPr>
          <w:spacing w:val="-2"/>
        </w:rPr>
        <w:t>销售计算机、软件、及辅助设备。北京东方通科技股份有限公司系本公司参股公司。北京东方通科技股份有限公司系本公司</w:t>
      </w:r>
      <w:r>
        <w:rPr>
          <w:spacing w:val="-66"/>
        </w:rPr>
        <w:t> </w:t>
      </w:r>
      <w:r>
        <w:rPr>
          <w:spacing w:val="-66"/>
        </w:rPr>
      </w:r>
      <w:r>
        <w:rPr/>
        <w:t>参股公司。</w:t>
      </w:r>
    </w:p>
    <w:p>
      <w:pPr>
        <w:pStyle w:val="BodyText"/>
        <w:spacing w:line="319" w:lineRule="auto" w:before="139"/>
        <w:ind w:right="189" w:firstLine="360"/>
        <w:jc w:val="both"/>
      </w:pPr>
      <w:r>
        <w:rPr/>
        <w:t>（</w:t>
      </w:r>
      <w:r>
        <w:rPr>
          <w:rFonts w:ascii="宋体" w:hAnsi="宋体" w:cs="宋体" w:eastAsia="宋体" w:hint="default"/>
        </w:rPr>
        <w:t>33</w:t>
      </w:r>
      <w:r>
        <w:rPr/>
        <w:t>）成都高新区中科前程科技有限公司，成立于</w:t>
      </w:r>
      <w:r>
        <w:rPr>
          <w:rFonts w:ascii="宋体" w:hAnsi="宋体" w:cs="宋体" w:eastAsia="宋体" w:hint="default"/>
        </w:rPr>
        <w:t>2002</w:t>
      </w:r>
      <w:r>
        <w:rPr/>
        <w:t>年</w:t>
      </w:r>
      <w:r>
        <w:rPr>
          <w:rFonts w:ascii="宋体" w:hAnsi="宋体" w:cs="宋体" w:eastAsia="宋体" w:hint="default"/>
        </w:rPr>
        <w:t>9</w:t>
      </w:r>
      <w:r>
        <w:rPr/>
        <w:t>月</w:t>
      </w:r>
      <w:r>
        <w:rPr>
          <w:rFonts w:ascii="宋体" w:hAnsi="宋体" w:cs="宋体" w:eastAsia="宋体" w:hint="default"/>
        </w:rPr>
        <w:t>23</w:t>
      </w:r>
      <w:r>
        <w:rPr/>
        <w:t>日，注册资本：</w:t>
      </w:r>
      <w:r>
        <w:rPr>
          <w:rFonts w:ascii="宋体" w:hAnsi="宋体" w:cs="宋体" w:eastAsia="宋体" w:hint="default"/>
        </w:rPr>
        <w:t>1,050</w:t>
      </w:r>
      <w:r>
        <w:rPr/>
        <w:t>万元，注册地点</w:t>
      </w:r>
      <w:r>
        <w:rPr>
          <w:rFonts w:ascii="宋体" w:hAnsi="宋体" w:cs="宋体" w:eastAsia="宋体" w:hint="default"/>
        </w:rPr>
        <w:t>:</w:t>
      </w:r>
      <w:r>
        <w:rPr/>
        <w:t>四川省成都市， </w:t>
      </w:r>
      <w:r>
        <w:rPr>
          <w:spacing w:val="-2"/>
        </w:rPr>
        <w:t>经营范围：计算机软、硬件研发、测试、销售及租赁服务、提供电子政务和电子商务软件的全面解决方案；第二类增值电信</w:t>
      </w:r>
      <w:r>
        <w:rPr>
          <w:spacing w:val="-67"/>
        </w:rPr>
        <w:t> </w:t>
      </w:r>
      <w:r>
        <w:rPr>
          <w:spacing w:val="-67"/>
        </w:rPr>
      </w:r>
      <w:r>
        <w:rPr>
          <w:spacing w:val="-2"/>
        </w:rPr>
        <w:t>业务中的信息服务业；提供电讯、家电、医药等应用软件的解决方案；提供机械制造信息化管理和客户服务管理等的全面解</w:t>
      </w:r>
      <w:r>
        <w:rPr>
          <w:spacing w:val="-66"/>
        </w:rPr>
        <w:t> </w:t>
      </w:r>
      <w:r>
        <w:rPr>
          <w:spacing w:val="-66"/>
        </w:rPr>
      </w:r>
      <w:r>
        <w:rPr>
          <w:spacing w:val="-2"/>
        </w:rPr>
        <w:t>决方案；承接网络工程、系统集成、汽车零部件及化工（不含危险品）产品的销售；货物进出口、技术进出口。成都高新区</w:t>
      </w:r>
      <w:r>
        <w:rPr>
          <w:spacing w:val="-67"/>
        </w:rPr>
        <w:t> </w:t>
      </w:r>
      <w:r>
        <w:rPr>
          <w:spacing w:val="-67"/>
        </w:rPr>
      </w:r>
      <w:r>
        <w:rPr/>
        <w:t>中科前程科技有限公司系本公司参股公司。</w:t>
      </w:r>
    </w:p>
    <w:p>
      <w:pPr>
        <w:pStyle w:val="BodyText"/>
        <w:spacing w:line="240" w:lineRule="auto" w:before="138"/>
        <w:ind w:right="87"/>
        <w:jc w:val="left"/>
      </w:pPr>
      <w:r>
        <w:rPr/>
        <w:t>报告期内取得和处置子公司的情况</w:t>
      </w:r>
    </w:p>
    <w:p>
      <w:pPr>
        <w:pStyle w:val="BodyText"/>
        <w:spacing w:line="240" w:lineRule="auto" w:before="116"/>
        <w:ind w:right="87"/>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北京威锐达测控系统有限公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扩大在电力行业的产品布局， 增强本公司的市场竞争力。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发行股份及支付现金购买资 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pacing w:val="-46"/>
                <w:sz w:val="18"/>
                <w:szCs w:val="18"/>
              </w:rPr>
              <w:t> </w:t>
            </w:r>
            <w:r>
              <w:rPr>
                <w:rFonts w:ascii="宋体" w:hAnsi="宋体" w:cs="宋体" w:eastAsia="宋体" w:hint="default"/>
                <w:sz w:val="18"/>
                <w:szCs w:val="18"/>
              </w:rPr>
              <w:t>7-12</w:t>
            </w:r>
            <w:r>
              <w:rPr>
                <w:rFonts w:ascii="宋体" w:hAnsi="宋体" w:cs="宋体" w:eastAsia="宋体" w:hint="default"/>
                <w:spacing w:val="-46"/>
                <w:sz w:val="18"/>
                <w:szCs w:val="18"/>
              </w:rPr>
              <w:t> </w:t>
            </w:r>
            <w:r>
              <w:rPr>
                <w:rFonts w:ascii="宋体" w:hAnsi="宋体" w:cs="宋体" w:eastAsia="宋体" w:hint="default"/>
                <w:sz w:val="18"/>
                <w:szCs w:val="18"/>
              </w:rPr>
              <w:t>月份净利润，对公 司业绩产生较好影响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发展互联网医疗业务，完善公 司整体布局。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当年成立， 对公司本年度业 绩影响较小</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扩大当地及周边城市市场。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当年成立， 对公司本年度业 绩影响较小</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东华智慧城市股份有限公司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发展公司智慧城市业务，完善 公司整体布局。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当年成立， 对公司本年度业 绩影响较小</w:t>
            </w:r>
          </w:p>
        </w:tc>
      </w:tr>
    </w:tbl>
    <w:p>
      <w:pPr>
        <w:spacing w:line="240" w:lineRule="auto" w:before="3"/>
        <w:rPr>
          <w:rFonts w:ascii="宋体" w:hAnsi="宋体" w:cs="宋体" w:eastAsia="宋体" w:hint="default"/>
          <w:sz w:val="19"/>
          <w:szCs w:val="19"/>
        </w:rPr>
      </w:pPr>
    </w:p>
    <w:p>
      <w:pPr>
        <w:pStyle w:val="Heading3"/>
        <w:spacing w:line="240" w:lineRule="auto" w:before="35"/>
        <w:ind w:right="87"/>
        <w:jc w:val="left"/>
        <w:rPr>
          <w:b w:val="0"/>
          <w:bCs w:val="0"/>
        </w:rPr>
      </w:pPr>
      <w:r>
        <w:rPr>
          <w:rFonts w:ascii="宋体" w:hAnsi="宋体" w:cs="宋体" w:eastAsia="宋体" w:hint="default"/>
        </w:rPr>
        <w:t>5</w:t>
      </w:r>
      <w:r>
        <w:rPr/>
        <w:t>、非募集资金投资的重大项目情况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6392"/>
        <w:jc w:val="left"/>
      </w:pPr>
      <w:r>
        <w:rPr/>
        <w:t>□ 适用 √ 不适用 公司报告期无非募集资金投资的重大项目。</w:t>
      </w:r>
    </w:p>
    <w:p>
      <w:pPr>
        <w:spacing w:after="0" w:line="357" w:lineRule="auto"/>
        <w:jc w:val="left"/>
        <w:sectPr>
          <w:pgSz w:w="11910" w:h="16840"/>
          <w:pgMar w:header="747"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七、公司控制的特殊目的主体情况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r>
        <w:rPr/>
        <w:t>八、公司未来发展的展望</w:t>
      </w:r>
      <w:r>
        <w:rPr>
          <w:b w:val="0"/>
          <w:bCs w:val="0"/>
        </w:rPr>
      </w:r>
    </w:p>
    <w:p>
      <w:pPr>
        <w:pStyle w:val="BodyText"/>
        <w:spacing w:line="430" w:lineRule="atLeast" w:before="153"/>
        <w:ind w:left="514" w:right="87"/>
        <w:jc w:val="left"/>
      </w:pPr>
      <w:r>
        <w:rPr/>
        <w:t>（一）行业竞争格局和发展展望 </w:t>
      </w:r>
      <w:r>
        <w:rPr>
          <w:spacing w:val="-2"/>
        </w:rPr>
        <w:t>随着全球软件行业变革、技术发展以及国家不断推行的全面信息化建设和新兴领域的加速发展，中国软件行业面临前所</w:t>
      </w:r>
    </w:p>
    <w:p>
      <w:pPr>
        <w:pStyle w:val="BodyText"/>
        <w:spacing w:line="316" w:lineRule="auto" w:before="76"/>
        <w:ind w:right="192"/>
        <w:jc w:val="both"/>
      </w:pPr>
      <w:r>
        <w:rPr>
          <w:spacing w:val="-2"/>
        </w:rPr>
        <w:t>未有的巨大机遇与挑战。同时，在移动互联网、云计算、大数据、物联网等新技术的驱动下，产业模式进一步被激发、商业</w:t>
      </w:r>
      <w:r>
        <w:rPr>
          <w:spacing w:val="-72"/>
        </w:rPr>
        <w:t> </w:t>
      </w:r>
      <w:r>
        <w:rPr>
          <w:spacing w:val="-72"/>
        </w:rPr>
      </w:r>
      <w:r>
        <w:rPr>
          <w:spacing w:val="-2"/>
        </w:rPr>
        <w:t>模式不断推陈出新，国内软件和信息服务业新的发展空间无限，与国外应用软件企业站在相同的起跑线上，“弯道超车”指</w:t>
      </w:r>
      <w:r>
        <w:rPr>
          <w:spacing w:val="-65"/>
        </w:rPr>
        <w:t> </w:t>
      </w:r>
      <w:r>
        <w:rPr>
          <w:spacing w:val="-65"/>
        </w:rPr>
      </w:r>
      <w:r>
        <w:rPr/>
        <w:t>日可待。</w:t>
      </w:r>
    </w:p>
    <w:p>
      <w:pPr>
        <w:pStyle w:val="BodyText"/>
        <w:spacing w:line="316" w:lineRule="auto" w:before="139"/>
        <w:ind w:right="191" w:firstLine="360"/>
        <w:jc w:val="both"/>
      </w:pPr>
      <w:r>
        <w:rPr>
          <w:spacing w:val="-2"/>
        </w:rPr>
        <w:t>近几年来，软件产业和信息服务业领域政策利好不断落地，为传统软件行业发展带来了良好的宏观面支撑。</w:t>
      </w:r>
      <w:r>
        <w:rPr>
          <w:rFonts w:ascii="宋体" w:hAnsi="宋体" w:cs="宋体" w:eastAsia="宋体" w:hint="default"/>
          <w:spacing w:val="-2"/>
        </w:rPr>
        <w:t>2015</w:t>
      </w:r>
      <w:r>
        <w:rPr>
          <w:spacing w:val="-2"/>
        </w:rPr>
        <w:t>年又是</w:t>
      </w:r>
      <w:r>
        <w:rPr/>
        <w:t> </w:t>
      </w:r>
      <w:r>
        <w:rPr>
          <w:spacing w:val="-2"/>
        </w:rPr>
        <w:t>国家全面完成“十二五”规划的收官之年，是完成深化改革的关键之年。年初，李克强总理在政府工作报告中明确提出“互</w:t>
      </w:r>
      <w:r>
        <w:rPr>
          <w:spacing w:val="-66"/>
        </w:rPr>
        <w:t> </w:t>
      </w:r>
      <w:r>
        <w:rPr>
          <w:spacing w:val="-66"/>
        </w:rPr>
      </w:r>
      <w:r>
        <w:rPr/>
        <w:t>联网</w:t>
      </w:r>
      <w:r>
        <w:rPr>
          <w:rFonts w:ascii="宋体" w:hAnsi="宋体" w:cs="宋体" w:eastAsia="宋体" w:hint="default"/>
        </w:rPr>
        <w:t>+</w:t>
      </w:r>
      <w:r>
        <w:rPr/>
        <w:t>”行动计划，推出移动互联网、云计算、大数据、物联网等与现代制造业结合，促进电子商务、工业互联网和互联网</w:t>
      </w:r>
      <w:r>
        <w:rPr>
          <w:spacing w:val="-83"/>
        </w:rPr>
        <w:t> </w:t>
      </w:r>
      <w:r>
        <w:rPr>
          <w:spacing w:val="-83"/>
        </w:rPr>
      </w:r>
      <w:r>
        <w:rPr>
          <w:spacing w:val="-2"/>
        </w:rPr>
        <w:t>金融健康发展，引领互联网企业拓展国际市场。随着国家首次将移动互联网、云计算、大数据、物联网等发展提升到一个前</w:t>
      </w:r>
      <w:r>
        <w:rPr>
          <w:spacing w:val="-66"/>
        </w:rPr>
        <w:t> </w:t>
      </w:r>
      <w:r>
        <w:rPr>
          <w:spacing w:val="-66"/>
        </w:rPr>
      </w:r>
      <w:r>
        <w:rPr/>
        <w:t>所未有的战略高度，传统产业与互联网的结合必将迎来更大的发展空间。</w:t>
      </w:r>
    </w:p>
    <w:p>
      <w:pPr>
        <w:pStyle w:val="BodyText"/>
        <w:spacing w:line="432" w:lineRule="exact" w:before="3"/>
        <w:ind w:left="514" w:right="87"/>
        <w:jc w:val="left"/>
      </w:pPr>
      <w:r>
        <w:rPr/>
        <w:t>（二）公司发展战略 </w:t>
      </w:r>
      <w:r>
        <w:rPr>
          <w:spacing w:val="-2"/>
        </w:rPr>
        <w:t>公司作为国内领先的计算机信息系统综合解决方案服务商，在软件开发服务、计算机信息系统集成以及信息技术服务行</w:t>
      </w:r>
    </w:p>
    <w:p>
      <w:pPr>
        <w:pStyle w:val="BodyText"/>
        <w:spacing w:line="316" w:lineRule="auto" w:before="15"/>
        <w:ind w:right="192"/>
        <w:jc w:val="both"/>
      </w:pPr>
      <w:r>
        <w:rPr>
          <w:spacing w:val="-2"/>
        </w:rPr>
        <w:t>业拥有极强的技术基础和项目经验。作为由工信部颁发的《国家安全可靠计算机信息系统集成重点企业证书》仅八家企业之</w:t>
      </w:r>
      <w:r>
        <w:rPr>
          <w:spacing w:val="-66"/>
        </w:rPr>
        <w:t> </w:t>
      </w:r>
      <w:r>
        <w:rPr>
          <w:spacing w:val="-66"/>
        </w:rPr>
      </w:r>
      <w:r>
        <w:rPr/>
        <w:t>一，随着国家在计算机信息安全方面的高度重视和加大投入，公司将获得国家在政策方面的大力扶持。</w:t>
      </w:r>
    </w:p>
    <w:p>
      <w:pPr>
        <w:pStyle w:val="BodyText"/>
        <w:spacing w:line="316" w:lineRule="auto" w:before="139"/>
        <w:ind w:right="92" w:firstLine="360"/>
        <w:jc w:val="left"/>
      </w:pPr>
      <w:r>
        <w:rPr>
          <w:rFonts w:ascii="宋体" w:hAnsi="宋体" w:cs="宋体" w:eastAsia="宋体" w:hint="default"/>
          <w:spacing w:val="-4"/>
        </w:rPr>
        <w:t>2015</w:t>
      </w:r>
      <w:r>
        <w:rPr>
          <w:spacing w:val="-4"/>
        </w:rPr>
        <w:t>年，公司将继续专注于信息产业化，充分利用公司的体制优势、资质优势、行业优势，以及雄厚的资金和技术优势，</w:t>
      </w:r>
      <w:r>
        <w:rPr/>
        <w:t> </w:t>
      </w:r>
      <w:r>
        <w:rPr>
          <w:spacing w:val="-2"/>
        </w:rPr>
        <w:t>在稳步推进各项业务的同时，积极研发储备、布局新型潜力业务、加速商业模式升级，通过多行业布局战略使公司继续保持</w:t>
      </w:r>
      <w:r>
        <w:rPr>
          <w:spacing w:val="-66"/>
        </w:rPr>
        <w:t> </w:t>
      </w:r>
      <w:r>
        <w:rPr>
          <w:spacing w:val="-66"/>
        </w:rPr>
      </w:r>
      <w:r>
        <w:rPr>
          <w:spacing w:val="-2"/>
        </w:rPr>
        <w:t>持续、稳定、高速的发展；同时，公司继续坚持内生式和外延式并举发展战略，积极寻求具有独特业务优势和竞争实力且能</w:t>
      </w:r>
      <w:r>
        <w:rPr>
          <w:spacing w:val="-66"/>
        </w:rPr>
        <w:t> </w:t>
      </w:r>
      <w:r>
        <w:rPr>
          <w:spacing w:val="-66"/>
        </w:rPr>
      </w:r>
      <w:r>
        <w:rPr/>
        <w:t>够和公司现有业务产生协同效应的相关企业，助力公司快速成长。公司一方面时刻关注国家产业政策、紧跟行业发展趋势， </w:t>
      </w:r>
      <w:r>
        <w:rPr>
          <w:spacing w:val="-2"/>
        </w:rPr>
        <w:t>利用国家大力推广自主可靠契机和云计算大潮，进一步推进向软件和服务转型；另一方面，在全社会互联网化革命的大背景</w:t>
      </w:r>
      <w:r>
        <w:rPr>
          <w:spacing w:val="-66"/>
        </w:rPr>
        <w:t> </w:t>
      </w:r>
      <w:r>
        <w:rPr>
          <w:spacing w:val="-66"/>
        </w:rPr>
      </w:r>
      <w:r>
        <w:rPr/>
        <w:t>下，公司将全面进军“互联网</w:t>
      </w:r>
      <w:r>
        <w:rPr>
          <w:rFonts w:ascii="宋体" w:hAnsi="宋体" w:cs="宋体" w:eastAsia="宋体" w:hint="default"/>
        </w:rPr>
        <w:t>+</w:t>
      </w:r>
      <w:r>
        <w:rPr/>
        <w:t>”，将互联网金融、互联网医疗、互联网教育等业务深入推进，在寻求与互联网巨头强强联</w:t>
      </w:r>
      <w:r>
        <w:rPr>
          <w:spacing w:val="-83"/>
        </w:rPr>
        <w:t> </w:t>
      </w:r>
      <w:r>
        <w:rPr>
          <w:spacing w:val="-83"/>
        </w:rPr>
      </w:r>
      <w:r>
        <w:rPr>
          <w:spacing w:val="-2"/>
        </w:rPr>
        <w:t>合的同时，结合自身行业、市场和技术优势，推动公司商业模式转型，突破传统行业发展瓶颈，提供更加满足客户需求的服</w:t>
      </w:r>
      <w:r>
        <w:rPr>
          <w:spacing w:val="-66"/>
        </w:rPr>
        <w:t> </w:t>
      </w:r>
      <w:r>
        <w:rPr>
          <w:spacing w:val="-66"/>
        </w:rPr>
      </w:r>
      <w:r>
        <w:rPr/>
        <w:t>务和产品。</w:t>
      </w:r>
    </w:p>
    <w:p>
      <w:pPr>
        <w:pStyle w:val="BodyText"/>
        <w:spacing w:line="432" w:lineRule="exact" w:before="3"/>
        <w:ind w:left="514" w:right="87"/>
        <w:jc w:val="left"/>
      </w:pPr>
      <w:r>
        <w:rPr/>
        <w:t>（三）经营计划 </w:t>
      </w:r>
      <w:r>
        <w:rPr>
          <w:spacing w:val="-2"/>
        </w:rPr>
        <w:t>近年来，面对“云计算”、“物联网”、“大数据”、“移动互联”等新一代技术的迅猛发展，作为一家传统行业解决</w:t>
      </w:r>
    </w:p>
    <w:p>
      <w:pPr>
        <w:pStyle w:val="BodyText"/>
        <w:spacing w:line="316" w:lineRule="auto" w:before="15"/>
        <w:ind w:right="102"/>
        <w:jc w:val="both"/>
      </w:pPr>
      <w:r>
        <w:rPr>
          <w:spacing w:val="-4"/>
        </w:rPr>
        <w:t>方案提供商，公司紧跟行业技术发展方向，持续加大研发投入力度。自</w:t>
      </w:r>
      <w:r>
        <w:rPr>
          <w:rFonts w:ascii="宋体" w:hAnsi="宋体" w:cs="宋体" w:eastAsia="宋体" w:hint="default"/>
          <w:spacing w:val="-4"/>
        </w:rPr>
        <w:t>2014</w:t>
      </w:r>
      <w:r>
        <w:rPr>
          <w:spacing w:val="-4"/>
        </w:rPr>
        <w:t>年，公司逐步转变经营理念，注重业务模式创新，</w:t>
      </w:r>
      <w:r>
        <w:rPr>
          <w:spacing w:val="-36"/>
        </w:rPr>
        <w:t> </w:t>
      </w:r>
      <w:r>
        <w:rPr>
          <w:spacing w:val="-36"/>
        </w:rPr>
      </w:r>
      <w:r>
        <w:rPr/>
        <w:t>不断升级完善现有软件产品，用互联网思维打造传统软件企业。</w:t>
      </w:r>
    </w:p>
    <w:p>
      <w:pPr>
        <w:pStyle w:val="BodyText"/>
        <w:spacing w:line="316" w:lineRule="auto" w:before="139"/>
        <w:ind w:right="189" w:firstLine="360"/>
        <w:jc w:val="both"/>
      </w:pPr>
      <w:r>
        <w:rPr>
          <w:rFonts w:ascii="宋体" w:hAnsi="宋体" w:cs="宋体" w:eastAsia="宋体" w:hint="default"/>
          <w:spacing w:val="-2"/>
        </w:rPr>
        <w:t>2015</w:t>
      </w:r>
      <w:r>
        <w:rPr>
          <w:spacing w:val="-2"/>
        </w:rPr>
        <w:t>年，公司再一次明确提出转变经营思路。首先，在深耕传统业务、保持主营业务方向不变的同时，加快公司商业模</w:t>
      </w:r>
      <w:r>
        <w:rPr/>
        <w:t> </w:t>
      </w:r>
      <w:r>
        <w:rPr>
          <w:spacing w:val="-2"/>
        </w:rPr>
        <w:t>式转型，全面进军“互联网</w:t>
      </w:r>
      <w:r>
        <w:rPr>
          <w:rFonts w:ascii="宋体" w:hAnsi="宋体" w:cs="宋体" w:eastAsia="宋体" w:hint="default"/>
          <w:spacing w:val="-2"/>
        </w:rPr>
        <w:t>+</w:t>
      </w:r>
      <w:r>
        <w:rPr>
          <w:spacing w:val="-2"/>
        </w:rPr>
        <w:t>”，逐步由传统软件公司</w:t>
      </w:r>
      <w:r>
        <w:rPr>
          <w:rFonts w:ascii="宋体" w:hAnsi="宋体" w:cs="宋体" w:eastAsia="宋体" w:hint="default"/>
          <w:spacing w:val="-2"/>
        </w:rPr>
        <w:t>B2B</w:t>
      </w:r>
      <w:r>
        <w:rPr>
          <w:spacing w:val="-2"/>
        </w:rPr>
        <w:t>、</w:t>
      </w:r>
      <w:r>
        <w:rPr>
          <w:rFonts w:ascii="宋体" w:hAnsi="宋体" w:cs="宋体" w:eastAsia="宋体" w:hint="default"/>
          <w:spacing w:val="-2"/>
        </w:rPr>
        <w:t>B2G</w:t>
      </w:r>
      <w:r>
        <w:rPr>
          <w:spacing w:val="-2"/>
        </w:rPr>
        <w:t>向</w:t>
      </w:r>
      <w:r>
        <w:rPr>
          <w:rFonts w:ascii="宋体" w:hAnsi="宋体" w:cs="宋体" w:eastAsia="宋体" w:hint="default"/>
          <w:spacing w:val="-2"/>
        </w:rPr>
        <w:t>B2C</w:t>
      </w:r>
      <w:r>
        <w:rPr>
          <w:spacing w:val="-2"/>
        </w:rPr>
        <w:t>服务转型，突破公司业务模式瓶颈，大力推广公司“健</w:t>
      </w:r>
      <w:r>
        <w:rPr>
          <w:spacing w:val="-58"/>
        </w:rPr>
        <w:t> </w:t>
      </w:r>
      <w:r>
        <w:rPr>
          <w:spacing w:val="-58"/>
        </w:rPr>
      </w:r>
      <w:r>
        <w:rPr>
          <w:spacing w:val="-2"/>
        </w:rPr>
        <w:t>康乐”、“互联网金融”、“互联网教育”等业务；其次，积极开发探索新一代技术，继续加大研发力度，更加深入推广公</w:t>
      </w:r>
      <w:r>
        <w:rPr>
          <w:spacing w:val="-68"/>
        </w:rPr>
        <w:t> </w:t>
      </w:r>
      <w:r>
        <w:rPr>
          <w:spacing w:val="-68"/>
        </w:rPr>
      </w:r>
      <w:r>
        <w:rPr>
          <w:spacing w:val="-2"/>
        </w:rPr>
        <w:t>司以“金融云”、“医疗云”、“企业管理云”、“移动互联”等终端产品为代表的新技术应用和新型业务；再次，切实落</w:t>
      </w:r>
      <w:r>
        <w:rPr>
          <w:spacing w:val="-66"/>
        </w:rPr>
        <w:t> </w:t>
      </w:r>
      <w:r>
        <w:rPr>
          <w:spacing w:val="-66"/>
        </w:rPr>
      </w:r>
      <w:r>
        <w:rPr>
          <w:spacing w:val="-2"/>
        </w:rPr>
        <w:t>地智慧城市项目，逐步落实智慧家居和智慧社区建设，形成基于互联网和云计算的一体化智慧城市解决方案，面向全国逐步</w:t>
      </w:r>
      <w:r>
        <w:rPr>
          <w:spacing w:val="-66"/>
        </w:rPr>
        <w:t> </w:t>
      </w:r>
      <w:r>
        <w:rPr>
          <w:spacing w:val="-66"/>
        </w:rPr>
      </w:r>
      <w:r>
        <w:rPr>
          <w:spacing w:val="-2"/>
        </w:rPr>
        <w:t>推进，全方位加速公司智慧城市项目建设；最后，发挥公司自主可控优势地位，积极参与党政机关公文系统安全可靠应用项</w:t>
      </w:r>
      <w:r>
        <w:rPr>
          <w:spacing w:val="-66"/>
        </w:rPr>
        <w:t> </w:t>
      </w:r>
      <w:r>
        <w:rPr>
          <w:spacing w:val="-66"/>
        </w:rPr>
      </w:r>
      <w:r>
        <w:rPr/>
        <w:t>目的推广和建设。</w:t>
      </w:r>
    </w:p>
    <w:p>
      <w:pPr>
        <w:pStyle w:val="BodyText"/>
        <w:spacing w:line="240" w:lineRule="auto" w:before="139"/>
        <w:ind w:left="855" w:right="6570"/>
        <w:jc w:val="center"/>
      </w:pPr>
      <w:r>
        <w:rPr>
          <w:rFonts w:ascii="宋体" w:hAnsi="宋体" w:cs="宋体" w:eastAsia="宋体" w:hint="default"/>
        </w:rPr>
        <w:t>2015</w:t>
      </w:r>
      <w:r>
        <w:rPr/>
        <w:t>年公司具体经营计划如下：</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rFonts w:ascii="宋体" w:hAnsi="宋体" w:cs="宋体" w:eastAsia="宋体" w:hint="default"/>
        </w:rPr>
        <w:t>1.</w:t>
      </w:r>
      <w:r>
        <w:rPr/>
        <w:t>继续专注公司主业，深耕行业细分市场</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2" w:firstLine="360"/>
        <w:jc w:val="left"/>
      </w:pPr>
      <w:r>
        <w:rPr>
          <w:spacing w:val="-2"/>
        </w:rPr>
        <w:t>公司一直致力于成为一家综合型的行业应用软件、计算机信息系统集成及相关技术服务的提供商，为客户提供行业整体</w:t>
      </w:r>
      <w:r>
        <w:rPr/>
        <w:t> 解决方案和长期的信息化服务。经过十余年的发展，积累了丰富的行业资源、客户资源和市场资源，在金融、医疗、保险、 </w:t>
      </w:r>
      <w:r>
        <w:rPr>
          <w:spacing w:val="-2"/>
        </w:rPr>
        <w:t>煤炭、电力、通讯、交通运输、政府、农产品物流等</w:t>
      </w:r>
      <w:r>
        <w:rPr>
          <w:rFonts w:ascii="宋体" w:hAnsi="宋体" w:cs="宋体" w:eastAsia="宋体" w:hint="default"/>
          <w:spacing w:val="-2"/>
        </w:rPr>
        <w:t>20</w:t>
      </w:r>
      <w:r>
        <w:rPr>
          <w:spacing w:val="-2"/>
        </w:rPr>
        <w:t>多个行业拥有坚实的客户基础和良好口碑。</w:t>
      </w:r>
      <w:r>
        <w:rPr>
          <w:rFonts w:ascii="宋体" w:hAnsi="宋体" w:cs="宋体" w:eastAsia="宋体" w:hint="default"/>
          <w:spacing w:val="-2"/>
        </w:rPr>
        <w:t>2015</w:t>
      </w:r>
      <w:r>
        <w:rPr>
          <w:spacing w:val="-2"/>
        </w:rPr>
        <w:t>年，公司将继续深耕</w:t>
      </w:r>
      <w:r>
        <w:rPr>
          <w:spacing w:val="-64"/>
        </w:rPr>
        <w:t> </w:t>
      </w:r>
      <w:r>
        <w:rPr>
          <w:spacing w:val="-64"/>
        </w:rPr>
      </w:r>
      <w:r>
        <w:rPr>
          <w:spacing w:val="-2"/>
        </w:rPr>
        <w:t>细分行业市场，在为客户做好传统信息技术服务的同时，推广公司新一代技术应用，为客户提供更前沿、更便捷、更符合需</w:t>
      </w:r>
      <w:r>
        <w:rPr>
          <w:spacing w:val="-66"/>
        </w:rPr>
        <w:t> </w:t>
      </w:r>
      <w:r>
        <w:rPr>
          <w:spacing w:val="-66"/>
        </w:rPr>
      </w:r>
      <w:r>
        <w:rPr>
          <w:spacing w:val="-2"/>
        </w:rPr>
        <w:t>求的服务和产品。公司计划在今年大力推广“云管理平台”应用，将“金融云”、“医疗云”、“企业管理云”等云化服务</w:t>
      </w:r>
      <w:r>
        <w:rPr>
          <w:spacing w:val="-67"/>
        </w:rPr>
        <w:t> </w:t>
      </w:r>
      <w:r>
        <w:rPr>
          <w:spacing w:val="-67"/>
        </w:rPr>
      </w:r>
      <w:r>
        <w:rPr/>
        <w:t>深入客户市场，逐步实现公司业务模式转型。</w:t>
      </w:r>
    </w:p>
    <w:p>
      <w:pPr>
        <w:pStyle w:val="BodyText"/>
        <w:spacing w:line="432" w:lineRule="exact" w:before="3"/>
        <w:ind w:left="514" w:right="92"/>
        <w:jc w:val="left"/>
      </w:pPr>
      <w:r>
        <w:rPr>
          <w:rFonts w:ascii="宋体" w:hAnsi="宋体" w:cs="宋体" w:eastAsia="宋体" w:hint="default"/>
        </w:rPr>
        <w:t>2.</w:t>
      </w:r>
      <w:r>
        <w:rPr/>
        <w:t>全面进军“互联网</w:t>
      </w:r>
      <w:r>
        <w:rPr>
          <w:rFonts w:ascii="宋体" w:hAnsi="宋体" w:cs="宋体" w:eastAsia="宋体" w:hint="default"/>
        </w:rPr>
        <w:t>+</w:t>
      </w:r>
      <w:r>
        <w:rPr/>
        <w:t>”，突破传统业务模式瓶颈 在全球互联网化革命的大背景下，移动互联网浪潮已全面渗透各传统行业。早在</w:t>
      </w:r>
      <w:r>
        <w:rPr>
          <w:rFonts w:ascii="宋体" w:hAnsi="宋体" w:cs="宋体" w:eastAsia="宋体" w:hint="default"/>
        </w:rPr>
        <w:t>2013</w:t>
      </w:r>
      <w:r>
        <w:rPr/>
        <w:t>年公司就已提出拥抱互联网计划，</w:t>
      </w:r>
    </w:p>
    <w:p>
      <w:pPr>
        <w:pStyle w:val="BodyText"/>
        <w:spacing w:line="316" w:lineRule="auto" w:before="15"/>
        <w:ind w:right="189"/>
        <w:jc w:val="both"/>
      </w:pPr>
      <w:r>
        <w:rPr/>
        <w:t>以“健康乐”为代表的互联网产品顺势而出；</w:t>
      </w:r>
      <w:r>
        <w:rPr>
          <w:rFonts w:ascii="宋体" w:hAnsi="宋体" w:cs="宋体" w:eastAsia="宋体" w:hint="default"/>
        </w:rPr>
        <w:t>2015</w:t>
      </w:r>
      <w:r>
        <w:rPr/>
        <w:t>年初，公司与首创集团等</w:t>
      </w:r>
      <w:r>
        <w:rPr>
          <w:rFonts w:ascii="宋体" w:hAnsi="宋体" w:cs="宋体" w:eastAsia="宋体" w:hint="default"/>
        </w:rPr>
        <w:t>8</w:t>
      </w:r>
      <w:r>
        <w:rPr/>
        <w:t>家公司共同出资设立“北京首创金融资产交易</w:t>
      </w:r>
      <w:r>
        <w:rPr>
          <w:spacing w:val="-83"/>
        </w:rPr>
        <w:t> </w:t>
      </w:r>
      <w:r>
        <w:rPr>
          <w:spacing w:val="-83"/>
        </w:rPr>
      </w:r>
      <w:r>
        <w:rPr/>
        <w:t>信息服务股份有限公司”，打通迈进互联网金融市场的通道。</w:t>
      </w:r>
      <w:r>
        <w:rPr>
          <w:rFonts w:ascii="宋体" w:hAnsi="宋体" w:cs="宋体" w:eastAsia="宋体" w:hint="default"/>
        </w:rPr>
        <w:t>2015</w:t>
      </w:r>
      <w:r>
        <w:rPr/>
        <w:t>年公司将会继续积极探索“互联网</w:t>
      </w:r>
      <w:r>
        <w:rPr>
          <w:rFonts w:ascii="宋体" w:hAnsi="宋体" w:cs="宋体" w:eastAsia="宋体" w:hint="default"/>
        </w:rPr>
        <w:t>+</w:t>
      </w:r>
      <w:r>
        <w:rPr/>
        <w:t>”模式，着重向“互</w:t>
      </w:r>
      <w:r>
        <w:rPr>
          <w:spacing w:val="-83"/>
        </w:rPr>
        <w:t> </w:t>
      </w:r>
      <w:r>
        <w:rPr>
          <w:spacing w:val="-83"/>
        </w:rPr>
      </w:r>
      <w:r>
        <w:rPr/>
        <w:t>联网金融”、“互联网医疗”、“互联网教育”三个方面全面进军。</w:t>
      </w:r>
    </w:p>
    <w:p>
      <w:pPr>
        <w:pStyle w:val="BodyText"/>
        <w:spacing w:line="316" w:lineRule="auto" w:before="139"/>
        <w:ind w:right="191" w:firstLine="360"/>
        <w:jc w:val="both"/>
      </w:pPr>
      <w:r>
        <w:rPr>
          <w:spacing w:val="-2"/>
        </w:rPr>
        <w:t>“互联网金融”方面：公司充分整合在金融领域的客户积累和行业资源，将正式推出互联网运营平台，利用公司丰富的</w:t>
      </w:r>
      <w:r>
        <w:rPr/>
        <w:t> </w:t>
      </w:r>
      <w:r>
        <w:rPr>
          <w:spacing w:val="-2"/>
        </w:rPr>
        <w:t>线下资源，与国内众多地方性商业银行展开战略合作，打造微金融行业的“淘宝”平台。公司将借助原有的金融产品线和金</w:t>
      </w:r>
      <w:r>
        <w:rPr>
          <w:spacing w:val="-66"/>
        </w:rPr>
        <w:t> </w:t>
      </w:r>
      <w:r>
        <w:rPr>
          <w:spacing w:val="-66"/>
        </w:rPr>
      </w:r>
      <w:r>
        <w:rPr/>
        <w:t>融服务业务，在海南成立互联网金融服务运营中心，全力打造公司“互联网金融”产品和服务。</w:t>
      </w:r>
    </w:p>
    <w:p>
      <w:pPr>
        <w:pStyle w:val="BodyText"/>
        <w:spacing w:line="316" w:lineRule="auto" w:before="139"/>
        <w:ind w:right="190" w:firstLine="360"/>
        <w:jc w:val="both"/>
      </w:pPr>
      <w:r>
        <w:rPr>
          <w:spacing w:val="-2"/>
        </w:rPr>
        <w:t>“互联网医疗”方面：</w:t>
      </w:r>
      <w:r>
        <w:rPr>
          <w:rFonts w:ascii="宋体" w:hAnsi="宋体" w:cs="宋体" w:eastAsia="宋体" w:hint="default"/>
          <w:spacing w:val="-2"/>
        </w:rPr>
        <w:t>2014</w:t>
      </w:r>
      <w:r>
        <w:rPr>
          <w:spacing w:val="-2"/>
        </w:rPr>
        <w:t>年，健康乐相继推出免费版云诊所系统及与医院内部临床数据管理融为一体的健康乐随访系</w:t>
      </w:r>
      <w:r>
        <w:rPr/>
        <w:t> </w:t>
      </w:r>
      <w:r>
        <w:rPr>
          <w:spacing w:val="-2"/>
        </w:rPr>
        <w:t>统，与</w:t>
      </w:r>
      <w:r>
        <w:rPr>
          <w:rFonts w:ascii="宋体" w:hAnsi="宋体" w:cs="宋体" w:eastAsia="宋体" w:hint="default"/>
          <w:spacing w:val="-2"/>
        </w:rPr>
        <w:t>20</w:t>
      </w:r>
      <w:r>
        <w:rPr>
          <w:spacing w:val="-2"/>
        </w:rPr>
        <w:t>余家大中医院达成互联网医疗战略协议。在</w:t>
      </w:r>
      <w:r>
        <w:rPr>
          <w:rFonts w:ascii="宋体" w:hAnsi="宋体" w:cs="宋体" w:eastAsia="宋体" w:hint="default"/>
          <w:spacing w:val="-2"/>
        </w:rPr>
        <w:t>2015</w:t>
      </w:r>
      <w:r>
        <w:rPr>
          <w:spacing w:val="-2"/>
        </w:rPr>
        <w:t>年，一方面将公司“健康乐”平台不断优化升级并加大推广宣传力</w:t>
      </w:r>
      <w:r>
        <w:rPr>
          <w:spacing w:val="-61"/>
        </w:rPr>
        <w:t> </w:t>
      </w:r>
      <w:r>
        <w:rPr>
          <w:spacing w:val="-61"/>
        </w:rPr>
      </w:r>
      <w:r>
        <w:rPr>
          <w:spacing w:val="-2"/>
        </w:rPr>
        <w:t>度，公司计划全面启动</w:t>
      </w:r>
      <w:r>
        <w:rPr>
          <w:rFonts w:ascii="宋体" w:hAnsi="宋体" w:cs="宋体" w:eastAsia="宋体" w:hint="default"/>
          <w:spacing w:val="-2"/>
        </w:rPr>
        <w:t>C</w:t>
      </w:r>
      <w:r>
        <w:rPr>
          <w:spacing w:val="-2"/>
        </w:rPr>
        <w:t>端推广和流量导入，将在国内数十家大型三甲医院落地推广，向</w:t>
      </w:r>
      <w:r>
        <w:rPr>
          <w:rFonts w:ascii="宋体" w:hAnsi="宋体" w:cs="宋体" w:eastAsia="宋体" w:hint="default"/>
          <w:spacing w:val="-2"/>
        </w:rPr>
        <w:t>200</w:t>
      </w:r>
      <w:r>
        <w:rPr>
          <w:spacing w:val="-2"/>
        </w:rPr>
        <w:t>家私人诊所免费提供健康乐云诊</w:t>
      </w:r>
      <w:r>
        <w:rPr>
          <w:spacing w:val="-62"/>
        </w:rPr>
        <w:t> </w:t>
      </w:r>
      <w:r>
        <w:rPr/>
        <w:t>所服务，健康乐的普通注册用户达到百万计，实现业务模式从</w:t>
      </w:r>
      <w:r>
        <w:rPr>
          <w:rFonts w:ascii="宋体" w:hAnsi="宋体" w:cs="宋体" w:eastAsia="宋体" w:hint="default"/>
        </w:rPr>
        <w:t>B2B</w:t>
      </w:r>
      <w:r>
        <w:rPr/>
        <w:t>、</w:t>
      </w:r>
      <w:r>
        <w:rPr>
          <w:rFonts w:ascii="宋体" w:hAnsi="宋体" w:cs="宋体" w:eastAsia="宋体" w:hint="default"/>
        </w:rPr>
        <w:t>B2G</w:t>
      </w:r>
      <w:r>
        <w:rPr/>
        <w:t>向</w:t>
      </w:r>
      <w:r>
        <w:rPr>
          <w:rFonts w:ascii="宋体" w:hAnsi="宋体" w:cs="宋体" w:eastAsia="宋体" w:hint="default"/>
        </w:rPr>
        <w:t>B2C</w:t>
      </w:r>
      <w:r>
        <w:rPr/>
        <w:t>转型；另一方面，公司将携手互联网巨头打造</w:t>
      </w:r>
      <w:r>
        <w:rPr>
          <w:spacing w:val="-82"/>
        </w:rPr>
        <w:t> </w:t>
      </w:r>
      <w:r>
        <w:rPr>
          <w:spacing w:val="-82"/>
        </w:rPr>
      </w:r>
      <w:r>
        <w:rPr>
          <w:spacing w:val="-2"/>
        </w:rPr>
        <w:t>“未来医院计划”，在系统对接、电子处方调用等多方面展开合作，助力布局公司“互联网医疗”。随着国家医改的不断深</w:t>
      </w:r>
      <w:r>
        <w:rPr>
          <w:spacing w:val="-66"/>
        </w:rPr>
        <w:t> </w:t>
      </w:r>
      <w:r>
        <w:rPr>
          <w:spacing w:val="-66"/>
        </w:rPr>
      </w:r>
      <w:r>
        <w:rPr>
          <w:spacing w:val="-2"/>
        </w:rPr>
        <w:t>入，围绕</w:t>
      </w:r>
      <w:r>
        <w:rPr>
          <w:rFonts w:ascii="宋体" w:hAnsi="宋体" w:cs="宋体" w:eastAsia="宋体" w:hint="default"/>
          <w:spacing w:val="-2"/>
        </w:rPr>
        <w:t>DRGs</w:t>
      </w:r>
      <w:r>
        <w:rPr>
          <w:spacing w:val="-2"/>
        </w:rPr>
        <w:t>的业务开展将会成为东华软件新的业务增长点，面向医疗、保险管理机构以及二三级医院的基于</w:t>
      </w:r>
      <w:r>
        <w:rPr>
          <w:rFonts w:ascii="宋体" w:hAnsi="宋体" w:cs="宋体" w:eastAsia="宋体" w:hint="default"/>
          <w:spacing w:val="-2"/>
        </w:rPr>
        <w:t>DRGs</w:t>
      </w:r>
      <w:r>
        <w:rPr>
          <w:spacing w:val="-2"/>
        </w:rPr>
        <w:t>的医疗绩</w:t>
      </w:r>
      <w:r>
        <w:rPr>
          <w:spacing w:val="-58"/>
        </w:rPr>
        <w:t> </w:t>
      </w:r>
      <w:r>
        <w:rPr/>
        <w:t>效评估和医保费用评估或控制系统的研发和销售推广工作，将是公司</w:t>
      </w:r>
      <w:r>
        <w:rPr>
          <w:rFonts w:ascii="宋体" w:hAnsi="宋体" w:cs="宋体" w:eastAsia="宋体" w:hint="default"/>
        </w:rPr>
        <w:t>2015</w:t>
      </w:r>
      <w:r>
        <w:rPr/>
        <w:t>年以及未来相当长时间内的重要工作内容。</w:t>
      </w:r>
    </w:p>
    <w:p>
      <w:pPr>
        <w:pStyle w:val="BodyText"/>
        <w:spacing w:line="316" w:lineRule="auto" w:before="139"/>
        <w:ind w:right="87" w:firstLine="360"/>
        <w:jc w:val="left"/>
      </w:pPr>
      <w:r>
        <w:rPr>
          <w:spacing w:val="-2"/>
        </w:rPr>
        <w:t>“互联网教育”方面：</w:t>
      </w:r>
      <w:r>
        <w:rPr>
          <w:rFonts w:ascii="宋体" w:hAnsi="宋体" w:cs="宋体" w:eastAsia="宋体" w:hint="default"/>
          <w:spacing w:val="-2"/>
        </w:rPr>
        <w:t>2014</w:t>
      </w:r>
      <w:r>
        <w:rPr>
          <w:spacing w:val="-2"/>
        </w:rPr>
        <w:t>年，公司推出的“基础教育云平台”已在海南近</w:t>
      </w:r>
      <w:r>
        <w:rPr>
          <w:rFonts w:ascii="宋体" w:hAnsi="宋体" w:cs="宋体" w:eastAsia="宋体" w:hint="default"/>
          <w:spacing w:val="-2"/>
        </w:rPr>
        <w:t>50</w:t>
      </w:r>
      <w:r>
        <w:rPr>
          <w:spacing w:val="-2"/>
        </w:rPr>
        <w:t>所学校上线试用，其“在线教学”、“教</w:t>
      </w:r>
      <w:r>
        <w:rPr/>
        <w:t> </w:t>
      </w:r>
      <w:r>
        <w:rPr>
          <w:spacing w:val="-2"/>
        </w:rPr>
        <w:t>学督导”等多款线上产品均在测试阶段并得到了良好口碑。</w:t>
      </w:r>
      <w:r>
        <w:rPr>
          <w:rFonts w:ascii="宋体" w:hAnsi="宋体" w:cs="宋体" w:eastAsia="宋体" w:hint="default"/>
          <w:spacing w:val="-2"/>
        </w:rPr>
        <w:t>2015</w:t>
      </w:r>
      <w:r>
        <w:rPr>
          <w:spacing w:val="-2"/>
        </w:rPr>
        <w:t>年，公司将加大对互联网教育技术平台研发力度，不断优化</w:t>
      </w:r>
      <w:r>
        <w:rPr>
          <w:spacing w:val="-62"/>
        </w:rPr>
        <w:t> </w:t>
      </w:r>
      <w:r>
        <w:rPr>
          <w:spacing w:val="-62"/>
        </w:rPr>
      </w:r>
      <w:r>
        <w:rPr>
          <w:spacing w:val="-4"/>
        </w:rPr>
        <w:t>平台结构性能，并通过与国内知名教育机构达成战略合作协议，丰富产品线；逐步推进与教育部、各省教育厅签订合作协议，</w:t>
      </w:r>
      <w:r>
        <w:rPr>
          <w:spacing w:val="-46"/>
        </w:rPr>
        <w:t> </w:t>
      </w:r>
      <w:r>
        <w:rPr>
          <w:spacing w:val="-46"/>
        </w:rPr>
      </w:r>
      <w:r>
        <w:rPr/>
        <w:t>以建立教育云网络、微信及互联网媒体方式扩大宣传推广，力争在</w:t>
      </w:r>
      <w:r>
        <w:rPr>
          <w:rFonts w:ascii="宋体" w:hAnsi="宋体" w:cs="宋体" w:eastAsia="宋体" w:hint="default"/>
        </w:rPr>
        <w:t>2015</w:t>
      </w:r>
      <w:r>
        <w:rPr/>
        <w:t>年实现在全国范围内</w:t>
      </w:r>
      <w:r>
        <w:rPr>
          <w:rFonts w:ascii="宋体" w:hAnsi="宋体" w:cs="宋体" w:eastAsia="宋体" w:hint="default"/>
        </w:rPr>
        <w:t>200</w:t>
      </w:r>
      <w:r>
        <w:rPr/>
        <w:t>所学校上线使用。</w:t>
      </w:r>
    </w:p>
    <w:p>
      <w:pPr>
        <w:pStyle w:val="BodyText"/>
        <w:spacing w:line="432" w:lineRule="exact" w:before="3"/>
        <w:ind w:left="514" w:right="87"/>
        <w:jc w:val="left"/>
      </w:pPr>
      <w:r>
        <w:rPr>
          <w:rFonts w:ascii="宋体" w:hAnsi="宋体" w:cs="宋体" w:eastAsia="宋体" w:hint="default"/>
        </w:rPr>
        <w:t>3.</w:t>
      </w:r>
      <w:r>
        <w:rPr/>
        <w:t>落地智慧城市，提供一体化解决方案 </w:t>
      </w:r>
      <w:r>
        <w:rPr>
          <w:spacing w:val="-2"/>
        </w:rPr>
        <w:t>公司在</w:t>
      </w:r>
      <w:r>
        <w:rPr>
          <w:rFonts w:ascii="宋体" w:hAnsi="宋体" w:cs="宋体" w:eastAsia="宋体" w:hint="default"/>
          <w:spacing w:val="-2"/>
        </w:rPr>
        <w:t>2014</w:t>
      </w:r>
      <w:r>
        <w:rPr>
          <w:spacing w:val="-2"/>
        </w:rPr>
        <w:t>年全面布局智慧城市项目，相继签订深圳前海、浙江衢州、重庆永川、海南省、河南新郑、江苏如皋等战略</w:t>
      </w:r>
    </w:p>
    <w:p>
      <w:pPr>
        <w:pStyle w:val="BodyText"/>
        <w:spacing w:line="316" w:lineRule="auto" w:before="15"/>
        <w:ind w:right="92"/>
        <w:jc w:val="left"/>
      </w:pPr>
      <w:r>
        <w:rPr>
          <w:spacing w:val="-2"/>
        </w:rPr>
        <w:t>合作协议。</w:t>
      </w:r>
      <w:r>
        <w:rPr>
          <w:rFonts w:ascii="宋体" w:hAnsi="宋体" w:cs="宋体" w:eastAsia="宋体" w:hint="default"/>
          <w:spacing w:val="-2"/>
        </w:rPr>
        <w:t>2015</w:t>
      </w:r>
      <w:r>
        <w:rPr>
          <w:spacing w:val="-2"/>
        </w:rPr>
        <w:t>年，公司争取在与其他省市签订智慧城市建设和运营订单的同时，切实落实智慧城市项目，逐步落实智慧家</w:t>
      </w:r>
      <w:r>
        <w:rPr>
          <w:spacing w:val="-61"/>
        </w:rPr>
        <w:t> </w:t>
      </w:r>
      <w:r>
        <w:rPr>
          <w:spacing w:val="-61"/>
        </w:rPr>
      </w:r>
      <w:r>
        <w:rPr/>
        <w:t>居和智慧社区建设，形成面向全国的基于互联网和云计算的一体化智慧城市解决方案，全方位加速公司智慧城市项目建设。 </w:t>
      </w:r>
      <w:r>
        <w:rPr>
          <w:spacing w:val="-2"/>
        </w:rPr>
        <w:t>通过智慧城市领域的一体化平台建设优势，以及多个领域的完整解决方案，在“智慧医疗”、“智慧公安”、“智慧交通”</w:t>
      </w:r>
      <w:r>
        <w:rPr>
          <w:spacing w:val="-66"/>
        </w:rPr>
        <w:t> </w:t>
      </w:r>
      <w:r>
        <w:rPr>
          <w:spacing w:val="-66"/>
        </w:rPr>
      </w:r>
      <w:r>
        <w:rPr>
          <w:spacing w:val="-2"/>
        </w:rPr>
        <w:t>打造属于东华的口碑与品牌。通过对国内外“智慧城市”理念与实践的深入研究分析，针对不同城市运行重点关注领域，结</w:t>
      </w:r>
      <w:r>
        <w:rPr>
          <w:spacing w:val="-66"/>
        </w:rPr>
        <w:t> </w:t>
      </w:r>
      <w:r>
        <w:rPr>
          <w:spacing w:val="-66"/>
        </w:rPr>
      </w:r>
      <w:r>
        <w:rPr>
          <w:spacing w:val="-2"/>
        </w:rPr>
        <w:t>合当地政府现状因地制宜，充分发挥公司自有产品及服务优势，采取不同运营模式承接智慧城市项目，促进国内智慧城市快</w:t>
      </w:r>
      <w:r>
        <w:rPr>
          <w:spacing w:val="-66"/>
        </w:rPr>
        <w:t> </w:t>
      </w:r>
      <w:r>
        <w:rPr>
          <w:spacing w:val="-66"/>
        </w:rPr>
      </w:r>
      <w:r>
        <w:rPr/>
        <w:t>速发展与建设。</w:t>
      </w:r>
    </w:p>
    <w:p>
      <w:pPr>
        <w:pStyle w:val="BodyText"/>
        <w:spacing w:line="432" w:lineRule="exact" w:before="3"/>
        <w:ind w:left="514" w:right="87"/>
        <w:jc w:val="left"/>
      </w:pPr>
      <w:r>
        <w:rPr>
          <w:rFonts w:ascii="宋体" w:hAnsi="宋体" w:cs="宋体" w:eastAsia="宋体" w:hint="default"/>
        </w:rPr>
        <w:t>4.</w:t>
      </w:r>
      <w:r>
        <w:rPr/>
        <w:t>打造“安全可靠”自主品牌，彰显行业龙头地位 </w:t>
      </w:r>
      <w:r>
        <w:rPr>
          <w:spacing w:val="-2"/>
        </w:rPr>
        <w:t>近年来，国家对信息安全重视力度空前，国产软、硬件企业迎来了新一轮发展机会。公司持续</w:t>
      </w:r>
      <w:r>
        <w:rPr>
          <w:rFonts w:ascii="宋体" w:hAnsi="宋体" w:cs="宋体" w:eastAsia="宋体" w:hint="default"/>
          <w:spacing w:val="-2"/>
        </w:rPr>
        <w:t>12</w:t>
      </w:r>
      <w:r>
        <w:rPr>
          <w:spacing w:val="-2"/>
        </w:rPr>
        <w:t>年保持计算机信息系统</w:t>
      </w:r>
    </w:p>
    <w:p>
      <w:pPr>
        <w:pStyle w:val="BodyText"/>
        <w:spacing w:line="316" w:lineRule="auto" w:before="15"/>
        <w:ind w:right="92"/>
        <w:jc w:val="left"/>
      </w:pPr>
      <w:r>
        <w:rPr/>
        <w:t>集成一级资质，是国内少数通过“</w:t>
      </w:r>
      <w:r>
        <w:rPr>
          <w:rFonts w:ascii="宋体" w:hAnsi="宋体" w:cs="宋体" w:eastAsia="宋体" w:hint="default"/>
        </w:rPr>
        <w:t>CMMI 5</w:t>
      </w:r>
      <w:r>
        <w:rPr/>
        <w:t>级软件成熟度认证”的公司，目前拥有近</w:t>
      </w:r>
      <w:r>
        <w:rPr>
          <w:rFonts w:ascii="宋体" w:hAnsi="宋体" w:cs="宋体" w:eastAsia="宋体" w:hint="default"/>
        </w:rPr>
        <w:t>600</w:t>
      </w:r>
      <w:r>
        <w:rPr/>
        <w:t>项计算机软件著作权，是国家规划布</w:t>
      </w:r>
      <w:r>
        <w:rPr>
          <w:spacing w:val="-83"/>
        </w:rPr>
        <w:t> </w:t>
      </w:r>
      <w:r>
        <w:rPr>
          <w:spacing w:val="-83"/>
        </w:rPr>
      </w:r>
      <w:r>
        <w:rPr/>
        <w:t>局重点软件企业，被工业和信息化部评为“中国自主品牌软件产品前十家”、“企业和国家火炬计划重点高新技术企业”。 </w:t>
      </w:r>
      <w:r>
        <w:rPr>
          <w:rFonts w:ascii="宋体" w:hAnsi="宋体" w:cs="宋体" w:eastAsia="宋体" w:hint="default"/>
          <w:spacing w:val="-2"/>
        </w:rPr>
        <w:t>2014</w:t>
      </w:r>
      <w:r>
        <w:rPr>
          <w:spacing w:val="-2"/>
        </w:rPr>
        <w:t>年公司作为全国仅八家之一的计算机信息系统集成企业成功入围由工信部颁发的《国家安全可靠计算机信息系统集成重</w:t>
      </w:r>
      <w:r>
        <w:rPr>
          <w:spacing w:val="-60"/>
        </w:rPr>
        <w:t> </w:t>
      </w:r>
      <w:r>
        <w:rPr>
          <w:spacing w:val="-60"/>
        </w:rPr>
      </w:r>
      <w:r>
        <w:rPr>
          <w:spacing w:val="-2"/>
        </w:rPr>
        <w:t>点企业证书》名单，充分彰显公司在行业内的实力和地位。</w:t>
      </w:r>
      <w:r>
        <w:rPr>
          <w:rFonts w:ascii="宋体" w:hAnsi="宋体" w:cs="宋体" w:eastAsia="宋体" w:hint="default"/>
          <w:spacing w:val="-2"/>
        </w:rPr>
        <w:t>2015</w:t>
      </w:r>
      <w:r>
        <w:rPr>
          <w:spacing w:val="-2"/>
        </w:rPr>
        <w:t>年，公司将此作为一个重点工作方向，积极参与、提供安全</w:t>
      </w:r>
      <w:r>
        <w:rPr>
          <w:spacing w:val="-62"/>
        </w:rPr>
        <w:t> </w:t>
      </w:r>
      <w:r>
        <w:rPr>
          <w:spacing w:val="-62"/>
        </w:rPr>
      </w:r>
      <w:r>
        <w:rPr>
          <w:spacing w:val="-2"/>
        </w:rPr>
        <w:t>可靠系统建设咨询，并协调公司内部各种资源，为自主可控安全可靠项目贡献力量。</w:t>
      </w:r>
      <w:r>
        <w:rPr>
          <w:rFonts w:ascii="宋体" w:hAnsi="宋体" w:cs="宋体" w:eastAsia="宋体" w:hint="default"/>
          <w:spacing w:val="-2"/>
        </w:rPr>
        <w:t>2015</w:t>
      </w:r>
      <w:r>
        <w:rPr>
          <w:spacing w:val="-2"/>
        </w:rPr>
        <w:t>年初公司已拿下多个此类项目，将</w:t>
      </w:r>
      <w:r>
        <w:rPr>
          <w:spacing w:val="-61"/>
        </w:rPr>
        <w:t> </w:t>
      </w:r>
      <w:r>
        <w:rPr>
          <w:spacing w:val="-61"/>
        </w:rPr>
      </w:r>
      <w:r>
        <w:rPr/>
        <w:t>与用户一起为党政机关电子公文系统安全可靠应用项目的推广和建设共同努力。</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87"/>
        <w:jc w:val="left"/>
      </w:pPr>
      <w:r>
        <w:rPr>
          <w:rFonts w:ascii="宋体" w:hAnsi="宋体" w:cs="宋体" w:eastAsia="宋体" w:hint="default"/>
        </w:rPr>
        <w:t>5.</w:t>
      </w:r>
      <w:r>
        <w:rPr/>
        <w:t>加大新一代技术研发，优化原有自主产品</w:t>
      </w:r>
    </w:p>
    <w:p>
      <w:pPr>
        <w:spacing w:line="240" w:lineRule="auto" w:before="0"/>
        <w:rPr>
          <w:rFonts w:ascii="宋体" w:hAnsi="宋体" w:cs="宋体" w:eastAsia="宋体" w:hint="default"/>
          <w:sz w:val="15"/>
          <w:szCs w:val="15"/>
        </w:rPr>
      </w:pPr>
    </w:p>
    <w:p>
      <w:pPr>
        <w:pStyle w:val="BodyText"/>
        <w:spacing w:line="316" w:lineRule="auto"/>
        <w:ind w:right="92" w:firstLine="360"/>
        <w:jc w:val="left"/>
      </w:pPr>
      <w:r>
        <w:rPr/>
        <w:t>公司自创立以来，始终紧跟行业发展趋势，不断加大技术研发力度，持续优化软件产品结构，完善产品性能。</w:t>
      </w:r>
      <w:r>
        <w:rPr>
          <w:rFonts w:ascii="宋体" w:hAnsi="宋体" w:cs="宋体" w:eastAsia="宋体" w:hint="default"/>
        </w:rPr>
        <w:t>2015</w:t>
      </w:r>
      <w:r>
        <w:rPr/>
        <w:t>年， </w:t>
      </w:r>
      <w:r>
        <w:rPr>
          <w:spacing w:val="-4"/>
        </w:rPr>
        <w:t>公司将继续深入对“云计算”、“物联网”、“大数据”、“移动互联”等新一代技术探索研究。重点继续推广“金融云”、</w:t>
      </w:r>
      <w:r>
        <w:rPr>
          <w:spacing w:val="-46"/>
        </w:rPr>
        <w:t> </w:t>
      </w:r>
      <w:r>
        <w:rPr>
          <w:spacing w:val="-46"/>
        </w:rPr>
      </w:r>
      <w:r>
        <w:rPr>
          <w:spacing w:val="-2"/>
        </w:rPr>
        <w:t>“医疗云”的应用，加大互联网模式“企业管理云”市场份额，将公司原有产品全面预算、</w:t>
      </w:r>
      <w:r>
        <w:rPr>
          <w:rFonts w:ascii="宋体" w:hAnsi="宋体" w:cs="宋体" w:eastAsia="宋体" w:hint="default"/>
          <w:spacing w:val="-2"/>
        </w:rPr>
        <w:t>ERP</w:t>
      </w:r>
      <w:r>
        <w:rPr>
          <w:spacing w:val="-2"/>
        </w:rPr>
        <w:t>系统等迁移到公司云平台上，</w:t>
      </w:r>
      <w:r>
        <w:rPr>
          <w:spacing w:val="-63"/>
        </w:rPr>
        <w:t> </w:t>
      </w:r>
      <w:r>
        <w:rPr>
          <w:spacing w:val="-2"/>
        </w:rPr>
        <w:t>丰富公司云服务模式，扩大公司在云上的应用和建设；此外，今年公司计划做好“云管理”系统，计划主推“私有云”的异</w:t>
      </w:r>
      <w:r>
        <w:rPr>
          <w:spacing w:val="-67"/>
        </w:rPr>
        <w:t> </w:t>
      </w:r>
      <w:r>
        <w:rPr>
          <w:spacing w:val="-67"/>
        </w:rPr>
      </w:r>
      <w:r>
        <w:rPr>
          <w:spacing w:val="-2"/>
        </w:rPr>
        <w:t>构管理，提升公司在“云”上的技术实力和水平。“大数据”方面，公司将加大对网络数据采集的大数据分析，进一步完善</w:t>
      </w:r>
      <w:r>
        <w:rPr>
          <w:spacing w:val="-65"/>
        </w:rPr>
        <w:t> </w:t>
      </w:r>
      <w:r>
        <w:rPr>
          <w:spacing w:val="-65"/>
        </w:rPr>
      </w:r>
      <w:r>
        <w:rPr>
          <w:spacing w:val="-5"/>
        </w:rPr>
        <w:t>“人脸识别”等大型图像数据的技术研究，加强“大数据”应用；同时继续增强基于物联网应急系统的研发实力，扩大在“物</w:t>
      </w:r>
      <w:r>
        <w:rPr>
          <w:spacing w:val="-79"/>
        </w:rPr>
        <w:t> </w:t>
      </w:r>
      <w:r>
        <w:rPr>
          <w:spacing w:val="-79"/>
        </w:rPr>
      </w:r>
      <w:r>
        <w:rPr>
          <w:spacing w:val="-2"/>
        </w:rPr>
        <w:t>联网”方面的应用；加强植入到移动终端的软件产品推广和升级，加大对以“微信银行”、“手机银行”为代表软件产品的</w:t>
      </w:r>
      <w:r>
        <w:rPr>
          <w:spacing w:val="-66"/>
        </w:rPr>
        <w:t> </w:t>
      </w:r>
      <w:r>
        <w:rPr>
          <w:spacing w:val="-66"/>
        </w:rPr>
      </w:r>
      <w:r>
        <w:rPr/>
        <w:t>推广力度；筹划成立东华“工业</w:t>
      </w:r>
      <w:r>
        <w:rPr>
          <w:rFonts w:ascii="宋体" w:hAnsi="宋体" w:cs="宋体" w:eastAsia="宋体" w:hint="default"/>
        </w:rPr>
        <w:t>4.0</w:t>
      </w:r>
      <w:r>
        <w:rPr/>
        <w:t>”研究院，研发针对石油、化工、钢铁、水利、制造、煤炭等行业的</w:t>
      </w:r>
      <w:r>
        <w:rPr>
          <w:rFonts w:ascii="宋体" w:hAnsi="宋体" w:cs="宋体" w:eastAsia="宋体" w:hint="default"/>
        </w:rPr>
        <w:t>3D</w:t>
      </w:r>
      <w:r>
        <w:rPr/>
        <w:t>远程智能自动化</w:t>
      </w:r>
      <w:r>
        <w:rPr>
          <w:spacing w:val="-82"/>
        </w:rPr>
        <w:t> </w:t>
      </w:r>
      <w:r>
        <w:rPr>
          <w:spacing w:val="-82"/>
        </w:rPr>
      </w:r>
      <w:r>
        <w:rPr/>
        <w:t>控制系统，并研发出移动客户端解决方案，方便客户及时了解企业生产和运营状态。</w:t>
      </w:r>
    </w:p>
    <w:p>
      <w:pPr>
        <w:pStyle w:val="BodyText"/>
        <w:spacing w:line="432" w:lineRule="exact" w:before="3"/>
        <w:ind w:left="514" w:right="87"/>
        <w:jc w:val="left"/>
      </w:pPr>
      <w:r>
        <w:rPr>
          <w:rFonts w:ascii="宋体" w:hAnsi="宋体" w:cs="宋体" w:eastAsia="宋体" w:hint="default"/>
        </w:rPr>
        <w:t>6.</w:t>
      </w:r>
      <w:r>
        <w:rPr/>
        <w:t>充分借助资本市场，打开市值增长空间 </w:t>
      </w:r>
      <w:r>
        <w:rPr>
          <w:spacing w:val="-2"/>
        </w:rPr>
        <w:t>公司自上市以来，充分利用资本市场多样的支付手段、便利的政策支持，通过收购、参股和再融资等方式实现了公司业</w:t>
      </w:r>
    </w:p>
    <w:p>
      <w:pPr>
        <w:pStyle w:val="BodyText"/>
        <w:spacing w:line="316" w:lineRule="auto" w:before="15"/>
        <w:ind w:right="191"/>
        <w:jc w:val="both"/>
      </w:pPr>
      <w:r>
        <w:rPr>
          <w:spacing w:val="-2"/>
        </w:rPr>
        <w:t>务跨越式发展。先后实施发行股份购买资产收购北京联银通科技发展有限公司；现金收购北京厚盾科技有限公司；参股北京</w:t>
      </w:r>
      <w:r>
        <w:rPr>
          <w:spacing w:val="-66"/>
        </w:rPr>
        <w:t> </w:t>
      </w:r>
      <w:r>
        <w:rPr>
          <w:spacing w:val="-66"/>
        </w:rPr>
      </w:r>
      <w:r>
        <w:rPr>
          <w:spacing w:val="-2"/>
        </w:rPr>
        <w:t>东方通科技股份有限公司；发行股份购买资产收购北京神州新桥科技发展有限公司；公开发行可转换公司债券项目；发行股</w:t>
      </w:r>
      <w:r>
        <w:rPr>
          <w:spacing w:val="-66"/>
        </w:rPr>
        <w:t> </w:t>
      </w:r>
      <w:r>
        <w:rPr>
          <w:spacing w:val="-66"/>
        </w:rPr>
      </w:r>
      <w:r>
        <w:rPr>
          <w:spacing w:val="-2"/>
        </w:rPr>
        <w:t>份购买资产并配套募集资金购买收购北京威锐达测控系统有限公司以及深圳至高通信技术发展有限公司等多个并购项目。在</w:t>
      </w:r>
      <w:r>
        <w:rPr>
          <w:spacing w:val="-64"/>
        </w:rPr>
        <w:t> </w:t>
      </w:r>
      <w:r>
        <w:rPr>
          <w:spacing w:val="-64"/>
        </w:rPr>
      </w:r>
      <w:r>
        <w:rPr>
          <w:spacing w:val="-2"/>
        </w:rPr>
        <w:t>充分借助资本市场优势的情况下，公司业绩实现了飞速发展，公司市值稳定增长。</w:t>
      </w:r>
      <w:r>
        <w:rPr>
          <w:rFonts w:ascii="宋体" w:hAnsi="宋体" w:cs="宋体" w:eastAsia="宋体" w:hint="default"/>
          <w:spacing w:val="-2"/>
        </w:rPr>
        <w:t>2015</w:t>
      </w:r>
      <w:r>
        <w:rPr>
          <w:spacing w:val="-2"/>
        </w:rPr>
        <w:t>年，公司继续在外延式发展这条路上</w:t>
      </w:r>
      <w:r>
        <w:rPr>
          <w:spacing w:val="-61"/>
        </w:rPr>
        <w:t> </w:t>
      </w:r>
      <w:r>
        <w:rPr>
          <w:spacing w:val="-61"/>
        </w:rPr>
      </w:r>
      <w:r>
        <w:rPr/>
        <w:t>大步前行，打开公司市值上升新空间。</w:t>
      </w:r>
    </w:p>
    <w:p>
      <w:pPr>
        <w:pStyle w:val="BodyText"/>
        <w:spacing w:line="439" w:lineRule="auto" w:before="139"/>
        <w:ind w:left="514" w:right="7652"/>
        <w:jc w:val="left"/>
      </w:pPr>
      <w:r>
        <w:rPr/>
        <w:t>（四）可能面对的风险 </w:t>
      </w:r>
      <w:r>
        <w:rPr>
          <w:rFonts w:ascii="宋体" w:hAnsi="宋体" w:cs="宋体" w:eastAsia="宋体" w:hint="default"/>
        </w:rPr>
        <w:t>1</w:t>
      </w:r>
      <w:r>
        <w:rPr/>
        <w:t>、市场风险：</w:t>
      </w:r>
    </w:p>
    <w:p>
      <w:pPr>
        <w:pStyle w:val="BodyText"/>
        <w:spacing w:line="316" w:lineRule="auto" w:before="47"/>
        <w:ind w:right="191" w:firstLine="360"/>
        <w:jc w:val="both"/>
      </w:pPr>
      <w:r>
        <w:rPr>
          <w:rFonts w:ascii="宋体" w:hAnsi="宋体" w:cs="宋体" w:eastAsia="宋体" w:hint="default"/>
          <w:spacing w:val="-2"/>
        </w:rPr>
        <w:t>2015</w:t>
      </w:r>
      <w:r>
        <w:rPr>
          <w:spacing w:val="-2"/>
        </w:rPr>
        <w:t>年中国经济的发展面临各种挑战，存在很大不确定性。随着中国经济转型，国内经济发展转入新常态，逐步开始了</w:t>
      </w:r>
      <w:r>
        <w:rPr/>
        <w:t> </w:t>
      </w:r>
      <w:r>
        <w:rPr>
          <w:spacing w:val="-2"/>
        </w:rPr>
        <w:t>向中高增长、经济再平衡与包容性增长及创新驱动增长的转变，国民经济结构进入调整关键期，开始步入相对较慢的增长阶</w:t>
      </w:r>
      <w:r>
        <w:rPr>
          <w:spacing w:val="-66"/>
        </w:rPr>
        <w:t> </w:t>
      </w:r>
      <w:r>
        <w:rPr>
          <w:spacing w:val="-66"/>
        </w:rPr>
      </w:r>
      <w:r>
        <w:rPr>
          <w:spacing w:val="-2"/>
        </w:rPr>
        <w:t>段，增长动力明显削弱，将继续延续低增长的态势。随着互联网概念的兴起，软件行业近年来发展迅猛，吸引了大量国内外</w:t>
      </w:r>
      <w:r>
        <w:rPr>
          <w:spacing w:val="-66"/>
        </w:rPr>
        <w:t> </w:t>
      </w:r>
      <w:r>
        <w:rPr>
          <w:spacing w:val="-66"/>
        </w:rPr>
      </w:r>
      <w:r>
        <w:rPr>
          <w:spacing w:val="-2"/>
        </w:rPr>
        <w:t>企业进入该行业，市场竞争加剧，公司在多个领域将面对更加激烈的市场竞争。与此同时，软件服务与信息技术行业正在发</w:t>
      </w:r>
      <w:r>
        <w:rPr>
          <w:spacing w:val="-66"/>
        </w:rPr>
        <w:t> </w:t>
      </w:r>
      <w:r>
        <w:rPr>
          <w:spacing w:val="-66"/>
        </w:rPr>
      </w:r>
      <w:r>
        <w:rPr>
          <w:spacing w:val="-2"/>
        </w:rPr>
        <w:t>生颠覆性的变革，移动互联网成功构造了新的巨大市场，公司的市场发展方向与发展机遇产生了不确定性，在对新业务、新</w:t>
      </w:r>
      <w:r>
        <w:rPr>
          <w:spacing w:val="-66"/>
        </w:rPr>
        <w:t> </w:t>
      </w:r>
      <w:r>
        <w:rPr>
          <w:spacing w:val="-66"/>
        </w:rPr>
      </w:r>
      <w:r>
        <w:rPr>
          <w:spacing w:val="-2"/>
        </w:rPr>
        <w:t>市场的探索中，亦存在由于市场变化而达不到预期收益的可能性。作为国内软件服务与系统集成行业的领军者，面对新的市</w:t>
      </w:r>
      <w:r>
        <w:rPr>
          <w:spacing w:val="-66"/>
        </w:rPr>
        <w:t> </w:t>
      </w:r>
      <w:r>
        <w:rPr>
          <w:spacing w:val="-66"/>
        </w:rPr>
      </w:r>
      <w:r>
        <w:rPr>
          <w:spacing w:val="-2"/>
        </w:rPr>
        <w:t>场需求与市场竞争，公司亟需通过不断的技术创新构造可持续发展能力，力图实现个性化服务、智能化服务和自然的人机交</w:t>
      </w:r>
      <w:r>
        <w:rPr>
          <w:spacing w:val="-66"/>
        </w:rPr>
        <w:t> </w:t>
      </w:r>
      <w:r>
        <w:rPr>
          <w:spacing w:val="-66"/>
        </w:rPr>
      </w:r>
      <w:r>
        <w:rPr/>
        <w:t>互方式，从而把用户体验提升到一个新高度，推动行业信息化的发展。</w:t>
      </w:r>
    </w:p>
    <w:p>
      <w:pPr>
        <w:pStyle w:val="BodyText"/>
        <w:spacing w:line="432" w:lineRule="exact" w:before="3"/>
        <w:ind w:left="514" w:right="87"/>
        <w:jc w:val="left"/>
      </w:pPr>
      <w:r>
        <w:rPr>
          <w:rFonts w:ascii="宋体" w:hAnsi="宋体" w:cs="宋体" w:eastAsia="宋体" w:hint="default"/>
        </w:rPr>
        <w:t>2</w:t>
      </w:r>
      <w:r>
        <w:rPr/>
        <w:t>、研发风险： </w:t>
      </w:r>
      <w:r>
        <w:rPr>
          <w:spacing w:val="-2"/>
        </w:rPr>
        <w:t>随着信息产业的快速发展，技术升级和工艺升级带来的产品升级换代速度也逐步加快。面对激烈的市场竞争，公司需要</w:t>
      </w:r>
    </w:p>
    <w:p>
      <w:pPr>
        <w:pStyle w:val="BodyText"/>
        <w:spacing w:line="316" w:lineRule="auto" w:before="15"/>
        <w:ind w:right="92"/>
        <w:jc w:val="left"/>
      </w:pPr>
      <w:r>
        <w:rPr/>
        <w:t>不断致力于新技术的应用开发和新产品开发，以应对市场变化和客户需求，保持产品的竞争力。但一种新产品从设计研发、 </w:t>
      </w:r>
      <w:r>
        <w:rPr>
          <w:spacing w:val="-2"/>
        </w:rPr>
        <w:t>产品通过检测认证，到最终的产业化生产并得到市场认可，往往需要较长的运行周期及大量的资源投入，并面临着开发失败</w:t>
      </w:r>
      <w:r>
        <w:rPr>
          <w:spacing w:val="-66"/>
        </w:rPr>
        <w:t> </w:t>
      </w:r>
      <w:r>
        <w:rPr>
          <w:spacing w:val="-66"/>
        </w:rPr>
      </w:r>
      <w:r>
        <w:rPr>
          <w:spacing w:val="-2"/>
        </w:rPr>
        <w:t>的风险。一旦新技术和新产品的研究开发失败，或对技术、产品及市场发展趋势的把握出现偏差，前期的高额投入将无法产</w:t>
      </w:r>
      <w:r>
        <w:rPr>
          <w:spacing w:val="-66"/>
        </w:rPr>
        <w:t> </w:t>
      </w:r>
      <w:r>
        <w:rPr>
          <w:spacing w:val="-66"/>
        </w:rPr>
      </w:r>
      <w:r>
        <w:rPr>
          <w:spacing w:val="-2"/>
        </w:rPr>
        <w:t>生预期的效益。对此，公司将继续科学有效地加大研发投入，加强研发项目管理，借助新技术、新领域的发展不断提高市场</w:t>
      </w:r>
      <w:r>
        <w:rPr>
          <w:spacing w:val="-66"/>
        </w:rPr>
        <w:t> </w:t>
      </w:r>
      <w:r>
        <w:rPr>
          <w:spacing w:val="-66"/>
        </w:rPr>
      </w:r>
      <w:r>
        <w:rPr/>
        <w:t>竞争力。</w:t>
      </w:r>
    </w:p>
    <w:p>
      <w:pPr>
        <w:pStyle w:val="BodyText"/>
        <w:spacing w:line="432" w:lineRule="exact" w:before="3"/>
        <w:ind w:left="604" w:right="182" w:hanging="90"/>
        <w:jc w:val="left"/>
      </w:pPr>
      <w:r>
        <w:rPr>
          <w:rFonts w:ascii="宋体" w:hAnsi="宋体" w:cs="宋体" w:eastAsia="宋体" w:hint="default"/>
        </w:rPr>
        <w:t>3</w:t>
      </w:r>
      <w:r>
        <w:rPr/>
        <w:t>、并购整合风险： “内生式成长与外延式发展并举”是公司始终坚持的发展战略，公司通过外延式发展不断拓宽业务范围，力求通过并</w:t>
      </w:r>
    </w:p>
    <w:p>
      <w:pPr>
        <w:pStyle w:val="BodyText"/>
        <w:spacing w:line="316" w:lineRule="auto" w:before="15"/>
        <w:ind w:right="87"/>
        <w:jc w:val="left"/>
      </w:pPr>
      <w:r>
        <w:rPr>
          <w:spacing w:val="-2"/>
        </w:rPr>
        <w:t>购具有独特竞争力的公司产生协同效应，从而优化公司整体资源配置。公司在报告期内发行股份及支付现金购买深圳市至高</w:t>
      </w:r>
      <w:r>
        <w:rPr>
          <w:spacing w:val="-64"/>
        </w:rPr>
        <w:t> </w:t>
      </w:r>
      <w:r>
        <w:rPr>
          <w:spacing w:val="-64"/>
        </w:rPr>
      </w:r>
      <w:r>
        <w:rPr>
          <w:spacing w:val="-4"/>
        </w:rPr>
        <w:t>通信技术发展有限公司，公司多行业布局的战略进一步得以实现，有利于提高公司业务规模，更加充实服务内容和客户资源，</w:t>
      </w:r>
      <w:r>
        <w:rPr>
          <w:spacing w:val="-44"/>
        </w:rPr>
        <w:t> </w:t>
      </w:r>
      <w:r>
        <w:rPr>
          <w:spacing w:val="-44"/>
        </w:rPr>
      </w:r>
      <w:r>
        <w:rPr>
          <w:spacing w:val="-2"/>
        </w:rPr>
        <w:t>将有效增强公司的持续盈利能力和市场竞争力，更好地促进公司未来快速、稳定发展。然而，公司与深圳市至高通信技术发</w:t>
      </w:r>
      <w:r>
        <w:rPr>
          <w:spacing w:val="-66"/>
        </w:rPr>
        <w:t> </w:t>
      </w:r>
      <w:r>
        <w:rPr>
          <w:spacing w:val="-66"/>
        </w:rPr>
      </w:r>
      <w:r>
        <w:rPr>
          <w:spacing w:val="-2"/>
        </w:rPr>
        <w:t>展有限公司仍需在财务管理、客户管理、资源管理、制度管理、业务拓展等方面进行一定程度的融合。本次交易后的整合能</w:t>
      </w:r>
      <w:r>
        <w:rPr>
          <w:spacing w:val="-66"/>
        </w:rPr>
        <w:t> </w:t>
      </w:r>
      <w:r>
        <w:rPr>
          <w:spacing w:val="-66"/>
        </w:rPr>
      </w:r>
      <w:r>
        <w:rPr>
          <w:spacing w:val="-2"/>
        </w:rPr>
        <w:t>否顺利实施以及整合效果能否达到并购预期仍存在一定的不确定性，甚至可能会对至高通信乃至上市公司原有业务的正常运</w:t>
      </w:r>
    </w:p>
    <w:p>
      <w:pPr>
        <w:spacing w:after="0" w:line="316" w:lineRule="auto"/>
        <w:jc w:val="left"/>
        <w:sectPr>
          <w:footerReference w:type="default" r:id="rId14"/>
          <w:pgSz w:w="11910" w:h="16840"/>
          <w:pgMar w:footer="979" w:header="747" w:top="1060" w:bottom="1160" w:left="980" w:right="940"/>
          <w:pgNumType w:start="32"/>
        </w:sectPr>
      </w:pPr>
    </w:p>
    <w:p>
      <w:pPr>
        <w:spacing w:line="240" w:lineRule="auto" w:before="12"/>
        <w:rPr>
          <w:rFonts w:ascii="宋体" w:hAnsi="宋体" w:cs="宋体" w:eastAsia="宋体" w:hint="default"/>
          <w:sz w:val="25"/>
          <w:szCs w:val="25"/>
        </w:rPr>
      </w:pPr>
    </w:p>
    <w:p>
      <w:pPr>
        <w:pStyle w:val="BodyText"/>
        <w:spacing w:line="439" w:lineRule="auto" w:before="44"/>
        <w:ind w:left="514" w:right="7922" w:hanging="360"/>
        <w:jc w:val="left"/>
      </w:pPr>
      <w:r>
        <w:rPr/>
        <w:t>营产生不利影响。 </w:t>
      </w:r>
      <w:r>
        <w:rPr>
          <w:rFonts w:ascii="宋体" w:hAnsi="宋体" w:cs="宋体" w:eastAsia="宋体" w:hint="default"/>
        </w:rPr>
        <w:t>4</w:t>
      </w:r>
      <w:r>
        <w:rPr/>
        <w:t>、人力资源风险：</w:t>
      </w:r>
    </w:p>
    <w:p>
      <w:pPr>
        <w:pStyle w:val="BodyText"/>
        <w:spacing w:line="319" w:lineRule="auto" w:before="47"/>
        <w:ind w:right="87" w:firstLine="360"/>
        <w:jc w:val="left"/>
      </w:pPr>
      <w:r>
        <w:rPr>
          <w:spacing w:val="-2"/>
        </w:rPr>
        <w:t>软件行业作为近些年逐步发展壮大的领域，行业内尚未积累足够数量的可持续支持行业发展的人才，随着国内信息产业</w:t>
      </w:r>
      <w:r>
        <w:rPr/>
        <w:t> </w:t>
      </w:r>
      <w:r>
        <w:rPr>
          <w:spacing w:val="-2"/>
        </w:rPr>
        <w:t>进入高速发展期，专业技术和管理人才严重不足的现象日益凸显，而高素质、高凝聚力的研发、管理、销售人员和团队是公</w:t>
      </w:r>
      <w:r>
        <w:rPr>
          <w:spacing w:val="-66"/>
        </w:rPr>
        <w:t> </w:t>
      </w:r>
      <w:r>
        <w:rPr>
          <w:spacing w:val="-66"/>
        </w:rPr>
      </w:r>
      <w:r>
        <w:rPr>
          <w:spacing w:val="-4"/>
        </w:rPr>
        <w:t>司实现可持续发展的核心力量。在软件行业人力成本相对较高，人才培养速度相对缓慢，行业内人才竞争日趋激烈的情况下，</w:t>
      </w:r>
      <w:r>
        <w:rPr>
          <w:spacing w:val="-44"/>
        </w:rPr>
        <w:t> </w:t>
      </w:r>
      <w:r>
        <w:rPr>
          <w:spacing w:val="-44"/>
        </w:rPr>
      </w:r>
      <w:r>
        <w:rPr/>
        <w:t>公司在高端人才的吸引和保留，优化公司人力资源体系结构方面面临很大压力。</w:t>
      </w:r>
    </w:p>
    <w:p>
      <w:pPr>
        <w:spacing w:line="240" w:lineRule="auto" w:before="8"/>
        <w:rPr>
          <w:rFonts w:ascii="宋体" w:hAnsi="宋体" w:cs="宋体" w:eastAsia="宋体" w:hint="default"/>
          <w:sz w:val="20"/>
          <w:szCs w:val="20"/>
        </w:rPr>
      </w:pPr>
    </w:p>
    <w:p>
      <w:pPr>
        <w:pStyle w:val="Heading2"/>
        <w:spacing w:line="240" w:lineRule="auto"/>
        <w:ind w:right="87"/>
        <w:jc w:val="left"/>
        <w:rPr>
          <w:b w:val="0"/>
          <w:bCs w:val="0"/>
        </w:rPr>
      </w:pPr>
      <w:r>
        <w:rPr/>
        <w:t>九、董事会、监事会对会计师事务所本报告期“非标准审计报告”的说明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7"/>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87"/>
        <w:jc w:val="left"/>
        <w:rPr>
          <w:b w:val="0"/>
          <w:bCs w:val="0"/>
        </w:rPr>
      </w:pPr>
      <w:r>
        <w:rPr/>
        <w:t>十、与上年度财务报告相比，会计政策、会计估计和核算方法发生变化的情况说明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7"/>
        <w:jc w:val="left"/>
      </w:pPr>
      <w:r>
        <w:rPr/>
        <w:t>√ 适用 □ 不适用</w:t>
      </w:r>
    </w:p>
    <w:p>
      <w:pPr>
        <w:spacing w:line="240" w:lineRule="auto" w:before="0"/>
        <w:rPr>
          <w:rFonts w:ascii="宋体" w:hAnsi="宋体" w:cs="宋体" w:eastAsia="宋体" w:hint="default"/>
          <w:sz w:val="15"/>
          <w:szCs w:val="15"/>
        </w:rPr>
      </w:pPr>
    </w:p>
    <w:p>
      <w:pPr>
        <w:pStyle w:val="BodyText"/>
        <w:spacing w:line="316" w:lineRule="auto"/>
        <w:ind w:right="189" w:firstLine="360"/>
        <w:jc w:val="left"/>
      </w:pPr>
      <w:r>
        <w:rPr>
          <w:rFonts w:ascii="宋体" w:hAnsi="宋体" w:cs="宋体" w:eastAsia="宋体" w:hint="default"/>
        </w:rPr>
        <w:t>2014</w:t>
      </w:r>
      <w:r>
        <w:rPr/>
        <w:t>年，财政部修订了《企业会计准则第</w:t>
      </w:r>
      <w:r>
        <w:rPr>
          <w:rFonts w:ascii="宋体" w:hAnsi="宋体" w:cs="宋体" w:eastAsia="宋体" w:hint="default"/>
        </w:rPr>
        <w:t>2</w:t>
      </w:r>
      <w:r>
        <w:rPr/>
        <w:t>号</w:t>
      </w:r>
      <w:r>
        <w:rPr>
          <w:rFonts w:ascii="宋体" w:hAnsi="宋体" w:cs="宋体" w:eastAsia="宋体" w:hint="default"/>
        </w:rPr>
        <w:t>-</w:t>
      </w:r>
      <w:r>
        <w:rPr/>
        <w:t>长期股权投资》、《企业会计准则第</w:t>
      </w:r>
      <w:r>
        <w:rPr>
          <w:rFonts w:ascii="宋体" w:hAnsi="宋体" w:cs="宋体" w:eastAsia="宋体" w:hint="default"/>
        </w:rPr>
        <w:t>9</w:t>
      </w:r>
      <w:r>
        <w:rPr>
          <w:rFonts w:ascii="宋体" w:hAnsi="宋体" w:cs="宋体" w:eastAsia="宋体" w:hint="default"/>
          <w:spacing w:val="7"/>
        </w:rPr>
        <w:t> </w:t>
      </w:r>
      <w:r>
        <w:rPr/>
        <w:t>号</w:t>
      </w:r>
      <w:r>
        <w:rPr>
          <w:rFonts w:ascii="宋体" w:hAnsi="宋体" w:cs="宋体" w:eastAsia="宋体" w:hint="default"/>
        </w:rPr>
        <w:t>-</w:t>
      </w:r>
      <w:r>
        <w:rPr/>
        <w:t>职工薪酬》、《企业会计准则 第</w:t>
      </w:r>
      <w:r>
        <w:rPr>
          <w:rFonts w:ascii="宋体" w:hAnsi="宋体" w:cs="宋体" w:eastAsia="宋体" w:hint="default"/>
        </w:rPr>
        <w:t>30</w:t>
      </w:r>
      <w:r>
        <w:rPr/>
        <w:t>号</w:t>
      </w:r>
      <w:r>
        <w:rPr>
          <w:rFonts w:ascii="宋体" w:hAnsi="宋体" w:cs="宋体" w:eastAsia="宋体" w:hint="default"/>
        </w:rPr>
        <w:t>-</w:t>
      </w:r>
      <w:r>
        <w:rPr/>
        <w:t>财务报表列报》、《企业会计准则第</w:t>
      </w:r>
      <w:r>
        <w:rPr>
          <w:rFonts w:ascii="宋体" w:hAnsi="宋体" w:cs="宋体" w:eastAsia="宋体" w:hint="default"/>
        </w:rPr>
        <w:t>33</w:t>
      </w:r>
      <w:r>
        <w:rPr/>
        <w:t>号</w:t>
      </w:r>
      <w:r>
        <w:rPr>
          <w:rFonts w:ascii="宋体" w:hAnsi="宋体" w:cs="宋体" w:eastAsia="宋体" w:hint="default"/>
        </w:rPr>
        <w:t>-</w:t>
      </w:r>
      <w:r>
        <w:rPr/>
        <w:t>合并财务报表》、以及颁布了《企业会计准则第</w:t>
      </w:r>
      <w:r>
        <w:rPr>
          <w:rFonts w:ascii="宋体" w:hAnsi="宋体" w:cs="宋体" w:eastAsia="宋体" w:hint="default"/>
        </w:rPr>
        <w:t>39</w:t>
      </w:r>
      <w:r>
        <w:rPr/>
        <w:t>号</w:t>
      </w:r>
      <w:r>
        <w:rPr>
          <w:rFonts w:ascii="宋体" w:hAnsi="宋体" w:cs="宋体" w:eastAsia="宋体" w:hint="default"/>
        </w:rPr>
        <w:t>-</w:t>
      </w:r>
      <w:r>
        <w:rPr/>
        <w:t>公允价值计量》、</w:t>
      </w:r>
    </w:p>
    <w:p>
      <w:pPr>
        <w:pStyle w:val="BodyText"/>
        <w:spacing w:line="316" w:lineRule="auto" w:before="19"/>
        <w:ind w:right="189"/>
        <w:jc w:val="both"/>
      </w:pPr>
      <w:r>
        <w:rPr/>
        <w:t>《企业会计准则第</w:t>
      </w:r>
      <w:r>
        <w:rPr>
          <w:rFonts w:ascii="宋体" w:hAnsi="宋体" w:cs="宋体" w:eastAsia="宋体" w:hint="default"/>
        </w:rPr>
        <w:t>40</w:t>
      </w:r>
      <w:r>
        <w:rPr/>
        <w:t>号</w:t>
      </w:r>
      <w:r>
        <w:rPr>
          <w:rFonts w:ascii="宋体" w:hAnsi="宋体" w:cs="宋体" w:eastAsia="宋体" w:hint="default"/>
        </w:rPr>
        <w:t>-</w:t>
      </w:r>
      <w:r>
        <w:rPr/>
        <w:t>合营安排》、《企业会计准则第</w:t>
      </w:r>
      <w:r>
        <w:rPr>
          <w:rFonts w:ascii="宋体" w:hAnsi="宋体" w:cs="宋体" w:eastAsia="宋体" w:hint="default"/>
        </w:rPr>
        <w:t>41</w:t>
      </w:r>
      <w:r>
        <w:rPr/>
        <w:t>号</w:t>
      </w:r>
      <w:r>
        <w:rPr>
          <w:rFonts w:ascii="宋体" w:hAnsi="宋体" w:cs="宋体" w:eastAsia="宋体" w:hint="default"/>
        </w:rPr>
        <w:t>-</w:t>
      </w:r>
      <w:r>
        <w:rPr/>
        <w:t>在其他主体中权益的披露》等具体准则，并自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rFonts w:ascii="宋体" w:hAnsi="宋体" w:cs="宋体" w:eastAsia="宋体" w:hint="default"/>
          <w:spacing w:val="7"/>
        </w:rPr>
        <w:t> </w:t>
      </w:r>
      <w:r>
        <w:rPr/>
        <w:t>日 起施行。</w:t>
      </w:r>
      <w:r>
        <w:rPr>
          <w:rFonts w:ascii="宋体" w:hAnsi="宋体" w:cs="宋体" w:eastAsia="宋体" w:hint="default"/>
        </w:rPr>
        <w:t>2014</w:t>
      </w:r>
      <w:r>
        <w:rPr/>
        <w:t>年，财政部修订了《企业会计准则第</w:t>
      </w:r>
      <w:r>
        <w:rPr>
          <w:rFonts w:ascii="宋体" w:hAnsi="宋体" w:cs="宋体" w:eastAsia="宋体" w:hint="default"/>
        </w:rPr>
        <w:t>37</w:t>
      </w:r>
      <w:r>
        <w:rPr/>
        <w:t>号</w:t>
      </w:r>
      <w:r>
        <w:rPr>
          <w:rFonts w:ascii="宋体" w:hAnsi="宋体" w:cs="宋体" w:eastAsia="宋体" w:hint="default"/>
        </w:rPr>
        <w:t>-</w:t>
      </w:r>
      <w:r>
        <w:rPr/>
        <w:t>金融工具列报》，在</w:t>
      </w:r>
      <w:r>
        <w:rPr>
          <w:rFonts w:ascii="宋体" w:hAnsi="宋体" w:cs="宋体" w:eastAsia="宋体" w:hint="default"/>
        </w:rPr>
        <w:t>2014</w:t>
      </w:r>
      <w:r>
        <w:rPr/>
        <w:t>年年度及以后期间的财务报告中按照该准</w:t>
      </w:r>
      <w:r>
        <w:rPr>
          <w:spacing w:val="-83"/>
        </w:rPr>
        <w:t> </w:t>
      </w:r>
      <w:r>
        <w:rPr>
          <w:spacing w:val="-83"/>
        </w:rPr>
      </w:r>
      <w:r>
        <w:rPr/>
        <w:t>则要求对金融工具进行列报。</w:t>
      </w:r>
    </w:p>
    <w:p>
      <w:pPr>
        <w:pStyle w:val="BodyText"/>
        <w:spacing w:line="316" w:lineRule="auto" w:before="139"/>
        <w:ind w:right="182" w:firstLine="360"/>
        <w:jc w:val="left"/>
      </w:pPr>
      <w:r>
        <w:rPr/>
        <w:t>本公司于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日起开始执行前述除金融工具列报以外的新修订或颁布的</w:t>
      </w:r>
      <w:r>
        <w:rPr>
          <w:rFonts w:ascii="宋体" w:hAnsi="宋体" w:cs="宋体" w:eastAsia="宋体" w:hint="default"/>
        </w:rPr>
        <w:t>7</w:t>
      </w:r>
      <w:r>
        <w:rPr/>
        <w:t>项企业会计准则，在编制</w:t>
      </w:r>
      <w:r>
        <w:rPr>
          <w:rFonts w:ascii="宋体" w:hAnsi="宋体" w:cs="宋体" w:eastAsia="宋体" w:hint="default"/>
        </w:rPr>
        <w:t>2014</w:t>
      </w:r>
      <w:r>
        <w:rPr/>
        <w:t>年度财务 报告时开始执行金融工具列报准则，并根据各准则要求进行了追溯调整。</w:t>
      </w:r>
    </w:p>
    <w:p>
      <w:pPr>
        <w:spacing w:line="240" w:lineRule="auto" w:before="10"/>
        <w:rPr>
          <w:rFonts w:ascii="宋体" w:hAnsi="宋体" w:cs="宋体" w:eastAsia="宋体" w:hint="default"/>
          <w:sz w:val="20"/>
          <w:szCs w:val="20"/>
        </w:rPr>
      </w:pPr>
    </w:p>
    <w:p>
      <w:pPr>
        <w:pStyle w:val="Heading2"/>
        <w:spacing w:line="240" w:lineRule="auto"/>
        <w:ind w:right="87"/>
        <w:jc w:val="left"/>
        <w:rPr>
          <w:b w:val="0"/>
          <w:bCs w:val="0"/>
        </w:rPr>
      </w:pP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672"/>
        <w:jc w:val="left"/>
      </w:pPr>
      <w:r>
        <w:rPr/>
        <w:t>□ 适用 √ 不适用 公司报告期无重大会计差错更正需追溯重述的情况。</w:t>
      </w:r>
    </w:p>
    <w:p>
      <w:pPr>
        <w:spacing w:line="240" w:lineRule="auto" w:before="1"/>
        <w:rPr>
          <w:rFonts w:ascii="宋体" w:hAnsi="宋体" w:cs="宋体" w:eastAsia="宋体" w:hint="default"/>
          <w:sz w:val="18"/>
          <w:szCs w:val="18"/>
        </w:rPr>
      </w:pPr>
    </w:p>
    <w:p>
      <w:pPr>
        <w:pStyle w:val="Heading2"/>
        <w:spacing w:line="240" w:lineRule="auto"/>
        <w:ind w:right="87"/>
        <w:jc w:val="left"/>
        <w:rPr>
          <w:b w:val="0"/>
          <w:bCs w:val="0"/>
        </w:rPr>
      </w:pPr>
      <w:r>
        <w:rPr/>
        <w:t>十二、与上年度财务报告相比，合并报表范围发生变化的情况说明</w:t>
      </w:r>
      <w:r>
        <w:rPr>
          <w:b w:val="0"/>
          <w:bCs w:val="0"/>
        </w:rPr>
      </w:r>
    </w:p>
    <w:p>
      <w:pPr>
        <w:pStyle w:val="BodyText"/>
        <w:spacing w:line="430" w:lineRule="atLeast" w:before="154"/>
        <w:ind w:left="514" w:right="182" w:hanging="360"/>
        <w:jc w:val="left"/>
      </w:pPr>
      <w:r>
        <w:rPr/>
        <w:t>√ 适用 □ 不适用 本期纳入合并范围的子公司包括</w:t>
      </w:r>
      <w:r>
        <w:rPr>
          <w:rFonts w:ascii="宋体" w:hAnsi="宋体" w:cs="宋体" w:eastAsia="宋体" w:hint="default"/>
        </w:rPr>
        <w:t>29</w:t>
      </w:r>
      <w:r>
        <w:rPr/>
        <w:t>家，新增</w:t>
      </w:r>
      <w:r>
        <w:rPr>
          <w:rFonts w:ascii="宋体" w:hAnsi="宋体" w:cs="宋体" w:eastAsia="宋体" w:hint="default"/>
        </w:rPr>
        <w:t>5</w:t>
      </w:r>
      <w:r>
        <w:rPr/>
        <w:t>家子公司，包括北京光明数据信息技术有限公司、健康乐软件有限公司、</w:t>
      </w:r>
    </w:p>
    <w:p>
      <w:pPr>
        <w:pStyle w:val="BodyText"/>
        <w:spacing w:line="316" w:lineRule="auto" w:before="76"/>
        <w:ind w:right="182"/>
        <w:jc w:val="left"/>
      </w:pPr>
      <w:r>
        <w:rPr/>
        <w:t>东华智慧城市股份有限公司、兰州东华软件有限公司、北京威锐达测控系统有限公司；新增</w:t>
      </w:r>
      <w:r>
        <w:rPr>
          <w:rFonts w:ascii="宋体" w:hAnsi="宋体" w:cs="宋体" w:eastAsia="宋体" w:hint="default"/>
        </w:rPr>
        <w:t>1</w:t>
      </w:r>
      <w:r>
        <w:rPr/>
        <w:t>家孙公司西安锐益达风电技术</w:t>
      </w:r>
      <w:r>
        <w:rPr>
          <w:spacing w:val="-82"/>
        </w:rPr>
        <w:t> </w:t>
      </w:r>
      <w:r>
        <w:rPr>
          <w:spacing w:val="-82"/>
        </w:rPr>
      </w:r>
      <w:r>
        <w:rPr/>
        <w:t>有限公司，为北京威锐达测控系统有限公司的全资子公司。因处置不再包括</w:t>
      </w:r>
      <w:r>
        <w:rPr>
          <w:rFonts w:ascii="宋体" w:hAnsi="宋体" w:cs="宋体" w:eastAsia="宋体" w:hint="default"/>
        </w:rPr>
        <w:t>1</w:t>
      </w:r>
      <w:r>
        <w:rPr/>
        <w:t>家子公司北京东华软件开发有限公司。</w:t>
      </w:r>
    </w:p>
    <w:p>
      <w:pPr>
        <w:spacing w:line="240" w:lineRule="auto" w:before="10"/>
        <w:rPr>
          <w:rFonts w:ascii="宋体" w:hAnsi="宋体" w:cs="宋体" w:eastAsia="宋体" w:hint="default"/>
          <w:sz w:val="20"/>
          <w:szCs w:val="20"/>
        </w:rPr>
      </w:pPr>
    </w:p>
    <w:p>
      <w:pPr>
        <w:pStyle w:val="Heading2"/>
        <w:spacing w:line="240" w:lineRule="auto"/>
        <w:ind w:right="87"/>
        <w:jc w:val="left"/>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7"/>
        <w:jc w:val="left"/>
      </w:pPr>
      <w:r>
        <w:rPr/>
        <w:t>报告期内利润分配政策的制定、执行或调整情况</w:t>
      </w:r>
    </w:p>
    <w:p>
      <w:pPr>
        <w:pStyle w:val="BodyText"/>
        <w:spacing w:line="240" w:lineRule="auto" w:before="116"/>
        <w:ind w:right="87"/>
        <w:jc w:val="left"/>
      </w:pPr>
      <w:r>
        <w:rPr/>
        <w:t>√ 适用 □ 不适用</w:t>
      </w:r>
    </w:p>
    <w:p>
      <w:pPr>
        <w:spacing w:line="240" w:lineRule="auto" w:before="12"/>
        <w:rPr>
          <w:rFonts w:ascii="宋体" w:hAnsi="宋体" w:cs="宋体" w:eastAsia="宋体" w:hint="default"/>
          <w:sz w:val="14"/>
          <w:szCs w:val="14"/>
        </w:rPr>
      </w:pPr>
    </w:p>
    <w:p>
      <w:pPr>
        <w:pStyle w:val="BodyText"/>
        <w:spacing w:line="316" w:lineRule="auto"/>
        <w:ind w:right="190" w:firstLine="360"/>
        <w:jc w:val="both"/>
      </w:pPr>
      <w:r>
        <w:rPr>
          <w:spacing w:val="-2"/>
        </w:rPr>
        <w:t>根据中国证券监督管理委员会《关于进一步落实上市公司现金分红有关事项的通知》（证监发</w:t>
      </w:r>
      <w:r>
        <w:rPr>
          <w:rFonts w:ascii="宋体" w:hAnsi="宋体" w:cs="宋体" w:eastAsia="宋体" w:hint="default"/>
          <w:spacing w:val="-2"/>
        </w:rPr>
        <w:t>2012</w:t>
      </w:r>
      <w:r>
        <w:rPr>
          <w:spacing w:val="-2"/>
        </w:rPr>
        <w:t>〕</w:t>
      </w:r>
      <w:r>
        <w:rPr>
          <w:rFonts w:ascii="宋体" w:hAnsi="宋体" w:cs="宋体" w:eastAsia="宋体" w:hint="default"/>
          <w:spacing w:val="-2"/>
        </w:rPr>
        <w:t>37</w:t>
      </w:r>
      <w:r>
        <w:rPr>
          <w:spacing w:val="-2"/>
        </w:rPr>
        <w:t>号）、北京市监</w:t>
      </w:r>
      <w:r>
        <w:rPr/>
        <w:t> </w:t>
      </w:r>
      <w:r>
        <w:rPr>
          <w:spacing w:val="-2"/>
        </w:rPr>
        <w:t>局《关于进一步完善上市公司现金分红有关事项的通知》（京证公司发</w:t>
      </w:r>
      <w:r>
        <w:rPr>
          <w:rFonts w:ascii="宋体" w:hAnsi="宋体" w:cs="宋体" w:eastAsia="宋体" w:hint="default"/>
          <w:spacing w:val="-2"/>
        </w:rPr>
        <w:t>[2012]101</w:t>
      </w:r>
      <w:r>
        <w:rPr>
          <w:spacing w:val="-2"/>
        </w:rPr>
        <w:t>号）的规定，公司分别于</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27</w:t>
      </w:r>
      <w:r>
        <w:rPr>
          <w:spacing w:val="-2"/>
        </w:rPr>
        <w:t>日召</w:t>
      </w:r>
      <w:r>
        <w:rPr>
          <w:spacing w:val="-49"/>
        </w:rPr>
        <w:t> </w:t>
      </w:r>
      <w:r>
        <w:rPr/>
        <w:t>开的第四届董事会第十九次会议和</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13</w:t>
      </w:r>
      <w:r>
        <w:rPr/>
        <w:t>日召开</w:t>
      </w:r>
      <w:r>
        <w:rPr>
          <w:rFonts w:ascii="宋体" w:hAnsi="宋体" w:cs="宋体" w:eastAsia="宋体" w:hint="default"/>
        </w:rPr>
        <w:t>2012</w:t>
      </w:r>
      <w:r>
        <w:rPr/>
        <w:t>年第三次临时股东大会审议通过《公司章程》关于对利润分配政</w:t>
      </w:r>
      <w:r>
        <w:rPr>
          <w:spacing w:val="-83"/>
        </w:rPr>
        <w:t> </w:t>
      </w:r>
      <w:r>
        <w:rPr>
          <w:spacing w:val="-83"/>
        </w:rPr>
      </w:r>
      <w:r>
        <w:rPr/>
        <w:t>策的修订。</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87"/>
        <w:jc w:val="left"/>
      </w:pPr>
      <w:r>
        <w:rPr>
          <w:spacing w:val="-3"/>
        </w:rPr>
        <w:t>报告期内，根据《中华人民共和国公司法》（</w:t>
      </w:r>
      <w:r>
        <w:rPr>
          <w:rFonts w:ascii="宋体" w:hAnsi="宋体" w:cs="宋体" w:eastAsia="宋体" w:hint="default"/>
          <w:spacing w:val="-3"/>
        </w:rPr>
        <w:t>2013 </w:t>
      </w:r>
      <w:r>
        <w:rPr/>
        <w:t>年 </w:t>
      </w:r>
      <w:r>
        <w:rPr>
          <w:rFonts w:ascii="宋体" w:hAnsi="宋体" w:cs="宋体" w:eastAsia="宋体" w:hint="default"/>
        </w:rPr>
        <w:t>12 </w:t>
      </w:r>
      <w:r>
        <w:rPr/>
        <w:t>月 </w:t>
      </w:r>
      <w:r>
        <w:rPr>
          <w:rFonts w:ascii="宋体" w:hAnsi="宋体" w:cs="宋体" w:eastAsia="宋体" w:hint="default"/>
        </w:rPr>
        <w:t>28 </w:t>
      </w:r>
      <w:r>
        <w:rPr>
          <w:spacing w:val="-3"/>
        </w:rPr>
        <w:t>日修改、自 </w:t>
      </w:r>
      <w:r>
        <w:rPr>
          <w:rFonts w:ascii="宋体" w:hAnsi="宋体" w:cs="宋体" w:eastAsia="宋体" w:hint="default"/>
        </w:rPr>
        <w:t>2014 </w:t>
      </w:r>
      <w:r>
        <w:rPr/>
        <w:t>年 </w:t>
      </w:r>
      <w:r>
        <w:rPr>
          <w:rFonts w:ascii="宋体" w:hAnsi="宋体" w:cs="宋体" w:eastAsia="宋体" w:hint="default"/>
        </w:rPr>
        <w:t>3 </w:t>
      </w:r>
      <w:r>
        <w:rPr/>
        <w:t>月</w:t>
      </w:r>
      <w:r>
        <w:rPr>
          <w:spacing w:val="41"/>
        </w:rPr>
        <w:t> </w:t>
      </w:r>
      <w:r>
        <w:rPr>
          <w:rFonts w:ascii="宋体" w:hAnsi="宋体" w:cs="宋体" w:eastAsia="宋体" w:hint="default"/>
          <w:spacing w:val="-3"/>
        </w:rPr>
        <w:t>1</w:t>
      </w:r>
      <w:r>
        <w:rPr>
          <w:spacing w:val="-3"/>
        </w:rPr>
        <w:t>日起施行）、中国证券监</w:t>
      </w:r>
    </w:p>
    <w:p>
      <w:pPr>
        <w:pStyle w:val="BodyText"/>
        <w:spacing w:line="316" w:lineRule="auto" w:before="76"/>
        <w:ind w:right="190"/>
        <w:jc w:val="both"/>
      </w:pPr>
      <w:r>
        <w:rPr/>
        <w:t>督管理委员会发布的《上市公司监管指引第</w:t>
      </w:r>
      <w:r>
        <w:rPr>
          <w:spacing w:val="-40"/>
        </w:rPr>
        <w:t> </w:t>
      </w:r>
      <w:r>
        <w:rPr>
          <w:rFonts w:ascii="宋体" w:hAnsi="宋体" w:cs="宋体" w:eastAsia="宋体" w:hint="default"/>
        </w:rPr>
        <w:t>3</w:t>
      </w:r>
      <w:r>
        <w:rPr>
          <w:rFonts w:ascii="宋体" w:hAnsi="宋体" w:cs="宋体" w:eastAsia="宋体" w:hint="default"/>
          <w:spacing w:val="-40"/>
        </w:rPr>
        <w:t> </w:t>
      </w:r>
      <w:r>
        <w:rPr/>
        <w:t>号——上市公司现金分红》等有关规定，公司分别于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18</w:t>
      </w:r>
      <w:r>
        <w:rPr/>
        <w:t>日召开的第 </w:t>
      </w:r>
      <w:r>
        <w:rPr>
          <w:spacing w:val="-2"/>
        </w:rPr>
        <w:t>五届董事会第十次会议和</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4</w:t>
      </w:r>
      <w:r>
        <w:rPr>
          <w:spacing w:val="-2"/>
        </w:rPr>
        <w:t>日召开的公司</w:t>
      </w:r>
      <w:r>
        <w:rPr>
          <w:rFonts w:ascii="宋体" w:hAnsi="宋体" w:cs="宋体" w:eastAsia="宋体" w:hint="default"/>
          <w:spacing w:val="-2"/>
        </w:rPr>
        <w:t>2014</w:t>
      </w:r>
      <w:r>
        <w:rPr>
          <w:spacing w:val="-2"/>
        </w:rPr>
        <w:t>年第二次临时股东大会审议通过《关于修改</w:t>
      </w:r>
      <w:r>
        <w:rPr>
          <w:rFonts w:ascii="宋体" w:hAnsi="宋体" w:cs="宋体" w:eastAsia="宋体" w:hint="default"/>
          <w:spacing w:val="-2"/>
        </w:rPr>
        <w:t>&lt;</w:t>
      </w:r>
      <w:r>
        <w:rPr>
          <w:spacing w:val="-2"/>
        </w:rPr>
        <w:t>东华软件股份公司章程</w:t>
      </w:r>
      <w:r>
        <w:rPr>
          <w:rFonts w:ascii="宋体" w:hAnsi="宋体" w:cs="宋体" w:eastAsia="宋体" w:hint="default"/>
          <w:spacing w:val="-2"/>
        </w:rPr>
        <w:t>&gt;</w:t>
      </w:r>
      <w:r>
        <w:rPr>
          <w:rFonts w:ascii="宋体" w:hAnsi="宋体" w:cs="宋体" w:eastAsia="宋体" w:hint="default"/>
          <w:spacing w:val="-52"/>
        </w:rPr>
        <w:t> </w:t>
      </w:r>
      <w:r>
        <w:rPr/>
        <w:t>的议案》。修订后的《公司章程》中利润分配相关内容具体如下：</w:t>
      </w:r>
    </w:p>
    <w:p>
      <w:pPr>
        <w:pStyle w:val="Heading3"/>
        <w:spacing w:line="240" w:lineRule="auto" w:before="115"/>
        <w:ind w:right="0"/>
        <w:jc w:val="both"/>
        <w:rPr>
          <w:b w:val="0"/>
          <w:bCs w:val="0"/>
        </w:rPr>
      </w:pPr>
      <w:r>
        <w:rPr/>
        <w:t>（一）公司利润分配具体政策：</w:t>
      </w:r>
      <w:r>
        <w:rPr>
          <w:b w:val="0"/>
          <w:bCs w:val="0"/>
        </w:rPr>
      </w:r>
    </w:p>
    <w:p>
      <w:pPr>
        <w:spacing w:line="240" w:lineRule="auto" w:before="11"/>
        <w:rPr>
          <w:rFonts w:ascii="宋体" w:hAnsi="宋体" w:cs="宋体" w:eastAsia="宋体" w:hint="default"/>
          <w:b/>
          <w:bCs/>
          <w:sz w:val="13"/>
          <w:szCs w:val="13"/>
        </w:rPr>
      </w:pPr>
    </w:p>
    <w:p>
      <w:pPr>
        <w:pStyle w:val="BodyText"/>
        <w:spacing w:line="316" w:lineRule="auto"/>
        <w:ind w:right="182" w:firstLine="360"/>
        <w:jc w:val="left"/>
      </w:pPr>
      <w:r>
        <w:rPr>
          <w:rFonts w:ascii="宋体" w:hAnsi="宋体" w:cs="宋体" w:eastAsia="宋体" w:hint="default"/>
        </w:rPr>
        <w:t>1</w:t>
      </w:r>
      <w:r>
        <w:rPr/>
        <w:t>、利润分配的形式：公司采用现金、股票或者现金与股票相结合的方式分配股利。在有条件的情况下，公司可以进行 中期利润分配。</w:t>
      </w:r>
    </w:p>
    <w:p>
      <w:pPr>
        <w:pStyle w:val="BodyText"/>
        <w:spacing w:line="432" w:lineRule="exact" w:before="3"/>
        <w:ind w:left="514" w:right="87"/>
        <w:jc w:val="left"/>
      </w:pPr>
      <w:r>
        <w:rPr>
          <w:rFonts w:ascii="宋体" w:hAnsi="宋体" w:cs="宋体" w:eastAsia="宋体" w:hint="default"/>
        </w:rPr>
        <w:t>2</w:t>
      </w:r>
      <w:r>
        <w:rPr/>
        <w:t>、公司现金分红的具体条件和比例： </w:t>
      </w:r>
      <w:r>
        <w:rPr>
          <w:spacing w:val="-2"/>
        </w:rPr>
        <w:t>除特殊情况外，公司在当年盈利且累计未分配利润为正的情况下，采取现金方式分配股利。公司董事会综合考虑所处行</w:t>
      </w:r>
    </w:p>
    <w:p>
      <w:pPr>
        <w:pStyle w:val="BodyText"/>
        <w:spacing w:line="316" w:lineRule="auto" w:before="15"/>
        <w:ind w:right="192"/>
        <w:jc w:val="both"/>
      </w:pPr>
      <w:r>
        <w:rPr>
          <w:spacing w:val="-2"/>
        </w:rPr>
        <w:t>业特点、发展阶段、自身经营模式、盈利水平以及是否有重大投资计划或重大资金支出安排等因素，区分下列情形，并按照</w:t>
      </w:r>
      <w:r>
        <w:rPr>
          <w:spacing w:val="-66"/>
        </w:rPr>
        <w:t> </w:t>
      </w:r>
      <w:r>
        <w:rPr>
          <w:spacing w:val="-66"/>
        </w:rPr>
      </w:r>
      <w:r>
        <w:rPr/>
        <w:t>本章程规定的程序，制定差异化的现金分红政策，具体如下：</w:t>
      </w:r>
    </w:p>
    <w:p>
      <w:pPr>
        <w:pStyle w:val="BodyText"/>
        <w:spacing w:line="316" w:lineRule="auto" w:before="139"/>
        <w:ind w:right="182" w:firstLine="360"/>
        <w:jc w:val="left"/>
      </w:pPr>
      <w:r>
        <w:rPr/>
        <w:t>（</w:t>
      </w:r>
      <w:r>
        <w:rPr>
          <w:rFonts w:ascii="宋体" w:hAnsi="宋体" w:cs="宋体" w:eastAsia="宋体" w:hint="default"/>
        </w:rPr>
        <w:t>1</w:t>
      </w:r>
      <w:r>
        <w:rPr/>
        <w:t>）公司发展阶段属成熟期且无重大投资计划或重大资金支出安排的，进行利润分配时，现金分红在本次利润分配中 所占比例最低应达到</w:t>
      </w:r>
      <w:r>
        <w:rPr>
          <w:rFonts w:ascii="宋体" w:hAnsi="宋体" w:cs="宋体" w:eastAsia="宋体" w:hint="default"/>
        </w:rPr>
        <w:t>80%</w:t>
      </w:r>
      <w:r>
        <w:rPr/>
        <w:t>；</w:t>
      </w:r>
    </w:p>
    <w:p>
      <w:pPr>
        <w:pStyle w:val="BodyText"/>
        <w:spacing w:line="316" w:lineRule="auto" w:before="139"/>
        <w:ind w:right="182" w:firstLine="360"/>
        <w:jc w:val="left"/>
      </w:pPr>
      <w:r>
        <w:rPr/>
        <w:t>（</w:t>
      </w:r>
      <w:r>
        <w:rPr>
          <w:rFonts w:ascii="宋体" w:hAnsi="宋体" w:cs="宋体" w:eastAsia="宋体" w:hint="default"/>
        </w:rPr>
        <w:t>2</w:t>
      </w:r>
      <w:r>
        <w:rPr/>
        <w:t>）公司发展阶段属成熟期且有重大投资计划或重大资金支出安排的，进行利润分配时，现金分红在本次利润分配中 所占比例最低应达到</w:t>
      </w:r>
      <w:r>
        <w:rPr>
          <w:rFonts w:ascii="宋体" w:hAnsi="宋体" w:cs="宋体" w:eastAsia="宋体" w:hint="default"/>
        </w:rPr>
        <w:t>40%</w:t>
      </w:r>
      <w:r>
        <w:rPr/>
        <w:t>；</w:t>
      </w:r>
    </w:p>
    <w:p>
      <w:pPr>
        <w:pStyle w:val="BodyText"/>
        <w:spacing w:line="316" w:lineRule="auto" w:before="139"/>
        <w:ind w:right="182" w:firstLine="360"/>
        <w:jc w:val="left"/>
      </w:pPr>
      <w:r>
        <w:rPr/>
        <w:t>（</w:t>
      </w:r>
      <w:r>
        <w:rPr>
          <w:rFonts w:ascii="宋体" w:hAnsi="宋体" w:cs="宋体" w:eastAsia="宋体" w:hint="default"/>
        </w:rPr>
        <w:t>3</w:t>
      </w:r>
      <w:r>
        <w:rPr/>
        <w:t>）公司发展阶段属成长期且有重大投资计划或重大资金支出安排的，进行利润分配时，现金分红在本次利润分配中 所占比例最低应达到</w:t>
      </w:r>
      <w:r>
        <w:rPr>
          <w:rFonts w:ascii="宋体" w:hAnsi="宋体" w:cs="宋体" w:eastAsia="宋体" w:hint="default"/>
        </w:rPr>
        <w:t>20%</w:t>
      </w:r>
      <w:r>
        <w:rPr/>
        <w:t>；</w:t>
      </w:r>
    </w:p>
    <w:p>
      <w:pPr>
        <w:pStyle w:val="BodyText"/>
        <w:spacing w:line="439" w:lineRule="auto" w:before="139"/>
        <w:ind w:left="514" w:right="2252"/>
        <w:jc w:val="left"/>
      </w:pPr>
      <w:r>
        <w:rPr/>
        <w:t>公司发展阶段不易区分但有重大投资计划或重大资金支出安排的，可以按照前项规定处理。 “特殊情况”是指：</w:t>
      </w:r>
    </w:p>
    <w:p>
      <w:pPr>
        <w:pStyle w:val="BodyText"/>
        <w:spacing w:line="240" w:lineRule="auto" w:before="47"/>
        <w:ind w:left="514" w:right="87"/>
        <w:jc w:val="left"/>
      </w:pPr>
      <w:r>
        <w:rPr/>
        <w:t>（</w:t>
      </w:r>
      <w:r>
        <w:rPr>
          <w:rFonts w:ascii="宋体" w:hAnsi="宋体" w:cs="宋体" w:eastAsia="宋体" w:hint="default"/>
        </w:rPr>
        <w:t>1</w:t>
      </w:r>
      <w:r>
        <w:rPr/>
        <w:t>）当年每股收益低于</w:t>
      </w:r>
      <w:r>
        <w:rPr>
          <w:rFonts w:ascii="宋体" w:hAnsi="宋体" w:cs="宋体" w:eastAsia="宋体" w:hint="default"/>
        </w:rPr>
        <w:t>0.1</w:t>
      </w:r>
      <w:r>
        <w:rPr/>
        <w:t>元人民币；</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t>（</w:t>
      </w:r>
      <w:r>
        <w:rPr>
          <w:rFonts w:ascii="宋体" w:hAnsi="宋体" w:cs="宋体" w:eastAsia="宋体" w:hint="default"/>
        </w:rPr>
        <w:t>2</w:t>
      </w:r>
      <w:r>
        <w:rPr/>
        <w:t>）当年每股累计可供分配利润低于</w:t>
      </w:r>
      <w:r>
        <w:rPr>
          <w:rFonts w:ascii="宋体" w:hAnsi="宋体" w:cs="宋体" w:eastAsia="宋体" w:hint="default"/>
        </w:rPr>
        <w:t>0.2</w:t>
      </w:r>
      <w:r>
        <w:rPr/>
        <w:t>元人民币；</w:t>
      </w:r>
    </w:p>
    <w:p>
      <w:pPr>
        <w:spacing w:line="240" w:lineRule="auto" w:before="0"/>
        <w:rPr>
          <w:rFonts w:ascii="宋体" w:hAnsi="宋体" w:cs="宋体" w:eastAsia="宋体" w:hint="default"/>
          <w:sz w:val="15"/>
          <w:szCs w:val="15"/>
        </w:rPr>
      </w:pPr>
    </w:p>
    <w:p>
      <w:pPr>
        <w:pStyle w:val="BodyText"/>
        <w:spacing w:line="316" w:lineRule="auto"/>
        <w:ind w:right="86" w:firstLine="360"/>
        <w:jc w:val="left"/>
      </w:pPr>
      <w:r>
        <w:rPr>
          <w:spacing w:val="-3"/>
        </w:rPr>
        <w:t>“重大投资计划”或“重大现金支出”是指：① 涉及的资产总额占公司最近一期经审计总资产的</w:t>
      </w:r>
      <w:r>
        <w:rPr>
          <w:rFonts w:ascii="宋体" w:hAnsi="宋体" w:cs="宋体" w:eastAsia="宋体" w:hint="default"/>
          <w:spacing w:val="-3"/>
        </w:rPr>
        <w:t>30%</w:t>
      </w:r>
      <w:r>
        <w:rPr>
          <w:spacing w:val="-3"/>
        </w:rPr>
        <w:t>以上；②</w:t>
      </w:r>
      <w:r>
        <w:rPr>
          <w:spacing w:val="24"/>
        </w:rPr>
        <w:t> </w:t>
      </w:r>
      <w:r>
        <w:rPr>
          <w:spacing w:val="-15"/>
        </w:rPr>
        <w:t>标的（如</w:t>
      </w:r>
      <w:r>
        <w:rPr/>
        <w:t> </w:t>
      </w:r>
      <w:r>
        <w:rPr>
          <w:spacing w:val="-4"/>
        </w:rPr>
        <w:t>股权）在最近一个会计年度相关的营业收入占公司最近一个会计年度经审计营业收入的</w:t>
      </w:r>
      <w:r>
        <w:rPr>
          <w:rFonts w:ascii="宋体" w:hAnsi="宋体" w:cs="宋体" w:eastAsia="宋体" w:hint="default"/>
          <w:spacing w:val="-4"/>
        </w:rPr>
        <w:t>50%</w:t>
      </w:r>
      <w:r>
        <w:rPr>
          <w:spacing w:val="-4"/>
        </w:rPr>
        <w:t>以上，且绝对金额超过</w:t>
      </w:r>
      <w:r>
        <w:rPr>
          <w:rFonts w:ascii="宋体" w:hAnsi="宋体" w:cs="宋体" w:eastAsia="宋体" w:hint="default"/>
          <w:spacing w:val="-4"/>
        </w:rPr>
        <w:t>5000</w:t>
      </w:r>
      <w:r>
        <w:rPr>
          <w:rFonts w:ascii="宋体" w:hAnsi="宋体" w:cs="宋体" w:eastAsia="宋体" w:hint="default"/>
          <w:spacing w:val="46"/>
        </w:rPr>
        <w:t> </w:t>
      </w:r>
      <w:r>
        <w:rPr/>
        <w:t>万元；</w:t>
      </w:r>
    </w:p>
    <w:p>
      <w:pPr>
        <w:pStyle w:val="BodyText"/>
        <w:spacing w:line="316" w:lineRule="auto" w:before="19"/>
        <w:ind w:right="192"/>
        <w:jc w:val="both"/>
      </w:pPr>
      <w:r>
        <w:rPr/>
        <w:t>③</w:t>
      </w:r>
      <w:r>
        <w:rPr>
          <w:spacing w:val="47"/>
        </w:rPr>
        <w:t> </w:t>
      </w:r>
      <w:r>
        <w:rPr>
          <w:spacing w:val="-4"/>
        </w:rPr>
        <w:t>标的（如股权）在最近一个会计年度相关的净利润占公司最近一个会计年度经审计净利润的</w:t>
      </w:r>
      <w:r>
        <w:rPr>
          <w:rFonts w:ascii="宋体" w:hAnsi="宋体" w:cs="宋体" w:eastAsia="宋体" w:hint="default"/>
          <w:spacing w:val="-4"/>
        </w:rPr>
        <w:t>50%</w:t>
      </w:r>
      <w:r>
        <w:rPr>
          <w:spacing w:val="-4"/>
        </w:rPr>
        <w:t>以上，且绝对金额超过</w:t>
      </w:r>
      <w:r>
        <w:rPr>
          <w:rFonts w:ascii="宋体" w:hAnsi="宋体" w:cs="宋体" w:eastAsia="宋体" w:hint="default"/>
          <w:spacing w:val="-4"/>
        </w:rPr>
        <w:t>500</w:t>
      </w:r>
      <w:r>
        <w:rPr>
          <w:rFonts w:ascii="宋体" w:hAnsi="宋体" w:cs="宋体" w:eastAsia="宋体" w:hint="default"/>
          <w:spacing w:val="-87"/>
        </w:rPr>
        <w:t> </w:t>
      </w:r>
      <w:r>
        <w:rPr>
          <w:spacing w:val="-5"/>
        </w:rPr>
        <w:t>万元；④</w:t>
      </w:r>
      <w:r>
        <w:rPr>
          <w:spacing w:val="-59"/>
        </w:rPr>
        <w:t> </w:t>
      </w:r>
      <w:r>
        <w:rPr/>
        <w:t>成交金额（包括承担的债务和费用）占公司最近一期经审计净资产的</w:t>
      </w:r>
      <w:r>
        <w:rPr>
          <w:rFonts w:ascii="宋体" w:hAnsi="宋体" w:cs="宋体" w:eastAsia="宋体" w:hint="default"/>
        </w:rPr>
        <w:t>50%</w:t>
      </w:r>
      <w:r>
        <w:rPr/>
        <w:t>以上，且绝对金额超过</w:t>
      </w:r>
      <w:r>
        <w:rPr>
          <w:rFonts w:ascii="宋体" w:hAnsi="宋体" w:cs="宋体" w:eastAsia="宋体" w:hint="default"/>
        </w:rPr>
        <w:t>5000</w:t>
      </w:r>
      <w:r>
        <w:rPr/>
        <w:t>万元；⑤产生 的利润占公司最近一个会计年度经审计净利润的</w:t>
      </w:r>
      <w:r>
        <w:rPr>
          <w:rFonts w:ascii="宋体" w:hAnsi="宋体" w:cs="宋体" w:eastAsia="宋体" w:hint="default"/>
        </w:rPr>
        <w:t>50%</w:t>
      </w:r>
      <w:r>
        <w:rPr/>
        <w:t>以上，且绝对金额超过</w:t>
      </w:r>
      <w:r>
        <w:rPr>
          <w:rFonts w:ascii="宋体" w:hAnsi="宋体" w:cs="宋体" w:eastAsia="宋体" w:hint="default"/>
        </w:rPr>
        <w:t>500</w:t>
      </w:r>
      <w:r>
        <w:rPr/>
        <w:t>万元。</w:t>
      </w:r>
    </w:p>
    <w:p>
      <w:pPr>
        <w:pStyle w:val="BodyText"/>
        <w:spacing w:line="432" w:lineRule="exact" w:before="3"/>
        <w:ind w:left="514" w:right="87"/>
        <w:jc w:val="left"/>
      </w:pPr>
      <w:r>
        <w:rPr>
          <w:rFonts w:ascii="宋体" w:hAnsi="宋体" w:cs="宋体" w:eastAsia="宋体" w:hint="default"/>
        </w:rPr>
        <w:t>3</w:t>
      </w:r>
      <w:r>
        <w:rPr/>
        <w:t>、公司发放股票股利的具体条件： </w:t>
      </w:r>
      <w:r>
        <w:rPr>
          <w:spacing w:val="-2"/>
        </w:rPr>
        <w:t>公司在经营情况良好，并且董事会认为公司股票价格与公司股本规模不匹配、发放股票股利有利于公司全体股东整体利</w:t>
      </w:r>
    </w:p>
    <w:p>
      <w:pPr>
        <w:pStyle w:val="BodyText"/>
        <w:spacing w:line="240" w:lineRule="auto" w:before="15"/>
        <w:ind w:right="0"/>
        <w:jc w:val="both"/>
      </w:pPr>
      <w:r>
        <w:rPr/>
        <w:t>益时，可以在满足上述现金分红的条件下，提出股票股利分配预案。</w:t>
      </w:r>
    </w:p>
    <w:p>
      <w:pPr>
        <w:spacing w:line="240" w:lineRule="auto" w:before="1"/>
        <w:rPr>
          <w:rFonts w:ascii="宋体" w:hAnsi="宋体" w:cs="宋体" w:eastAsia="宋体" w:hint="default"/>
          <w:sz w:val="13"/>
          <w:szCs w:val="13"/>
        </w:rPr>
      </w:pPr>
    </w:p>
    <w:p>
      <w:pPr>
        <w:pStyle w:val="Heading3"/>
        <w:spacing w:line="240" w:lineRule="auto"/>
        <w:ind w:left="634" w:right="87"/>
        <w:jc w:val="left"/>
        <w:rPr>
          <w:b w:val="0"/>
          <w:bCs w:val="0"/>
        </w:rPr>
      </w:pPr>
      <w:r>
        <w:rPr/>
        <w:t>（二）公司利润分配方案的审议程序</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0" w:firstLine="360"/>
        <w:jc w:val="both"/>
      </w:pPr>
      <w:r>
        <w:rPr>
          <w:rFonts w:ascii="宋体" w:hAnsi="宋体" w:cs="宋体" w:eastAsia="宋体" w:hint="default"/>
        </w:rPr>
        <w:t>1</w:t>
      </w:r>
      <w:r>
        <w:rPr/>
        <w:t>、公司每年利润分配预案由董事会结合公司章程的规定、盈利情况、资金供给和需求情况提出、拟订。董事会制定现 </w:t>
      </w:r>
      <w:r>
        <w:rPr>
          <w:spacing w:val="-2"/>
        </w:rPr>
        <w:t>金分红具体方案时，应当认真研究和论证公司现金分红的时机、条件和最低比例、调整的条件及其决策程序要求等事宜。独</w:t>
      </w:r>
      <w:r>
        <w:rPr>
          <w:spacing w:val="-66"/>
        </w:rPr>
        <w:t> </w:t>
      </w:r>
      <w:r>
        <w:rPr>
          <w:spacing w:val="-66"/>
        </w:rPr>
      </w:r>
      <w:r>
        <w:rPr>
          <w:spacing w:val="-2"/>
        </w:rPr>
        <w:t>立董事、监事会应对利润分配方案进行审核并发表独立明确的意见，董事会就利润分配方案的合理性进行充分讨论，形成专</w:t>
      </w:r>
      <w:r>
        <w:rPr>
          <w:spacing w:val="-66"/>
        </w:rPr>
        <w:t> </w:t>
      </w:r>
      <w:r>
        <w:rPr>
          <w:spacing w:val="-66"/>
        </w:rPr>
      </w:r>
      <w:r>
        <w:rPr/>
        <w:t>项决议后提交股东大会审议以特别决议通过。审议利润分配方案时，公司为股东提供网络投票方式。</w:t>
      </w:r>
    </w:p>
    <w:p>
      <w:pPr>
        <w:pStyle w:val="BodyText"/>
        <w:spacing w:line="240" w:lineRule="auto" w:before="139"/>
        <w:ind w:left="514" w:right="87"/>
        <w:jc w:val="left"/>
      </w:pPr>
      <w:r>
        <w:rPr>
          <w:rFonts w:ascii="宋体" w:hAnsi="宋体" w:cs="宋体" w:eastAsia="宋体" w:hint="default"/>
        </w:rPr>
        <w:t>2</w:t>
      </w:r>
      <w:r>
        <w:rPr/>
        <w:t>、独立董事可以征集中小股东的意见，提出分红提案，并直接提交董事会审议。</w:t>
      </w:r>
    </w:p>
    <w:p>
      <w:pPr>
        <w:spacing w:line="240" w:lineRule="auto" w:before="0"/>
        <w:rPr>
          <w:rFonts w:ascii="宋体" w:hAnsi="宋体" w:cs="宋体" w:eastAsia="宋体" w:hint="default"/>
          <w:sz w:val="15"/>
          <w:szCs w:val="15"/>
        </w:rPr>
      </w:pPr>
    </w:p>
    <w:p>
      <w:pPr>
        <w:pStyle w:val="BodyText"/>
        <w:spacing w:line="316" w:lineRule="auto"/>
        <w:ind w:right="182" w:firstLine="360"/>
        <w:jc w:val="left"/>
      </w:pPr>
      <w:r>
        <w:rPr>
          <w:rFonts w:ascii="宋体" w:hAnsi="宋体" w:cs="宋体" w:eastAsia="宋体" w:hint="default"/>
        </w:rPr>
        <w:t>3</w:t>
      </w:r>
      <w:r>
        <w:rPr/>
        <w:t>、公司董事会、监事会和股东大会对利润分配政策的决策和论证过程中应当充分考虑独立董事、外部监事和公众投资 </w:t>
      </w:r>
      <w:r>
        <w:rPr>
          <w:spacing w:val="-2"/>
        </w:rPr>
        <w:t>者的意见。公司通过多种途径（电话、传真、电子邮件、投资者关系互动平台）听取、接受各方对利润分配事项的建议和监</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督。</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8"/>
        <w:rPr>
          <w:rFonts w:ascii="宋体" w:hAnsi="宋体" w:cs="宋体" w:eastAsia="宋体" w:hint="default"/>
          <w:sz w:val="6"/>
          <w:szCs w:val="6"/>
        </w:rPr>
      </w:pPr>
    </w:p>
    <w:p>
      <w:pPr>
        <w:pStyle w:val="BodyText"/>
        <w:spacing w:line="439" w:lineRule="auto" w:before="44"/>
        <w:ind w:left="604" w:right="3022" w:hanging="450"/>
        <w:jc w:val="left"/>
      </w:pPr>
      <w:r>
        <w:rPr/>
        <w:t>公司近</w:t>
      </w:r>
      <w:r>
        <w:rPr>
          <w:rFonts w:ascii="宋体" w:hAnsi="宋体" w:cs="宋体" w:eastAsia="宋体" w:hint="default"/>
        </w:rPr>
        <w:t>3</w:t>
      </w:r>
      <w:r>
        <w:rPr/>
        <w:t>年（含报告期）的利润分配预案或方案及资本公积金转增股本预案或方案情况 </w:t>
      </w:r>
      <w:r>
        <w:rPr>
          <w:rFonts w:ascii="宋体" w:hAnsi="宋体" w:cs="宋体" w:eastAsia="宋体" w:hint="default"/>
        </w:rPr>
        <w:t>1</w:t>
      </w:r>
      <w:r>
        <w:rPr/>
        <w:t>、</w:t>
      </w:r>
      <w:r>
        <w:rPr>
          <w:rFonts w:ascii="宋体" w:hAnsi="宋体" w:cs="宋体" w:eastAsia="宋体" w:hint="default"/>
        </w:rPr>
        <w:t>2012</w:t>
      </w:r>
      <w:r>
        <w:rPr/>
        <w:t>年度利润分配方案</w:t>
      </w:r>
    </w:p>
    <w:p>
      <w:pPr>
        <w:pStyle w:val="BodyText"/>
        <w:spacing w:line="316" w:lineRule="auto" w:before="47"/>
        <w:ind w:right="152" w:firstLine="360"/>
        <w:jc w:val="both"/>
      </w:pP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日召开</w:t>
      </w:r>
      <w:r>
        <w:rPr>
          <w:rFonts w:ascii="宋体" w:hAnsi="宋体" w:cs="宋体" w:eastAsia="宋体" w:hint="default"/>
          <w:spacing w:val="2"/>
        </w:rPr>
        <w:t>2012</w:t>
      </w:r>
      <w:r>
        <w:rPr>
          <w:spacing w:val="2"/>
        </w:rPr>
        <w:t>年度股东大会审议通过了《</w:t>
      </w:r>
      <w:r>
        <w:rPr>
          <w:rFonts w:ascii="宋体" w:hAnsi="宋体" w:cs="宋体" w:eastAsia="宋体" w:hint="default"/>
          <w:spacing w:val="2"/>
        </w:rPr>
        <w:t>2012</w:t>
      </w:r>
      <w:r>
        <w:rPr>
          <w:spacing w:val="2"/>
        </w:rPr>
        <w:t>年度利润分配预案》，以</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t> </w:t>
      </w:r>
      <w:r>
        <w:rPr>
          <w:rFonts w:ascii="宋体" w:hAnsi="宋体" w:cs="宋体" w:eastAsia="宋体" w:hint="default"/>
        </w:rPr>
        <w:t>689,967,200</w:t>
      </w:r>
      <w:r>
        <w:rPr/>
        <w:t>股为基数，向全体股东每</w:t>
      </w:r>
      <w:r>
        <w:rPr>
          <w:rFonts w:ascii="宋体" w:hAnsi="宋体" w:cs="宋体" w:eastAsia="宋体" w:hint="default"/>
        </w:rPr>
        <w:t>10</w:t>
      </w:r>
      <w:r>
        <w:rPr/>
        <w:t>股派人民币现金</w:t>
      </w:r>
      <w:r>
        <w:rPr>
          <w:rFonts w:ascii="宋体" w:hAnsi="宋体" w:cs="宋体" w:eastAsia="宋体" w:hint="default"/>
        </w:rPr>
        <w:t>2</w:t>
      </w:r>
      <w:r>
        <w:rPr/>
        <w:t>元（含税），共计</w:t>
      </w:r>
      <w:r>
        <w:rPr>
          <w:rFonts w:ascii="宋体" w:hAnsi="宋体" w:cs="宋体" w:eastAsia="宋体" w:hint="default"/>
        </w:rPr>
        <w:t>137,993,440</w:t>
      </w:r>
      <w:r>
        <w:rPr/>
        <w:t>元（含税）。本方案已于</w:t>
      </w:r>
      <w:r>
        <w:rPr>
          <w:rFonts w:ascii="宋体" w:hAnsi="宋体" w:cs="宋体" w:eastAsia="宋体" w:hint="default"/>
        </w:rPr>
        <w:t>2013</w:t>
      </w:r>
      <w:r>
        <w:rPr/>
        <w:t>年</w:t>
      </w:r>
      <w:r>
        <w:rPr>
          <w:rFonts w:ascii="宋体" w:hAnsi="宋体" w:cs="宋体" w:eastAsia="宋体" w:hint="default"/>
        </w:rPr>
        <w:t>6</w:t>
      </w:r>
      <w:r>
        <w:rPr>
          <w:rFonts w:ascii="宋体" w:hAnsi="宋体" w:cs="宋体" w:eastAsia="宋体" w:hint="default"/>
          <w:spacing w:val="-4"/>
        </w:rPr>
        <w:t> </w:t>
      </w:r>
      <w:r>
        <w:rPr/>
        <w:t>月</w:t>
      </w:r>
      <w:r>
        <w:rPr>
          <w:rFonts w:ascii="宋体" w:hAnsi="宋体" w:cs="宋体" w:eastAsia="宋体" w:hint="default"/>
        </w:rPr>
        <w:t>6</w:t>
      </w:r>
      <w:r>
        <w:rPr/>
        <w:t>日实施完毕。</w:t>
      </w:r>
    </w:p>
    <w:p>
      <w:pPr>
        <w:pStyle w:val="BodyText"/>
        <w:spacing w:line="432" w:lineRule="exact" w:before="3"/>
        <w:ind w:left="514" w:right="0" w:firstLine="9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2013</w:t>
      </w:r>
      <w:r>
        <w:rPr/>
        <w:t>年度利润分配方案 公司于</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5</w:t>
      </w:r>
      <w:r>
        <w:rPr/>
        <w:t>日召开</w:t>
      </w:r>
      <w:r>
        <w:rPr>
          <w:rFonts w:ascii="宋体" w:hAnsi="宋体" w:cs="宋体" w:eastAsia="宋体" w:hint="default"/>
        </w:rPr>
        <w:t>2013</w:t>
      </w:r>
      <w:r>
        <w:rPr/>
        <w:t>年度股东大会审议通过了《</w:t>
      </w:r>
      <w:r>
        <w:rPr>
          <w:rFonts w:ascii="宋体" w:hAnsi="宋体" w:cs="宋体" w:eastAsia="宋体" w:hint="default"/>
        </w:rPr>
        <w:t>2013</w:t>
      </w:r>
      <w:r>
        <w:rPr/>
        <w:t>年度利润分配预案》，以公司权益分派股权登记日</w:t>
      </w:r>
      <w:r>
        <w:rPr>
          <w:rFonts w:ascii="宋体" w:hAnsi="宋体" w:cs="宋体" w:eastAsia="宋体" w:hint="default"/>
        </w:rPr>
        <w:t>2014</w:t>
      </w:r>
    </w:p>
    <w:p>
      <w:pPr>
        <w:pStyle w:val="BodyText"/>
        <w:spacing w:line="319" w:lineRule="auto" w:before="15"/>
        <w:ind w:right="152"/>
        <w:jc w:val="both"/>
      </w:pP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日收盘时公司股本</w:t>
      </w:r>
      <w:r>
        <w:rPr>
          <w:rFonts w:ascii="宋体" w:hAnsi="宋体" w:cs="宋体" w:eastAsia="宋体" w:hint="default"/>
          <w:spacing w:val="-2"/>
        </w:rPr>
        <w:t>735,041,371</w:t>
      </w:r>
      <w:r>
        <w:rPr>
          <w:spacing w:val="-2"/>
        </w:rPr>
        <w:t>股为基数（注：公司自</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日起进入可转债转股期，公司股本随转股数的增加</w:t>
      </w:r>
      <w:r>
        <w:rPr>
          <w:spacing w:val="-46"/>
        </w:rPr>
        <w:t> </w:t>
      </w:r>
      <w:r>
        <w:rPr>
          <w:spacing w:val="-46"/>
        </w:rPr>
      </w:r>
      <w:r>
        <w:rPr>
          <w:spacing w:val="-2"/>
        </w:rPr>
        <w:t>随时发生变化），向全体股东每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2.0</w:t>
      </w:r>
      <w:r>
        <w:rPr>
          <w:spacing w:val="-2"/>
        </w:rPr>
        <w:t>元（含税）共计</w:t>
      </w:r>
      <w:r>
        <w:rPr>
          <w:rFonts w:ascii="宋体" w:hAnsi="宋体" w:cs="宋体" w:eastAsia="宋体" w:hint="default"/>
          <w:spacing w:val="-2"/>
        </w:rPr>
        <w:t>147,008,274.2</w:t>
      </w:r>
      <w:r>
        <w:rPr>
          <w:spacing w:val="-2"/>
        </w:rPr>
        <w:t>（含税）；同时，以资本公积转增股本</w:t>
      </w:r>
      <w:r>
        <w:rPr>
          <w:spacing w:val="-49"/>
        </w:rPr>
        <w:t> </w:t>
      </w:r>
      <w:r>
        <w:rPr>
          <w:spacing w:val="-49"/>
        </w:rPr>
      </w:r>
      <w:r>
        <w:rPr/>
        <w:t>方式向全体股东每</w:t>
      </w:r>
      <w:r>
        <w:rPr>
          <w:rFonts w:ascii="宋体" w:hAnsi="宋体" w:cs="宋体" w:eastAsia="宋体" w:hint="default"/>
        </w:rPr>
        <w:t>10</w:t>
      </w:r>
      <w:r>
        <w:rPr/>
        <w:t>股转增</w:t>
      </w:r>
      <w:r>
        <w:rPr>
          <w:rFonts w:ascii="宋体" w:hAnsi="宋体" w:cs="宋体" w:eastAsia="宋体" w:hint="default"/>
        </w:rPr>
        <w:t>10</w:t>
      </w:r>
      <w:r>
        <w:rPr/>
        <w:t>股，共计</w:t>
      </w:r>
      <w:r>
        <w:rPr>
          <w:rFonts w:ascii="宋体" w:hAnsi="宋体" w:cs="宋体" w:eastAsia="宋体" w:hint="default"/>
        </w:rPr>
        <w:t>735,041,371</w:t>
      </w:r>
      <w:r>
        <w:rPr/>
        <w:t>股。本方案已于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4</w:t>
      </w:r>
      <w:r>
        <w:rPr/>
        <w:t>日实施完毕。</w:t>
      </w:r>
    </w:p>
    <w:p>
      <w:pPr>
        <w:pStyle w:val="BodyText"/>
        <w:spacing w:line="432" w:lineRule="exact" w:before="1"/>
        <w:ind w:left="514" w:right="142" w:firstLine="90"/>
        <w:jc w:val="left"/>
      </w:pPr>
      <w:r>
        <w:rPr>
          <w:rFonts w:ascii="宋体" w:hAnsi="宋体" w:cs="宋体" w:eastAsia="宋体" w:hint="default"/>
        </w:rPr>
        <w:t>3</w:t>
      </w:r>
      <w:r>
        <w:rPr/>
        <w:t>、</w:t>
      </w:r>
      <w:r>
        <w:rPr>
          <w:rFonts w:ascii="宋体" w:hAnsi="宋体" w:cs="宋体" w:eastAsia="宋体" w:hint="default"/>
        </w:rPr>
        <w:t>2014</w:t>
      </w:r>
      <w:r>
        <w:rPr/>
        <w:t>年度利润分配方案 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27</w:t>
      </w:r>
      <w:r>
        <w:rPr/>
        <w:t>日召开第五届董事会第六次会议审议通过了《</w:t>
      </w:r>
      <w:r>
        <w:rPr>
          <w:rFonts w:ascii="宋体" w:hAnsi="宋体" w:cs="宋体" w:eastAsia="宋体" w:hint="default"/>
        </w:rPr>
        <w:t>2014</w:t>
      </w:r>
      <w:r>
        <w:rPr/>
        <w:t>年度利润分配预案》，以公司权益分派股权登记</w:t>
      </w:r>
    </w:p>
    <w:p>
      <w:pPr>
        <w:pStyle w:val="BodyText"/>
        <w:spacing w:line="316" w:lineRule="auto" w:before="15"/>
        <w:ind w:right="151"/>
        <w:jc w:val="both"/>
      </w:pPr>
      <w:r>
        <w:rPr>
          <w:spacing w:val="-2"/>
        </w:rPr>
        <w:t>日的公司股本为基数（注：公司自</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日起进入可转债转股期，公司股本随转股数的增加随时发生变化），向全体股</w:t>
      </w:r>
      <w:r>
        <w:rPr>
          <w:spacing w:val="-59"/>
        </w:rPr>
        <w:t> </w:t>
      </w:r>
      <w:r>
        <w:rPr>
          <w:spacing w:val="-59"/>
        </w:rPr>
      </w:r>
      <w:r>
        <w:rPr/>
        <w:t>东每</w:t>
      </w:r>
      <w:r>
        <w:rPr>
          <w:rFonts w:ascii="宋体" w:hAnsi="宋体" w:cs="宋体" w:eastAsia="宋体" w:hint="default"/>
        </w:rPr>
        <w:t>10</w:t>
      </w:r>
      <w:r>
        <w:rPr/>
        <w:t>股派发现金红利</w:t>
      </w:r>
      <w:r>
        <w:rPr>
          <w:rFonts w:ascii="宋体" w:hAnsi="宋体" w:cs="宋体" w:eastAsia="宋体" w:hint="default"/>
        </w:rPr>
        <w:t>1.5</w:t>
      </w:r>
      <w:r>
        <w:rPr/>
        <w:t>元（含税）。该方案尚需提交</w:t>
      </w:r>
      <w:r>
        <w:rPr>
          <w:rFonts w:ascii="宋体" w:hAnsi="宋体" w:cs="宋体" w:eastAsia="宋体" w:hint="default"/>
        </w:rPr>
        <w:t>2014</w:t>
      </w:r>
      <w:r>
        <w:rPr/>
        <w:t>年度股东大会审议批准。</w:t>
      </w:r>
    </w:p>
    <w:p>
      <w:pPr>
        <w:pStyle w:val="BodyText"/>
        <w:spacing w:line="240" w:lineRule="auto" w:before="139"/>
        <w:ind w:left="514" w:right="0"/>
        <w:jc w:val="left"/>
      </w:pPr>
      <w:r>
        <w:rPr/>
        <w:t>公司近三年现金分红情况表</w:t>
      </w:r>
    </w:p>
    <w:p>
      <w:pPr>
        <w:spacing w:line="240" w:lineRule="auto" w:before="1"/>
        <w:rPr>
          <w:rFonts w:ascii="宋体" w:hAnsi="宋体" w:cs="宋体" w:eastAsia="宋体" w:hint="default"/>
          <w:sz w:val="15"/>
          <w:szCs w:val="15"/>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1,038,654,013.57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147,008,274.20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770,870,494.95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137,993,440.00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569,175,307.73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公司报告期内盈利且母公司未分配利润为正但未提出现金红利分配预案</w:t>
      </w:r>
    </w:p>
    <w:p>
      <w:pPr>
        <w:pStyle w:val="BodyText"/>
        <w:spacing w:line="240" w:lineRule="auto" w:before="117"/>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161" w:hRule="exact"/>
        </w:trPr>
        <w:tc>
          <w:tcPr>
            <w:tcW w:w="37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852"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以公司权益分派登记日的公司股本为股份基数（注：公司自</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 </w:t>
            </w:r>
            <w:r>
              <w:rPr>
                <w:rFonts w:ascii="宋体" w:hAnsi="宋体" w:cs="宋体" w:eastAsia="宋体" w:hint="default"/>
                <w:sz w:val="18"/>
                <w:szCs w:val="18"/>
              </w:rPr>
              <w:t>日起进入可转债转股期，公司股本随转股数的增加随时发生变化）</w:t>
            </w:r>
          </w:p>
        </w:tc>
      </w:tr>
      <w:tr>
        <w:trPr>
          <w:trHeight w:val="391" w:hRule="exact"/>
        </w:trPr>
        <w:tc>
          <w:tcPr>
            <w:tcW w:w="3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vMerge/>
            <w:tcBorders>
              <w:left w:val="single" w:sz="4" w:space="0" w:color="000000"/>
              <w:right w:val="single" w:sz="4" w:space="0" w:color="000000"/>
            </w:tcBorders>
          </w:tcPr>
          <w:p>
            <w:pPr/>
          </w:p>
        </w:tc>
      </w:tr>
      <w:tr>
        <w:trPr>
          <w:trHeight w:val="161" w:hRule="exact"/>
        </w:trPr>
        <w:tc>
          <w:tcPr>
            <w:tcW w:w="37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852" w:type="dxa"/>
            <w:vMerge/>
            <w:tcBorders>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第五届董事会第十九次会议审议通过了《</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，以公司权益分派登记日</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的公司股本为股份基</w:t>
            </w:r>
            <w:r>
              <w:rPr>
                <w:rFonts w:ascii="宋体" w:hAnsi="宋体" w:cs="宋体" w:eastAsia="宋体" w:hint="default"/>
                <w:spacing w:val="-8"/>
                <w:sz w:val="18"/>
                <w:szCs w:val="18"/>
              </w:rPr>
              <w:t>数</w:t>
            </w:r>
            <w:r>
              <w:rPr>
                <w:rFonts w:ascii="宋体" w:hAnsi="宋体" w:cs="宋体" w:eastAsia="宋体" w:hint="default"/>
                <w:sz w:val="18"/>
                <w:szCs w:val="18"/>
              </w:rPr>
              <w:t>（注</w:t>
            </w:r>
            <w:r>
              <w:rPr>
                <w:rFonts w:ascii="宋体" w:hAnsi="宋体" w:cs="宋体" w:eastAsia="宋体" w:hint="default"/>
                <w:spacing w:val="-8"/>
                <w:sz w:val="18"/>
                <w:szCs w:val="18"/>
              </w:rPr>
              <w:t>：</w:t>
            </w: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起</w:t>
            </w:r>
            <w:r>
              <w:rPr>
                <w:rFonts w:ascii="宋体" w:hAnsi="宋体" w:cs="宋体" w:eastAsia="宋体" w:hint="default"/>
                <w:sz w:val="18"/>
                <w:szCs w:val="18"/>
              </w:rPr>
              <w:t>进入可转债转股期</w:t>
            </w:r>
            <w:r>
              <w:rPr>
                <w:rFonts w:ascii="宋体" w:hAnsi="宋体" w:cs="宋体" w:eastAsia="宋体" w:hint="default"/>
                <w:spacing w:val="-8"/>
                <w:sz w:val="18"/>
                <w:szCs w:val="18"/>
              </w:rPr>
              <w:t>，</w:t>
            </w:r>
            <w:r>
              <w:rPr>
                <w:rFonts w:ascii="宋体" w:hAnsi="宋体" w:cs="宋体" w:eastAsia="宋体" w:hint="default"/>
                <w:sz w:val="18"/>
                <w:szCs w:val="18"/>
              </w:rPr>
              <w:t>公司股本随转股数的增加随时发生变化</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宋体" w:hAnsi="宋体" w:cs="宋体" w:eastAsia="宋体" w:hint="default"/>
                <w:sz w:val="18"/>
                <w:szCs w:val="18"/>
              </w:rPr>
              <w:t>1.50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。该方案尚需提交</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年度股东大会审议批准。</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pStyle w:val="BodyText"/>
        <w:spacing w:line="439" w:lineRule="auto"/>
        <w:ind w:right="412"/>
        <w:jc w:val="left"/>
      </w:pPr>
      <w:r>
        <w:rPr/>
        <w:t>√ 适用 □ 不适用 内容详见</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29</w:t>
      </w:r>
      <w:r>
        <w:rPr/>
        <w:t>日刊登在巨潮资讯网（</w:t>
      </w:r>
      <w:hyperlink r:id="rId12">
        <w:r>
          <w:rPr>
            <w:rFonts w:ascii="宋体" w:hAnsi="宋体" w:cs="宋体" w:eastAsia="宋体" w:hint="default"/>
          </w:rPr>
          <w:t>http://www.cninfo.com.cn/</w:t>
        </w:r>
      </w:hyperlink>
      <w:r>
        <w:rPr/>
        <w:t>）上的《东华软件股份公司社会责任报告》。 上市公司及其子公司是否属于国家环境保护部门规定的重污染行业</w:t>
      </w:r>
    </w:p>
    <w:p>
      <w:pPr>
        <w:pStyle w:val="BodyText"/>
        <w:spacing w:line="439" w:lineRule="auto" w:before="47"/>
        <w:ind w:right="5632"/>
        <w:jc w:val="left"/>
      </w:pPr>
      <w:r>
        <w:rPr/>
        <w:t>□ 是 □ 否 √ 不适用 上市公司及其子公司是否存在其他重大社会安全问题</w:t>
      </w:r>
    </w:p>
    <w:p>
      <w:pPr>
        <w:pStyle w:val="BodyText"/>
        <w:spacing w:line="439" w:lineRule="auto" w:before="47"/>
        <w:ind w:right="7792"/>
        <w:jc w:val="left"/>
      </w:pPr>
      <w:r>
        <w:rPr/>
        <w:t>□ 是 □ 否 √ 不适用 报告期内是否被行政处罚</w:t>
      </w:r>
    </w:p>
    <w:p>
      <w:pPr>
        <w:pStyle w:val="BodyText"/>
        <w:spacing w:line="240" w:lineRule="auto" w:before="47"/>
        <w:ind w:right="0"/>
        <w:jc w:val="left"/>
      </w:pPr>
      <w:r>
        <w:rPr/>
        <w:t>□ 是 □ 否 √ 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十六、报告期内接待调研、沟通、采访等活动登记表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北京时代趋势投资 有限责任公司、宏 景咨询（深圳）有 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银华基金、华夏基 金、国信证券、中</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88.963013pt;margin-top:72.47998pt;width:146pt;height:48.85pt;mso-position-horizontal-relative:page;mso-position-vertical-relative:page;z-index:-904816" type="#_x0000_t202" filled="false" stroked="false">
            <v:textbox inset="0,0,0,0">
              <w:txbxContent>
                <w:p>
                  <w:pPr>
                    <w:pStyle w:val="BodyText"/>
                    <w:spacing w:line="240" w:lineRule="auto" w:before="10"/>
                    <w:ind w:left="0" w:right="0"/>
                    <w:jc w:val="left"/>
                  </w:pPr>
                  <w:r>
                    <w:rPr/>
                    <w:t>国泰基金、</w:t>
                  </w:r>
                </w:p>
              </w:txbxContent>
            </v:textbox>
            <w10:wrap type="none"/>
          </v:shape>
        </w:pict>
      </w:r>
      <w:r>
        <w:rPr/>
        <w:pict>
          <v:shape style="position:absolute;margin-left:388.963013pt;margin-top:121.79998pt;width:146pt;height:97.65pt;mso-position-horizontal-relative:page;mso-position-vertical-relative:page;z-index:-904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636" w:lineRule="auto"/>
                    <w:ind w:left="0" w:right="2017"/>
                    <w:jc w:val="left"/>
                  </w:pPr>
                  <w:r>
                    <w:rPr/>
                    <w:t>兴业证券、 嘉实基金、</w:t>
                  </w:r>
                </w:p>
              </w:txbxContent>
            </v:textbox>
            <w10:wrap type="none"/>
          </v:shape>
        </w:pict>
      </w:r>
      <w:r>
        <w:rPr/>
        <w:pict>
          <v:shape style="position:absolute;margin-left:397.963013pt;margin-top:536.73999pt;width:137pt;height:82.05pt;mso-position-horizontal-relative:page;mso-position-vertical-relative:page;z-index:-904768" type="#_x0000_t202" filled="false" stroked="false">
            <v:textbox inset="0,0,0,0">
              <w:txbxContent>
                <w:p>
                  <w:pPr>
                    <w:pStyle w:val="BodyText"/>
                    <w:spacing w:line="240" w:lineRule="auto" w:before="51"/>
                    <w:ind w:left="0" w:right="0"/>
                    <w:jc w:val="left"/>
                  </w:pPr>
                  <w:r>
                    <w:rPr/>
                    <w:t>易方达、</w:t>
                  </w:r>
                </w:p>
              </w:txbxContent>
            </v:textbox>
            <w10:wrap type="none"/>
          </v:shape>
        </w:pict>
      </w:r>
      <w:r>
        <w:rPr/>
        <w:pict>
          <v:group style="position:absolute;margin-left:431.100006pt;margin-top:72.47998pt;width:103.9pt;height:147pt;mso-position-horizontal-relative:page;mso-position-vertical-relative:page;z-index:-904744" coordorigin="8622,1450" coordsize="2078,2940">
            <v:group style="position:absolute;left:8622;top:1450;width:2078;height:977" coordorigin="8622,1450" coordsize="2078,977">
              <v:shape style="position:absolute;left:8622;top:1450;width:2078;height:977" coordorigin="8622,1450" coordsize="2078,977" path="m8622,2426l10699,2426,10699,1450,8622,1450,8622,2426xe" filled="true" fillcolor="#ffffff" stroked="false">
                <v:path arrowok="t"/>
                <v:fill type="solid"/>
              </v:shape>
            </v:group>
            <v:group style="position:absolute;left:8622;top:2436;width:2078;height:1953" coordorigin="8622,2436" coordsize="2078,1953">
              <v:shape style="position:absolute;left:8622;top:2436;width:2078;height:1953" coordorigin="8622,2436" coordsize="2078,1953" path="m8622,4389l10699,4389,10699,2436,8622,2436,8622,4389xe" filled="true" fillcolor="#ffffff" stroked="false">
                <v:path arrowok="t"/>
                <v:fill type="solid"/>
              </v:shape>
            </v:group>
            <v:group style="position:absolute;left:8645;top:3060;width:2032;height:352" coordorigin="8645,3060" coordsize="2032,352">
              <v:shape style="position:absolute;left:8645;top:3060;width:2032;height:352" coordorigin="8645,3060" coordsize="2032,352" path="m8645,3412l10676,3412,10676,3060,8645,3060,8645,3412xe" filled="true" fillcolor="#ffffff" stroked="false">
                <v:path arrowok="t"/>
                <v:fill type="solid"/>
              </v:shape>
            </v:group>
            <v:group style="position:absolute;left:8645;top:3412;width:2032;height:353" coordorigin="8645,3412" coordsize="2032,353">
              <v:shape style="position:absolute;left:8645;top:3412;width:2032;height:353" coordorigin="8645,3412" coordsize="2032,353" path="m8645,3765l10676,3765,10676,3412,8645,3412,8645,376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信证券、 建信基金、上投摩 根等</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北京京仪大酒店</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银行证券、华夏基 金、安信证券、国 都证券、 中信产业基金、中 金公司、 广发证券等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安信证券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05</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14</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博时基金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24</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中金公司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公司基本情况、行业发展 情况以及公司半年度报告 进展情况等。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08</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财通证券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安信证券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公司基本情况、行业发展 情况以及公司募集资金补 流问题等。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易方达</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情况、三季报等。</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广发证券、 银华基金、安信证 券、国投瑞银、国 都基金、中银基金 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情况及收购志高事项等。</w:t>
            </w:r>
          </w:p>
          <w:p>
            <w:pPr>
              <w:pStyle w:val="TableParagraph"/>
              <w:spacing w:line="16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pict>
                <v:group style="width:103.9pt;height:82.05pt;mso-position-horizontal-relative:char;mso-position-vertical-relative:line" coordorigin="0,0" coordsize="2078,1641">
                  <v:group style="position:absolute;left:0;top:0;width:2078;height:1641" coordorigin="0,0" coordsize="2078,1641">
                    <v:shape style="position:absolute;left:0;top:0;width:2078;height:1641" coordorigin="0,0" coordsize="2078,1641" path="m0,1640l2077,1640,2077,0,0,0,0,1640xe" filled="true" fillcolor="#ffffff" stroked="false">
                      <v:path arrowok="t"/>
                      <v:fill type="solid"/>
                    </v:shape>
                  </v:group>
                  <v:group style="position:absolute;left:23;top:468;width:2032;height:352" coordorigin="23,468" coordsize="2032,352">
                    <v:shape style="position:absolute;left:23;top:468;width:2032;height:352" coordorigin="23,468" coordsize="2032,352" path="m23,820l2054,820,2054,468,23,468,23,820xe" filled="true" fillcolor="#ffffff" stroked="false">
                      <v:path arrowok="t"/>
                      <v:fill type="solid"/>
                    </v:shape>
                  </v:group>
                  <v:group style="position:absolute;left:23;top:820;width:2032;height:353" coordorigin="23,820" coordsize="2032,353">
                    <v:shape style="position:absolute;left:23;top:820;width:2032;height:353" coordorigin="23,820" coordsize="2032,353" path="m23,1172l2054,1172,2054,820,23,820,23,1172xe" filled="true" fillcolor="#ffffff" stroked="false">
                      <v:path arrowok="t"/>
                      <v:fill type="solid"/>
                    </v:shape>
                  </v:group>
                </v:group>
              </w:pict>
            </w:r>
            <w:r>
              <w:rPr>
                <w:rFonts w:ascii="Times New Roman" w:hAnsi="Times New Roman" w:cs="Times New Roman" w:eastAsia="Times New Roman" w:hint="default"/>
                <w:position w:val="-32"/>
                <w:sz w:val="20"/>
                <w:szCs w:val="20"/>
              </w:rPr>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日信证券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16</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太平洋证券、浙商 证券、浦银安盛基 金、日信证券、国 泰君安证等</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安信证券、中金公 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长信基金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公司基本情况、行业发展 情况等。</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75.962997pt;margin-top:634.119995pt;width:67.25pt;height:126.8pt;mso-position-horizontal-relative:page;mso-position-vertical-relative:page;z-index:-904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0" w:right="0"/>
                    <w:jc w:val="left"/>
                  </w:pPr>
                  <w:r>
                    <w:rPr/>
                    <w:t>吴勇、</w:t>
                  </w:r>
                </w:p>
              </w:txbxContent>
            </v:textbox>
            <w10:wrap type="none"/>
          </v:shape>
        </w:pict>
      </w:r>
      <w:r>
        <w:rPr/>
        <w:pict>
          <v:group style="position:absolute;margin-left:100.160004pt;margin-top:634.119995pt;width:43.05pt;height:126.8pt;mso-position-horizontal-relative:page;mso-position-vertical-relative:page;z-index:-904672" coordorigin="2003,12682" coordsize="861,2536">
            <v:group style="position:absolute;left:2003;top:12682;width:861;height:2536" coordorigin="2003,12682" coordsize="861,2536">
              <v:shape style="position:absolute;left:2003;top:12682;width:861;height:2536" coordorigin="2003,12682" coordsize="861,2536" path="m2003,15218l2864,15218,2864,12682,2003,12682,2003,15218xe" filled="true" fillcolor="#ffffff" stroked="false">
                <v:path arrowok="t"/>
                <v:fill type="solid"/>
              </v:shape>
            </v:group>
            <v:group style="position:absolute;left:2026;top:13286;width:815;height:352" coordorigin="2026,13286" coordsize="815,352">
              <v:shape style="position:absolute;left:2026;top:13286;width:815;height:352" coordorigin="2026,13286" coordsize="815,352" path="m2026,13638l2841,13638,2841,13286,2026,13286,2026,13638xe" filled="true" fillcolor="#ffffff" stroked="false">
                <v:path arrowok="t"/>
                <v:fill type="solid"/>
              </v:shape>
            </v:group>
            <v:group style="position:absolute;left:2026;top:13638;width:815;height:312" coordorigin="2026,13638" coordsize="815,312">
              <v:shape style="position:absolute;left:2026;top:13638;width:815;height:312" coordorigin="2026,13638" coordsize="815,312" path="m2026,13950l2841,13950,2841,13638,2026,13638,2026,13950xe" filled="true" fillcolor="#ffffff" stroked="false">
                <v:path arrowok="t"/>
                <v:fill type="solid"/>
              </v:shape>
            </v:group>
            <v:group style="position:absolute;left:2026;top:13950;width:815;height:313" coordorigin="2026,13950" coordsize="815,313">
              <v:shape style="position:absolute;left:2026;top:13950;width:815;height:313" coordorigin="2026,13950" coordsize="815,313" path="m2026,14262l2841,14262,2841,13950,2026,13950,2026,14262xe" filled="true" fillcolor="#ffffff" stroked="false">
                <v:path arrowok="t"/>
                <v:fill type="solid"/>
              </v:shape>
            </v:group>
            <v:group style="position:absolute;left:2026;top:14262;width:815;height:353" coordorigin="2026,14262" coordsize="815,353">
              <v:shape style="position:absolute;left:2026;top:14262;width:815;height:353" coordorigin="2026,14262" coordsize="815,353" path="m2026,14615l2841,14615,2841,14262,2026,14262,2026,14615xe" filled="true" fillcolor="#ffffff" stroked="false">
                <v:path arrowok="t"/>
                <v:fill type="solid"/>
              </v:shape>
            </v:group>
            <w10:wrap type="none"/>
          </v:group>
        </w:pict>
      </w:r>
      <w:r>
        <w:rPr/>
        <w:pict>
          <v:group style="position:absolute;margin-left:274.179993pt;margin-top:634.119995pt;width:43pt;height:126.8pt;mso-position-horizontal-relative:page;mso-position-vertical-relative:page;z-index:-904648" coordorigin="5484,12682" coordsize="860,2536">
            <v:group style="position:absolute;left:5484;top:12682;width:860;height:2536" coordorigin="5484,12682" coordsize="860,2536">
              <v:shape style="position:absolute;left:5484;top:12682;width:860;height:2536" coordorigin="5484,12682" coordsize="860,2536" path="m5484,15218l6343,15218,6343,12682,5484,12682,5484,15218xe" filled="true" fillcolor="#ffffff" stroked="false">
                <v:path arrowok="t"/>
                <v:fill type="solid"/>
              </v:shape>
            </v:group>
            <v:group style="position:absolute;left:5506;top:12974;width:814;height:352" coordorigin="5506,12974" coordsize="814,352">
              <v:shape style="position:absolute;left:5506;top:12974;width:814;height:352" coordorigin="5506,12974" coordsize="814,352" path="m5506,13326l6320,13326,6320,12974,5506,12974,5506,13326xe" filled="true" fillcolor="#ffffff" stroked="false">
                <v:path arrowok="t"/>
                <v:fill type="solid"/>
              </v:shape>
            </v:group>
            <v:group style="position:absolute;left:5506;top:13326;width:814;height:312" coordorigin="5506,13326" coordsize="814,312">
              <v:shape style="position:absolute;left:5506;top:13326;width:814;height:312" coordorigin="5506,13326" coordsize="814,312" path="m5506,13638l6320,13638,6320,13326,5506,13326,5506,13638xe" filled="true" fillcolor="#ffffff" stroked="false">
                <v:path arrowok="t"/>
                <v:fill type="solid"/>
              </v:shape>
            </v:group>
            <v:group style="position:absolute;left:5506;top:13638;width:814;height:312" coordorigin="5506,13638" coordsize="814,312">
              <v:shape style="position:absolute;left:5506;top:13638;width:814;height:312" coordorigin="5506,13638" coordsize="814,312" path="m5506,13950l6320,13950,6320,13638,5506,13638,5506,13950xe" filled="true" fillcolor="#ffffff" stroked="false">
                <v:path arrowok="t"/>
                <v:fill type="solid"/>
              </v:shape>
            </v:group>
            <v:group style="position:absolute;left:5506;top:13950;width:814;height:313" coordorigin="5506,13950" coordsize="814,313">
              <v:shape style="position:absolute;left:5506;top:13950;width:814;height:313" coordorigin="5506,13950" coordsize="814,313" path="m5506,14262l6320,14262,6320,13950,5506,13950,5506,14262xe" filled="true" fillcolor="#ffffff" stroked="false">
                <v:path arrowok="t"/>
                <v:fill type="solid"/>
              </v:shape>
            </v:group>
            <v:group style="position:absolute;left:5506;top:14262;width:814;height:312" coordorigin="5506,14262" coordsize="814,312">
              <v:shape style="position:absolute;left:5506;top:14262;width:814;height:312" coordorigin="5506,14262" coordsize="814,312" path="m5506,14574l6320,14574,6320,14262,5506,14262,5506,14574xe" filled="true" fillcolor="#ffffff" stroked="false">
                <v:path arrowok="t"/>
                <v:fill type="solid"/>
              </v:shape>
            </v:group>
            <v:group style="position:absolute;left:5506;top:14574;width:814;height:353" coordorigin="5506,14574" coordsize="814,353">
              <v:shape style="position:absolute;left:5506;top:14574;width:814;height:353" coordorigin="5506,14574" coordsize="814,353" path="m5506,14927l6320,14927,6320,14574,5506,14574,5506,14927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495"/>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12"/>
        <w:jc w:val="left"/>
      </w:pPr>
      <w:r>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892"/>
        <w:jc w:val="left"/>
      </w:pPr>
      <w:r>
        <w:rPr/>
        <w:t>□ 适用 √ 不适用 本报告期公司无媒体普遍质疑事项。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012"/>
        <w:jc w:val="left"/>
      </w:pPr>
      <w:r>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12"/>
        <w:jc w:val="left"/>
      </w:pPr>
      <w:r>
        <w:rPr/>
        <w:t>□ 适用 √ 不适用 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、收购资产情况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pict>
          <v:shape style="position:absolute;margin-left:469.019989pt;margin-top:17.531733pt;width:65.650pt;height:97.6pt;mso-position-horizontal-relative:page;mso-position-vertical-relative:paragraph;z-index:-904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83"/>
        <w:gridCol w:w="708"/>
        <w:gridCol w:w="851"/>
        <w:gridCol w:w="709"/>
        <w:gridCol w:w="1199"/>
      </w:tblGrid>
      <w:tr>
        <w:trPr>
          <w:trHeight w:val="195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7" w:right="7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与交易对 方的关联 关系（适 用关联交 易情形</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8" w:firstLine="56"/>
              <w:jc w:val="left"/>
              <w:rPr>
                <w:rFonts w:ascii="宋体" w:hAnsi="宋体" w:cs="宋体" w:eastAsia="宋体" w:hint="default"/>
                <w:sz w:val="18"/>
                <w:szCs w:val="18"/>
              </w:rPr>
            </w:pPr>
            <w:r>
              <w:rPr>
                <w:rFonts w:ascii="宋体" w:hAnsi="宋体" w:cs="宋体" w:eastAsia="宋体" w:hint="default"/>
                <w:sz w:val="18"/>
                <w:szCs w:val="18"/>
              </w:rPr>
              <w:t>披露日 </w:t>
            </w:r>
            <w:r>
              <w:rPr>
                <w:rFonts w:ascii="宋体" w:hAnsi="宋体" w:cs="宋体" w:eastAsia="宋体" w:hint="default"/>
                <w:spacing w:val="-30"/>
                <w:sz w:val="18"/>
                <w:szCs w:val="18"/>
              </w:rPr>
              <w:t>期（注</w:t>
            </w:r>
            <w:r>
              <w:rPr>
                <w:rFonts w:ascii="宋体" w:hAnsi="宋体" w:cs="宋体" w:eastAsia="宋体" w:hint="default"/>
                <w:spacing w:val="-68"/>
                <w:sz w:val="18"/>
                <w:szCs w:val="18"/>
              </w:rPr>
              <w:t> </w:t>
            </w:r>
            <w:r>
              <w:rPr>
                <w:rFonts w:ascii="宋体" w:hAnsi="宋体" w:cs="宋体" w:eastAsia="宋体" w:hint="default"/>
                <w:sz w:val="18"/>
                <w:szCs w:val="18"/>
              </w:rPr>
              <w:t>5</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22" w:right="111"/>
              <w:jc w:val="left"/>
              <w:rPr>
                <w:rFonts w:ascii="宋体" w:hAnsi="宋体" w:cs="宋体" w:eastAsia="宋体" w:hint="default"/>
                <w:sz w:val="18"/>
                <w:szCs w:val="18"/>
              </w:rPr>
            </w:pPr>
            <w:r>
              <w:rPr>
                <w:rFonts w:ascii="宋体" w:hAnsi="宋体" w:cs="宋体" w:eastAsia="宋体" w:hint="default"/>
                <w:sz w:val="18"/>
                <w:szCs w:val="18"/>
              </w:rPr>
              <w:t>黄麟雏、 侯丹军、 侯丹云、 程相利、 李宇、白 钢、 范学义、 赫长云、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北京威锐 达测控系 统有限公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6" w:right="0"/>
              <w:jc w:val="left"/>
              <w:rPr>
                <w:rFonts w:ascii="宋体" w:hAnsi="宋体" w:cs="宋体" w:eastAsia="宋体" w:hint="default"/>
                <w:sz w:val="18"/>
                <w:szCs w:val="18"/>
              </w:rPr>
            </w:pPr>
            <w:r>
              <w:rPr>
                <w:rFonts w:ascii="宋体"/>
                <w:sz w:val="18"/>
              </w:rPr>
              <w:t>58,300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22" w:right="-33"/>
              <w:jc w:val="left"/>
              <w:rPr>
                <w:rFonts w:ascii="宋体" w:hAnsi="宋体" w:cs="宋体" w:eastAsia="宋体" w:hint="default"/>
                <w:sz w:val="18"/>
                <w:szCs w:val="18"/>
              </w:rPr>
            </w:pPr>
            <w:r>
              <w:rPr>
                <w:rFonts w:ascii="宋体" w:hAnsi="宋体" w:cs="宋体" w:eastAsia="宋体" w:hint="default"/>
                <w:sz w:val="18"/>
                <w:szCs w:val="18"/>
              </w:rPr>
              <w:t>通过购买 威锐达 </w:t>
            </w:r>
            <w:r>
              <w:rPr>
                <w:rFonts w:ascii="宋体" w:hAnsi="宋体" w:cs="宋体" w:eastAsia="宋体" w:hint="default"/>
                <w:spacing w:val="-5"/>
                <w:sz w:val="18"/>
                <w:szCs w:val="18"/>
              </w:rPr>
              <w:t>100%</w:t>
            </w:r>
            <w:r>
              <w:rPr>
                <w:rFonts w:ascii="宋体" w:hAnsi="宋体" w:cs="宋体" w:eastAsia="宋体" w:hint="default"/>
                <w:spacing w:val="-5"/>
                <w:sz w:val="18"/>
                <w:szCs w:val="18"/>
              </w:rPr>
              <w:t>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本公司将</w:t>
            </w:r>
            <w:r>
              <w:rPr>
                <w:rFonts w:ascii="宋体" w:hAnsi="宋体" w:cs="宋体" w:eastAsia="宋体" w:hint="default"/>
                <w:sz w:val="18"/>
                <w:szCs w:val="18"/>
              </w:rPr>
              <w:t> 扩大在电 力行业的 </w:t>
            </w:r>
            <w:r>
              <w:rPr>
                <w:rFonts w:ascii="宋体" w:hAnsi="宋体" w:cs="宋体" w:eastAsia="宋体" w:hint="default"/>
                <w:spacing w:val="-6"/>
                <w:sz w:val="18"/>
                <w:szCs w:val="18"/>
              </w:rPr>
              <w:t>产品布局，</w:t>
            </w:r>
            <w:r>
              <w:rPr>
                <w:rFonts w:ascii="宋体" w:hAnsi="宋体" w:cs="宋体" w:eastAsia="宋体" w:hint="default"/>
                <w:spacing w:val="-30"/>
                <w:sz w:val="18"/>
                <w:szCs w:val="18"/>
              </w:rPr>
              <w:t> </w:t>
            </w:r>
            <w:r>
              <w:rPr>
                <w:rFonts w:ascii="宋体" w:hAnsi="宋体" w:cs="宋体" w:eastAsia="宋体" w:hint="default"/>
                <w:sz w:val="18"/>
                <w:szCs w:val="18"/>
              </w:rPr>
              <w:t>增强本公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年扣 除非经常 性损益的 净利润 </w:t>
            </w:r>
            <w:r>
              <w:rPr>
                <w:rFonts w:ascii="宋体" w:hAnsi="宋体" w:cs="宋体" w:eastAsia="宋体" w:hint="default"/>
                <w:sz w:val="18"/>
                <w:szCs w:val="18"/>
              </w:rPr>
              <w:t>6395.84</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99" w:right="0"/>
              <w:jc w:val="left"/>
              <w:rPr>
                <w:rFonts w:ascii="宋体" w:hAnsi="宋体" w:cs="宋体" w:eastAsia="宋体" w:hint="default"/>
                <w:sz w:val="18"/>
                <w:szCs w:val="18"/>
              </w:rPr>
            </w:pPr>
            <w:r>
              <w:rPr>
                <w:rFonts w:ascii="宋体"/>
                <w:sz w:val="18"/>
              </w:rPr>
              <w:t>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22" w:right="84"/>
              <w:jc w:val="left"/>
              <w:rPr>
                <w:rFonts w:ascii="宋体" w:hAnsi="宋体" w:cs="宋体" w:eastAsia="宋体" w:hint="default"/>
                <w:sz w:val="18"/>
                <w:szCs w:val="18"/>
              </w:rPr>
            </w:pPr>
            <w:r>
              <w:rPr>
                <w:rFonts w:ascii="宋体" w:hAnsi="宋体" w:cs="宋体" w:eastAsia="宋体" w:hint="default"/>
                <w:sz w:val="18"/>
                <w:szCs w:val="18"/>
              </w:rPr>
              <w:t>详情参见刊登 在中国证券 </w:t>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报》、《证券时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报》以及巨潮 资讯网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宋体" w:hAnsi="宋体" w:cs="宋体" w:eastAsia="宋体" w:hint="default"/>
                  <w:sz w:val="18"/>
                  <w:szCs w:val="18"/>
                </w:rPr>
                <w:t>http://www</w:t>
              </w:r>
            </w:hyperlink>
          </w:p>
          <w:p>
            <w:pPr>
              <w:pStyle w:val="TableParagraph"/>
              <w:spacing w:line="240" w:lineRule="auto" w:before="76"/>
              <w:ind w:left="22" w:right="0"/>
              <w:jc w:val="left"/>
              <w:rPr>
                <w:rFonts w:ascii="宋体" w:hAnsi="宋体" w:cs="宋体" w:eastAsia="宋体" w:hint="default"/>
                <w:sz w:val="18"/>
                <w:szCs w:val="18"/>
              </w:rPr>
            </w:pPr>
            <w:r>
              <w:rPr>
                <w:rFonts w:ascii="宋体"/>
                <w:sz w:val="18"/>
              </w:rPr>
              <w:t>.cninfo.com.</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83"/>
        <w:gridCol w:w="708"/>
        <w:gridCol w:w="851"/>
        <w:gridCol w:w="709"/>
        <w:gridCol w:w="1199"/>
      </w:tblGrid>
      <w:tr>
        <w:trPr>
          <w:trHeight w:val="285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1"/>
              <w:jc w:val="both"/>
              <w:rPr>
                <w:rFonts w:ascii="宋体" w:hAnsi="宋体" w:cs="宋体" w:eastAsia="宋体" w:hint="default"/>
                <w:sz w:val="18"/>
                <w:szCs w:val="18"/>
              </w:rPr>
            </w:pPr>
            <w:r>
              <w:rPr>
                <w:rFonts w:ascii="宋体" w:hAnsi="宋体" w:cs="宋体" w:eastAsia="宋体" w:hint="default"/>
                <w:sz w:val="18"/>
                <w:szCs w:val="18"/>
              </w:rPr>
              <w:t>姜永淑、 储著荣、 汪汉文、 李姝、付 琪舒、闫 旭光、王 静、秦友 奎、姜以 波</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司的市场 </w:t>
            </w:r>
            <w:r>
              <w:rPr>
                <w:rFonts w:ascii="宋体" w:hAnsi="宋体" w:cs="宋体" w:eastAsia="宋体" w:hint="default"/>
                <w:spacing w:val="-18"/>
                <w:sz w:val="18"/>
                <w:szCs w:val="18"/>
              </w:rPr>
              <w:t>竞争力，有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利于公司 增强持续 经营能力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8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cn/</w:t>
            </w:r>
            <w:r>
              <w:rPr>
                <w:rFonts w:ascii="宋体" w:hAnsi="宋体" w:cs="宋体" w:eastAsia="宋体" w:hint="default"/>
                <w:spacing w:val="-4"/>
                <w:sz w:val="18"/>
                <w:szCs w:val="18"/>
              </w:rPr>
              <w:t>）上的《东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华软件股份公 司发行股份及 支付现金购买 资产并配套募 集资金实施情 况暨新增股份 上市报告书》</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group style="position:absolute;margin-left:274.179993pt;margin-top:-155.506348pt;width:43pt;height:142.5pt;mso-position-horizontal-relative:page;mso-position-vertical-relative:paragraph;z-index:-904624" coordorigin="5484,-3110" coordsize="860,2850">
            <v:shape style="position:absolute;left:5484;top:-3110;width:860;height:2850" coordorigin="5484,-3110" coordsize="860,2850" path="m5484,-261l6343,-261,6343,-3110,5484,-3110,5484,-261xe" filled="true" fillcolor="#ffffff" stroked="false">
              <v:path arrowok="t"/>
              <v:fill type="solid"/>
            </v:shape>
            <w10:wrap type="none"/>
          </v:group>
        </w:pict>
      </w:r>
      <w:r>
        <w:rPr>
          <w:rFonts w:ascii="宋体" w:hAnsi="宋体" w:cs="宋体" w:eastAsia="宋体" w:hint="default"/>
        </w:rPr>
        <w:t>2</w:t>
      </w:r>
      <w:r>
        <w:rPr/>
        <w:t>、出售资产情况</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7792"/>
        <w:jc w:val="left"/>
      </w:pPr>
      <w:r>
        <w:rPr/>
        <w:t>□ 适用 √ 不适用 公司报告期未出售资产。</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3</w:t>
      </w:r>
      <w:r>
        <w:rPr/>
        <w:t>、企业合并情况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7072"/>
        <w:jc w:val="left"/>
      </w:pPr>
      <w:r>
        <w:rPr/>
        <w:t>□ 适用 √ 不适用 公司报告期未发生企业合并情况。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3"/>
          <w:szCs w:val="23"/>
        </w:rPr>
      </w:pPr>
    </w:p>
    <w:p>
      <w:pPr>
        <w:pStyle w:val="BodyText"/>
        <w:spacing w:line="403" w:lineRule="auto"/>
        <w:ind w:left="514" w:right="7162" w:hanging="360"/>
        <w:jc w:val="left"/>
      </w:pPr>
      <w:r>
        <w:rPr/>
        <w:t>√ 适用 □ 不适用 </w:t>
      </w:r>
      <w:r>
        <w:rPr>
          <w:rFonts w:ascii="宋体" w:hAnsi="宋体" w:cs="宋体" w:eastAsia="宋体" w:hint="default"/>
        </w:rPr>
        <w:t>1</w:t>
      </w:r>
      <w:r>
        <w:rPr/>
        <w:t>、公司股权激励计划简述：</w:t>
      </w:r>
    </w:p>
    <w:p>
      <w:pPr>
        <w:pStyle w:val="BodyText"/>
        <w:spacing w:line="316" w:lineRule="auto" w:before="73"/>
        <w:ind w:right="151" w:firstLine="360"/>
        <w:jc w:val="both"/>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7</w:t>
      </w:r>
      <w:r>
        <w:rPr/>
        <w:t>日，公司第四届董事会第十四次会议审议通过了《东华软件股份公司股票期权激励计划（草案）》（以下 </w:t>
      </w:r>
      <w:r>
        <w:rPr>
          <w:spacing w:val="-2"/>
        </w:rPr>
        <w:t>简称“草案”）及其摘要、《东华软件股份公司股票期权激励计划实施考核办法》（以下简称“《考核办法》”）、《关于</w:t>
      </w:r>
      <w:r>
        <w:rPr>
          <w:spacing w:val="-68"/>
        </w:rPr>
        <w:t> </w:t>
      </w:r>
      <w:r>
        <w:rPr>
          <w:spacing w:val="-68"/>
        </w:rPr>
      </w:r>
      <w:r>
        <w:rPr/>
        <w:t>提请股东大会授权董事会办理公司股票期权激励计划相关事宜的议案》，公司独立董事对《草案》发表了独立意见。</w:t>
      </w:r>
    </w:p>
    <w:p>
      <w:pPr>
        <w:pStyle w:val="BodyText"/>
        <w:spacing w:line="316" w:lineRule="auto" w:before="139"/>
        <w:ind w:right="152" w:firstLine="720"/>
        <w:jc w:val="left"/>
      </w:pPr>
      <w:r>
        <w:rPr>
          <w:spacing w:val="-2"/>
        </w:rPr>
        <w:t>同日，公司第四届监事会第五次会议审议通过了《草案》及其摘要、《考核办法》、《东华软件股份公司股票期权</w:t>
      </w:r>
      <w:r>
        <w:rPr/>
        <w:t> 激励计划（草案）激励对象名单》（以下简称“《激励名单》”）。</w:t>
      </w:r>
    </w:p>
    <w:p>
      <w:pPr>
        <w:pStyle w:val="BodyText"/>
        <w:spacing w:line="240" w:lineRule="auto" w:before="139"/>
        <w:ind w:left="514" w:right="0"/>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12</w:t>
      </w:r>
      <w:r>
        <w:rPr/>
        <w:t>日，公司将有关激励计划的申请材料上报中国证券监督管理委员会（以下简称“证监会”）备案。</w:t>
      </w:r>
    </w:p>
    <w:p>
      <w:pPr>
        <w:spacing w:line="240" w:lineRule="auto" w:before="0"/>
        <w:rPr>
          <w:rFonts w:ascii="宋体" w:hAnsi="宋体" w:cs="宋体" w:eastAsia="宋体" w:hint="default"/>
          <w:sz w:val="15"/>
          <w:szCs w:val="15"/>
        </w:rPr>
      </w:pPr>
    </w:p>
    <w:p>
      <w:pPr>
        <w:pStyle w:val="BodyText"/>
        <w:spacing w:line="316" w:lineRule="auto"/>
        <w:ind w:right="149" w:firstLine="360"/>
        <w:jc w:val="both"/>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20</w:t>
      </w:r>
      <w:r>
        <w:rPr/>
        <w:t>日，根据证监会反馈意见，《东华软件股份公司股票期权激励计划</w:t>
      </w:r>
      <w:r>
        <w:rPr>
          <w:spacing w:val="7"/>
        </w:rPr>
        <w:t> </w:t>
      </w:r>
      <w:r>
        <w:rPr>
          <w:rFonts w:ascii="宋体" w:hAnsi="宋体" w:cs="宋体" w:eastAsia="宋体" w:hint="default"/>
        </w:rPr>
        <w:t>(</w:t>
      </w:r>
      <w:r>
        <w:rPr/>
        <w:t>草案</w:t>
      </w:r>
      <w:r>
        <w:rPr>
          <w:rFonts w:ascii="宋体" w:hAnsi="宋体" w:cs="宋体" w:eastAsia="宋体" w:hint="default"/>
        </w:rPr>
        <w:t>)</w:t>
      </w:r>
      <w:r>
        <w:rPr/>
        <w:t>修订稿》（以下简称“《修订 稿》”）获证监会备案无异议。</w:t>
      </w:r>
    </w:p>
    <w:p>
      <w:pPr>
        <w:pStyle w:val="BodyText"/>
        <w:spacing w:line="240" w:lineRule="auto" w:before="139"/>
        <w:ind w:left="514" w:right="0"/>
        <w:jc w:val="left"/>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30</w:t>
      </w:r>
      <w:r>
        <w:rPr/>
        <w:t>日，公司第四届董事会第十五次会议发出召开股东大会通知，审议股权激励相关事项。</w:t>
      </w:r>
    </w:p>
    <w:p>
      <w:pPr>
        <w:spacing w:line="240" w:lineRule="auto" w:before="0"/>
        <w:rPr>
          <w:rFonts w:ascii="宋体" w:hAnsi="宋体" w:cs="宋体" w:eastAsia="宋体" w:hint="default"/>
          <w:sz w:val="15"/>
          <w:szCs w:val="15"/>
        </w:rPr>
      </w:pPr>
    </w:p>
    <w:p>
      <w:pPr>
        <w:pStyle w:val="BodyText"/>
        <w:spacing w:line="316" w:lineRule="auto"/>
        <w:ind w:right="151" w:firstLine="360"/>
        <w:jc w:val="both"/>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17</w:t>
      </w:r>
      <w:r>
        <w:rPr/>
        <w:t>日，公司</w:t>
      </w:r>
      <w:r>
        <w:rPr>
          <w:rFonts w:ascii="宋体" w:hAnsi="宋体" w:cs="宋体" w:eastAsia="宋体" w:hint="default"/>
        </w:rPr>
        <w:t>2012</w:t>
      </w:r>
      <w:r>
        <w:rPr/>
        <w:t>年第一次临时股东大会审议通过了《修订稿》及其摘要、《考核办法》、《关于提请股东大 会授权董事会办理公司股票期权激励计划相关事宜的议案》。</w:t>
      </w:r>
    </w:p>
    <w:p>
      <w:pPr>
        <w:pStyle w:val="BodyText"/>
        <w:spacing w:line="439" w:lineRule="auto" w:before="139"/>
        <w:ind w:left="514" w:right="2482"/>
        <w:jc w:val="left"/>
      </w:pPr>
      <w:r>
        <w:rPr/>
        <w:t>公司将通过向激励对象定向发行人民币普通股（</w:t>
      </w:r>
      <w:r>
        <w:rPr>
          <w:rFonts w:ascii="宋体" w:hAnsi="宋体" w:cs="宋体" w:eastAsia="宋体" w:hint="default"/>
        </w:rPr>
        <w:t>A</w:t>
      </w:r>
      <w:r>
        <w:rPr/>
        <w:t>股）股票作为本激励计划的股票来源。 </w:t>
      </w:r>
      <w:r>
        <w:rPr>
          <w:rFonts w:ascii="宋体" w:hAnsi="宋体" w:cs="宋体" w:eastAsia="宋体" w:hint="default"/>
        </w:rPr>
        <w:t>2</w:t>
      </w:r>
      <w:r>
        <w:rPr/>
        <w:t>、股票期权激励计划授予及登记情况</w:t>
      </w:r>
    </w:p>
    <w:p>
      <w:pPr>
        <w:pStyle w:val="BodyText"/>
        <w:spacing w:line="316" w:lineRule="auto" w:before="47"/>
        <w:ind w:right="151" w:firstLine="360"/>
        <w:jc w:val="both"/>
      </w:pP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日，公司第四届董事会第十六次会议审议通过了《关于股票期权激励计划授予相关事项的议案》，确定授 予日为</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日，独立董事对授予股票期权的授予日发表了独立意见。（公告编号：</w:t>
      </w:r>
      <w:r>
        <w:rPr>
          <w:rFonts w:ascii="宋体" w:hAnsi="宋体" w:cs="宋体" w:eastAsia="宋体" w:hint="default"/>
        </w:rPr>
        <w:t>2012-005</w:t>
      </w:r>
      <w:r>
        <w:rPr/>
        <w:t>）</w:t>
      </w:r>
    </w:p>
    <w:p>
      <w:pPr>
        <w:pStyle w:val="BodyText"/>
        <w:spacing w:line="240" w:lineRule="auto" w:before="139"/>
        <w:ind w:left="514" w:right="0"/>
        <w:jc w:val="left"/>
      </w:pPr>
      <w:r>
        <w:rPr/>
        <w:t>同日，公司第四届监事会第七次会议审议通过了《关于股票期权激励计划授予相关事项的议案》。</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92" w:firstLine="360"/>
        <w:jc w:val="left"/>
      </w:pP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7</w:t>
      </w:r>
      <w:r>
        <w:rPr>
          <w:spacing w:val="-2"/>
        </w:rPr>
        <w:t>日，公司监事会出具了《关于股票期权激励计划授予名单调整的核查意见》，认为</w:t>
      </w:r>
      <w:r>
        <w:rPr>
          <w:rFonts w:ascii="宋体" w:hAnsi="宋体" w:cs="宋体" w:eastAsia="宋体" w:hint="default"/>
          <w:spacing w:val="-2"/>
        </w:rPr>
        <w:t>1</w:t>
      </w:r>
      <w:r>
        <w:rPr>
          <w:spacing w:val="-2"/>
        </w:rPr>
        <w:t>名激励对象离职，</w:t>
      </w:r>
      <w:r>
        <w:rPr>
          <w:rFonts w:ascii="宋体" w:hAnsi="宋体" w:cs="宋体" w:eastAsia="宋体" w:hint="default"/>
          <w:spacing w:val="-2"/>
        </w:rPr>
        <w:t>2</w:t>
      </w:r>
      <w:r>
        <w:rPr>
          <w:spacing w:val="-2"/>
        </w:rPr>
        <w:t>名激</w:t>
      </w:r>
      <w:r>
        <w:rPr/>
        <w:t> 励对象因个人原因自愿放弃，同意公司取消其未登记的股票期权。（公告编号：</w:t>
      </w:r>
      <w:r>
        <w:rPr>
          <w:rFonts w:ascii="宋体" w:hAnsi="宋体" w:cs="宋体" w:eastAsia="宋体" w:hint="default"/>
        </w:rPr>
        <w:t>2012-006</w:t>
      </w:r>
      <w:r>
        <w:rPr/>
        <w:t>）</w:t>
      </w:r>
    </w:p>
    <w:p>
      <w:pPr>
        <w:pStyle w:val="BodyText"/>
        <w:spacing w:line="319" w:lineRule="auto" w:before="139"/>
        <w:ind w:right="102" w:firstLine="360"/>
        <w:jc w:val="left"/>
      </w:pPr>
      <w:r>
        <w:rPr>
          <w:rFonts w:ascii="宋体" w:hAnsi="宋体" w:cs="宋体" w:eastAsia="宋体" w:hint="default"/>
          <w:spacing w:val="-5"/>
        </w:rPr>
        <w:t>2012</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13</w:t>
      </w:r>
      <w:r>
        <w:rPr>
          <w:spacing w:val="-5"/>
        </w:rPr>
        <w:t>日，完成了公司股票期权激励计划的股票期权登记工作，公司发布了《关于股票期权授予登记完成的公告》，</w:t>
      </w:r>
      <w:r>
        <w:rPr/>
        <w:t> </w:t>
      </w:r>
      <w:r>
        <w:rPr>
          <w:spacing w:val="-2"/>
        </w:rPr>
        <w:t>期权简称：东华</w:t>
      </w:r>
      <w:r>
        <w:rPr>
          <w:rFonts w:ascii="宋体" w:hAnsi="宋体" w:cs="宋体" w:eastAsia="宋体" w:hint="default"/>
          <w:spacing w:val="-2"/>
        </w:rPr>
        <w:t>JLC1,</w:t>
      </w:r>
      <w:r>
        <w:rPr>
          <w:spacing w:val="-2"/>
        </w:rPr>
        <w:t>期权代码：</w:t>
      </w:r>
      <w:r>
        <w:rPr>
          <w:rFonts w:ascii="宋体" w:hAnsi="宋体" w:cs="宋体" w:eastAsia="宋体" w:hint="default"/>
          <w:spacing w:val="-2"/>
        </w:rPr>
        <w:t>037577</w:t>
      </w:r>
      <w:r>
        <w:rPr>
          <w:spacing w:val="-2"/>
        </w:rPr>
        <w:t>。授予数量：</w:t>
      </w:r>
      <w:r>
        <w:rPr>
          <w:rFonts w:ascii="宋体" w:hAnsi="宋体" w:cs="宋体" w:eastAsia="宋体" w:hint="default"/>
          <w:spacing w:val="-2"/>
        </w:rPr>
        <w:t>1,173.9</w:t>
      </w:r>
      <w:r>
        <w:rPr>
          <w:spacing w:val="-2"/>
        </w:rPr>
        <w:t>万份股票期权，行权价格：</w:t>
      </w:r>
      <w:r>
        <w:rPr>
          <w:rFonts w:ascii="宋体" w:hAnsi="宋体" w:cs="宋体" w:eastAsia="宋体" w:hint="default"/>
          <w:spacing w:val="-2"/>
        </w:rPr>
        <w:t>21.59</w:t>
      </w:r>
      <w:r>
        <w:rPr>
          <w:spacing w:val="-2"/>
        </w:rPr>
        <w:t>元，授予人数</w:t>
      </w:r>
      <w:r>
        <w:rPr>
          <w:rFonts w:ascii="宋体" w:hAnsi="宋体" w:cs="宋体" w:eastAsia="宋体" w:hint="default"/>
          <w:spacing w:val="-2"/>
        </w:rPr>
        <w:t>361</w:t>
      </w:r>
      <w:r>
        <w:rPr>
          <w:spacing w:val="-2"/>
        </w:rPr>
        <w:t>人。（公告</w:t>
      </w:r>
      <w:r>
        <w:rPr>
          <w:spacing w:val="-44"/>
        </w:rPr>
        <w:t> </w:t>
      </w:r>
      <w:r>
        <w:rPr>
          <w:spacing w:val="-44"/>
        </w:rPr>
      </w:r>
      <w:r>
        <w:rPr/>
        <w:t>编号：</w:t>
      </w:r>
      <w:r>
        <w:rPr>
          <w:rFonts w:ascii="宋体" w:hAnsi="宋体" w:cs="宋体" w:eastAsia="宋体" w:hint="default"/>
        </w:rPr>
        <w:t>2012-007</w:t>
      </w:r>
      <w:r>
        <w:rPr/>
        <w:t>）</w:t>
      </w:r>
    </w:p>
    <w:p>
      <w:pPr>
        <w:pStyle w:val="BodyText"/>
        <w:spacing w:line="240" w:lineRule="auto" w:before="137"/>
        <w:ind w:left="514" w:right="87"/>
        <w:jc w:val="left"/>
      </w:pPr>
      <w:r>
        <w:rPr>
          <w:rFonts w:ascii="宋体" w:hAnsi="宋体" w:cs="宋体" w:eastAsia="宋体" w:hint="default"/>
        </w:rPr>
        <w:t>3</w:t>
      </w:r>
      <w:r>
        <w:rPr/>
        <w:t>、股票期权激励计划股票期权数量和行权价格调整及行权情况</w:t>
      </w:r>
    </w:p>
    <w:p>
      <w:pPr>
        <w:spacing w:line="240" w:lineRule="auto" w:before="0"/>
        <w:rPr>
          <w:rFonts w:ascii="宋体" w:hAnsi="宋体" w:cs="宋体" w:eastAsia="宋体" w:hint="default"/>
          <w:sz w:val="15"/>
          <w:szCs w:val="15"/>
        </w:rPr>
      </w:pPr>
    </w:p>
    <w:p>
      <w:pPr>
        <w:pStyle w:val="BodyText"/>
        <w:spacing w:line="316" w:lineRule="auto"/>
        <w:ind w:right="188" w:firstLine="360"/>
        <w:jc w:val="both"/>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18</w:t>
      </w:r>
      <w:r>
        <w:rPr/>
        <w:t>日，公司</w:t>
      </w:r>
      <w:r>
        <w:rPr>
          <w:rFonts w:ascii="宋体" w:hAnsi="宋体" w:cs="宋体" w:eastAsia="宋体" w:hint="default"/>
        </w:rPr>
        <w:t>2011</w:t>
      </w:r>
      <w:r>
        <w:rPr/>
        <w:t>年年度股东大会审议通过了《</w:t>
      </w:r>
      <w:r>
        <w:rPr>
          <w:rFonts w:ascii="宋体" w:hAnsi="宋体" w:cs="宋体" w:eastAsia="宋体" w:hint="default"/>
        </w:rPr>
        <w:t>2011</w:t>
      </w:r>
      <w:r>
        <w:rPr/>
        <w:t>年度利润分配预案》。根据《股票期权激励计划》第十九 条规定，经公司第四届董事会第二十次会议审议通过，对公司股票期权激励计划股票期权数量及行权价格进行调整：</w:t>
      </w:r>
      <w:r>
        <w:rPr>
          <w:rFonts w:ascii="宋体" w:hAnsi="宋体" w:cs="宋体" w:eastAsia="宋体" w:hint="default"/>
        </w:rPr>
        <w:t>2011</w:t>
      </w:r>
      <w:r>
        <w:rPr>
          <w:rFonts w:ascii="宋体" w:hAnsi="宋体" w:cs="宋体" w:eastAsia="宋体" w:hint="default"/>
          <w:spacing w:val="2"/>
        </w:rPr>
        <w:t> </w:t>
      </w:r>
      <w:r>
        <w:rPr>
          <w:rFonts w:ascii="宋体" w:hAnsi="宋体" w:cs="宋体" w:eastAsia="宋体" w:hint="default"/>
          <w:spacing w:val="2"/>
        </w:rPr>
      </w:r>
      <w:r>
        <w:rPr/>
        <w:t>年度利润分配后，股票期权数量调整为</w:t>
      </w:r>
      <w:r>
        <w:rPr>
          <w:rFonts w:ascii="宋体" w:hAnsi="宋体" w:cs="宋体" w:eastAsia="宋体" w:hint="default"/>
        </w:rPr>
        <w:t>1,526.07</w:t>
      </w:r>
      <w:r>
        <w:rPr/>
        <w:t>万份，行权价格调整为</w:t>
      </w:r>
      <w:r>
        <w:rPr>
          <w:rFonts w:ascii="宋体" w:hAnsi="宋体" w:cs="宋体" w:eastAsia="宋体" w:hint="default"/>
        </w:rPr>
        <w:t>16.45</w:t>
      </w:r>
      <w:r>
        <w:rPr/>
        <w:t>元。（公告编号：</w:t>
      </w:r>
      <w:r>
        <w:rPr>
          <w:rFonts w:ascii="宋体" w:hAnsi="宋体" w:cs="宋体" w:eastAsia="宋体" w:hint="default"/>
        </w:rPr>
        <w:t>2012-036</w:t>
      </w:r>
      <w:r>
        <w:rPr/>
        <w:t>）</w:t>
      </w:r>
    </w:p>
    <w:p>
      <w:pPr>
        <w:pStyle w:val="BodyText"/>
        <w:spacing w:line="316" w:lineRule="auto" w:before="139"/>
        <w:ind w:right="92" w:firstLine="360"/>
        <w:jc w:val="left"/>
      </w:pP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22</w:t>
      </w:r>
      <w:r>
        <w:rPr/>
        <w:t>日，公司第四届董事会第二十七次会议审议通过了《关于调整股票期权激励计划激励对象、期权数量及行 权价格的议案》，</w:t>
      </w:r>
      <w:r>
        <w:rPr>
          <w:rFonts w:ascii="宋体" w:hAnsi="宋体" w:cs="宋体" w:eastAsia="宋体" w:hint="default"/>
        </w:rPr>
        <w:t>16</w:t>
      </w:r>
      <w:r>
        <w:rPr/>
        <w:t>名原激励因个人原因离职，公司对激励对象进行相应的调整，首次授予激励对象由</w:t>
      </w:r>
      <w:r>
        <w:rPr>
          <w:rFonts w:ascii="宋体" w:hAnsi="宋体" w:cs="宋体" w:eastAsia="宋体" w:hint="default"/>
        </w:rPr>
        <w:t>361</w:t>
      </w:r>
      <w:r>
        <w:rPr/>
        <w:t>名调整为</w:t>
      </w:r>
      <w:r>
        <w:rPr>
          <w:rFonts w:ascii="宋体" w:hAnsi="宋体" w:cs="宋体" w:eastAsia="宋体" w:hint="default"/>
        </w:rPr>
        <w:t>345</w:t>
      </w:r>
      <w:r>
        <w:rPr/>
        <w:t>名， </w:t>
      </w:r>
      <w:r>
        <w:rPr>
          <w:spacing w:val="-2"/>
        </w:rPr>
        <w:t>首次授予期权数量由</w:t>
      </w:r>
      <w:r>
        <w:rPr>
          <w:rFonts w:ascii="宋体" w:hAnsi="宋体" w:cs="宋体" w:eastAsia="宋体" w:hint="default"/>
          <w:spacing w:val="-2"/>
        </w:rPr>
        <w:t>1526.07</w:t>
      </w:r>
      <w:r>
        <w:rPr>
          <w:spacing w:val="-2"/>
        </w:rPr>
        <w:t>万份变更为</w:t>
      </w:r>
      <w:r>
        <w:rPr>
          <w:rFonts w:ascii="宋体" w:hAnsi="宋体" w:cs="宋体" w:eastAsia="宋体" w:hint="default"/>
          <w:spacing w:val="-2"/>
        </w:rPr>
        <w:t>1463.67</w:t>
      </w:r>
      <w:r>
        <w:rPr>
          <w:spacing w:val="-2"/>
        </w:rPr>
        <w:t>万份。同时，公司因实施</w:t>
      </w:r>
      <w:r>
        <w:rPr>
          <w:rFonts w:ascii="宋体" w:hAnsi="宋体" w:cs="宋体" w:eastAsia="宋体" w:hint="default"/>
          <w:spacing w:val="-2"/>
        </w:rPr>
        <w:t>2012</w:t>
      </w:r>
      <w:r>
        <w:rPr>
          <w:spacing w:val="-2"/>
        </w:rPr>
        <w:t>年度利润分配方案，股票期权行权价格调整为</w:t>
      </w:r>
      <w:r>
        <w:rPr>
          <w:spacing w:val="-49"/>
        </w:rPr>
        <w:t> </w:t>
      </w:r>
      <w:r>
        <w:rPr>
          <w:spacing w:val="-49"/>
        </w:rPr>
      </w:r>
      <w:r>
        <w:rPr>
          <w:rFonts w:ascii="宋体" w:hAnsi="宋体" w:cs="宋体" w:eastAsia="宋体" w:hint="default"/>
        </w:rPr>
        <w:t>16.25</w:t>
      </w:r>
      <w:r>
        <w:rPr/>
        <w:t>元。</w:t>
      </w:r>
    </w:p>
    <w:p>
      <w:pPr>
        <w:pStyle w:val="BodyText"/>
        <w:spacing w:line="316" w:lineRule="auto" w:before="139"/>
        <w:ind w:right="189" w:firstLine="360"/>
        <w:jc w:val="both"/>
      </w:pP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日，公司第四届董事会第三十一次会议审议通过了《关于调整股票期权激励计划激励对象和期权数量的议</w:t>
      </w:r>
      <w:r>
        <w:rPr/>
        <w:t> </w:t>
      </w:r>
      <w:r>
        <w:rPr>
          <w:spacing w:val="-2"/>
        </w:rPr>
        <w:t>案》，因</w:t>
      </w:r>
      <w:r>
        <w:rPr>
          <w:rFonts w:ascii="宋体" w:hAnsi="宋体" w:cs="宋体" w:eastAsia="宋体" w:hint="default"/>
          <w:spacing w:val="-2"/>
        </w:rPr>
        <w:t>1</w:t>
      </w:r>
      <w:r>
        <w:rPr>
          <w:spacing w:val="-2"/>
        </w:rPr>
        <w:t>名激励对象离职，</w:t>
      </w:r>
      <w:r>
        <w:rPr>
          <w:rFonts w:ascii="宋体" w:hAnsi="宋体" w:cs="宋体" w:eastAsia="宋体" w:hint="default"/>
          <w:spacing w:val="-2"/>
        </w:rPr>
        <w:t>1</w:t>
      </w:r>
      <w:r>
        <w:rPr>
          <w:spacing w:val="-2"/>
        </w:rPr>
        <w:t>名激励对象考核不合格，不再满足成为激励对象的条件，公司对激励对象进行相应的调整，激</w:t>
      </w:r>
      <w:r>
        <w:rPr>
          <w:spacing w:val="-66"/>
        </w:rPr>
        <w:t> </w:t>
      </w:r>
      <w:r>
        <w:rPr>
          <w:spacing w:val="-66"/>
        </w:rPr>
      </w:r>
      <w:r>
        <w:rPr/>
        <w:t>励对象由</w:t>
      </w:r>
      <w:r>
        <w:rPr>
          <w:rFonts w:ascii="宋体" w:hAnsi="宋体" w:cs="宋体" w:eastAsia="宋体" w:hint="default"/>
        </w:rPr>
        <w:t>345</w:t>
      </w:r>
      <w:r>
        <w:rPr/>
        <w:t>名调整为</w:t>
      </w:r>
      <w:r>
        <w:rPr>
          <w:rFonts w:ascii="宋体" w:hAnsi="宋体" w:cs="宋体" w:eastAsia="宋体" w:hint="default"/>
        </w:rPr>
        <w:t>343</w:t>
      </w:r>
      <w:r>
        <w:rPr/>
        <w:t>名，期权数量由</w:t>
      </w:r>
      <w:r>
        <w:rPr>
          <w:rFonts w:ascii="宋体" w:hAnsi="宋体" w:cs="宋体" w:eastAsia="宋体" w:hint="default"/>
        </w:rPr>
        <w:t>1463.67</w:t>
      </w:r>
      <w:r>
        <w:rPr/>
        <w:t>万份调整为</w:t>
      </w:r>
      <w:r>
        <w:rPr>
          <w:rFonts w:ascii="宋体" w:hAnsi="宋体" w:cs="宋体" w:eastAsia="宋体" w:hint="default"/>
        </w:rPr>
        <w:t>1455.87</w:t>
      </w:r>
      <w:r>
        <w:rPr/>
        <w:t>万份。</w:t>
      </w:r>
    </w:p>
    <w:p>
      <w:pPr>
        <w:pStyle w:val="BodyText"/>
        <w:spacing w:line="316" w:lineRule="auto" w:before="139"/>
        <w:ind w:right="87" w:firstLine="360"/>
        <w:jc w:val="left"/>
      </w:pP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日，经公司董事会申请、深圳证券交易所确认，中国证券登记结算有限责任公司深圳分公司核准登记，公</w:t>
      </w:r>
      <w:r>
        <w:rPr/>
        <w:t> 司对提出股权激励第一个行权期行权申请的</w:t>
      </w:r>
      <w:r>
        <w:rPr>
          <w:rFonts w:ascii="宋体" w:hAnsi="宋体" w:cs="宋体" w:eastAsia="宋体" w:hint="default"/>
        </w:rPr>
        <w:t>342</w:t>
      </w:r>
      <w:r>
        <w:rPr/>
        <w:t>名激励对象的</w:t>
      </w:r>
      <w:r>
        <w:rPr>
          <w:rFonts w:ascii="宋体" w:hAnsi="宋体" w:cs="宋体" w:eastAsia="宋体" w:hint="default"/>
        </w:rPr>
        <w:t>433.641</w:t>
      </w:r>
      <w:r>
        <w:rPr/>
        <w:t>万份股票期权予以行权，并于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5</w:t>
      </w:r>
      <w:r>
        <w:rPr/>
        <w:t>日上市。</w:t>
      </w:r>
    </w:p>
    <w:p>
      <w:pPr>
        <w:pStyle w:val="BodyText"/>
        <w:spacing w:line="319" w:lineRule="auto" w:before="139"/>
        <w:ind w:right="87" w:firstLine="360"/>
        <w:jc w:val="left"/>
      </w:pP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7</w:t>
      </w:r>
      <w:r>
        <w:rPr>
          <w:spacing w:val="-2"/>
        </w:rPr>
        <w:t>日，经公司董事会申请、深圳证券交易所确认，中国证券登记结算有限责任公司深圳分公司核准登记，公司</w:t>
      </w:r>
      <w:r>
        <w:rPr/>
        <w:t> 副总裁李建国先生申请行权，行权数量</w:t>
      </w:r>
      <w:r>
        <w:rPr>
          <w:rFonts w:ascii="宋体" w:hAnsi="宋体" w:cs="宋体" w:eastAsia="宋体" w:hint="default"/>
        </w:rPr>
        <w:t>3.12</w:t>
      </w:r>
      <w:r>
        <w:rPr/>
        <w:t>万份，并于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日上市。</w:t>
      </w:r>
    </w:p>
    <w:p>
      <w:pPr>
        <w:pStyle w:val="BodyText"/>
        <w:spacing w:line="316" w:lineRule="auto" w:before="137"/>
        <w:ind w:right="182" w:firstLine="360"/>
        <w:jc w:val="left"/>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27</w:t>
      </w:r>
      <w:r>
        <w:rPr/>
        <w:t>日，经公司董事会申请、深圳证券交易所确认，中国证券登记结算有限责任公司深圳分公司核准登记，公 司对提出股权激励第二个行权期行权申请的</w:t>
      </w:r>
      <w:r>
        <w:rPr>
          <w:rFonts w:ascii="宋体" w:hAnsi="宋体" w:cs="宋体" w:eastAsia="宋体" w:hint="default"/>
        </w:rPr>
        <w:t>339</w:t>
      </w:r>
      <w:r>
        <w:rPr/>
        <w:t>名激励对象的</w:t>
      </w:r>
      <w:r>
        <w:rPr>
          <w:rFonts w:ascii="宋体" w:hAnsi="宋体" w:cs="宋体" w:eastAsia="宋体" w:hint="default"/>
        </w:rPr>
        <w:t>426.426</w:t>
      </w:r>
      <w:r>
        <w:rPr/>
        <w:t>万份股票期权予以行权，并于</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12</w:t>
      </w:r>
      <w:r>
        <w:rPr/>
        <w:t>日上市。</w:t>
      </w:r>
    </w:p>
    <w:p>
      <w:pPr>
        <w:pStyle w:val="BodyText"/>
        <w:spacing w:line="316" w:lineRule="auto" w:before="139"/>
        <w:ind w:right="87" w:firstLine="360"/>
        <w:jc w:val="left"/>
      </w:pPr>
      <w:r>
        <w:rPr>
          <w:rFonts w:ascii="宋体" w:hAnsi="宋体" w:cs="宋体" w:eastAsia="宋体" w:hint="default"/>
          <w:spacing w:val="-5"/>
        </w:rPr>
        <w:t>2014</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15</w:t>
      </w:r>
      <w:r>
        <w:rPr>
          <w:spacing w:val="-5"/>
        </w:rPr>
        <w:t>日，公司第五届董事会第十一次会议审议通过了《关于调整股票期权激励计划期权数量和行权价格的议案》，</w:t>
      </w:r>
      <w:r>
        <w:rPr/>
        <w:t> </w:t>
      </w:r>
      <w:r>
        <w:rPr>
          <w:spacing w:val="-2"/>
        </w:rPr>
        <w:t>因实施</w:t>
      </w:r>
      <w:r>
        <w:rPr>
          <w:rFonts w:ascii="宋体" w:hAnsi="宋体" w:cs="宋体" w:eastAsia="宋体" w:hint="default"/>
          <w:spacing w:val="-2"/>
        </w:rPr>
        <w:t>2013</w:t>
      </w:r>
      <w:r>
        <w:rPr>
          <w:spacing w:val="-2"/>
        </w:rPr>
        <w:t>年度利润分配方案，授予激励对象的尚未行权股票期权激励总数调整为</w:t>
      </w:r>
      <w:r>
        <w:rPr>
          <w:rFonts w:ascii="宋体" w:hAnsi="宋体" w:cs="宋体" w:eastAsia="宋体" w:hint="default"/>
          <w:spacing w:val="-2"/>
        </w:rPr>
        <w:t>1,185.366</w:t>
      </w:r>
      <w:r>
        <w:rPr>
          <w:spacing w:val="-2"/>
        </w:rPr>
        <w:t>万份，行权价格调整为</w:t>
      </w:r>
      <w:r>
        <w:rPr>
          <w:rFonts w:ascii="宋体" w:hAnsi="宋体" w:cs="宋体" w:eastAsia="宋体" w:hint="default"/>
          <w:spacing w:val="-2"/>
        </w:rPr>
        <w:t>8.03</w:t>
      </w:r>
      <w:r>
        <w:rPr>
          <w:spacing w:val="-2"/>
        </w:rPr>
        <w:t>元</w:t>
      </w:r>
      <w:r>
        <w:rPr>
          <w:rFonts w:ascii="宋体" w:hAnsi="宋体" w:cs="宋体" w:eastAsia="宋体" w:hint="default"/>
          <w:spacing w:val="-2"/>
        </w:rPr>
        <w:t>/</w:t>
      </w:r>
      <w:r>
        <w:rPr>
          <w:rFonts w:ascii="宋体" w:hAnsi="宋体" w:cs="宋体" w:eastAsia="宋体" w:hint="default"/>
          <w:spacing w:val="-46"/>
        </w:rPr>
        <w:t> </w:t>
      </w:r>
      <w:r>
        <w:rPr/>
        <w:t>股。</w:t>
      </w:r>
    </w:p>
    <w:p>
      <w:pPr>
        <w:pStyle w:val="BodyText"/>
        <w:spacing w:line="316" w:lineRule="auto" w:before="139"/>
        <w:ind w:right="191"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日，经公司董事会申请、深圳证券交易所确认，中国证券登记结算有限责任公司深圳分公司核准登记，公</w:t>
      </w:r>
      <w:r>
        <w:rPr/>
        <w:t> </w:t>
      </w:r>
      <w:r>
        <w:rPr>
          <w:spacing w:val="-5"/>
        </w:rPr>
        <w:t>司副总裁刘志华先生申请行权，行权数量</w:t>
      </w:r>
      <w:r>
        <w:rPr>
          <w:rFonts w:ascii="宋体" w:hAnsi="宋体" w:cs="宋体" w:eastAsia="宋体" w:hint="default"/>
          <w:spacing w:val="-5"/>
        </w:rPr>
        <w:t>6.24</w:t>
      </w:r>
      <w:r>
        <w:rPr>
          <w:spacing w:val="-5"/>
        </w:rPr>
        <w:t>万份，并于</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15</w:t>
      </w:r>
      <w:r>
        <w:rPr>
          <w:spacing w:val="-5"/>
        </w:rPr>
        <w:t>日上市。行权后公司尚未行权期权数量调整为</w:t>
      </w:r>
      <w:r>
        <w:rPr>
          <w:rFonts w:ascii="宋体" w:hAnsi="宋体" w:cs="宋体" w:eastAsia="宋体" w:hint="default"/>
          <w:spacing w:val="-5"/>
        </w:rPr>
        <w:t>1,179.126</w:t>
      </w:r>
      <w:r>
        <w:rPr>
          <w:rFonts w:ascii="宋体" w:hAnsi="宋体" w:cs="宋体" w:eastAsia="宋体" w:hint="default"/>
          <w:spacing w:val="-29"/>
        </w:rPr>
        <w:t> </w:t>
      </w:r>
      <w:r>
        <w:rPr/>
        <w:t>万份。</w:t>
      </w:r>
    </w:p>
    <w:p>
      <w:pPr>
        <w:pStyle w:val="BodyText"/>
        <w:spacing w:line="432" w:lineRule="exact" w:before="3"/>
        <w:ind w:left="514" w:right="87"/>
        <w:jc w:val="left"/>
      </w:pPr>
      <w:r>
        <w:rPr>
          <w:rFonts w:ascii="宋体" w:hAnsi="宋体" w:cs="宋体" w:eastAsia="宋体" w:hint="default"/>
        </w:rPr>
        <w:t>4</w:t>
      </w:r>
      <w:r>
        <w:rPr/>
        <w:t>、股权期权激励计划行权情况 </w:t>
      </w:r>
      <w:r>
        <w:rPr>
          <w:spacing w:val="-2"/>
        </w:rPr>
        <w:t>股票期权激励计划有效期为授予股票期权的授权日起五年。本激励计划授予的股票期权自授权日起满</w:t>
      </w:r>
      <w:r>
        <w:rPr>
          <w:rFonts w:ascii="宋体" w:hAnsi="宋体" w:cs="宋体" w:eastAsia="宋体" w:hint="default"/>
          <w:spacing w:val="-2"/>
        </w:rPr>
        <w:t>12</w:t>
      </w:r>
      <w:r>
        <w:rPr>
          <w:spacing w:val="-2"/>
        </w:rPr>
        <w:t>个月后可以开始</w:t>
      </w:r>
    </w:p>
    <w:p>
      <w:pPr>
        <w:pStyle w:val="BodyText"/>
        <w:spacing w:line="240" w:lineRule="auto" w:before="15"/>
        <w:ind w:right="87"/>
        <w:jc w:val="left"/>
      </w:pPr>
      <w:r>
        <w:rPr/>
        <w:t>行权，激励对象应按本激励计划规定的行权比例分期行权。</w:t>
      </w:r>
    </w:p>
    <w:p>
      <w:pPr>
        <w:spacing w:line="240" w:lineRule="auto" w:before="10"/>
        <w:rPr>
          <w:rFonts w:ascii="宋体" w:hAnsi="宋体" w:cs="宋体" w:eastAsia="宋体" w:hint="default"/>
          <w:sz w:val="13"/>
          <w:szCs w:val="13"/>
        </w:rPr>
      </w:pPr>
    </w:p>
    <w:p>
      <w:pPr>
        <w:pStyle w:val="BodyText"/>
        <w:spacing w:line="232" w:lineRule="exact"/>
        <w:ind w:right="92" w:firstLine="360"/>
        <w:jc w:val="left"/>
      </w:pPr>
      <w:r>
        <w:rPr/>
        <w:t>本次次授予的股票期权计划分四次行权，截止本报告出具日，公司股权激励已实施完毕第一期、第二期行权和第三期， 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BodyText"/>
        <w:spacing w:line="240" w:lineRule="auto" w:before="44"/>
        <w:ind w:left="0" w:right="675"/>
        <w:jc w:val="right"/>
      </w:pPr>
      <w:r>
        <w:rPr/>
        <w:pict>
          <v:shape style="position:absolute;margin-left:56.220001pt;margin-top:-48.358303pt;width:455.9pt;height:98.3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0"/>
                    <w:gridCol w:w="2484"/>
                    <w:gridCol w:w="1700"/>
                    <w:gridCol w:w="3544"/>
                  </w:tblGrid>
                  <w:tr>
                    <w:trPr>
                      <w:trHeight w:val="658" w:hRule="exact"/>
                    </w:trPr>
                    <w:tc>
                      <w:tcPr>
                        <w:tcW w:w="136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6"/>
                          <w:ind w:left="399"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248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70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316" w:lineRule="auto" w:before="16"/>
                          <w:ind w:left="389" w:right="29" w:hanging="360"/>
                          <w:jc w:val="left"/>
                          <w:rPr>
                            <w:rFonts w:ascii="宋体" w:hAnsi="宋体" w:cs="宋体" w:eastAsia="宋体" w:hint="default"/>
                            <w:sz w:val="18"/>
                            <w:szCs w:val="18"/>
                          </w:rPr>
                        </w:pPr>
                        <w:r>
                          <w:rPr>
                            <w:rFonts w:ascii="宋体" w:hAnsi="宋体" w:cs="宋体" w:eastAsia="宋体" w:hint="default"/>
                            <w:sz w:val="18"/>
                            <w:szCs w:val="18"/>
                          </w:rPr>
                          <w:t>可行权数量占获授期 权数量比例</w:t>
                        </w:r>
                      </w:p>
                    </w:tc>
                    <w:tc>
                      <w:tcPr>
                        <w:tcW w:w="354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行权情况</w:t>
                        </w:r>
                      </w:p>
                    </w:tc>
                  </w:tr>
                  <w:tr>
                    <w:trPr>
                      <w:trHeight w:val="1289" w:hRule="exact"/>
                    </w:trPr>
                    <w:tc>
                      <w:tcPr>
                        <w:tcW w:w="13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23"/>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12</w:t>
                        </w:r>
                        <w:r>
                          <w:rPr>
                            <w:rFonts w:ascii="宋体" w:hAnsi="宋体" w:cs="宋体" w:eastAsia="宋体" w:hint="default"/>
                            <w:sz w:val="18"/>
                            <w:szCs w:val="18"/>
                          </w:rPr>
                          <w:t>个月后的首个交 易日起至授权日起</w:t>
                        </w:r>
                        <w:r>
                          <w:rPr>
                            <w:rFonts w:ascii="宋体" w:hAnsi="宋体" w:cs="宋体" w:eastAsia="宋体" w:hint="default"/>
                            <w:sz w:val="18"/>
                            <w:szCs w:val="18"/>
                          </w:rPr>
                          <w:t>24</w:t>
                        </w:r>
                        <w:r>
                          <w:rPr>
                            <w:rFonts w:ascii="宋体" w:hAnsi="宋体" w:cs="宋体" w:eastAsia="宋体" w:hint="default"/>
                            <w:sz w:val="18"/>
                            <w:szCs w:val="18"/>
                          </w:rPr>
                          <w:t>个月内的 最后一个交易日当日止。</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30%</w:t>
                        </w:r>
                      </w:p>
                    </w:tc>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pacing w:val="-3"/>
                            <w:sz w:val="18"/>
                            <w:szCs w:val="18"/>
                          </w:rPr>
                          <w:t>2013</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5</w:t>
                        </w:r>
                        <w:r>
                          <w:rPr>
                            <w:rFonts w:ascii="宋体" w:hAnsi="宋体" w:cs="宋体" w:eastAsia="宋体" w:hint="default"/>
                            <w:spacing w:val="-3"/>
                            <w:sz w:val="18"/>
                            <w:szCs w:val="18"/>
                          </w:rPr>
                          <w:t>日，</w:t>
                        </w:r>
                        <w:r>
                          <w:rPr>
                            <w:rFonts w:ascii="宋体" w:hAnsi="宋体" w:cs="宋体" w:eastAsia="宋体" w:hint="default"/>
                            <w:spacing w:val="-3"/>
                            <w:sz w:val="18"/>
                            <w:szCs w:val="18"/>
                          </w:rPr>
                          <w:t>4,336,410</w:t>
                        </w:r>
                        <w:r>
                          <w:rPr>
                            <w:rFonts w:ascii="宋体" w:hAnsi="宋体" w:cs="宋体" w:eastAsia="宋体" w:hint="default"/>
                            <w:spacing w:val="-3"/>
                            <w:sz w:val="18"/>
                            <w:szCs w:val="18"/>
                          </w:rPr>
                          <w:t>份股票权期权流通</w:t>
                        </w:r>
                        <w:r>
                          <w:rPr>
                            <w:rFonts w:ascii="宋体" w:hAnsi="宋体" w:cs="宋体" w:eastAsia="宋体" w:hint="default"/>
                            <w:spacing w:val="-83"/>
                            <w:sz w:val="18"/>
                            <w:szCs w:val="18"/>
                          </w:rPr>
                          <w:t> </w:t>
                        </w:r>
                        <w:r>
                          <w:rPr>
                            <w:rFonts w:ascii="宋体" w:hAnsi="宋体" w:cs="宋体" w:eastAsia="宋体" w:hint="default"/>
                            <w:sz w:val="18"/>
                            <w:szCs w:val="18"/>
                          </w:rPr>
                          <w:t>上市，涉及激励对象</w:t>
                        </w:r>
                        <w:r>
                          <w:rPr>
                            <w:rFonts w:ascii="宋体" w:hAnsi="宋体" w:cs="宋体" w:eastAsia="宋体" w:hint="default"/>
                            <w:sz w:val="18"/>
                            <w:szCs w:val="18"/>
                          </w:rPr>
                          <w:t>342</w:t>
                        </w:r>
                        <w:r>
                          <w:rPr>
                            <w:rFonts w:ascii="宋体" w:hAnsi="宋体" w:cs="宋体" w:eastAsia="宋体" w:hint="default"/>
                            <w:sz w:val="18"/>
                            <w:szCs w:val="18"/>
                          </w:rPr>
                          <w:t>名；</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 </w:t>
                        </w:r>
                        <w:r>
                          <w:rPr>
                            <w:rFonts w:ascii="宋体" w:hAnsi="宋体" w:cs="宋体" w:eastAsia="宋体" w:hint="default"/>
                            <w:sz w:val="18"/>
                            <w:szCs w:val="18"/>
                          </w:rPr>
                          <w:t>31,200</w:t>
                        </w:r>
                        <w:r>
                          <w:rPr>
                            <w:rFonts w:ascii="宋体" w:hAnsi="宋体" w:cs="宋体" w:eastAsia="宋体" w:hint="default"/>
                            <w:sz w:val="18"/>
                            <w:szCs w:val="18"/>
                          </w:rPr>
                          <w:t>份股份期权流通上市，涉及激励对象</w:t>
                        </w:r>
                        <w:r>
                          <w:rPr>
                            <w:rFonts w:ascii="宋体" w:hAnsi="宋体" w:cs="宋体" w:eastAsia="宋体" w:hint="default"/>
                            <w:sz w:val="18"/>
                            <w:szCs w:val="18"/>
                          </w:rPr>
                          <w:t>1 </w:t>
                        </w:r>
                        <w:r>
                          <w:rPr>
                            <w:rFonts w:ascii="宋体" w:hAnsi="宋体" w:cs="宋体" w:eastAsia="宋体" w:hint="default"/>
                            <w:sz w:val="18"/>
                            <w:szCs w:val="18"/>
                          </w:rPr>
                          <w:t>名。</w:t>
                        </w:r>
                      </w:p>
                    </w:tc>
                  </w:tr>
                </w:tbl>
                <w:p>
                  <w:pPr/>
                </w:p>
              </w:txbxContent>
            </v:textbox>
            <w10:wrap type="none"/>
          </v:shape>
        </w:pict>
      </w:r>
      <w:r>
        <w:rPr/>
        <w:t>，</w:t>
      </w:r>
    </w:p>
    <w:p>
      <w:pPr>
        <w:spacing w:after="0" w:line="240" w:lineRule="auto"/>
        <w:jc w:val="right"/>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635"/>
        <w:jc w:val="right"/>
      </w:pPr>
      <w:r>
        <w:rPr/>
        <w:pict>
          <v:shape style="position:absolute;margin-left:56.220001pt;margin-top:-17.628252pt;width:455.9pt;height:163.0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0"/>
                    <w:gridCol w:w="2484"/>
                    <w:gridCol w:w="1700"/>
                    <w:gridCol w:w="3544"/>
                  </w:tblGrid>
                  <w:tr>
                    <w:trPr>
                      <w:trHeight w:val="1288" w:hRule="exact"/>
                    </w:trPr>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23"/>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24</w:t>
                        </w:r>
                        <w:r>
                          <w:rPr>
                            <w:rFonts w:ascii="宋体" w:hAnsi="宋体" w:cs="宋体" w:eastAsia="宋体" w:hint="default"/>
                            <w:sz w:val="18"/>
                            <w:szCs w:val="18"/>
                          </w:rPr>
                          <w:t>个月后的首个交 易日起至授权日起</w:t>
                        </w:r>
                        <w:r>
                          <w:rPr>
                            <w:rFonts w:ascii="宋体" w:hAnsi="宋体" w:cs="宋体" w:eastAsia="宋体" w:hint="default"/>
                            <w:sz w:val="18"/>
                            <w:szCs w:val="18"/>
                          </w:rPr>
                          <w:t>36</w:t>
                        </w:r>
                        <w:r>
                          <w:rPr>
                            <w:rFonts w:ascii="宋体" w:hAnsi="宋体" w:cs="宋体" w:eastAsia="宋体" w:hint="default"/>
                            <w:sz w:val="18"/>
                            <w:szCs w:val="18"/>
                          </w:rPr>
                          <w:t>个月内的 最后一个交易日当日止。</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703"/>
                          <w:jc w:val="right"/>
                          <w:rPr>
                            <w:rFonts w:ascii="宋体" w:hAnsi="宋体" w:cs="宋体" w:eastAsia="宋体" w:hint="default"/>
                            <w:sz w:val="18"/>
                            <w:szCs w:val="18"/>
                          </w:rPr>
                        </w:pPr>
                        <w:r>
                          <w:rPr>
                            <w:rFonts w:ascii="宋体"/>
                            <w:sz w:val="18"/>
                          </w:rPr>
                          <w:t>30%</w:t>
                        </w:r>
                      </w:p>
                    </w:tc>
                    <w:tc>
                      <w:tcPr>
                        <w:tcW w:w="354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1"/>
                          <w:jc w:val="left"/>
                          <w:rPr>
                            <w:rFonts w:ascii="宋体" w:hAnsi="宋体" w:cs="宋体" w:eastAsia="宋体" w:hint="default"/>
                            <w:sz w:val="18"/>
                            <w:szCs w:val="18"/>
                          </w:rPr>
                        </w:pPr>
                        <w:r>
                          <w:rPr>
                            <w:rFonts w:ascii="宋体" w:hAnsi="宋体" w:cs="宋体" w:eastAsia="宋体" w:hint="default"/>
                            <w:spacing w:val="-3"/>
                            <w:sz w:val="18"/>
                            <w:szCs w:val="18"/>
                          </w:rPr>
                          <w:t>2014</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w:t>
                        </w:r>
                        <w:r>
                          <w:rPr>
                            <w:rFonts w:ascii="宋体" w:hAnsi="宋体" w:cs="宋体" w:eastAsia="宋体" w:hint="default"/>
                            <w:spacing w:val="-3"/>
                            <w:sz w:val="18"/>
                            <w:szCs w:val="18"/>
                          </w:rPr>
                          <w:t>12</w:t>
                        </w:r>
                        <w:r>
                          <w:rPr>
                            <w:rFonts w:ascii="宋体" w:hAnsi="宋体" w:cs="宋体" w:eastAsia="宋体" w:hint="default"/>
                            <w:spacing w:val="-3"/>
                            <w:sz w:val="18"/>
                            <w:szCs w:val="18"/>
                          </w:rPr>
                          <w:t>日，</w:t>
                        </w:r>
                        <w:r>
                          <w:rPr>
                            <w:rFonts w:ascii="宋体" w:hAnsi="宋体" w:cs="宋体" w:eastAsia="宋体" w:hint="default"/>
                            <w:spacing w:val="-3"/>
                            <w:sz w:val="18"/>
                            <w:szCs w:val="18"/>
                          </w:rPr>
                          <w:t>4,264,260</w:t>
                        </w:r>
                        <w:r>
                          <w:rPr>
                            <w:rFonts w:ascii="宋体" w:hAnsi="宋体" w:cs="宋体" w:eastAsia="宋体" w:hint="default"/>
                            <w:spacing w:val="-3"/>
                            <w:sz w:val="18"/>
                            <w:szCs w:val="18"/>
                          </w:rPr>
                          <w:t>份股票权期权流通</w:t>
                        </w:r>
                        <w:r>
                          <w:rPr>
                            <w:rFonts w:ascii="宋体" w:hAnsi="宋体" w:cs="宋体" w:eastAsia="宋体" w:hint="default"/>
                            <w:spacing w:val="-83"/>
                            <w:sz w:val="18"/>
                            <w:szCs w:val="18"/>
                          </w:rPr>
                          <w:t> </w:t>
                        </w:r>
                        <w:r>
                          <w:rPr>
                            <w:rFonts w:ascii="宋体" w:hAnsi="宋体" w:cs="宋体" w:eastAsia="宋体" w:hint="default"/>
                            <w:sz w:val="18"/>
                            <w:szCs w:val="18"/>
                          </w:rPr>
                          <w:t>上市，涉及激励对象</w:t>
                        </w:r>
                        <w:r>
                          <w:rPr>
                            <w:rFonts w:ascii="宋体" w:hAnsi="宋体" w:cs="宋体" w:eastAsia="宋体" w:hint="default"/>
                            <w:sz w:val="18"/>
                            <w:szCs w:val="18"/>
                          </w:rPr>
                          <w:t>339</w:t>
                        </w:r>
                        <w:r>
                          <w:rPr>
                            <w:rFonts w:ascii="宋体" w:hAnsi="宋体" w:cs="宋体" w:eastAsia="宋体" w:hint="default"/>
                            <w:sz w:val="18"/>
                            <w:szCs w:val="18"/>
                          </w:rPr>
                          <w:t>名；</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 </w:t>
                        </w:r>
                        <w:r>
                          <w:rPr>
                            <w:rFonts w:ascii="宋体" w:hAnsi="宋体" w:cs="宋体" w:eastAsia="宋体" w:hint="default"/>
                            <w:sz w:val="18"/>
                            <w:szCs w:val="18"/>
                          </w:rPr>
                          <w:t>62,400</w:t>
                        </w:r>
                        <w:r>
                          <w:rPr>
                            <w:rFonts w:ascii="宋体" w:hAnsi="宋体" w:cs="宋体" w:eastAsia="宋体" w:hint="default"/>
                            <w:sz w:val="18"/>
                            <w:szCs w:val="18"/>
                          </w:rPr>
                          <w:t>份股份期权流通上市，涉及激励对象</w:t>
                        </w:r>
                        <w:r>
                          <w:rPr>
                            <w:rFonts w:ascii="宋体" w:hAnsi="宋体" w:cs="宋体" w:eastAsia="宋体" w:hint="default"/>
                            <w:sz w:val="18"/>
                            <w:szCs w:val="18"/>
                          </w:rPr>
                          <w:t>1 </w:t>
                        </w:r>
                        <w:r>
                          <w:rPr>
                            <w:rFonts w:ascii="宋体" w:hAnsi="宋体" w:cs="宋体" w:eastAsia="宋体" w:hint="default"/>
                            <w:sz w:val="18"/>
                            <w:szCs w:val="18"/>
                          </w:rPr>
                          <w:t>名。</w:t>
                        </w:r>
                      </w:p>
                    </w:tc>
                  </w:tr>
                  <w:tr>
                    <w:trPr>
                      <w:trHeight w:val="977" w:hRule="exact"/>
                    </w:trPr>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23"/>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36</w:t>
                        </w:r>
                        <w:r>
                          <w:rPr>
                            <w:rFonts w:ascii="宋体" w:hAnsi="宋体" w:cs="宋体" w:eastAsia="宋体" w:hint="default"/>
                            <w:sz w:val="18"/>
                            <w:szCs w:val="18"/>
                          </w:rPr>
                          <w:t>个月后的首个交 易日起至授权日起</w:t>
                        </w:r>
                        <w:r>
                          <w:rPr>
                            <w:rFonts w:ascii="宋体" w:hAnsi="宋体" w:cs="宋体" w:eastAsia="宋体" w:hint="default"/>
                            <w:sz w:val="18"/>
                            <w:szCs w:val="18"/>
                          </w:rPr>
                          <w:t>48</w:t>
                        </w:r>
                        <w:r>
                          <w:rPr>
                            <w:rFonts w:ascii="宋体" w:hAnsi="宋体" w:cs="宋体" w:eastAsia="宋体" w:hint="default"/>
                            <w:sz w:val="18"/>
                            <w:szCs w:val="18"/>
                          </w:rPr>
                          <w:t>个月内的 最后一个交易日当日止。</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703"/>
                          <w:jc w:val="right"/>
                          <w:rPr>
                            <w:rFonts w:ascii="宋体" w:hAnsi="宋体" w:cs="宋体" w:eastAsia="宋体" w:hint="default"/>
                            <w:sz w:val="18"/>
                            <w:szCs w:val="18"/>
                          </w:rPr>
                        </w:pPr>
                        <w:r>
                          <w:rPr>
                            <w:rFonts w:ascii="宋体"/>
                            <w:sz w:val="18"/>
                          </w:rPr>
                          <w:t>20%</w:t>
                        </w:r>
                      </w:p>
                    </w:tc>
                    <w:tc>
                      <w:tcPr>
                        <w:tcW w:w="3544" w:type="dxa"/>
                        <w:tcBorders>
                          <w:top w:val="single" w:sz="8" w:space="0" w:color="000000"/>
                          <w:left w:val="single" w:sz="8" w:space="0" w:color="000000"/>
                          <w:bottom w:val="single" w:sz="8" w:space="0" w:color="000000"/>
                          <w:right w:val="single" w:sz="8" w:space="0" w:color="000000"/>
                        </w:tcBorders>
                      </w:tcPr>
                      <w:p>
                        <w:pPr/>
                      </w:p>
                    </w:tc>
                  </w:tr>
                  <w:tr>
                    <w:trPr>
                      <w:trHeight w:val="977" w:hRule="exact"/>
                    </w:trPr>
                    <w:tc>
                      <w:tcPr>
                        <w:tcW w:w="13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第四个行权期</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left="1" w:right="123"/>
                          <w:jc w:val="both"/>
                          <w:rPr>
                            <w:rFonts w:ascii="宋体" w:hAnsi="宋体" w:cs="宋体" w:eastAsia="宋体" w:hint="default"/>
                            <w:sz w:val="18"/>
                            <w:szCs w:val="18"/>
                          </w:rPr>
                        </w:pPr>
                        <w:r>
                          <w:rPr>
                            <w:rFonts w:ascii="宋体" w:hAnsi="宋体" w:cs="宋体" w:eastAsia="宋体" w:hint="default"/>
                            <w:sz w:val="18"/>
                            <w:szCs w:val="18"/>
                          </w:rPr>
                          <w:t>自授权日起</w:t>
                        </w:r>
                        <w:r>
                          <w:rPr>
                            <w:rFonts w:ascii="宋体" w:hAnsi="宋体" w:cs="宋体" w:eastAsia="宋体" w:hint="default"/>
                            <w:sz w:val="18"/>
                            <w:szCs w:val="18"/>
                          </w:rPr>
                          <w:t>48</w:t>
                        </w:r>
                        <w:r>
                          <w:rPr>
                            <w:rFonts w:ascii="宋体" w:hAnsi="宋体" w:cs="宋体" w:eastAsia="宋体" w:hint="default"/>
                            <w:sz w:val="18"/>
                            <w:szCs w:val="18"/>
                          </w:rPr>
                          <w:t>个月后的首个交 易日起至授权日起</w:t>
                        </w:r>
                        <w:r>
                          <w:rPr>
                            <w:rFonts w:ascii="宋体" w:hAnsi="宋体" w:cs="宋体" w:eastAsia="宋体" w:hint="default"/>
                            <w:sz w:val="18"/>
                            <w:szCs w:val="18"/>
                          </w:rPr>
                          <w:t>60</w:t>
                        </w:r>
                        <w:r>
                          <w:rPr>
                            <w:rFonts w:ascii="宋体" w:hAnsi="宋体" w:cs="宋体" w:eastAsia="宋体" w:hint="default"/>
                            <w:sz w:val="18"/>
                            <w:szCs w:val="18"/>
                          </w:rPr>
                          <w:t>个月内的 最后一个交易日当日止。</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703"/>
                          <w:jc w:val="right"/>
                          <w:rPr>
                            <w:rFonts w:ascii="宋体" w:hAnsi="宋体" w:cs="宋体" w:eastAsia="宋体" w:hint="default"/>
                            <w:sz w:val="18"/>
                            <w:szCs w:val="18"/>
                          </w:rPr>
                        </w:pPr>
                        <w:r>
                          <w:rPr>
                            <w:rFonts w:ascii="宋体"/>
                            <w:sz w:val="18"/>
                          </w:rPr>
                          <w:t>20%</w:t>
                        </w:r>
                      </w:p>
                    </w:tc>
                    <w:tc>
                      <w:tcPr>
                        <w:tcW w:w="3544" w:type="dxa"/>
                        <w:tcBorders>
                          <w:top w:val="single" w:sz="8" w:space="0" w:color="000000"/>
                          <w:left w:val="single" w:sz="8" w:space="0" w:color="000000"/>
                          <w:bottom w:val="single" w:sz="8" w:space="0" w:color="000000"/>
                          <w:right w:val="single" w:sz="8"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32" w:lineRule="exact" w:before="50"/>
        <w:ind w:left="514" w:right="142"/>
        <w:jc w:val="left"/>
      </w:pPr>
      <w:r>
        <w:rPr>
          <w:rFonts w:ascii="宋体" w:hAnsi="宋体" w:cs="宋体" w:eastAsia="宋体" w:hint="default"/>
        </w:rPr>
        <w:t>5</w:t>
      </w:r>
      <w:r>
        <w:rPr/>
        <w:t>、实施股票期权激励计划对公司报告期内及以后各年度财务状况和经营成果的影响 根据公司授予的期权数量、确定的授予日（</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18</w:t>
      </w:r>
      <w:r>
        <w:rPr/>
        <w:t>日），假设各期可行权的股票期权数量不发生变化，经测算，</w:t>
      </w:r>
    </w:p>
    <w:p>
      <w:pPr>
        <w:pStyle w:val="BodyText"/>
        <w:spacing w:line="240" w:lineRule="auto" w:before="15"/>
        <w:ind w:right="0"/>
        <w:jc w:val="left"/>
      </w:pPr>
      <w:r>
        <w:rPr/>
        <w:t>预计激励计划实施各期经营业绩的影响如下：</w:t>
      </w:r>
    </w:p>
    <w:p>
      <w:pPr>
        <w:spacing w:line="240" w:lineRule="auto" w:before="0"/>
        <w:rPr>
          <w:rFonts w:ascii="宋体" w:hAnsi="宋体" w:cs="宋体" w:eastAsia="宋体" w:hint="default"/>
          <w:sz w:val="15"/>
          <w:szCs w:val="15"/>
        </w:rPr>
      </w:pPr>
    </w:p>
    <w:p>
      <w:pPr>
        <w:pStyle w:val="BodyText"/>
        <w:spacing w:line="240" w:lineRule="auto"/>
        <w:ind w:left="0" w:right="879"/>
        <w:jc w:val="right"/>
      </w:pPr>
      <w:r>
        <w:rPr/>
        <w:t>单位：万元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978"/>
        <w:gridCol w:w="1134"/>
        <w:gridCol w:w="992"/>
        <w:gridCol w:w="1134"/>
        <w:gridCol w:w="1134"/>
        <w:gridCol w:w="1700"/>
      </w:tblGrid>
      <w:tr>
        <w:trPr>
          <w:trHeight w:val="346" w:hRule="exact"/>
        </w:trPr>
        <w:tc>
          <w:tcPr>
            <w:tcW w:w="2978"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9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288"/>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对归属于母公司所有者净利润的影响</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3,548.12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2,029.40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1,015.33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470.73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sz w:val="18"/>
              </w:rPr>
              <w:t>7,063.58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pStyle w:val="BodyText"/>
        <w:spacing w:line="357" w:lineRule="auto"/>
        <w:ind w:right="5992"/>
        <w:jc w:val="left"/>
      </w:pPr>
      <w:r>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2</w:t>
      </w:r>
      <w:r>
        <w:rPr/>
        <w:t>、资产收购、出售发生的关联交易</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5992"/>
        <w:jc w:val="left"/>
      </w:pPr>
      <w:r>
        <w:rPr/>
        <w:t>□ 适用 √ 不适用 公司报告期未发生资产收购、出售的关联交易。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3</w:t>
      </w:r>
      <w:r>
        <w:rPr/>
        <w:t>、共同对外投资的关联交易</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6172"/>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4</w:t>
      </w:r>
      <w:r>
        <w:rPr/>
        <w:t>、关联债权债务往来</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6712"/>
        <w:jc w:val="left"/>
      </w:pPr>
      <w:r>
        <w:rPr/>
        <w:t>□ 适用 √ 不适用 公司报告期不存在关联债权债务往来。</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5</w:t>
      </w:r>
      <w:r>
        <w:rPr/>
        <w:t>、其他关联交易</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公司报告期无其他关联交易。</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八、重大合同及其履行情况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pStyle w:val="BodyText"/>
        <w:spacing w:line="360" w:lineRule="auto"/>
        <w:ind w:right="743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7432"/>
        <w:jc w:val="left"/>
      </w:pPr>
      <w:r>
        <w:rPr/>
        <w:t>□ 适用 √ 不适用 公司报告期不存在承包情况。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7432"/>
        <w:jc w:val="left"/>
      </w:pPr>
      <w:r>
        <w:rPr/>
        <w:t>□ 适用 √ 不适用 公司报告期不存在租赁情况。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2</w:t>
      </w:r>
      <w:r>
        <w:rPr/>
        <w:t>、担保情况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7"/>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北京东华合创科技 </w:t>
            </w:r>
            <w:r>
              <w:rPr>
                <w:rFonts w:ascii="宋体" w:hAnsi="宋体" w:cs="宋体" w:eastAsia="宋体" w:hint="default"/>
                <w:spacing w:val="-9"/>
                <w:sz w:val="18"/>
                <w:szCs w:val="18"/>
              </w:rPr>
              <w:t>有限公司、北京神州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新桥科技有限公司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宋体" w:hAnsi="宋体" w:cs="宋体" w:eastAsia="宋体" w:hint="default"/>
                <w:sz w:val="18"/>
                <w:szCs w:val="18"/>
              </w:rPr>
              <w:t>2014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24</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9"/>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9,000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公司北京东华合创</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13,322.45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7"/>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129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9"/>
                <w:sz w:val="18"/>
                <w:szCs w:val="18"/>
              </w:rPr>
              <w:t>科技有限公司、北京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联银通科技有限公 </w:t>
            </w:r>
            <w:r>
              <w:rPr>
                <w:rFonts w:ascii="宋体" w:hAnsi="宋体" w:cs="宋体" w:eastAsia="宋体" w:hint="default"/>
                <w:spacing w:val="-9"/>
                <w:sz w:val="18"/>
                <w:szCs w:val="18"/>
              </w:rPr>
              <w:t>司、北京神州新桥科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技有限公司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宋体" w:hAnsi="宋体" w:cs="宋体" w:eastAsia="宋体" w:hint="default"/>
                <w:sz w:val="18"/>
                <w:szCs w:val="18"/>
              </w:rPr>
              <w:t>2014</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18</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公司北京东华合创 </w:t>
            </w:r>
            <w:r>
              <w:rPr>
                <w:rFonts w:ascii="宋体" w:hAnsi="宋体" w:cs="宋体" w:eastAsia="宋体" w:hint="default"/>
                <w:spacing w:val="-9"/>
                <w:sz w:val="18"/>
                <w:szCs w:val="18"/>
              </w:rPr>
              <w:t>科技有限公司、北京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联银通科技有限公 </w:t>
            </w:r>
            <w:r>
              <w:rPr>
                <w:rFonts w:ascii="宋体" w:hAnsi="宋体" w:cs="宋体" w:eastAsia="宋体" w:hint="default"/>
                <w:spacing w:val="-9"/>
                <w:sz w:val="18"/>
                <w:szCs w:val="18"/>
              </w:rPr>
              <w:t>司、北京神州新桥科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技有限公司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16,940.58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公司北京神州新桥 科技有限公司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14,800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6,277.71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北京联银通科技有 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557.5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北京东华合创科技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25</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北京联银通科技有 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25</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1,300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25</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北京威锐达测控系 统有限公司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1,500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60"/>
                <w:sz w:val="18"/>
                <w:szCs w:val="18"/>
              </w:rPr>
              <w:t>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宋体" w:hAnsi="宋体" w:cs="宋体" w:eastAsia="宋体" w:hint="default"/>
                <w:sz w:val="18"/>
                <w:szCs w:val="18"/>
              </w:rPr>
              <w:t>2015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25</w:t>
            </w:r>
            <w:r>
              <w:rPr>
                <w:rFonts w:ascii="宋体" w:hAnsi="宋体" w:cs="宋体" w:eastAsia="宋体" w:hint="default"/>
                <w:spacing w:val="-53"/>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北京东华合创科技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9"/>
              <w:jc w:val="left"/>
              <w:rPr>
                <w:rFonts w:ascii="宋体" w:hAnsi="宋体" w:cs="宋体" w:eastAsia="宋体" w:hint="default"/>
                <w:sz w:val="18"/>
                <w:szCs w:val="18"/>
              </w:rPr>
            </w:pPr>
            <w:r>
              <w:rPr>
                <w:rFonts w:ascii="宋体" w:hAnsi="宋体" w:cs="宋体" w:eastAsia="宋体" w:hint="default"/>
                <w:sz w:val="18"/>
                <w:szCs w:val="18"/>
              </w:rPr>
              <w:t>北京神州新桥科技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宋体" w:hAnsi="宋体" w:cs="宋体" w:eastAsia="宋体" w:hint="default"/>
                <w:sz w:val="18"/>
                <w:szCs w:val="18"/>
              </w:rPr>
            </w:pPr>
            <w:r>
              <w:rPr>
                <w:rFonts w:ascii="宋体"/>
                <w:sz w:val="18"/>
              </w:rPr>
              <w:t>4,000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34"/>
        <w:gridCol w:w="2157"/>
        <w:gridCol w:w="2269"/>
        <w:gridCol w:w="2609"/>
      </w:tblGrid>
      <w:tr>
        <w:trPr>
          <w:trHeight w:val="714"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宋体" w:hAnsi="宋体" w:cs="宋体" w:eastAsia="宋体" w:hint="default"/>
                <w:sz w:val="18"/>
                <w:szCs w:val="18"/>
              </w:rPr>
              <w:t>B1</w:t>
            </w:r>
            <w:r>
              <w:rPr>
                <w:rFonts w:ascii="宋体" w:hAnsi="宋体" w:cs="宋体" w:eastAsia="宋体" w:hint="default"/>
                <w:sz w:val="18"/>
                <w:szCs w:val="18"/>
              </w:rPr>
              <w:t>）</w:t>
            </w:r>
          </w:p>
        </w:tc>
        <w:tc>
          <w:tcPr>
            <w:tcW w:w="2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29,000</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43,898.24</w:t>
            </w:r>
          </w:p>
        </w:tc>
      </w:tr>
      <w:tr>
        <w:trPr>
          <w:trHeight w:val="719"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29,000</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23,824.94</w:t>
            </w:r>
          </w:p>
        </w:tc>
      </w:tr>
      <w:tr>
        <w:trPr>
          <w:trHeight w:val="39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29,000</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43,898.24</w:t>
            </w:r>
          </w:p>
        </w:tc>
      </w:tr>
      <w:tr>
        <w:trPr>
          <w:trHeight w:val="714"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宋体" w:hAnsi="宋体" w:cs="宋体" w:eastAsia="宋体" w:hint="default"/>
                <w:sz w:val="18"/>
                <w:szCs w:val="18"/>
              </w:rPr>
              <w:t>A3+B3</w:t>
            </w:r>
            <w:r>
              <w:rPr>
                <w:rFonts w:ascii="宋体" w:hAnsi="宋体" w:cs="宋体" w:eastAsia="宋体" w:hint="default"/>
                <w:sz w:val="18"/>
                <w:szCs w:val="18"/>
              </w:rPr>
              <w:t>）</w:t>
            </w:r>
          </w:p>
        </w:tc>
        <w:tc>
          <w:tcPr>
            <w:tcW w:w="21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29,000</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23,824.94</w:t>
            </w:r>
          </w:p>
        </w:tc>
      </w:tr>
      <w:tr>
        <w:trPr>
          <w:trHeight w:val="407" w:hRule="exact"/>
        </w:trPr>
        <w:tc>
          <w:tcPr>
            <w:tcW w:w="4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w:t>
            </w: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违规对外担保情况</w:t>
      </w:r>
    </w:p>
    <w:p>
      <w:pPr>
        <w:spacing w:line="240" w:lineRule="auto" w:before="11"/>
        <w:rPr>
          <w:rFonts w:ascii="宋体" w:hAnsi="宋体" w:cs="宋体" w:eastAsia="宋体" w:hint="default"/>
          <w:sz w:val="27"/>
          <w:szCs w:val="27"/>
        </w:rPr>
      </w:pPr>
    </w:p>
    <w:p>
      <w:pPr>
        <w:pStyle w:val="BodyText"/>
        <w:spacing w:line="360" w:lineRule="auto"/>
        <w:ind w:right="7072"/>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3</w:t>
      </w:r>
      <w:r>
        <w:rPr/>
        <w:t>、其他重大合同</w:t>
      </w:r>
      <w:r>
        <w:rPr>
          <w:b w:val="0"/>
          <w:bCs w:val="0"/>
        </w:rPr>
      </w:r>
    </w:p>
    <w:p>
      <w:pPr>
        <w:spacing w:line="240" w:lineRule="auto" w:before="12"/>
        <w:rPr>
          <w:rFonts w:ascii="宋体" w:hAnsi="宋体" w:cs="宋体" w:eastAsia="宋体" w:hint="default"/>
          <w:b/>
          <w:bCs/>
          <w:sz w:val="27"/>
          <w:szCs w:val="27"/>
        </w:rPr>
      </w:pPr>
    </w:p>
    <w:p>
      <w:pPr>
        <w:pStyle w:val="BodyText"/>
        <w:spacing w:line="357" w:lineRule="auto"/>
        <w:ind w:right="7072"/>
        <w:jc w:val="left"/>
      </w:pPr>
      <w:r>
        <w:rPr/>
        <w:t>□ 适用 √ 不适用 公司报告期不存在其他重大合同。</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4</w:t>
      </w:r>
      <w:r>
        <w:rPr/>
        <w:t>、其他重大交易</w:t>
      </w:r>
      <w:r>
        <w:rPr>
          <w:b w:val="0"/>
          <w:bCs w:val="0"/>
        </w:rPr>
      </w:r>
    </w:p>
    <w:p>
      <w:pPr>
        <w:spacing w:line="240" w:lineRule="auto" w:before="12"/>
        <w:rPr>
          <w:rFonts w:ascii="宋体" w:hAnsi="宋体" w:cs="宋体" w:eastAsia="宋体" w:hint="default"/>
          <w:b/>
          <w:bCs/>
          <w:sz w:val="27"/>
          <w:szCs w:val="27"/>
        </w:rPr>
      </w:pPr>
    </w:p>
    <w:p>
      <w:pPr>
        <w:pStyle w:val="BodyText"/>
        <w:spacing w:line="360" w:lineRule="auto"/>
        <w:ind w:right="7072"/>
        <w:jc w:val="left"/>
      </w:pPr>
      <w:r>
        <w:rPr/>
        <w:t>□ 适用 √ 不适用 公司报告期不存在其他重大交易。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、公司或持股</w:t>
      </w:r>
      <w:r>
        <w:rPr>
          <w:spacing w:val="-61"/>
        </w:rPr>
        <w:t> </w:t>
      </w:r>
      <w:r>
        <w:rPr>
          <w:rFonts w:ascii="宋体" w:hAnsi="宋体" w:cs="宋体" w:eastAsia="宋体" w:hint="default"/>
        </w:rPr>
        <w:t>5%</w:t>
      </w:r>
      <w:r>
        <w:rPr/>
        <w:t>以上股东在报告期内发生或以前期间发生但持续到报告期内的承诺事项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pict>
          <v:shape style="position:absolute;margin-left:365.920013pt;margin-top:57.671722pt;width:73.350pt;height:111.3pt;mso-position-horizontal-relative:page;mso-position-vertical-relative:paragraph;z-index:-9045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pict>
          <v:group style="position:absolute;margin-left:390.160004pt;margin-top:57.671722pt;width:49.1pt;height:111.3pt;mso-position-horizontal-relative:page;mso-position-vertical-relative:paragraph;z-index:-904528" coordorigin="7803,1153" coordsize="982,2226">
            <v:group style="position:absolute;left:7803;top:1153;width:982;height:2226" coordorigin="7803,1153" coordsize="982,2226">
              <v:shape style="position:absolute;left:7803;top:1153;width:982;height:2226" coordorigin="7803,1153" coordsize="982,2226" path="m7803,3379l8785,3379,8785,1153,7803,1153,7803,3379xe" filled="true" fillcolor="#ffffff" stroked="false">
                <v:path arrowok="t"/>
                <v:fill type="solid"/>
              </v:shape>
            </v:group>
            <v:group style="position:absolute;left:7826;top:1914;width:937;height:352" coordorigin="7826,1914" coordsize="937,352">
              <v:shape style="position:absolute;left:7826;top:1914;width:937;height:352" coordorigin="7826,1914" coordsize="937,352" path="m7826,2266l8762,2266,8762,1914,7826,1914,7826,2266xe" filled="true" fillcolor="#ffffff" stroked="false">
                <v:path arrowok="t"/>
                <v:fill type="solid"/>
              </v:shape>
            </v:group>
            <v:group style="position:absolute;left:7826;top:2266;width:937;height:352" coordorigin="7826,2266" coordsize="937,352">
              <v:shape style="position:absolute;left:7826;top:2266;width:937;height:352" coordorigin="7826,2266" coordsize="937,352" path="m7826,2618l8762,2618,8762,2266,7826,2266,7826,2618xe" filled="true" fillcolor="#ffffff" stroked="false">
                <v:path arrowok="t"/>
                <v:fill type="solid"/>
              </v:shape>
            </v:group>
            <w10:wrap type="none"/>
          </v:group>
        </w:pict>
      </w: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7"/>
        <w:gridCol w:w="1559"/>
        <w:gridCol w:w="2978"/>
        <w:gridCol w:w="992"/>
        <w:gridCol w:w="851"/>
        <w:gridCol w:w="283"/>
        <w:gridCol w:w="779"/>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9"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14"/>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3" w:right="84"/>
              <w:jc w:val="both"/>
              <w:rPr>
                <w:rFonts w:ascii="宋体" w:hAnsi="宋体" w:cs="宋体" w:eastAsia="宋体" w:hint="default"/>
                <w:sz w:val="18"/>
                <w:szCs w:val="18"/>
              </w:rPr>
            </w:pPr>
            <w:r>
              <w:rPr>
                <w:rFonts w:ascii="宋体" w:hAnsi="宋体" w:cs="宋体" w:eastAsia="宋体" w:hint="default"/>
                <w:sz w:val="18"/>
                <w:szCs w:val="18"/>
              </w:rPr>
              <w:t>张秀珍、张建华、 江海标、王佺、吕 兴海</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6"/>
                <w:sz w:val="18"/>
                <w:szCs w:val="18"/>
              </w:rPr>
              <w:t>）北京神州新桥科技有限公司</w:t>
            </w:r>
            <w:r>
              <w:rPr>
                <w:rFonts w:ascii="宋体" w:hAnsi="宋体" w:cs="宋体" w:eastAsia="宋体" w:hint="default"/>
                <w:spacing w:val="-50"/>
                <w:sz w:val="18"/>
                <w:szCs w:val="18"/>
              </w:rPr>
              <w:t> </w:t>
            </w:r>
            <w:r>
              <w:rPr>
                <w:rFonts w:ascii="宋体" w:hAnsi="宋体" w:cs="宋体" w:eastAsia="宋体" w:hint="default"/>
                <w:sz w:val="18"/>
                <w:szCs w:val="18"/>
              </w:rPr>
              <w:t>2009 </w:t>
            </w:r>
            <w:r>
              <w:rPr>
                <w:rFonts w:ascii="宋体" w:hAnsi="宋体" w:cs="宋体" w:eastAsia="宋体" w:hint="default"/>
                <w:sz w:val="18"/>
                <w:szCs w:val="18"/>
              </w:rPr>
              <w:t>年实现的经审计扣除非经常性损益后 的净利润不低于</w:t>
            </w:r>
            <w:r>
              <w:rPr>
                <w:rFonts w:ascii="宋体" w:hAnsi="宋体" w:cs="宋体" w:eastAsia="宋体" w:hint="default"/>
                <w:spacing w:val="-46"/>
                <w:sz w:val="18"/>
                <w:szCs w:val="18"/>
              </w:rPr>
              <w:t> </w:t>
            </w:r>
            <w:r>
              <w:rPr>
                <w:rFonts w:ascii="宋体" w:hAnsi="宋体" w:cs="宋体" w:eastAsia="宋体" w:hint="default"/>
                <w:sz w:val="18"/>
                <w:szCs w:val="18"/>
              </w:rPr>
              <w:t>3,200</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z w:val="18"/>
                <w:szCs w:val="18"/>
              </w:rPr>
              <w:t>2010</w:t>
            </w:r>
            <w:r>
              <w:rPr>
                <w:rFonts w:ascii="宋体" w:hAnsi="宋体" w:cs="宋体" w:eastAsia="宋体" w:hint="default"/>
                <w:sz w:val="18"/>
                <w:szCs w:val="18"/>
              </w:rPr>
              <w:t>、 </w:t>
            </w:r>
            <w:r>
              <w:rPr>
                <w:rFonts w:ascii="宋体" w:hAnsi="宋体" w:cs="宋体" w:eastAsia="宋体" w:hint="default"/>
                <w:sz w:val="18"/>
                <w:szCs w:val="18"/>
              </w:rPr>
              <w:t>2011</w:t>
            </w:r>
            <w:r>
              <w:rPr>
                <w:rFonts w:ascii="宋体" w:hAnsi="宋体" w:cs="宋体" w:eastAsia="宋体" w:hint="default"/>
                <w:sz w:val="18"/>
                <w:szCs w:val="18"/>
              </w:rPr>
              <w:t>、 </w:t>
            </w:r>
            <w:r>
              <w:rPr>
                <w:rFonts w:ascii="宋体" w:hAnsi="宋体" w:cs="宋体" w:eastAsia="宋体" w:hint="default"/>
                <w:sz w:val="18"/>
                <w:szCs w:val="18"/>
              </w:rPr>
              <w:t>2012 </w:t>
            </w:r>
            <w:r>
              <w:rPr>
                <w:rFonts w:ascii="宋体" w:hAnsi="宋体" w:cs="宋体" w:eastAsia="宋体" w:hint="default"/>
                <w:sz w:val="18"/>
                <w:szCs w:val="18"/>
              </w:rPr>
              <w:t>年实现的经审计扣除非 经常性损益后的净利润分别不低于 </w:t>
            </w:r>
            <w:r>
              <w:rPr>
                <w:rFonts w:ascii="宋体" w:hAnsi="宋体" w:cs="宋体" w:eastAsia="宋体" w:hint="default"/>
                <w:sz w:val="18"/>
                <w:szCs w:val="18"/>
              </w:rPr>
              <w:t>3,840</w:t>
            </w:r>
            <w:r>
              <w:rPr>
                <w:rFonts w:ascii="宋体" w:hAnsi="宋体" w:cs="宋体" w:eastAsia="宋体" w:hint="default"/>
                <w:spacing w:val="-45"/>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4,608</w:t>
            </w:r>
            <w:r>
              <w:rPr>
                <w:rFonts w:ascii="宋体" w:hAnsi="宋体" w:cs="宋体" w:eastAsia="宋体" w:hint="default"/>
                <w:spacing w:val="-45"/>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4,608</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）获得的公司增发股份自</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人履行了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217.102997pt;margin-top:106.199982pt;width:172.55pt;height:160.050pt;mso-position-horizontal-relative:page;mso-position-vertical-relative:page;z-index:-9045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吴勇、</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127"/>
        <w:gridCol w:w="1559"/>
        <w:gridCol w:w="2978"/>
        <w:gridCol w:w="992"/>
        <w:gridCol w:w="851"/>
        <w:gridCol w:w="283"/>
        <w:gridCol w:w="779"/>
      </w:tblGrid>
      <w:tr>
        <w:trPr>
          <w:trHeight w:val="674"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7"/>
                <w:sz w:val="18"/>
                <w:szCs w:val="18"/>
              </w:rPr>
              <w:t> </w:t>
            </w:r>
            <w:r>
              <w:rPr>
                <w:rFonts w:ascii="宋体" w:hAnsi="宋体" w:cs="宋体" w:eastAsia="宋体" w:hint="default"/>
                <w:sz w:val="18"/>
                <w:szCs w:val="18"/>
              </w:rPr>
              <w:t>日起三十六个月内不得交易或 转让。</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7"/>
              <w:jc w:val="left"/>
              <w:rPr>
                <w:rFonts w:ascii="宋体" w:hAnsi="宋体" w:cs="宋体" w:eastAsia="宋体" w:hint="default"/>
                <w:sz w:val="18"/>
                <w:szCs w:val="18"/>
              </w:rPr>
            </w:pPr>
            <w:r>
              <w:rPr>
                <w:rFonts w:ascii="宋体" w:hAnsi="宋体" w:cs="宋体" w:eastAsia="宋体" w:hint="default"/>
                <w:sz w:val="18"/>
                <w:szCs w:val="18"/>
              </w:rPr>
              <w:t>黄麟雏、侯丹军、 侯丹云、程相利、 </w:t>
            </w:r>
            <w:r>
              <w:rPr>
                <w:rFonts w:ascii="宋体" w:hAnsi="宋体" w:cs="宋体" w:eastAsia="宋体" w:hint="default"/>
                <w:spacing w:val="-3"/>
                <w:sz w:val="18"/>
                <w:szCs w:val="18"/>
              </w:rPr>
              <w:t>李宇、白钢、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范学义、赫长云、 姜永淑、储著荣、 汪汉文、李姝、付 琪舒、闫旭光、王 静、秦友奎、姜以 波</w:t>
            </w:r>
          </w:p>
        </w:tc>
        <w:tc>
          <w:tcPr>
            <w:tcW w:w="2978" w:type="dxa"/>
            <w:tcBorders>
              <w:top w:val="single" w:sz="4" w:space="0" w:color="000000"/>
              <w:left w:val="single" w:sz="9" w:space="0" w:color="FFFFFF"/>
              <w:bottom w:val="single" w:sz="4" w:space="0" w:color="000000"/>
              <w:right w:val="single" w:sz="9" w:space="0" w:color="FFFFFF"/>
            </w:tcBorders>
          </w:tcPr>
          <w:p>
            <w:pPr>
              <w:pStyle w:val="TableParagraph"/>
              <w:spacing w:line="316" w:lineRule="auto" w:before="51"/>
              <w:ind w:left="16" w:right="1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）北京威锐达测控系统有限公司 </w:t>
            </w: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年实现扣除非经常性损益后归属</w:t>
            </w:r>
          </w:p>
          <w:p>
            <w:pPr>
              <w:pStyle w:val="TableParagraph"/>
              <w:spacing w:line="319" w:lineRule="auto" w:before="19"/>
              <w:ind w:left="16" w:right="27"/>
              <w:jc w:val="left"/>
              <w:rPr>
                <w:rFonts w:ascii="宋体" w:hAnsi="宋体" w:cs="宋体" w:eastAsia="宋体" w:hint="default"/>
                <w:sz w:val="18"/>
                <w:szCs w:val="18"/>
              </w:rPr>
            </w:pPr>
            <w:r>
              <w:rPr>
                <w:rFonts w:ascii="宋体" w:hAnsi="宋体" w:cs="宋体" w:eastAsia="宋体" w:hint="default"/>
                <w:sz w:val="18"/>
                <w:szCs w:val="18"/>
              </w:rPr>
              <w:t>于母公司股东的净利润不低于</w:t>
            </w:r>
            <w:r>
              <w:rPr>
                <w:rFonts w:ascii="宋体" w:hAnsi="宋体" w:cs="宋体" w:eastAsia="宋体" w:hint="default"/>
                <w:spacing w:val="-46"/>
                <w:sz w:val="18"/>
                <w:szCs w:val="18"/>
              </w:rPr>
              <w:t> </w:t>
            </w:r>
            <w:r>
              <w:rPr>
                <w:rFonts w:ascii="宋体" w:hAnsi="宋体" w:cs="宋体" w:eastAsia="宋体" w:hint="default"/>
                <w:sz w:val="18"/>
                <w:szCs w:val="18"/>
              </w:rPr>
              <w:t>5,300 </w:t>
            </w:r>
            <w:r>
              <w:rPr>
                <w:rFonts w:ascii="宋体" w:hAnsi="宋体" w:cs="宋体" w:eastAsia="宋体" w:hint="default"/>
                <w:sz w:val="18"/>
                <w:szCs w:val="18"/>
              </w:rPr>
              <w:t>万元，</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年实 现扣除非经常性损益后归属于母公司 股东的净利润分别不低于</w:t>
            </w:r>
            <w:r>
              <w:rPr>
                <w:rFonts w:ascii="宋体" w:hAnsi="宋体" w:cs="宋体" w:eastAsia="宋体" w:hint="default"/>
                <w:spacing w:val="-46"/>
                <w:sz w:val="18"/>
                <w:szCs w:val="18"/>
              </w:rPr>
              <w:t> </w:t>
            </w:r>
            <w:r>
              <w:rPr>
                <w:rFonts w:ascii="宋体" w:hAnsi="宋体" w:cs="宋体" w:eastAsia="宋体" w:hint="default"/>
                <w:sz w:val="18"/>
                <w:szCs w:val="18"/>
              </w:rPr>
              <w:t>6,360</w:t>
            </w:r>
            <w:r>
              <w:rPr>
                <w:rFonts w:ascii="宋体" w:hAnsi="宋体" w:cs="宋体" w:eastAsia="宋体" w:hint="default"/>
                <w:spacing w:val="-46"/>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元、</w:t>
            </w:r>
            <w:r>
              <w:rPr>
                <w:rFonts w:ascii="宋体" w:hAnsi="宋体" w:cs="宋体" w:eastAsia="宋体" w:hint="default"/>
                <w:spacing w:val="-2"/>
                <w:sz w:val="18"/>
                <w:szCs w:val="18"/>
              </w:rPr>
              <w:t>7,632</w:t>
            </w:r>
            <w:r>
              <w:rPr>
                <w:rFonts w:ascii="宋体" w:hAnsi="宋体" w:cs="宋体" w:eastAsia="宋体" w:hint="default"/>
                <w:spacing w:val="-42"/>
                <w:sz w:val="18"/>
                <w:szCs w:val="18"/>
              </w:rPr>
              <w:t> </w:t>
            </w:r>
            <w:r>
              <w:rPr>
                <w:rFonts w:ascii="宋体" w:hAnsi="宋体" w:cs="宋体" w:eastAsia="宋体" w:hint="default"/>
                <w:spacing w:val="-2"/>
                <w:sz w:val="18"/>
                <w:szCs w:val="18"/>
              </w:rPr>
              <w:t>万元、</w:t>
            </w:r>
            <w:r>
              <w:rPr>
                <w:rFonts w:ascii="宋体" w:hAnsi="宋体" w:cs="宋体" w:eastAsia="宋体" w:hint="default"/>
                <w:spacing w:val="-2"/>
                <w:sz w:val="18"/>
                <w:szCs w:val="18"/>
              </w:rPr>
              <w:t>8,777</w:t>
            </w:r>
            <w:r>
              <w:rPr>
                <w:rFonts w:ascii="宋体" w:hAnsi="宋体" w:cs="宋体" w:eastAsia="宋体" w:hint="default"/>
                <w:spacing w:val="-42"/>
                <w:sz w:val="18"/>
                <w:szCs w:val="18"/>
              </w:rPr>
              <w:t> </w:t>
            </w:r>
            <w:r>
              <w:rPr>
                <w:rFonts w:ascii="宋体" w:hAnsi="宋体" w:cs="宋体" w:eastAsia="宋体" w:hint="default"/>
                <w:spacing w:val="-19"/>
                <w:sz w:val="18"/>
                <w:szCs w:val="18"/>
              </w:rPr>
              <w:t>万元；（</w:t>
            </w:r>
            <w:r>
              <w:rPr>
                <w:rFonts w:ascii="宋体" w:hAnsi="宋体" w:cs="宋体" w:eastAsia="宋体" w:hint="default"/>
                <w:spacing w:val="-19"/>
                <w:sz w:val="18"/>
                <w:szCs w:val="18"/>
              </w:rPr>
              <w:t>2</w:t>
            </w:r>
            <w:r>
              <w:rPr>
                <w:rFonts w:ascii="宋体" w:hAnsi="宋体" w:cs="宋体" w:eastAsia="宋体" w:hint="default"/>
                <w:spacing w:val="-19"/>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次交易获得的股份自上市之日起三十</w:t>
            </w:r>
            <w:r>
              <w:rPr>
                <w:rFonts w:ascii="宋体" w:hAnsi="宋体" w:cs="宋体" w:eastAsia="宋体" w:hint="default"/>
                <w:sz w:val="18"/>
                <w:szCs w:val="18"/>
              </w:rPr>
              <w:t> </w:t>
            </w:r>
            <w:r>
              <w:rPr>
                <w:rFonts w:ascii="宋体" w:hAnsi="宋体" w:cs="宋体" w:eastAsia="宋体" w:hint="default"/>
                <w:spacing w:val="-6"/>
                <w:sz w:val="18"/>
                <w:szCs w:val="18"/>
              </w:rPr>
              <w:t>六个月内不得转让；（</w:t>
            </w:r>
            <w:r>
              <w:rPr>
                <w:rFonts w:ascii="宋体" w:hAnsi="宋体" w:cs="宋体" w:eastAsia="宋体" w:hint="default"/>
                <w:spacing w:val="-6"/>
                <w:sz w:val="18"/>
                <w:szCs w:val="18"/>
              </w:rPr>
              <w:t>3</w:t>
            </w:r>
            <w:r>
              <w:rPr>
                <w:rFonts w:ascii="宋体" w:hAnsi="宋体" w:cs="宋体" w:eastAsia="宋体" w:hint="default"/>
                <w:spacing w:val="-6"/>
                <w:sz w:val="18"/>
                <w:szCs w:val="18"/>
              </w:rPr>
              <w:t>）避免同业竞</w:t>
            </w:r>
            <w:r>
              <w:rPr>
                <w:rFonts w:ascii="宋体" w:hAnsi="宋体" w:cs="宋体" w:eastAsia="宋体" w:hint="default"/>
                <w:spacing w:val="-78"/>
                <w:sz w:val="18"/>
                <w:szCs w:val="18"/>
              </w:rPr>
              <w:t> </w:t>
            </w:r>
            <w:r>
              <w:rPr>
                <w:rFonts w:ascii="宋体" w:hAnsi="宋体" w:cs="宋体" w:eastAsia="宋体" w:hint="default"/>
                <w:sz w:val="18"/>
                <w:szCs w:val="18"/>
              </w:rPr>
              <w:t>争的承诺</w:t>
            </w:r>
          </w:p>
        </w:tc>
        <w:tc>
          <w:tcPr>
            <w:tcW w:w="99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诺人履行了 承诺。</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9"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22" w:right="114"/>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薛向东、北京东华 诚信电脑科技发展 有限公司、北京东 华诚信工业设备有 限公司、北京合创 电商投资顾问有限 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不竞争承诺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诺人履行了 承诺</w:t>
            </w:r>
          </w:p>
        </w:tc>
      </w:tr>
      <w:tr>
        <w:trPr>
          <w:trHeight w:val="2274"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薛向东、北京东华 诚信电脑科技发展 有限公司、北京东 华诚信工业设备有 限公司、北京合创 电商投资顾问有限 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诺人履行了 承诺。</w:t>
            </w:r>
          </w:p>
        </w:tc>
      </w:tr>
      <w:tr>
        <w:trPr>
          <w:trHeight w:val="1026"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公司在使用部分闲置募集资金暂时补 充流动资金，承诺在使用闲置资金暂 时补充流动资金期间不进行风险投资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3"/>
                <w:sz w:val="18"/>
                <w:szCs w:val="18"/>
              </w:rPr>
              <w:t>报告期内，承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诺人履行了 承诺。</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4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73" w:lineRule="auto" w:before="35"/>
        <w:ind w:right="0"/>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7"/>
        <w:gridCol w:w="1196"/>
        <w:gridCol w:w="685"/>
        <w:gridCol w:w="1559"/>
        <w:gridCol w:w="1345"/>
      </w:tblGrid>
      <w:tr>
        <w:trPr>
          <w:trHeight w:val="133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41" w:right="5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7" w:right="66"/>
              <w:jc w:val="both"/>
              <w:rPr>
                <w:rFonts w:ascii="宋体" w:hAnsi="宋体" w:cs="宋体" w:eastAsia="宋体" w:hint="default"/>
                <w:sz w:val="18"/>
                <w:szCs w:val="18"/>
              </w:rPr>
            </w:pPr>
            <w:r>
              <w:rPr>
                <w:rFonts w:ascii="宋体" w:hAnsi="宋体" w:cs="宋体" w:eastAsia="宋体" w:hint="default"/>
                <w:sz w:val="18"/>
                <w:szCs w:val="18"/>
              </w:rPr>
              <w:t>未达预 测的原 因（如 适用）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1"/>
              <w:jc w:val="left"/>
              <w:rPr>
                <w:rFonts w:ascii="宋体" w:hAnsi="宋体" w:cs="宋体" w:eastAsia="宋体" w:hint="default"/>
                <w:sz w:val="18"/>
                <w:szCs w:val="18"/>
              </w:rPr>
            </w:pPr>
            <w:r>
              <w:rPr>
                <w:rFonts w:ascii="宋体" w:hAnsi="宋体" w:cs="宋体" w:eastAsia="宋体" w:hint="default"/>
                <w:sz w:val="18"/>
                <w:szCs w:val="18"/>
              </w:rPr>
              <w:t>北京威锐达测 控系统有限公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4" w:right="0"/>
              <w:jc w:val="left"/>
              <w:rPr>
                <w:rFonts w:ascii="宋体" w:hAnsi="宋体" w:cs="宋体" w:eastAsia="宋体" w:hint="default"/>
                <w:sz w:val="18"/>
                <w:szCs w:val="18"/>
              </w:rPr>
            </w:pPr>
            <w:r>
              <w:rPr>
                <w:rFonts w:ascii="宋体"/>
                <w:sz w:val="18"/>
              </w:rPr>
              <w:t>6,360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2" w:right="0"/>
              <w:jc w:val="left"/>
              <w:rPr>
                <w:rFonts w:ascii="宋体" w:hAnsi="宋体" w:cs="宋体" w:eastAsia="宋体" w:hint="default"/>
                <w:sz w:val="18"/>
                <w:szCs w:val="18"/>
              </w:rPr>
            </w:pPr>
            <w:r>
              <w:rPr>
                <w:rFonts w:ascii="宋体"/>
                <w:sz w:val="18"/>
              </w:rPr>
              <w:t>6,395.84</w:t>
            </w:r>
          </w:p>
        </w:tc>
        <w:tc>
          <w:tcPr>
            <w:tcW w:w="68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0"/>
              <w:j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ascii="宋体" w:hAnsi="宋体" w:cs="宋体" w:eastAsia="宋体" w:hint="default"/>
                <w:spacing w:val="-26"/>
                <w:sz w:val="18"/>
                <w:szCs w:val="18"/>
              </w:rPr>
              <w:t>报》、《证券日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8"/>
        <w:rPr>
          <w:rFonts w:ascii="宋体" w:hAnsi="宋体" w:cs="宋体" w:eastAsia="宋体" w:hint="default"/>
          <w:sz w:val="26"/>
          <w:szCs w:val="26"/>
        </w:rPr>
      </w:pPr>
    </w:p>
    <w:p>
      <w:pPr>
        <w:pStyle w:val="BodyText"/>
        <w:spacing w:line="240" w:lineRule="auto" w:before="44"/>
        <w:ind w:left="0" w:right="199"/>
        <w:jc w:val="right"/>
      </w:pPr>
      <w:r>
        <w:rPr/>
        <w:pict>
          <v:shape style="position:absolute;margin-left:56.459999pt;margin-top:1.191743pt;width:479.2pt;height:127.8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1195"/>
                    <w:gridCol w:w="1195"/>
                    <w:gridCol w:w="1197"/>
                    <w:gridCol w:w="1196"/>
                    <w:gridCol w:w="685"/>
                    <w:gridCol w:w="1559"/>
                    <w:gridCol w:w="1345"/>
                  </w:tblGrid>
                  <w:tr>
                    <w:trPr>
                      <w:trHeight w:val="254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pacing w:val="-30"/>
                            <w:sz w:val="18"/>
                            <w:szCs w:val="18"/>
                          </w:rPr>
                          <w:t>报》、《证券时报</w:t>
                        </w:r>
                        <w:r>
                          <w:rPr>
                            <w:rFonts w:ascii="宋体" w:hAnsi="宋体" w:cs="宋体" w:eastAsia="宋体" w:hint="default"/>
                            <w:sz w:val="18"/>
                            <w:szCs w:val="18"/>
                          </w:rPr>
                          <w:t> 及巨潮资讯网</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w:t>
                        </w:r>
                        <w:hyperlink r:id="rId16">
                          <w:r>
                            <w:rPr>
                              <w:rFonts w:ascii="宋体" w:hAnsi="宋体" w:cs="宋体" w:eastAsia="宋体" w:hint="default"/>
                              <w:sz w:val="18"/>
                              <w:szCs w:val="18"/>
                            </w:rPr>
                            <w:t>www.cninfo.c</w:t>
                          </w:r>
                        </w:hyperlink>
                        <w:r>
                          <w:rPr>
                            <w:rFonts w:ascii="宋体" w:hAnsi="宋体" w:cs="宋体" w:eastAsia="宋体" w:hint="default"/>
                            <w:sz w:val="18"/>
                            <w:szCs w:val="18"/>
                          </w:rPr>
                          <w:t> </w:t>
                        </w:r>
                        <w:r>
                          <w:rPr>
                            <w:rFonts w:ascii="宋体" w:hAnsi="宋体" w:cs="宋体" w:eastAsia="宋体" w:hint="default"/>
                            <w:spacing w:val="-7"/>
                            <w:sz w:val="18"/>
                            <w:szCs w:val="18"/>
                          </w:rPr>
                          <w:t>om.cn</w:t>
                        </w:r>
                        <w:r>
                          <w:rPr>
                            <w:rFonts w:ascii="宋体" w:hAnsi="宋体" w:cs="宋体" w:eastAsia="宋体" w:hint="default"/>
                            <w:spacing w:val="-7"/>
                            <w:sz w:val="18"/>
                            <w:szCs w:val="18"/>
                          </w:rPr>
                          <w:t>）上的《东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华软件股份公司 关于发行股份购 买资金相关方承 诺事项的公告》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26"/>
        <w:ind w:right="87"/>
        <w:jc w:val="left"/>
        <w:rPr>
          <w:b w:val="0"/>
          <w:bCs w:val="0"/>
        </w:rPr>
      </w:pPr>
      <w:r>
        <w:rPr/>
        <w:t>十、聘任、解聘会计师事务所情况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7"/>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3"/>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85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14</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肖丽娟、叶丽萍</w:t>
            </w:r>
          </w:p>
        </w:tc>
      </w:tr>
    </w:tbl>
    <w:p>
      <w:pPr>
        <w:pStyle w:val="BodyText"/>
        <w:spacing w:line="240" w:lineRule="auto" w:before="51"/>
        <w:ind w:right="87"/>
        <w:jc w:val="left"/>
      </w:pPr>
      <w:r>
        <w:rPr/>
        <w:t>当期是否改聘会计师事务所</w:t>
      </w:r>
    </w:p>
    <w:p>
      <w:pPr>
        <w:pStyle w:val="BodyText"/>
        <w:spacing w:line="360" w:lineRule="auto" w:before="116"/>
        <w:ind w:right="5312"/>
        <w:jc w:val="left"/>
      </w:pPr>
      <w:r>
        <w:rPr/>
        <w:t>□ 是 √ 否 聘请内部控制审计会计师事务所、财务顾问或保荐人情况</w:t>
      </w:r>
    </w:p>
    <w:p>
      <w:pPr>
        <w:pStyle w:val="BodyText"/>
        <w:spacing w:line="357" w:lineRule="auto" w:before="26"/>
        <w:ind w:right="2252"/>
        <w:jc w:val="left"/>
      </w:pPr>
      <w:r>
        <w:rPr/>
        <w:t>√ 适用 □ 不适用 报告期内，公司因公开发行可转换公司债券事项，聘请华泰联合证券有限责任公司为保荐机构；</w:t>
      </w:r>
    </w:p>
    <w:p>
      <w:pPr>
        <w:pStyle w:val="BodyText"/>
        <w:spacing w:line="224" w:lineRule="exact"/>
        <w:ind w:right="87"/>
        <w:jc w:val="left"/>
      </w:pPr>
      <w:r>
        <w:rPr/>
        <w:t>报告期内，公司因发行股份及支付现金购买资产并募集配套资金事项，聘请华泰联合证券有限责任公司为财务顾问。</w:t>
      </w:r>
    </w:p>
    <w:p>
      <w:pPr>
        <w:spacing w:line="240" w:lineRule="auto" w:before="13"/>
        <w:rPr>
          <w:rFonts w:ascii="宋体" w:hAnsi="宋体" w:cs="宋体" w:eastAsia="宋体" w:hint="default"/>
          <w:sz w:val="24"/>
          <w:szCs w:val="24"/>
        </w:rPr>
      </w:pPr>
    </w:p>
    <w:p>
      <w:pPr>
        <w:pStyle w:val="Heading2"/>
        <w:spacing w:line="240" w:lineRule="auto"/>
        <w:ind w:right="87"/>
        <w:jc w:val="left"/>
        <w:rPr>
          <w:b w:val="0"/>
          <w:bCs w:val="0"/>
        </w:rPr>
      </w:pPr>
      <w:r>
        <w:rPr/>
        <w:t>十一、监事会、独立董事（如适用）对会计师事务所本报告期“非标准审计报告”的说明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87"/>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932"/>
        <w:jc w:val="left"/>
      </w:pPr>
      <w:r>
        <w:rPr/>
        <w:t>□ 适用 √ 不适用 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87"/>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7"/>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87"/>
        <w:jc w:val="left"/>
        <w:rPr>
          <w:b w:val="0"/>
          <w:bCs w:val="0"/>
        </w:rPr>
      </w:pPr>
      <w:r>
        <w:rPr/>
        <w:t>十四、其他重大事项的说明</w:t>
      </w:r>
      <w:r>
        <w:rPr>
          <w:b w:val="0"/>
          <w:bCs w:val="0"/>
        </w:rPr>
      </w:r>
    </w:p>
    <w:p>
      <w:pPr>
        <w:pStyle w:val="BodyText"/>
        <w:spacing w:line="430" w:lineRule="atLeast" w:before="154"/>
        <w:ind w:left="514" w:right="87" w:hanging="360"/>
        <w:jc w:val="left"/>
      </w:pPr>
      <w:r>
        <w:rPr/>
        <w:t>√ 适用 □ 不适用 </w:t>
      </w:r>
      <w:r>
        <w:rPr>
          <w:spacing w:val="-2"/>
        </w:rPr>
        <w:t>报告期内，</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21</w:t>
      </w:r>
      <w:r>
        <w:rPr>
          <w:spacing w:val="-2"/>
        </w:rPr>
        <w:t>日，公司第五届董事会第九次会议审议通过了《关于公司筹划发行股份购买资产事项的议案》，</w:t>
      </w:r>
    </w:p>
    <w:p>
      <w:pPr>
        <w:pStyle w:val="BodyText"/>
        <w:spacing w:line="316" w:lineRule="auto" w:before="76"/>
        <w:ind w:right="92"/>
        <w:jc w:val="left"/>
      </w:pPr>
      <w:r>
        <w:rPr>
          <w:spacing w:val="-2"/>
        </w:rPr>
        <w:t>同意公司筹划发行股份购买资产事项；</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17</w:t>
      </w:r>
      <w:r>
        <w:rPr>
          <w:spacing w:val="-2"/>
        </w:rPr>
        <w:t>日，公司第五届董事会第十四次会议逐项审议通过《关于公司发行股份</w:t>
      </w:r>
      <w:r>
        <w:rPr>
          <w:spacing w:val="-58"/>
        </w:rPr>
        <w:t> </w:t>
      </w:r>
      <w:r>
        <w:rPr>
          <w:spacing w:val="-58"/>
        </w:rPr>
      </w:r>
      <w:r>
        <w:rPr/>
        <w:t>及支付现金购买资产并募集配套资金方案的议案》，同意公司以发行股份及支付现金相结合的方式收购章云芳、红塔创投、</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99"/>
        <w:jc w:val="both"/>
      </w:pPr>
      <w:r>
        <w:rPr>
          <w:spacing w:val="-2"/>
        </w:rPr>
        <w:t>招商科技、光启创投、刘玉龙、苏美娴、杨铭、锦尚睦合、李旭东持有的至高通信</w:t>
      </w:r>
      <w:r>
        <w:rPr>
          <w:rFonts w:ascii="宋体" w:hAnsi="宋体" w:cs="宋体" w:eastAsia="宋体" w:hint="default"/>
          <w:spacing w:val="-2"/>
        </w:rPr>
        <w:t>100%</w:t>
      </w:r>
      <w:r>
        <w:rPr>
          <w:spacing w:val="-2"/>
        </w:rPr>
        <w:t>股权，并拟通过询价方式向不超过</w:t>
      </w:r>
      <w:r>
        <w:rPr>
          <w:rFonts w:ascii="宋体" w:hAnsi="宋体" w:cs="宋体" w:eastAsia="宋体" w:hint="default"/>
          <w:spacing w:val="-2"/>
        </w:rPr>
        <w:t>10</w:t>
      </w:r>
      <w:r>
        <w:rPr>
          <w:rFonts w:ascii="宋体" w:hAnsi="宋体" w:cs="宋体" w:eastAsia="宋体" w:hint="default"/>
          <w:spacing w:val="-65"/>
        </w:rPr>
        <w:t> </w:t>
      </w:r>
      <w:r>
        <w:rPr/>
        <w:t>名符合条件的特定投资者非公开发行股份募集配套资金，募集配套资金总金额不超过本次交易总金额</w:t>
      </w:r>
      <w:r>
        <w:rPr>
          <w:rFonts w:ascii="宋体" w:hAnsi="宋体" w:cs="宋体" w:eastAsia="宋体" w:hint="default"/>
        </w:rPr>
        <w:t>25%</w:t>
      </w:r>
      <w:r>
        <w:rPr/>
        <w:t>，并于</w:t>
      </w:r>
      <w:r>
        <w:rPr>
          <w:rFonts w:ascii="宋体" w:hAnsi="宋体" w:cs="宋体" w:eastAsia="宋体" w:hint="default"/>
        </w:rPr>
        <w:t>2014</w:t>
      </w:r>
      <w:r>
        <w:rPr/>
        <w:t>年</w:t>
      </w:r>
      <w:r>
        <w:rPr>
          <w:rFonts w:ascii="宋体" w:hAnsi="宋体" w:cs="宋体" w:eastAsia="宋体" w:hint="default"/>
        </w:rPr>
        <w:t>12</w:t>
      </w:r>
      <w:r>
        <w:rPr/>
        <w:t>月</w:t>
      </w:r>
      <w:r>
        <w:rPr>
          <w:spacing w:val="-81"/>
        </w:rPr>
        <w:t> </w:t>
      </w:r>
      <w:r>
        <w:rPr>
          <w:spacing w:val="-2"/>
        </w:rPr>
        <w:t>日</w:t>
      </w:r>
      <w:r>
        <w:rPr>
          <w:rFonts w:ascii="宋体" w:hAnsi="宋体" w:cs="宋体" w:eastAsia="宋体" w:hint="default"/>
          <w:spacing w:val="-2"/>
        </w:rPr>
        <w:t>9</w:t>
      </w:r>
      <w:r>
        <w:rPr>
          <w:spacing w:val="-2"/>
        </w:rPr>
        <w:t>召开的公司</w:t>
      </w:r>
      <w:r>
        <w:rPr>
          <w:rFonts w:ascii="宋体" w:hAnsi="宋体" w:cs="宋体" w:eastAsia="宋体" w:hint="default"/>
          <w:spacing w:val="-2"/>
        </w:rPr>
        <w:t>2014</w:t>
      </w:r>
      <w:r>
        <w:rPr>
          <w:spacing w:val="-2"/>
        </w:rPr>
        <w:t>年第三次临时股东大会逐项审议通过。详情参见</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18</w:t>
      </w:r>
      <w:r>
        <w:rPr>
          <w:spacing w:val="-2"/>
        </w:rPr>
        <w:t>日刊登在《中国证券报》、《证券日报》、</w:t>
      </w:r>
    </w:p>
    <w:p>
      <w:pPr>
        <w:pStyle w:val="BodyText"/>
        <w:spacing w:line="319" w:lineRule="auto" w:before="19"/>
        <w:ind w:right="191"/>
        <w:jc w:val="both"/>
      </w:pPr>
      <w:r>
        <w:rPr>
          <w:spacing w:val="-2"/>
        </w:rPr>
        <w:t>《证券时报》以及巨潮资讯网（</w:t>
      </w:r>
      <w:hyperlink r:id="rId12">
        <w:r>
          <w:rPr>
            <w:rFonts w:ascii="宋体" w:hAnsi="宋体" w:cs="宋体" w:eastAsia="宋体" w:hint="default"/>
            <w:spacing w:val="-2"/>
          </w:rPr>
          <w:t>http://www.cninfo.com.cn</w:t>
        </w:r>
      </w:hyperlink>
      <w:r>
        <w:rPr>
          <w:spacing w:val="-2"/>
        </w:rPr>
        <w:t>）上的《东华软件股份公司发行股份及支付现金购买资产并募集</w:t>
      </w:r>
      <w:r>
        <w:rPr>
          <w:spacing w:val="-42"/>
        </w:rPr>
        <w:t> </w:t>
      </w:r>
      <w:r>
        <w:rPr>
          <w:spacing w:val="-42"/>
        </w:rPr>
      </w:r>
      <w:r>
        <w:rPr/>
        <w:t>配套资金报告书（草案）》。截止本报告披露之日，该事项仍在证监会审核阶段。</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r>
        <w:rPr/>
        <w:t>十五、公司子公司重要事项</w:t>
      </w:r>
      <w:r>
        <w:rPr>
          <w:b w:val="0"/>
          <w:bCs w:val="0"/>
        </w:rPr>
      </w:r>
    </w:p>
    <w:p>
      <w:pPr>
        <w:pStyle w:val="BodyText"/>
        <w:spacing w:line="430" w:lineRule="atLeast" w:before="153"/>
        <w:ind w:left="514" w:right="87" w:hanging="360"/>
        <w:jc w:val="left"/>
      </w:pPr>
      <w:r>
        <w:rPr/>
        <w:t>√ 适用 □ 不适用 </w:t>
      </w:r>
      <w:r>
        <w:rPr>
          <w:spacing w:val="-5"/>
        </w:rPr>
        <w:t>报告期内，</w:t>
      </w:r>
      <w:r>
        <w:rPr>
          <w:rFonts w:ascii="宋体" w:hAnsi="宋体" w:cs="宋体" w:eastAsia="宋体" w:hint="default"/>
          <w:spacing w:val="-5"/>
        </w:rPr>
        <w:t>2014</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27</w:t>
      </w:r>
      <w:r>
        <w:rPr>
          <w:spacing w:val="-5"/>
        </w:rPr>
        <w:t>日，公司第五届董事会第四次会议审议通过了《关于对外投资设立健康宝软件有限公司的议案》，</w:t>
      </w:r>
    </w:p>
    <w:p>
      <w:pPr>
        <w:pStyle w:val="BodyText"/>
        <w:spacing w:line="316" w:lineRule="auto" w:before="76"/>
        <w:ind w:right="102"/>
        <w:jc w:val="both"/>
      </w:pPr>
      <w:r>
        <w:rPr>
          <w:spacing w:val="-2"/>
        </w:rPr>
        <w:t>同意在海南生态园设立健康宝软件有限公司。详情参见</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27</w:t>
      </w:r>
      <w:r>
        <w:rPr>
          <w:spacing w:val="-2"/>
        </w:rPr>
        <w:t>日刊登在《中国证券报》、《证券日报》、《证券时报》</w:t>
      </w:r>
      <w:r>
        <w:rPr>
          <w:spacing w:val="-59"/>
        </w:rPr>
        <w:t> </w:t>
      </w:r>
      <w:r>
        <w:rPr>
          <w:spacing w:val="-59"/>
        </w:rPr>
      </w:r>
      <w:r>
        <w:rPr/>
        <w:t>以及巨潮资讯网（</w:t>
      </w:r>
      <w:hyperlink r:id="rId12">
        <w:r>
          <w:rPr>
            <w:rFonts w:ascii="宋体" w:hAnsi="宋体" w:cs="宋体" w:eastAsia="宋体" w:hint="default"/>
          </w:rPr>
          <w:t>http://www.cninfo.com.cn</w:t>
        </w:r>
      </w:hyperlink>
      <w:r>
        <w:rPr/>
        <w:t>）上的《东华软件对外投资公告》（公告编号：</w:t>
      </w:r>
      <w:r>
        <w:rPr>
          <w:rFonts w:ascii="宋体" w:hAnsi="宋体" w:cs="宋体" w:eastAsia="宋体" w:hint="default"/>
        </w:rPr>
        <w:t>2014-033</w:t>
      </w:r>
      <w:r>
        <w:rPr/>
        <w:t>）。</w:t>
      </w:r>
    </w:p>
    <w:p>
      <w:pPr>
        <w:pStyle w:val="BodyText"/>
        <w:spacing w:line="316" w:lineRule="auto" w:before="139"/>
        <w:ind w:right="189" w:firstLine="360"/>
        <w:jc w:val="both"/>
      </w:pP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19</w:t>
      </w:r>
      <w:r>
        <w:rPr/>
        <w:t>日，公司第五届董事会第五次会议审议通过了《关于追加投资设立健康宝软件有限公司的议案》，同意公 </w:t>
      </w:r>
      <w:r>
        <w:rPr>
          <w:spacing w:val="-2"/>
        </w:rPr>
        <w:t>司与全资子公司北京东华合创科技有限公司共同出资人民币</w:t>
      </w:r>
      <w:r>
        <w:rPr>
          <w:rFonts w:ascii="宋体" w:hAnsi="宋体" w:cs="宋体" w:eastAsia="宋体" w:hint="default"/>
          <w:spacing w:val="-2"/>
        </w:rPr>
        <w:t>1</w:t>
      </w:r>
      <w:r>
        <w:rPr>
          <w:spacing w:val="-2"/>
        </w:rPr>
        <w:t>亿元，详情参见</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日刊登在《中国证券报》、《证券</w:t>
      </w:r>
      <w:r>
        <w:rPr>
          <w:spacing w:val="-59"/>
        </w:rPr>
        <w:t> </w:t>
      </w:r>
      <w:r>
        <w:rPr>
          <w:spacing w:val="-59"/>
        </w:rPr>
      </w:r>
      <w:r>
        <w:rPr>
          <w:spacing w:val="-2"/>
        </w:rPr>
        <w:t>日报》、《证券时报》及巨潮资讯网（</w:t>
      </w:r>
      <w:hyperlink r:id="rId12">
        <w:r>
          <w:rPr>
            <w:rFonts w:ascii="宋体" w:hAnsi="宋体" w:cs="宋体" w:eastAsia="宋体" w:hint="default"/>
            <w:spacing w:val="-2"/>
          </w:rPr>
          <w:t>http://www.cninfo.com.cn</w:t>
        </w:r>
      </w:hyperlink>
      <w:r>
        <w:rPr>
          <w:spacing w:val="-2"/>
        </w:rPr>
        <w:t>）上的《东华软件股份公司关于追加投资设立全资子公司</w:t>
      </w:r>
      <w:r>
        <w:rPr>
          <w:spacing w:val="-46"/>
        </w:rPr>
        <w:t> </w:t>
      </w:r>
      <w:r>
        <w:rPr>
          <w:spacing w:val="-46"/>
        </w:rPr>
      </w:r>
      <w:r>
        <w:rPr/>
        <w:t>的公告》（公告编号：</w:t>
      </w:r>
      <w:r>
        <w:rPr>
          <w:rFonts w:ascii="宋体" w:hAnsi="宋体" w:cs="宋体" w:eastAsia="宋体" w:hint="default"/>
        </w:rPr>
        <w:t>2014-036</w:t>
      </w:r>
      <w:r>
        <w:rPr/>
        <w:t>）。</w:t>
      </w:r>
    </w:p>
    <w:p>
      <w:pPr>
        <w:pStyle w:val="BodyText"/>
        <w:spacing w:line="316" w:lineRule="auto" w:before="139"/>
        <w:ind w:right="182" w:firstLine="360"/>
        <w:jc w:val="left"/>
      </w:pP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15</w:t>
      </w:r>
      <w:r>
        <w:rPr/>
        <w:t>日，公司总经理办公会议审议通过了《关于对外投资成立兰州东华软件有限公司的议案》，同意对外投资 成立兰州东华软件有限公司，出资人民币</w:t>
      </w:r>
      <w:r>
        <w:rPr>
          <w:rFonts w:ascii="宋体" w:hAnsi="宋体" w:cs="宋体" w:eastAsia="宋体" w:hint="default"/>
        </w:rPr>
        <w:t>500</w:t>
      </w:r>
      <w:r>
        <w:rPr/>
        <w:t>万元。</w:t>
      </w:r>
    </w:p>
    <w:p>
      <w:pPr>
        <w:pStyle w:val="BodyText"/>
        <w:spacing w:line="319" w:lineRule="auto" w:before="139"/>
        <w:ind w:right="102" w:firstLine="360"/>
        <w:jc w:val="left"/>
      </w:pPr>
      <w:r>
        <w:rPr>
          <w:rFonts w:ascii="宋体" w:hAnsi="宋体" w:cs="宋体" w:eastAsia="宋体" w:hint="default"/>
          <w:spacing w:val="-4"/>
        </w:rPr>
        <w:t>2014</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15</w:t>
      </w:r>
      <w:r>
        <w:rPr>
          <w:spacing w:val="-4"/>
        </w:rPr>
        <w:t>日，公司第五届董事会第十二次会议审议通过了《关于对外投资成立东华智慧城市股份有限公司的议案》，</w:t>
      </w:r>
      <w:r>
        <w:rPr/>
        <w:t> </w:t>
      </w:r>
      <w:r>
        <w:rPr>
          <w:spacing w:val="-2"/>
        </w:rPr>
        <w:t>同意公司与投资人法人单位衢州工业资产投资管理有限公司、自然人郭浩哲、臧洪宇、万小昉、张黎明、王昕、辛鹏共同出</w:t>
      </w:r>
      <w:r>
        <w:rPr>
          <w:spacing w:val="-67"/>
        </w:rPr>
        <w:t> </w:t>
      </w:r>
      <w:r>
        <w:rPr>
          <w:spacing w:val="-67"/>
        </w:rPr>
      </w:r>
      <w:r>
        <w:rPr/>
        <w:t>资人民币</w:t>
      </w:r>
      <w:r>
        <w:rPr>
          <w:rFonts w:ascii="宋体" w:hAnsi="宋体" w:cs="宋体" w:eastAsia="宋体" w:hint="default"/>
        </w:rPr>
        <w:t>1</w:t>
      </w:r>
      <w:r>
        <w:rPr/>
        <w:t>亿元，在浙江衢州成立东华智慧城市股份有限公司，详情参见</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16</w:t>
      </w:r>
      <w:r>
        <w:rPr/>
        <w:t>日刊登在《中国证券报》、《证券日</w:t>
      </w:r>
      <w:r>
        <w:rPr>
          <w:spacing w:val="-82"/>
        </w:rPr>
        <w:t> </w:t>
      </w:r>
      <w:r>
        <w:rPr>
          <w:spacing w:val="-82"/>
        </w:rPr>
      </w:r>
      <w:r>
        <w:rPr>
          <w:spacing w:val="-6"/>
        </w:rPr>
        <w:t>报》、《证券时报》以及巨潮资讯网（</w:t>
      </w:r>
      <w:hyperlink r:id="rId12">
        <w:r>
          <w:rPr>
            <w:rFonts w:ascii="宋体" w:hAnsi="宋体" w:cs="宋体" w:eastAsia="宋体" w:hint="default"/>
            <w:spacing w:val="-6"/>
          </w:rPr>
          <w:t>http://www.cninfo.com.cn</w:t>
        </w:r>
      </w:hyperlink>
      <w:r>
        <w:rPr>
          <w:spacing w:val="-6"/>
        </w:rPr>
        <w:t>）上的《东华软件对外投资公告》（公告编号：</w:t>
      </w:r>
      <w:r>
        <w:rPr>
          <w:rFonts w:ascii="宋体" w:hAnsi="宋体" w:cs="宋体" w:eastAsia="宋体" w:hint="default"/>
          <w:spacing w:val="-6"/>
        </w:rPr>
        <w:t>2014-102</w:t>
      </w:r>
      <w:r>
        <w:rPr>
          <w:spacing w:val="-6"/>
        </w:rPr>
        <w:t>）。</w:t>
      </w:r>
      <w:r>
        <w:rPr/>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r>
        <w:rPr/>
        <w:t>十六、公司发行公司债券的情况</w:t>
      </w:r>
      <w:r>
        <w:rPr>
          <w:b w:val="0"/>
          <w:bCs w:val="0"/>
        </w:rPr>
      </w:r>
    </w:p>
    <w:p>
      <w:pPr>
        <w:pStyle w:val="BodyText"/>
        <w:spacing w:line="430" w:lineRule="atLeast" w:before="153"/>
        <w:ind w:left="514" w:right="87" w:hanging="360"/>
        <w:jc w:val="left"/>
      </w:pPr>
      <w:r>
        <w:rPr/>
        <w:t>√ 适用 □ 不适用 </w:t>
      </w:r>
      <w:r>
        <w:rPr>
          <w:spacing w:val="-7"/>
        </w:rPr>
        <w:t>报告期内，根据有关规定和《募集说明书》约定，公司发行的可转换公司债券（债券简称：东华转债，债券代码：</w:t>
      </w:r>
      <w:r>
        <w:rPr>
          <w:rFonts w:ascii="宋体" w:hAnsi="宋体" w:cs="宋体" w:eastAsia="宋体" w:hint="default"/>
          <w:spacing w:val="-7"/>
        </w:rPr>
        <w:t>128002</w:t>
      </w:r>
      <w:r>
        <w:rPr>
          <w:spacing w:val="-7"/>
        </w:rPr>
        <w:t>）</w:t>
      </w:r>
    </w:p>
    <w:p>
      <w:pPr>
        <w:pStyle w:val="BodyText"/>
        <w:spacing w:line="316" w:lineRule="auto" w:before="76"/>
        <w:ind w:right="190"/>
        <w:jc w:val="both"/>
      </w:pPr>
      <w:r>
        <w:rPr/>
        <w:t>自</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7</w:t>
      </w:r>
      <w:r>
        <w:rPr/>
        <w:t>日起可转换为公司</w:t>
      </w:r>
      <w:r>
        <w:rPr>
          <w:rFonts w:ascii="宋体" w:hAnsi="宋体" w:cs="宋体" w:eastAsia="宋体" w:hint="default"/>
        </w:rPr>
        <w:t>A</w:t>
      </w:r>
      <w:r>
        <w:rPr/>
        <w:t>股股份，具体转股情况详见</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9</w:t>
      </w:r>
      <w:r>
        <w:rPr/>
        <w:t>日刊登在《中国证券报》、《证券日报》、《证券</w:t>
      </w:r>
      <w:r>
        <w:rPr>
          <w:spacing w:val="-83"/>
        </w:rPr>
        <w:t> </w:t>
      </w:r>
      <w:r>
        <w:rPr>
          <w:spacing w:val="-83"/>
        </w:rPr>
      </w:r>
      <w:r>
        <w:rPr>
          <w:spacing w:val="-2"/>
        </w:rPr>
        <w:t>时报》以及巨潮资讯网（</w:t>
      </w:r>
      <w:hyperlink r:id="rId12">
        <w:r>
          <w:rPr>
            <w:rFonts w:ascii="宋体" w:hAnsi="宋体" w:cs="宋体" w:eastAsia="宋体" w:hint="default"/>
            <w:spacing w:val="-2"/>
          </w:rPr>
          <w:t>http://www.cninfo.com.cn</w:t>
        </w:r>
      </w:hyperlink>
      <w:r>
        <w:rPr>
          <w:spacing w:val="-2"/>
        </w:rPr>
        <w:t>）上《东华软件股份公司关于</w:t>
      </w:r>
      <w:r>
        <w:rPr>
          <w:rFonts w:ascii="宋体" w:hAnsi="宋体" w:cs="宋体" w:eastAsia="宋体" w:hint="default"/>
          <w:spacing w:val="-2"/>
        </w:rPr>
        <w:t>2014</w:t>
      </w:r>
      <w:r>
        <w:rPr>
          <w:spacing w:val="-2"/>
        </w:rPr>
        <w:t>年第一季度“东华转债”转股及股份</w:t>
      </w:r>
      <w:r>
        <w:rPr>
          <w:spacing w:val="-39"/>
        </w:rPr>
        <w:t> </w:t>
      </w:r>
      <w:r>
        <w:rPr>
          <w:spacing w:val="-2"/>
        </w:rPr>
        <w:t>变动情况的公告》（公告编号：</w:t>
      </w:r>
      <w:r>
        <w:rPr>
          <w:rFonts w:ascii="宋体" w:hAnsi="宋体" w:cs="宋体" w:eastAsia="宋体" w:hint="default"/>
          <w:spacing w:val="-2"/>
        </w:rPr>
        <w:t>2014-070</w:t>
      </w:r>
      <w:r>
        <w:rPr>
          <w:spacing w:val="-2"/>
        </w:rPr>
        <w:t>）、《东华软件股份公司关于</w:t>
      </w:r>
      <w:r>
        <w:rPr>
          <w:rFonts w:ascii="宋体" w:hAnsi="宋体" w:cs="宋体" w:eastAsia="宋体" w:hint="default"/>
          <w:spacing w:val="-2"/>
        </w:rPr>
        <w:t>2014</w:t>
      </w:r>
      <w:r>
        <w:rPr>
          <w:spacing w:val="-2"/>
        </w:rPr>
        <w:t>年第二季度“东华转债”转股及股份变动情况的</w:t>
      </w:r>
      <w:r>
        <w:rPr>
          <w:spacing w:val="-55"/>
        </w:rPr>
        <w:t> </w:t>
      </w:r>
      <w:r>
        <w:rPr>
          <w:spacing w:val="-2"/>
        </w:rPr>
        <w:t>公告》（公告编号：</w:t>
      </w:r>
      <w:r>
        <w:rPr>
          <w:rFonts w:ascii="宋体" w:hAnsi="宋体" w:cs="宋体" w:eastAsia="宋体" w:hint="default"/>
          <w:spacing w:val="-2"/>
        </w:rPr>
        <w:t>2014-071</w:t>
      </w:r>
      <w:r>
        <w:rPr>
          <w:spacing w:val="-2"/>
        </w:rPr>
        <w:t>）、《东华软件股份公司关于</w:t>
      </w:r>
      <w:r>
        <w:rPr>
          <w:rFonts w:ascii="宋体" w:hAnsi="宋体" w:cs="宋体" w:eastAsia="宋体" w:hint="default"/>
          <w:spacing w:val="-2"/>
        </w:rPr>
        <w:t>2014</w:t>
      </w:r>
      <w:r>
        <w:rPr>
          <w:spacing w:val="-2"/>
        </w:rPr>
        <w:t>年第三季度“东华转债”转股及股份变动情况的公告》（公</w:t>
      </w:r>
      <w:r>
        <w:rPr>
          <w:spacing w:val="-56"/>
        </w:rPr>
        <w:t> </w:t>
      </w:r>
      <w:r>
        <w:rPr>
          <w:spacing w:val="-56"/>
        </w:rPr>
      </w:r>
      <w:r>
        <w:rPr/>
        <w:t>告编号：</w:t>
      </w:r>
      <w:r>
        <w:rPr>
          <w:rFonts w:ascii="宋体" w:hAnsi="宋体" w:cs="宋体" w:eastAsia="宋体" w:hint="default"/>
        </w:rPr>
        <w:t>2014-096</w:t>
      </w:r>
      <w:r>
        <w:rPr/>
        <w:t>）、《东华软件股份公司关于</w:t>
      </w:r>
      <w:r>
        <w:rPr>
          <w:rFonts w:ascii="宋体" w:hAnsi="宋体" w:cs="宋体" w:eastAsia="宋体" w:hint="default"/>
        </w:rPr>
        <w:t>2014</w:t>
      </w:r>
      <w:r>
        <w:rPr/>
        <w:t>年第四季度“东华转债”转股及股份变动情况的公告》（公告编号：</w:t>
      </w:r>
      <w:r>
        <w:rPr>
          <w:spacing w:val="-2"/>
        </w:rPr>
        <w:t> </w:t>
      </w:r>
      <w:r>
        <w:rPr>
          <w:spacing w:val="-2"/>
        </w:rPr>
      </w:r>
      <w:r>
        <w:rPr>
          <w:rFonts w:ascii="宋体" w:hAnsi="宋体" w:cs="宋体" w:eastAsia="宋体" w:hint="default"/>
        </w:rPr>
        <w:t>2017-001</w:t>
      </w:r>
      <w:r>
        <w:rPr/>
        <w:t>）。</w:t>
      </w:r>
    </w:p>
    <w:p>
      <w:pPr>
        <w:spacing w:after="0" w:line="316"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06"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394" w:right="0"/>
        <w:jc w:val="left"/>
        <w:rPr>
          <w:b w:val="0"/>
          <w:bCs w:val="0"/>
        </w:rPr>
      </w:pP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10"/>
        <w:jc w:val="right"/>
      </w:pPr>
      <w:r>
        <w:rPr/>
        <w:t>单位：股</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703"/>
        <w:gridCol w:w="1134"/>
        <w:gridCol w:w="709"/>
        <w:gridCol w:w="992"/>
        <w:gridCol w:w="283"/>
        <w:gridCol w:w="1134"/>
        <w:gridCol w:w="1134"/>
        <w:gridCol w:w="1134"/>
        <w:gridCol w:w="1276"/>
        <w:gridCol w:w="709"/>
      </w:tblGrid>
      <w:tr>
        <w:trPr>
          <w:trHeight w:val="402"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7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7"/>
              <w:jc w:val="left"/>
              <w:rPr>
                <w:rFonts w:ascii="宋体" w:hAnsi="宋体" w:cs="宋体" w:eastAsia="宋体" w:hint="default"/>
                <w:sz w:val="18"/>
                <w:szCs w:val="18"/>
              </w:rPr>
            </w:pPr>
            <w:r>
              <w:rPr>
                <w:rFonts w:ascii="宋体" w:hAnsi="宋体" w:cs="宋体" w:eastAsia="宋体" w:hint="default"/>
                <w:sz w:val="18"/>
                <w:szCs w:val="18"/>
              </w:rPr>
              <w:t>送 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99,499,917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48,516,301</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74,515,220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-33,540,142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89,491,379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188,991,296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12.48%</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1,267,916</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1,267,916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1,267,916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0.08%</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99,499,917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47,248,385</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74,515,220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-33,540,142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88,223,463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187,723,380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12.39%</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9,444,873</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9,444,873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9,444,873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0.62%</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99,499,917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37,803,512</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74,515,220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-33,540,142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78,778,590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178,278,507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11.77%</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594,803,693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85.67%</w:t>
            </w: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660,526,151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70,485,808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731,011,959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1,325,815,652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87.52%</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594,803,693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85.67%</w:t>
            </w:r>
          </w:p>
        </w:tc>
        <w:tc>
          <w:tcPr>
            <w:tcW w:w="99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660,526,151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70,485,808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731,011,959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1,325,815,652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87.52%</w:t>
            </w:r>
          </w:p>
        </w:tc>
      </w:tr>
      <w:tr>
        <w:trPr>
          <w:trHeight w:val="402" w:hRule="exact"/>
        </w:trPr>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694,303,610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48,516,301</w:t>
            </w:r>
          </w:p>
        </w:tc>
        <w:tc>
          <w:tcPr>
            <w:tcW w:w="28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735,041,371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36,945,666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820,503,338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1,514,806,948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51"/>
        <w:ind w:left="394" w:right="0"/>
        <w:jc w:val="left"/>
      </w:pPr>
      <w:r>
        <w:rPr/>
        <w:t>股份变动的原因</w:t>
      </w:r>
    </w:p>
    <w:p>
      <w:pPr>
        <w:pStyle w:val="BodyText"/>
        <w:spacing w:line="240" w:lineRule="auto" w:before="117"/>
        <w:ind w:left="394" w:right="0"/>
        <w:jc w:val="left"/>
      </w:pPr>
      <w:r>
        <w:rPr/>
        <w:t>√ 适用 □ 不适用</w:t>
      </w:r>
    </w:p>
    <w:p>
      <w:pPr>
        <w:spacing w:line="240" w:lineRule="auto" w:before="12"/>
        <w:rPr>
          <w:rFonts w:ascii="宋体" w:hAnsi="宋体" w:cs="宋体" w:eastAsia="宋体" w:hint="default"/>
          <w:sz w:val="14"/>
          <w:szCs w:val="14"/>
        </w:rPr>
      </w:pPr>
    </w:p>
    <w:p>
      <w:pPr>
        <w:pStyle w:val="BodyText"/>
        <w:spacing w:line="316" w:lineRule="auto"/>
        <w:ind w:left="394" w:right="409" w:firstLine="360"/>
        <w:jc w:val="both"/>
      </w:pPr>
      <w:r>
        <w:rPr>
          <w:rFonts w:ascii="宋体" w:hAnsi="宋体" w:cs="宋体" w:eastAsia="宋体" w:hint="default"/>
        </w:rPr>
        <w:t>1</w:t>
      </w:r>
      <w:r>
        <w:rPr/>
        <w:t>、</w:t>
      </w:r>
      <w:r>
        <w:rPr>
          <w:rFonts w:ascii="宋体" w:hAnsi="宋体" w:cs="宋体" w:eastAsia="宋体" w:hint="default"/>
        </w:rPr>
        <w:t>2014</w:t>
      </w:r>
      <w:r>
        <w:rPr/>
        <w:t>年年初，中国证券登记结算有限公司深圳分公司根据公司董事、监事和高级管理人员</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日所持公司 股份重新计算本年度可转让股份法定额度，其余部分作为高管锁定股份继续锁定；</w:t>
      </w:r>
    </w:p>
    <w:p>
      <w:pPr>
        <w:pStyle w:val="BodyText"/>
        <w:spacing w:line="316" w:lineRule="auto" w:before="139"/>
        <w:ind w:left="394" w:right="409" w:firstLine="360"/>
        <w:jc w:val="both"/>
      </w:pPr>
      <w:r>
        <w:rPr>
          <w:rFonts w:ascii="宋体" w:hAnsi="宋体" w:cs="宋体" w:eastAsia="宋体" w:hint="default"/>
        </w:rPr>
        <w:t>2</w:t>
      </w:r>
      <w:r>
        <w:rPr/>
        <w:t>、公司实施股权激励计划，经调整后行权价格</w:t>
      </w:r>
      <w:r>
        <w:rPr>
          <w:rFonts w:ascii="宋体" w:hAnsi="宋体" w:cs="宋体" w:eastAsia="宋体" w:hint="default"/>
        </w:rPr>
        <w:t>16.25</w:t>
      </w:r>
      <w:r>
        <w:rPr/>
        <w:t>元</w:t>
      </w:r>
      <w:r>
        <w:rPr>
          <w:rFonts w:ascii="宋体" w:hAnsi="宋体" w:cs="宋体" w:eastAsia="宋体" w:hint="default"/>
        </w:rPr>
        <w:t>/</w:t>
      </w:r>
      <w:r>
        <w:rPr/>
        <w:t>股。报告期内，公司副总经理李建国申请第一期行权，期权总 数</w:t>
      </w:r>
      <w:r>
        <w:rPr>
          <w:rFonts w:ascii="宋体" w:hAnsi="宋体" w:cs="宋体" w:eastAsia="宋体" w:hint="default"/>
        </w:rPr>
        <w:t>31,200</w:t>
      </w:r>
      <w:r>
        <w:rPr/>
        <w:t>股，经北京兴华会计师事务所</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3</w:t>
      </w:r>
      <w:r>
        <w:rPr/>
        <w:t>日出具的</w:t>
      </w:r>
      <w:r>
        <w:rPr>
          <w:rFonts w:ascii="宋体" w:hAnsi="宋体" w:cs="宋体" w:eastAsia="宋体" w:hint="default"/>
        </w:rPr>
        <w:t>[2014]</w:t>
      </w:r>
      <w:r>
        <w:rPr/>
        <w:t>京会兴验字第</w:t>
      </w:r>
      <w:r>
        <w:rPr>
          <w:rFonts w:ascii="宋体" w:hAnsi="宋体" w:cs="宋体" w:eastAsia="宋体" w:hint="default"/>
        </w:rPr>
        <w:t>03010001</w:t>
      </w:r>
      <w:r>
        <w:rPr/>
        <w:t>号验资报告验证，“截至</w:t>
      </w:r>
      <w:r>
        <w:rPr>
          <w:rFonts w:ascii="宋体" w:hAnsi="宋体" w:cs="宋体" w:eastAsia="宋体" w:hint="default"/>
        </w:rPr>
        <w:t>2014</w:t>
      </w:r>
      <w:r>
        <w:rPr/>
        <w:t>年</w:t>
      </w:r>
      <w:r>
        <w:rPr>
          <w:rFonts w:ascii="宋体" w:hAnsi="宋体" w:cs="宋体" w:eastAsia="宋体" w:hint="default"/>
        </w:rPr>
        <w:t>1</w:t>
      </w:r>
      <w:r>
        <w:rPr>
          <w:rFonts w:ascii="宋体" w:hAnsi="宋体" w:cs="宋体" w:eastAsia="宋体" w:hint="default"/>
          <w:spacing w:val="-83"/>
        </w:rPr>
        <w:t> </w:t>
      </w:r>
      <w:r>
        <w:rPr/>
        <w:t>月</w:t>
      </w:r>
      <w:r>
        <w:rPr>
          <w:rFonts w:ascii="宋体" w:hAnsi="宋体" w:cs="宋体" w:eastAsia="宋体" w:hint="default"/>
        </w:rPr>
        <w:t>3</w:t>
      </w:r>
      <w:r>
        <w:rPr/>
        <w:t>日止，贵公司已收到股权激励第一期行权的</w:t>
      </w:r>
      <w:r>
        <w:rPr>
          <w:rFonts w:ascii="宋体" w:hAnsi="宋体" w:cs="宋体" w:eastAsia="宋体" w:hint="default"/>
        </w:rPr>
        <w:t>1</w:t>
      </w:r>
      <w:r>
        <w:rPr/>
        <w:t>名激励对象缴纳出资款为人民币</w:t>
      </w:r>
      <w:r>
        <w:rPr>
          <w:rFonts w:ascii="宋体" w:hAnsi="宋体" w:cs="宋体" w:eastAsia="宋体" w:hint="default"/>
        </w:rPr>
        <w:t>649,440.00</w:t>
      </w:r>
      <w:r>
        <w:rPr>
          <w:rFonts w:ascii="宋体" w:hAnsi="宋体" w:cs="宋体" w:eastAsia="宋体" w:hint="default"/>
          <w:spacing w:val="6"/>
        </w:rPr>
        <w:t> </w:t>
      </w:r>
      <w:r>
        <w:rPr/>
        <w:t>元，其中含公司代扣代缴的个 人所得税</w:t>
      </w:r>
      <w:r>
        <w:rPr>
          <w:rFonts w:ascii="宋体" w:hAnsi="宋体" w:cs="宋体" w:eastAsia="宋体" w:hint="default"/>
        </w:rPr>
        <w:t>142,440.00</w:t>
      </w:r>
      <w:r>
        <w:rPr>
          <w:rFonts w:ascii="宋体" w:hAnsi="宋体" w:cs="宋体" w:eastAsia="宋体" w:hint="default"/>
          <w:spacing w:val="21"/>
        </w:rPr>
        <w:t> </w:t>
      </w:r>
      <w:r>
        <w:rPr>
          <w:spacing w:val="-2"/>
        </w:rPr>
        <w:t>元，扣除个人所得税后实际缴纳出资款为</w:t>
      </w:r>
      <w:r>
        <w:rPr>
          <w:rFonts w:ascii="宋体" w:hAnsi="宋体" w:cs="宋体" w:eastAsia="宋体" w:hint="default"/>
          <w:spacing w:val="-2"/>
        </w:rPr>
        <w:t>507,000.00</w:t>
      </w:r>
      <w:r>
        <w:rPr>
          <w:spacing w:val="-2"/>
        </w:rPr>
        <w:t>元（认购股数</w:t>
      </w:r>
      <w:r>
        <w:rPr>
          <w:rFonts w:ascii="宋体" w:hAnsi="宋体" w:cs="宋体" w:eastAsia="宋体" w:hint="default"/>
          <w:spacing w:val="-2"/>
        </w:rPr>
        <w:t>31,200</w:t>
      </w:r>
      <w:r>
        <w:rPr>
          <w:spacing w:val="-2"/>
        </w:rPr>
        <w:t>股，每股</w:t>
      </w:r>
      <w:r>
        <w:rPr>
          <w:rFonts w:ascii="宋体" w:hAnsi="宋体" w:cs="宋体" w:eastAsia="宋体" w:hint="default"/>
          <w:spacing w:val="-2"/>
        </w:rPr>
        <w:t>16.25</w:t>
      </w:r>
      <w:r>
        <w:rPr>
          <w:spacing w:val="-2"/>
        </w:rPr>
        <w:t>元），其中新</w:t>
      </w:r>
      <w:r>
        <w:rPr>
          <w:spacing w:val="-87"/>
        </w:rPr>
        <w:t> </w:t>
      </w:r>
      <w:r>
        <w:rPr>
          <w:spacing w:val="-87"/>
        </w:rPr>
      </w:r>
      <w:r>
        <w:rPr>
          <w:spacing w:val="-2"/>
        </w:rPr>
        <w:t>增注册资本（股本）为人民币</w:t>
      </w:r>
      <w:r>
        <w:rPr>
          <w:rFonts w:ascii="宋体" w:hAnsi="宋体" w:cs="宋体" w:eastAsia="宋体" w:hint="default"/>
          <w:spacing w:val="-2"/>
        </w:rPr>
        <w:t>31,200</w:t>
      </w:r>
      <w:r>
        <w:rPr>
          <w:spacing w:val="-2"/>
        </w:rPr>
        <w:t>元，增加资本公积为人民币</w:t>
      </w:r>
      <w:r>
        <w:rPr>
          <w:rFonts w:ascii="宋体" w:hAnsi="宋体" w:cs="宋体" w:eastAsia="宋体" w:hint="default"/>
          <w:spacing w:val="-2"/>
        </w:rPr>
        <w:t>475,800.00</w:t>
      </w:r>
      <w:r>
        <w:rPr>
          <w:spacing w:val="-2"/>
        </w:rPr>
        <w:t>元。”截至本报告期末，本次激励对象李建国已</w:t>
      </w:r>
      <w:r>
        <w:rPr>
          <w:spacing w:val="-50"/>
        </w:rPr>
        <w:t> </w:t>
      </w:r>
      <w:r>
        <w:rPr>
          <w:spacing w:val="-50"/>
        </w:rPr>
      </w:r>
      <w:r>
        <w:rPr/>
        <w:t>在中国证券登记结算有限责任公司深圳分公司办理完毕登记托管相关事宜。</w:t>
      </w:r>
    </w:p>
    <w:p>
      <w:pPr>
        <w:pStyle w:val="BodyText"/>
        <w:spacing w:line="316" w:lineRule="auto" w:before="139"/>
        <w:ind w:left="394" w:right="410" w:firstLine="360"/>
        <w:jc w:val="both"/>
      </w:pPr>
      <w:r>
        <w:rPr/>
        <w:t>报告期内，共有</w:t>
      </w:r>
      <w:r>
        <w:rPr>
          <w:rFonts w:ascii="宋体" w:hAnsi="宋体" w:cs="宋体" w:eastAsia="宋体" w:hint="default"/>
        </w:rPr>
        <w:t>339</w:t>
      </w:r>
      <w:r>
        <w:rPr/>
        <w:t>名激励对象申请第二期行权，期权总数</w:t>
      </w:r>
      <w:r>
        <w:rPr>
          <w:rFonts w:ascii="宋体" w:hAnsi="宋体" w:cs="宋体" w:eastAsia="宋体" w:hint="default"/>
        </w:rPr>
        <w:t>4,264,260</w:t>
      </w:r>
      <w:r>
        <w:rPr/>
        <w:t>股，经北京兴华会计师事务所</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24</w:t>
      </w:r>
      <w:r>
        <w:rPr/>
        <w:t>日出具 </w:t>
      </w:r>
      <w:r>
        <w:rPr>
          <w:spacing w:val="-2"/>
        </w:rPr>
        <w:t>的</w:t>
      </w:r>
      <w:r>
        <w:rPr>
          <w:rFonts w:ascii="宋体" w:hAnsi="宋体" w:cs="宋体" w:eastAsia="宋体" w:hint="default"/>
          <w:spacing w:val="-2"/>
        </w:rPr>
        <w:t>[2014]</w:t>
      </w:r>
      <w:r>
        <w:rPr>
          <w:spacing w:val="-2"/>
        </w:rPr>
        <w:t>京会兴验字第</w:t>
      </w:r>
      <w:r>
        <w:rPr>
          <w:rFonts w:ascii="宋体" w:hAnsi="宋体" w:cs="宋体" w:eastAsia="宋体" w:hint="default"/>
          <w:spacing w:val="-2"/>
        </w:rPr>
        <w:t>03010002</w:t>
      </w:r>
      <w:r>
        <w:rPr>
          <w:spacing w:val="-2"/>
        </w:rPr>
        <w:t>号验资报告验证，“截至</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24</w:t>
      </w:r>
      <w:r>
        <w:rPr>
          <w:spacing w:val="-2"/>
        </w:rPr>
        <w:t>日止，贵公司已收到股权激励第二期行权的</w:t>
      </w:r>
      <w:r>
        <w:rPr>
          <w:rFonts w:ascii="宋体" w:hAnsi="宋体" w:cs="宋体" w:eastAsia="宋体" w:hint="default"/>
          <w:spacing w:val="-2"/>
        </w:rPr>
        <w:t>339</w:t>
      </w:r>
      <w:r>
        <w:rPr>
          <w:spacing w:val="-2"/>
        </w:rPr>
        <w:t>名激励</w:t>
      </w:r>
      <w:r>
        <w:rPr>
          <w:spacing w:val="-40"/>
        </w:rPr>
        <w:t> </w:t>
      </w:r>
      <w:r>
        <w:rPr/>
        <w:t>对象缴纳出资款为人民币</w:t>
      </w:r>
      <w:r>
        <w:rPr>
          <w:spacing w:val="-40"/>
        </w:rPr>
        <w:t> </w:t>
      </w:r>
      <w:r>
        <w:rPr>
          <w:rFonts w:ascii="宋体" w:hAnsi="宋体" w:cs="宋体" w:eastAsia="宋体" w:hint="default"/>
        </w:rPr>
        <w:t>91,183,769.04</w:t>
      </w:r>
      <w:r>
        <w:rPr>
          <w:rFonts w:ascii="宋体" w:hAnsi="宋体" w:cs="宋体" w:eastAsia="宋体" w:hint="default"/>
          <w:spacing w:val="-40"/>
        </w:rPr>
        <w:t> </w:t>
      </w:r>
      <w:r>
        <w:rPr/>
        <w:t>元，其中含公司代扣代缴的个人所得税</w:t>
      </w:r>
      <w:r>
        <w:rPr>
          <w:rFonts w:ascii="宋体" w:hAnsi="宋体" w:cs="宋体" w:eastAsia="宋体" w:hint="default"/>
        </w:rPr>
        <w:t>21,889,544.04</w:t>
      </w:r>
      <w:r>
        <w:rPr/>
        <w:t>元，扣除个人所得税后实际 </w:t>
      </w:r>
      <w:r>
        <w:rPr>
          <w:spacing w:val="-6"/>
        </w:rPr>
        <w:t>缴纳出资款为</w:t>
      </w:r>
      <w:r>
        <w:rPr>
          <w:rFonts w:ascii="宋体" w:hAnsi="宋体" w:cs="宋体" w:eastAsia="宋体" w:hint="default"/>
          <w:spacing w:val="-6"/>
        </w:rPr>
        <w:t>69,294,225.00</w:t>
      </w:r>
      <w:r>
        <w:rPr>
          <w:spacing w:val="-6"/>
        </w:rPr>
        <w:t>元（认购股数</w:t>
      </w:r>
      <w:r>
        <w:rPr>
          <w:rFonts w:ascii="宋体" w:hAnsi="宋体" w:cs="宋体" w:eastAsia="宋体" w:hint="default"/>
          <w:spacing w:val="-6"/>
        </w:rPr>
        <w:t>4,264,260.00</w:t>
      </w:r>
      <w:r>
        <w:rPr>
          <w:spacing w:val="-6"/>
        </w:rPr>
        <w:t>股，每股</w:t>
      </w:r>
      <w:r>
        <w:rPr>
          <w:rFonts w:ascii="宋体" w:hAnsi="宋体" w:cs="宋体" w:eastAsia="宋体" w:hint="default"/>
          <w:spacing w:val="-6"/>
        </w:rPr>
        <w:t>16.25</w:t>
      </w:r>
      <w:r>
        <w:rPr>
          <w:spacing w:val="-6"/>
        </w:rPr>
        <w:t>元），其中新增注册资本（股本）为人民币</w:t>
      </w:r>
      <w:r>
        <w:rPr>
          <w:rFonts w:ascii="宋体" w:hAnsi="宋体" w:cs="宋体" w:eastAsia="宋体" w:hint="default"/>
          <w:spacing w:val="-6"/>
        </w:rPr>
        <w:t>4,264,260.00</w:t>
      </w:r>
      <w:r>
        <w:rPr>
          <w:rFonts w:ascii="宋体" w:hAnsi="宋体" w:cs="宋体" w:eastAsia="宋体" w:hint="default"/>
          <w:spacing w:val="-75"/>
        </w:rPr>
        <w:t> </w:t>
      </w:r>
      <w:r>
        <w:rPr>
          <w:spacing w:val="-2"/>
        </w:rPr>
        <w:t>元，增加资本公积为人民币</w:t>
      </w:r>
      <w:r>
        <w:rPr>
          <w:rFonts w:ascii="宋体" w:hAnsi="宋体" w:cs="宋体" w:eastAsia="宋体" w:hint="default"/>
          <w:spacing w:val="-2"/>
        </w:rPr>
        <w:t>65,029,965.00</w:t>
      </w:r>
      <w:r>
        <w:rPr>
          <w:spacing w:val="-2"/>
        </w:rPr>
        <w:t>元。出资方式为货币资金投入。”</w:t>
      </w:r>
      <w:r>
        <w:rPr>
          <w:spacing w:val="32"/>
        </w:rPr>
        <w:t> </w:t>
      </w:r>
      <w:r>
        <w:rPr>
          <w:spacing w:val="-2"/>
        </w:rPr>
        <w:t>截至本报告期末，本次激励对象李建国已在中</w:t>
      </w:r>
      <w:r>
        <w:rPr>
          <w:spacing w:val="-87"/>
        </w:rPr>
        <w:t> </w:t>
      </w:r>
      <w:r>
        <w:rPr>
          <w:spacing w:val="-87"/>
        </w:rPr>
      </w:r>
      <w:r>
        <w:rPr/>
        <w:t>国证券登记结算有限责任公司深圳分公司办理完毕登记托管相关事宜。</w:t>
      </w:r>
    </w:p>
    <w:p>
      <w:pPr>
        <w:pStyle w:val="BodyText"/>
        <w:spacing w:line="316" w:lineRule="auto" w:before="139"/>
        <w:ind w:left="394" w:right="410" w:firstLine="360"/>
        <w:jc w:val="both"/>
      </w:pPr>
      <w:r>
        <w:rPr>
          <w:rFonts w:ascii="宋体" w:hAnsi="宋体" w:cs="宋体" w:eastAsia="宋体" w:hint="default"/>
        </w:rPr>
        <w:t>3</w:t>
      </w:r>
      <w:r>
        <w:rPr/>
        <w:t>、报告期内，公司发行的可转换公司债券（债券简称：东华转债，债券代码：</w:t>
      </w:r>
      <w:r>
        <w:rPr>
          <w:rFonts w:ascii="宋体" w:hAnsi="宋体" w:cs="宋体" w:eastAsia="宋体" w:hint="default"/>
        </w:rPr>
        <w:t>128002</w:t>
      </w:r>
      <w:r>
        <w:rPr/>
        <w:t>）自</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7</w:t>
      </w:r>
      <w:r>
        <w:rPr/>
        <w:t>日起开始进入股 期，公司股本随转股而发生变化。</w:t>
      </w:r>
    </w:p>
    <w:p>
      <w:pPr>
        <w:pStyle w:val="BodyText"/>
        <w:spacing w:line="240" w:lineRule="auto" w:before="139"/>
        <w:ind w:left="754" w:right="0"/>
        <w:jc w:val="left"/>
      </w:pPr>
      <w:r>
        <w:rPr>
          <w:rFonts w:ascii="宋体" w:hAnsi="宋体" w:cs="宋体" w:eastAsia="宋体" w:hint="default"/>
        </w:rPr>
        <w:t>4</w:t>
      </w:r>
      <w:r>
        <w:rPr/>
        <w:t>、</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26</w:t>
      </w:r>
      <w:r>
        <w:rPr/>
        <w:t>日，张秀珍、张建华、江海标、王佺、吕兴海合计持有的</w:t>
      </w:r>
      <w:r>
        <w:rPr>
          <w:rFonts w:ascii="宋体" w:hAnsi="宋体" w:cs="宋体" w:eastAsia="宋体" w:hint="default"/>
        </w:rPr>
        <w:t>25,430,459</w:t>
      </w:r>
      <w:r>
        <w:rPr/>
        <w:t>股股份解除限售，由于王佺先生目</w:t>
      </w:r>
    </w:p>
    <w:p>
      <w:pPr>
        <w:spacing w:after="0" w:line="240" w:lineRule="auto"/>
        <w:jc w:val="left"/>
        <w:sectPr>
          <w:pgSz w:w="11910" w:h="16840"/>
          <w:pgMar w:header="747" w:footer="979" w:top="1060" w:bottom="1160" w:left="740" w:right="720"/>
        </w:sectPr>
      </w:pPr>
    </w:p>
    <w:p>
      <w:pPr>
        <w:spacing w:line="240" w:lineRule="auto" w:before="12"/>
        <w:rPr>
          <w:rFonts w:ascii="宋体" w:hAnsi="宋体" w:cs="宋体" w:eastAsia="宋体" w:hint="default"/>
          <w:sz w:val="25"/>
          <w:szCs w:val="25"/>
        </w:rPr>
      </w:pPr>
    </w:p>
    <w:p>
      <w:pPr>
        <w:pStyle w:val="BodyText"/>
        <w:spacing w:line="316" w:lineRule="auto" w:before="44"/>
        <w:ind w:right="189"/>
        <w:jc w:val="both"/>
      </w:pPr>
      <w:r>
        <w:rPr/>
        <w:t>前担任本公司副总经理，因此，王佺先生所持股份在解除限售后，</w:t>
      </w:r>
      <w:r>
        <w:rPr>
          <w:rFonts w:ascii="宋体" w:hAnsi="宋体" w:cs="宋体" w:eastAsia="宋体" w:hint="default"/>
        </w:rPr>
        <w:t>75%</w:t>
      </w:r>
      <w:r>
        <w:rPr/>
        <w:t>所持股份作为高管股份锁定。详情参见</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25</w:t>
      </w:r>
      <w:r>
        <w:rPr>
          <w:rFonts w:ascii="宋体" w:hAnsi="宋体" w:cs="宋体" w:eastAsia="宋体" w:hint="default"/>
          <w:spacing w:val="-1"/>
        </w:rPr>
        <w:t> </w:t>
      </w:r>
      <w:r>
        <w:rPr>
          <w:spacing w:val="-2"/>
        </w:rPr>
        <w:t>日刊登在《中国证券报》、《证券日报》、《证券时报》以及巨潮资讯网（</w:t>
      </w:r>
      <w:hyperlink r:id="rId12">
        <w:r>
          <w:rPr>
            <w:rFonts w:ascii="宋体" w:hAnsi="宋体" w:cs="宋体" w:eastAsia="宋体" w:hint="default"/>
            <w:spacing w:val="-2"/>
          </w:rPr>
          <w:t>http://www.cninfo.com.cn</w:t>
        </w:r>
      </w:hyperlink>
      <w:r>
        <w:rPr>
          <w:spacing w:val="-2"/>
        </w:rPr>
        <w:t>）上的《东华软件股</w:t>
      </w:r>
      <w:r>
        <w:rPr>
          <w:spacing w:val="-46"/>
        </w:rPr>
        <w:t> </w:t>
      </w:r>
      <w:r>
        <w:rPr>
          <w:spacing w:val="-46"/>
        </w:rPr>
      </w:r>
      <w:r>
        <w:rPr/>
        <w:t>份公司关于限售股份上市流通的提示性公告》（公告编号：</w:t>
      </w:r>
      <w:r>
        <w:rPr>
          <w:rFonts w:ascii="宋体" w:hAnsi="宋体" w:cs="宋体" w:eastAsia="宋体" w:hint="default"/>
        </w:rPr>
        <w:t>2014-027</w:t>
      </w:r>
      <w:r>
        <w:rPr/>
        <w:t>）。</w:t>
      </w:r>
    </w:p>
    <w:p>
      <w:pPr>
        <w:pStyle w:val="BodyText"/>
        <w:spacing w:line="240" w:lineRule="auto" w:before="139"/>
        <w:ind w:left="514" w:right="87"/>
        <w:jc w:val="left"/>
      </w:pPr>
      <w:r>
        <w:rPr>
          <w:rFonts w:ascii="宋体" w:hAnsi="宋体" w:cs="宋体" w:eastAsia="宋体" w:hint="default"/>
          <w:spacing w:val="10"/>
        </w:rPr>
        <w:t>5</w:t>
      </w:r>
      <w:r>
        <w:rPr>
          <w:spacing w:val="10"/>
        </w:rPr>
        <w:t>、</w:t>
      </w:r>
      <w:r>
        <w:rPr>
          <w:rFonts w:ascii="宋体" w:hAnsi="宋体" w:cs="宋体" w:eastAsia="宋体" w:hint="default"/>
          <w:spacing w:val="10"/>
        </w:rPr>
        <w:t>2014</w:t>
      </w:r>
      <w:r>
        <w:rPr>
          <w:spacing w:val="10"/>
        </w:rPr>
        <w:t>年</w:t>
      </w:r>
      <w:r>
        <w:rPr>
          <w:rFonts w:ascii="宋体" w:hAnsi="宋体" w:cs="宋体" w:eastAsia="宋体" w:hint="default"/>
          <w:spacing w:val="10"/>
        </w:rPr>
        <w:t>6</w:t>
      </w:r>
      <w:r>
        <w:rPr>
          <w:spacing w:val="10"/>
        </w:rPr>
        <w:t>月</w:t>
      </w:r>
      <w:r>
        <w:rPr>
          <w:rFonts w:ascii="宋体" w:hAnsi="宋体" w:cs="宋体" w:eastAsia="宋体" w:hint="default"/>
          <w:spacing w:val="10"/>
        </w:rPr>
        <w:t>3</w:t>
      </w:r>
      <w:r>
        <w:rPr>
          <w:spacing w:val="10"/>
        </w:rPr>
        <w:t>日，公司实施了</w:t>
      </w:r>
      <w:r>
        <w:rPr>
          <w:rFonts w:ascii="宋体" w:hAnsi="宋体" w:cs="宋体" w:eastAsia="宋体" w:hint="default"/>
          <w:spacing w:val="10"/>
        </w:rPr>
        <w:t>2013</w:t>
      </w:r>
      <w:r>
        <w:rPr>
          <w:spacing w:val="10"/>
        </w:rPr>
        <w:t>年年度利润分配方案，以实施股权登记日</w:t>
      </w:r>
      <w:r>
        <w:rPr>
          <w:spacing w:val="-31"/>
        </w:rPr>
        <w:t> </w:t>
      </w:r>
      <w:r>
        <w:rPr>
          <w:rFonts w:ascii="宋体" w:hAnsi="宋体" w:cs="宋体" w:eastAsia="宋体" w:hint="default"/>
          <w:spacing w:val="9"/>
        </w:rPr>
        <w:t>2014</w:t>
      </w:r>
      <w:r>
        <w:rPr>
          <w:spacing w:val="9"/>
        </w:rPr>
        <w:t>年</w:t>
      </w:r>
      <w:r>
        <w:rPr>
          <w:rFonts w:ascii="宋体" w:hAnsi="宋体" w:cs="宋体" w:eastAsia="宋体" w:hint="default"/>
          <w:spacing w:val="9"/>
        </w:rPr>
        <w:t>5</w:t>
      </w:r>
      <w:r>
        <w:rPr>
          <w:spacing w:val="9"/>
        </w:rPr>
        <w:t>月</w:t>
      </w:r>
      <w:r>
        <w:rPr>
          <w:rFonts w:ascii="宋体" w:hAnsi="宋体" w:cs="宋体" w:eastAsia="宋体" w:hint="default"/>
          <w:spacing w:val="9"/>
        </w:rPr>
        <w:t>30</w:t>
      </w:r>
      <w:r>
        <w:rPr>
          <w:spacing w:val="9"/>
        </w:rPr>
        <w:t>日收市时公司总股本</w:t>
      </w:r>
    </w:p>
    <w:p>
      <w:pPr>
        <w:pStyle w:val="BodyText"/>
        <w:spacing w:line="316" w:lineRule="auto" w:before="77"/>
        <w:ind w:right="102"/>
        <w:jc w:val="both"/>
      </w:pPr>
      <w:r>
        <w:rPr>
          <w:rFonts w:ascii="宋体" w:hAnsi="宋体" w:cs="宋体" w:eastAsia="宋体" w:hint="default"/>
          <w:spacing w:val="-2"/>
        </w:rPr>
        <w:t>735,041,371</w:t>
      </w:r>
      <w:r>
        <w:rPr>
          <w:spacing w:val="-2"/>
        </w:rPr>
        <w:t>股，每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2.00</w:t>
      </w:r>
      <w:r>
        <w:rPr>
          <w:spacing w:val="-2"/>
        </w:rPr>
        <w:t>元（含税），送红股</w:t>
      </w:r>
      <w:r>
        <w:rPr>
          <w:rFonts w:ascii="宋体" w:hAnsi="宋体" w:cs="宋体" w:eastAsia="宋体" w:hint="default"/>
          <w:spacing w:val="-2"/>
        </w:rPr>
        <w:t>0</w:t>
      </w:r>
      <w:r>
        <w:rPr>
          <w:spacing w:val="-2"/>
        </w:rPr>
        <w:t>股（含税），以资本公积金向全体股东每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股，实</w:t>
      </w:r>
      <w:r>
        <w:rPr>
          <w:spacing w:val="-45"/>
        </w:rPr>
        <w:t> </w:t>
      </w:r>
      <w:r>
        <w:rPr>
          <w:spacing w:val="-45"/>
        </w:rPr>
      </w:r>
      <w:r>
        <w:rPr/>
        <w:t>施后公司总股本增加至</w:t>
      </w:r>
      <w:r>
        <w:rPr>
          <w:rFonts w:ascii="宋体" w:hAnsi="宋体" w:cs="宋体" w:eastAsia="宋体" w:hint="default"/>
        </w:rPr>
        <w:t>1,470,082,742</w:t>
      </w:r>
      <w:r>
        <w:rPr/>
        <w:t>股。详情参见</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4</w:t>
      </w:r>
      <w:r>
        <w:rPr/>
        <w:t>日刊登在《中国证券报》、《证券日报》、《证券时报》以</w:t>
      </w:r>
      <w:r>
        <w:rPr>
          <w:spacing w:val="-84"/>
        </w:rPr>
        <w:t> </w:t>
      </w:r>
      <w:r>
        <w:rPr>
          <w:spacing w:val="-84"/>
        </w:rPr>
      </w:r>
      <w:r>
        <w:rPr>
          <w:spacing w:val="-3"/>
        </w:rPr>
        <w:t>及巨潮资讯网（</w:t>
      </w:r>
      <w:hyperlink r:id="rId12">
        <w:r>
          <w:rPr>
            <w:rFonts w:ascii="宋体" w:hAnsi="宋体" w:cs="宋体" w:eastAsia="宋体" w:hint="default"/>
            <w:spacing w:val="-3"/>
          </w:rPr>
          <w:t>http://www.cninfo.com.cn</w:t>
        </w:r>
      </w:hyperlink>
      <w:r>
        <w:rPr>
          <w:spacing w:val="-3"/>
        </w:rPr>
        <w:t>）上的《东华软件股份公司</w:t>
      </w:r>
      <w:r>
        <w:rPr>
          <w:rFonts w:ascii="宋体" w:hAnsi="宋体" w:cs="宋体" w:eastAsia="宋体" w:hint="default"/>
          <w:spacing w:val="-3"/>
        </w:rPr>
        <w:t>2013</w:t>
      </w:r>
      <w:r>
        <w:rPr>
          <w:spacing w:val="-3"/>
        </w:rPr>
        <w:t>年度分红派息及资本公积转增股本实施结果公告》</w:t>
      </w:r>
    </w:p>
    <w:p>
      <w:pPr>
        <w:pStyle w:val="BodyText"/>
        <w:spacing w:line="240" w:lineRule="auto" w:before="19"/>
        <w:ind w:right="0"/>
        <w:jc w:val="both"/>
      </w:pPr>
      <w:r>
        <w:rPr/>
        <w:t>（公告编号：</w:t>
      </w:r>
      <w:r>
        <w:rPr>
          <w:rFonts w:ascii="宋体" w:hAnsi="宋体" w:cs="宋体" w:eastAsia="宋体" w:hint="default"/>
        </w:rPr>
        <w:t>2014-058</w:t>
      </w:r>
      <w:r>
        <w:rPr/>
        <w:t>）。</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rFonts w:ascii="宋体" w:hAnsi="宋体" w:cs="宋体" w:eastAsia="宋体" w:hint="default"/>
        </w:rPr>
        <w:t>6</w:t>
      </w:r>
      <w:r>
        <w:rPr/>
        <w:t>、公司因实施发行股份及支付现金购买北京威锐达测控系统有限公司并配套募集资金事项，本次发行股份购买资产涉 </w:t>
      </w:r>
      <w:r>
        <w:rPr>
          <w:spacing w:val="-2"/>
        </w:rPr>
        <w:t>及发行</w:t>
      </w:r>
      <w:r>
        <w:rPr>
          <w:rFonts w:ascii="宋体" w:hAnsi="宋体" w:cs="宋体" w:eastAsia="宋体" w:hint="default"/>
          <w:spacing w:val="-2"/>
        </w:rPr>
        <w:t>A</w:t>
      </w:r>
      <w:r>
        <w:rPr>
          <w:spacing w:val="-2"/>
        </w:rPr>
        <w:t>股股票数量为</w:t>
      </w:r>
      <w:r>
        <w:rPr>
          <w:rFonts w:ascii="宋体" w:hAnsi="宋体" w:cs="宋体" w:eastAsia="宋体" w:hint="default"/>
          <w:spacing w:val="-2"/>
        </w:rPr>
        <w:t>29,212,592</w:t>
      </w:r>
      <w:r>
        <w:rPr>
          <w:spacing w:val="-2"/>
        </w:rPr>
        <w:t>股，配套募集资金发行股票数量</w:t>
      </w:r>
      <w:r>
        <w:rPr>
          <w:rFonts w:ascii="宋体" w:hAnsi="宋体" w:cs="宋体" w:eastAsia="宋体" w:hint="default"/>
          <w:spacing w:val="-2"/>
        </w:rPr>
        <w:t>10,712,789</w:t>
      </w:r>
      <w:r>
        <w:rPr>
          <w:spacing w:val="-2"/>
        </w:rPr>
        <w:t>股，共计</w:t>
      </w:r>
      <w:r>
        <w:rPr>
          <w:rFonts w:ascii="宋体" w:hAnsi="宋体" w:cs="宋体" w:eastAsia="宋体" w:hint="default"/>
          <w:spacing w:val="-2"/>
        </w:rPr>
        <w:t>39,925,381</w:t>
      </w:r>
      <w:r>
        <w:rPr>
          <w:spacing w:val="-2"/>
        </w:rPr>
        <w:t>股，于</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16</w:t>
      </w:r>
      <w:r>
        <w:rPr>
          <w:spacing w:val="-2"/>
        </w:rPr>
        <w:t>日在深</w:t>
      </w:r>
      <w:r>
        <w:rPr>
          <w:spacing w:val="-30"/>
        </w:rPr>
        <w:t> </w:t>
      </w:r>
      <w:r>
        <w:rPr>
          <w:spacing w:val="9"/>
        </w:rPr>
        <w:t>圳证券交易所上市。详情参见</w:t>
      </w:r>
      <w:r>
        <w:rPr>
          <w:rFonts w:ascii="宋体" w:hAnsi="宋体" w:cs="宋体" w:eastAsia="宋体" w:hint="default"/>
          <w:spacing w:val="9"/>
        </w:rPr>
        <w:t>2014</w:t>
      </w:r>
      <w:r>
        <w:rPr>
          <w:spacing w:val="9"/>
        </w:rPr>
        <w:t>年</w:t>
      </w:r>
      <w:r>
        <w:rPr>
          <w:rFonts w:ascii="宋体" w:hAnsi="宋体" w:cs="宋体" w:eastAsia="宋体" w:hint="default"/>
          <w:spacing w:val="9"/>
        </w:rPr>
        <w:t>7</w:t>
      </w:r>
      <w:r>
        <w:rPr>
          <w:spacing w:val="9"/>
        </w:rPr>
        <w:t>月</w:t>
      </w:r>
      <w:r>
        <w:rPr>
          <w:rFonts w:ascii="宋体" w:hAnsi="宋体" w:cs="宋体" w:eastAsia="宋体" w:hint="default"/>
          <w:spacing w:val="9"/>
        </w:rPr>
        <w:t>15</w:t>
      </w:r>
      <w:r>
        <w:rPr>
          <w:spacing w:val="9"/>
        </w:rPr>
        <w:t>日刊登在《中国证券报》、《证券日报》、《证券时报》以及巨潮资讯网</w:t>
      </w:r>
    </w:p>
    <w:p>
      <w:pPr>
        <w:pStyle w:val="BodyText"/>
        <w:spacing w:line="439" w:lineRule="auto" w:before="19"/>
        <w:ind w:left="514" w:right="272" w:hanging="360"/>
        <w:jc w:val="left"/>
      </w:pPr>
      <w:r>
        <w:rPr/>
        <w:t>（</w:t>
      </w:r>
      <w:hyperlink r:id="rId12">
        <w:r>
          <w:rPr>
            <w:rFonts w:ascii="宋体" w:hAnsi="宋体" w:cs="宋体" w:eastAsia="宋体" w:hint="default"/>
          </w:rPr>
          <w:t>http://www.cninfo.com.cn</w:t>
        </w:r>
      </w:hyperlink>
      <w:r>
        <w:rPr/>
        <w:t>）上的《</w:t>
      </w:r>
      <w:hyperlink r:id="rId17">
        <w:r>
          <w:rPr/>
          <w:t>发行股份及支付现金购买资产并募集配套资金实施情况暨新增股份上市报告书</w:t>
        </w:r>
      </w:hyperlink>
      <w:r>
        <w:rPr/>
        <w:t>》。</w:t>
      </w:r>
      <w:r>
        <w:rPr/>
        <w:t> 股份变动的批准情况</w:t>
      </w:r>
    </w:p>
    <w:p>
      <w:pPr>
        <w:pStyle w:val="BodyText"/>
        <w:spacing w:line="240" w:lineRule="auto" w:before="47"/>
        <w:ind w:left="514" w:right="87"/>
        <w:jc w:val="left"/>
      </w:pPr>
      <w:r>
        <w:rPr/>
        <w:t>√ 适用 □ 不适用</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28</w:t>
      </w:r>
      <w:r>
        <w:rPr/>
        <w:t>日，公司第四届董事会第三十一次会议审议通过了《关于股票期权激励计划第一个行权期可行权的议 </w:t>
      </w:r>
      <w:r>
        <w:rPr>
          <w:spacing w:val="-2"/>
        </w:rPr>
        <w:t>案》，根据《东华软件股份公司股票期权激励计划（修订稿）》的有关规定，第一个行权期已满足行权条件，激励对象可在</w:t>
      </w:r>
      <w:r>
        <w:rPr>
          <w:spacing w:val="-67"/>
        </w:rPr>
        <w:t> </w:t>
      </w:r>
      <w:r>
        <w:rPr>
          <w:spacing w:val="-67"/>
        </w:rPr>
      </w:r>
      <w:r>
        <w:rPr>
          <w:spacing w:val="-3"/>
        </w:rPr>
        <w:t>第一个行权期内（自授权日起</w:t>
      </w:r>
      <w:r>
        <w:rPr>
          <w:rFonts w:ascii="宋体" w:hAnsi="宋体" w:cs="宋体" w:eastAsia="宋体" w:hint="default"/>
          <w:spacing w:val="-3"/>
        </w:rPr>
        <w:t>12</w:t>
      </w:r>
      <w:r>
        <w:rPr>
          <w:spacing w:val="-3"/>
        </w:rPr>
        <w:t>月后的首个交易日起至授权日起</w:t>
      </w:r>
      <w:r>
        <w:rPr>
          <w:rFonts w:ascii="宋体" w:hAnsi="宋体" w:cs="宋体" w:eastAsia="宋体" w:hint="default"/>
          <w:spacing w:val="-3"/>
        </w:rPr>
        <w:t>24</w:t>
      </w:r>
      <w:r>
        <w:rPr>
          <w:spacing w:val="-3"/>
        </w:rPr>
        <w:t>个月内的最后一个交易日当日止，即</w:t>
      </w:r>
      <w:r>
        <w:rPr>
          <w:rFonts w:ascii="宋体" w:hAnsi="宋体" w:cs="宋体" w:eastAsia="宋体" w:hint="default"/>
          <w:spacing w:val="-3"/>
        </w:rPr>
        <w:t>2013</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18</w:t>
      </w:r>
      <w:r>
        <w:rPr>
          <w:spacing w:val="-3"/>
        </w:rPr>
        <w:t>日至</w:t>
      </w:r>
      <w:r>
        <w:rPr>
          <w:rFonts w:ascii="宋体" w:hAnsi="宋体" w:cs="宋体" w:eastAsia="宋体" w:hint="default"/>
          <w:spacing w:val="-3"/>
        </w:rPr>
        <w:t>2014</w:t>
      </w:r>
      <w:r>
        <w:rPr>
          <w:rFonts w:ascii="宋体" w:hAnsi="宋体" w:cs="宋体" w:eastAsia="宋体" w:hint="default"/>
          <w:spacing w:val="-78"/>
        </w:rPr>
        <w:t> </w:t>
      </w:r>
      <w:r>
        <w:rPr/>
        <w:t>年</w:t>
      </w:r>
      <w:r>
        <w:rPr>
          <w:rFonts w:ascii="宋体" w:hAnsi="宋体" w:cs="宋体" w:eastAsia="宋体" w:hint="default"/>
        </w:rPr>
        <w:t>1</w:t>
      </w:r>
      <w:r>
        <w:rPr/>
        <w:t>月</w:t>
      </w:r>
      <w:r>
        <w:rPr>
          <w:rFonts w:ascii="宋体" w:hAnsi="宋体" w:cs="宋体" w:eastAsia="宋体" w:hint="default"/>
        </w:rPr>
        <w:t>17</w:t>
      </w:r>
      <w:r>
        <w:rPr/>
        <w:t>日止）可行权总数量为</w:t>
      </w:r>
      <w:r>
        <w:rPr>
          <w:rFonts w:ascii="宋体" w:hAnsi="宋体" w:cs="宋体" w:eastAsia="宋体" w:hint="default"/>
        </w:rPr>
        <w:t>436.761</w:t>
      </w:r>
      <w:r>
        <w:rPr/>
        <w:t>万份，并不在不得行权期行权。</w:t>
      </w:r>
    </w:p>
    <w:p>
      <w:pPr>
        <w:pStyle w:val="BodyText"/>
        <w:spacing w:line="319" w:lineRule="auto" w:before="139"/>
        <w:ind w:right="87" w:firstLine="360"/>
        <w:jc w:val="left"/>
      </w:pPr>
      <w:r>
        <w:rPr>
          <w:rFonts w:ascii="宋体" w:hAnsi="宋体" w:cs="宋体" w:eastAsia="宋体" w:hint="default"/>
          <w:spacing w:val="-7"/>
        </w:rPr>
        <w:t>2</w:t>
      </w:r>
      <w:r>
        <w:rPr>
          <w:spacing w:val="-7"/>
        </w:rPr>
        <w:t>、</w:t>
      </w:r>
      <w:r>
        <w:rPr>
          <w:rFonts w:ascii="宋体" w:hAnsi="宋体" w:cs="宋体" w:eastAsia="宋体" w:hint="default"/>
          <w:spacing w:val="-7"/>
        </w:rPr>
        <w:t>2013</w:t>
      </w:r>
      <w:r>
        <w:rPr>
          <w:spacing w:val="-7"/>
        </w:rPr>
        <w:t>年</w:t>
      </w:r>
      <w:r>
        <w:rPr>
          <w:rFonts w:ascii="宋体" w:hAnsi="宋体" w:cs="宋体" w:eastAsia="宋体" w:hint="default"/>
          <w:spacing w:val="-7"/>
        </w:rPr>
        <w:t>1</w:t>
      </w:r>
      <w:r>
        <w:rPr>
          <w:spacing w:val="-7"/>
        </w:rPr>
        <w:t>月</w:t>
      </w:r>
      <w:r>
        <w:rPr>
          <w:rFonts w:ascii="宋体" w:hAnsi="宋体" w:cs="宋体" w:eastAsia="宋体" w:hint="default"/>
          <w:spacing w:val="-7"/>
        </w:rPr>
        <w:t>20</w:t>
      </w:r>
      <w:r>
        <w:rPr>
          <w:spacing w:val="-7"/>
        </w:rPr>
        <w:t>日，公司第四届董事会第三十八次会议审议通过了《关于股票期权激励计划第一个行权期可行权的议案》，</w:t>
      </w:r>
      <w:r>
        <w:rPr/>
        <w:t> </w:t>
      </w:r>
      <w:r>
        <w:rPr>
          <w:spacing w:val="-2"/>
        </w:rPr>
        <w:t>根据《东华软件股份公司股票期权激励计划（修订稿）》的有关规定，第二个行权期已满足行权条件，激励对象可在第二个</w:t>
      </w:r>
      <w:r>
        <w:rPr>
          <w:spacing w:val="-67"/>
        </w:rPr>
        <w:t> </w:t>
      </w:r>
      <w:r>
        <w:rPr>
          <w:spacing w:val="-67"/>
        </w:rPr>
      </w:r>
      <w:r>
        <w:rPr/>
        <w:t>行权期内（自授权日起</w:t>
      </w:r>
      <w:r>
        <w:rPr>
          <w:rFonts w:ascii="宋体" w:hAnsi="宋体" w:cs="宋体" w:eastAsia="宋体" w:hint="default"/>
        </w:rPr>
        <w:t>24</w:t>
      </w:r>
      <w:r>
        <w:rPr/>
        <w:t>月后的首个交易日起至授权日起</w:t>
      </w:r>
      <w:r>
        <w:rPr>
          <w:rFonts w:ascii="宋体" w:hAnsi="宋体" w:cs="宋体" w:eastAsia="宋体" w:hint="default"/>
        </w:rPr>
        <w:t>36</w:t>
      </w:r>
      <w:r>
        <w:rPr/>
        <w:t>个月内的最后一个交易日当日止，即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18</w:t>
      </w:r>
      <w:r>
        <w:rPr/>
        <w:t>日至</w:t>
      </w:r>
      <w:r>
        <w:rPr>
          <w:rFonts w:ascii="宋体" w:hAnsi="宋体" w:cs="宋体" w:eastAsia="宋体" w:hint="default"/>
        </w:rPr>
        <w:t>2015</w:t>
      </w:r>
      <w:r>
        <w:rPr/>
        <w:t>年</w:t>
      </w:r>
      <w:r>
        <w:rPr>
          <w:rFonts w:ascii="宋体" w:hAnsi="宋体" w:cs="宋体" w:eastAsia="宋体" w:hint="default"/>
        </w:rPr>
        <w:t>1 </w:t>
      </w:r>
      <w:r>
        <w:rPr/>
        <w:t>月</w:t>
      </w:r>
      <w:r>
        <w:rPr>
          <w:rFonts w:ascii="宋体" w:hAnsi="宋体" w:cs="宋体" w:eastAsia="宋体" w:hint="default"/>
        </w:rPr>
        <w:t>17</w:t>
      </w:r>
      <w:r>
        <w:rPr/>
        <w:t>日止）可行权总数量为</w:t>
      </w:r>
      <w:r>
        <w:rPr>
          <w:rFonts w:ascii="宋体" w:hAnsi="宋体" w:cs="宋体" w:eastAsia="宋体" w:hint="default"/>
        </w:rPr>
        <w:t>436.761</w:t>
      </w:r>
      <w:r>
        <w:rPr/>
        <w:t>万份，并不在不得行权期行权。</w:t>
      </w:r>
    </w:p>
    <w:p>
      <w:pPr>
        <w:pStyle w:val="BodyText"/>
        <w:spacing w:line="316" w:lineRule="auto" w:before="137"/>
        <w:ind w:right="190" w:firstLine="360"/>
        <w:jc w:val="both"/>
      </w:pPr>
      <w:r>
        <w:rPr>
          <w:rFonts w:ascii="宋体" w:hAnsi="宋体" w:cs="宋体" w:eastAsia="宋体" w:hint="default"/>
        </w:rPr>
        <w:t>3</w:t>
      </w:r>
      <w:r>
        <w:rPr/>
        <w:t>、</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5</w:t>
      </w:r>
      <w:r>
        <w:rPr/>
        <w:t>日，公司</w:t>
      </w:r>
      <w:r>
        <w:rPr>
          <w:rFonts w:ascii="宋体" w:hAnsi="宋体" w:cs="宋体" w:eastAsia="宋体" w:hint="default"/>
        </w:rPr>
        <w:t>2013</w:t>
      </w:r>
      <w:r>
        <w:rPr/>
        <w:t>年年度股东大会审议通过了《</w:t>
      </w:r>
      <w:r>
        <w:rPr>
          <w:rFonts w:ascii="宋体" w:hAnsi="宋体" w:cs="宋体" w:eastAsia="宋体" w:hint="default"/>
        </w:rPr>
        <w:t>2013</w:t>
      </w:r>
      <w:r>
        <w:rPr/>
        <w:t>年度利润分配预案》，以实施股权登记日</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rFonts w:ascii="宋体" w:hAnsi="宋体" w:cs="宋体" w:eastAsia="宋体" w:hint="default"/>
          <w:spacing w:val="1"/>
        </w:rPr>
        <w:t> </w:t>
      </w:r>
      <w:r>
        <w:rPr>
          <w:spacing w:val="-2"/>
        </w:rPr>
        <w:t>日收市时公司总股本</w:t>
      </w:r>
      <w:r>
        <w:rPr>
          <w:rFonts w:ascii="宋体" w:hAnsi="宋体" w:cs="宋体" w:eastAsia="宋体" w:hint="default"/>
          <w:spacing w:val="-2"/>
        </w:rPr>
        <w:t>735,041,371</w:t>
      </w:r>
      <w:r>
        <w:rPr>
          <w:spacing w:val="-2"/>
        </w:rPr>
        <w:t>股，每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2.00</w:t>
      </w:r>
      <w:r>
        <w:rPr>
          <w:spacing w:val="-2"/>
        </w:rPr>
        <w:t>元（含税），送红股</w:t>
      </w:r>
      <w:r>
        <w:rPr>
          <w:rFonts w:ascii="宋体" w:hAnsi="宋体" w:cs="宋体" w:eastAsia="宋体" w:hint="default"/>
          <w:spacing w:val="-2"/>
        </w:rPr>
        <w:t>0</w:t>
      </w:r>
      <w:r>
        <w:rPr>
          <w:spacing w:val="-2"/>
        </w:rPr>
        <w:t>股（含税），以资本公积金向全体股东</w:t>
      </w:r>
      <w:r>
        <w:rPr>
          <w:spacing w:val="-54"/>
        </w:rPr>
        <w:t> </w:t>
      </w:r>
      <w:r>
        <w:rPr>
          <w:spacing w:val="-54"/>
        </w:rPr>
      </w:r>
      <w:r>
        <w:rPr/>
        <w:t>每</w:t>
      </w:r>
      <w:r>
        <w:rPr>
          <w:rFonts w:ascii="宋体" w:hAnsi="宋体" w:cs="宋体" w:eastAsia="宋体" w:hint="default"/>
        </w:rPr>
        <w:t>10</w:t>
      </w:r>
      <w:r>
        <w:rPr/>
        <w:t>股转增</w:t>
      </w:r>
      <w:r>
        <w:rPr>
          <w:rFonts w:ascii="宋体" w:hAnsi="宋体" w:cs="宋体" w:eastAsia="宋体" w:hint="default"/>
        </w:rPr>
        <w:t>10</w:t>
      </w:r>
      <w:r>
        <w:rPr/>
        <w:t>股，实施后公司总股本增加至</w:t>
      </w:r>
      <w:r>
        <w:rPr>
          <w:rFonts w:ascii="宋体" w:hAnsi="宋体" w:cs="宋体" w:eastAsia="宋体" w:hint="default"/>
        </w:rPr>
        <w:t>1,470,082,742</w:t>
      </w:r>
      <w:r>
        <w:rPr/>
        <w:t>股。</w:t>
      </w:r>
    </w:p>
    <w:p>
      <w:pPr>
        <w:pStyle w:val="BodyText"/>
        <w:spacing w:line="316" w:lineRule="auto" w:before="139"/>
        <w:ind w:right="102" w:firstLine="360"/>
        <w:jc w:val="both"/>
      </w:pPr>
      <w:r>
        <w:rPr>
          <w:rFonts w:ascii="宋体" w:hAnsi="宋体" w:cs="宋体" w:eastAsia="宋体" w:hint="default"/>
          <w:spacing w:val="-2"/>
        </w:rPr>
        <w:t>4</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日，公司接到中国证券监督管理委员会（以下简称“中国证监会”）证监许可〔</w:t>
      </w:r>
      <w:r>
        <w:rPr>
          <w:rFonts w:ascii="宋体" w:hAnsi="宋体" w:cs="宋体" w:eastAsia="宋体" w:hint="default"/>
          <w:spacing w:val="-2"/>
        </w:rPr>
        <w:t>2014</w:t>
      </w:r>
      <w:r>
        <w:rPr>
          <w:spacing w:val="-2"/>
        </w:rPr>
        <w:t>〕</w:t>
      </w:r>
      <w:r>
        <w:rPr>
          <w:rFonts w:ascii="宋体" w:hAnsi="宋体" w:cs="宋体" w:eastAsia="宋体" w:hint="default"/>
          <w:spacing w:val="-2"/>
        </w:rPr>
        <w:t>343</w:t>
      </w:r>
      <w:r>
        <w:rPr>
          <w:spacing w:val="-2"/>
        </w:rPr>
        <w:t>号《关于核准</w:t>
      </w:r>
      <w:r>
        <w:rPr/>
        <w:t> </w:t>
      </w:r>
      <w:r>
        <w:rPr>
          <w:spacing w:val="-2"/>
        </w:rPr>
        <w:t>东华软件股份公司向黄麟雏等发行股份购买资产并募集配套资金的批复》，同意公司向自然人黄麟雏、侯丹军、侯丹云、程</w:t>
      </w:r>
      <w:r>
        <w:rPr>
          <w:spacing w:val="-65"/>
        </w:rPr>
        <w:t> </w:t>
      </w:r>
      <w:r>
        <w:rPr>
          <w:spacing w:val="-65"/>
        </w:rPr>
      </w:r>
      <w:r>
        <w:rPr>
          <w:spacing w:val="-2"/>
        </w:rPr>
        <w:t>相利、吴勇、李宇、白钢、付琪舒、汪汉文、李姝、闫旭光、储著荣、王静、姜以波、范学义、秦友奎、赫长云、姜永淑发</w:t>
      </w:r>
      <w:r>
        <w:rPr>
          <w:spacing w:val="-65"/>
        </w:rPr>
        <w:t> </w:t>
      </w:r>
      <w:r>
        <w:rPr>
          <w:spacing w:val="-65"/>
        </w:rPr>
      </w:r>
      <w:r>
        <w:rPr>
          <w:spacing w:val="-4"/>
        </w:rPr>
        <w:t>行股份，并核准公司非公开发行股份募集本次发行股份购买资产的配套资金。详情参见</w:t>
      </w:r>
      <w:r>
        <w:rPr>
          <w:rFonts w:ascii="宋体" w:hAnsi="宋体" w:cs="宋体" w:eastAsia="宋体" w:hint="default"/>
          <w:spacing w:val="-4"/>
        </w:rPr>
        <w:t>2014</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w:t>
      </w:r>
      <w:r>
        <w:rPr>
          <w:spacing w:val="-4"/>
        </w:rPr>
        <w:t>日刊登在《中国证券报》、</w:t>
      </w:r>
    </w:p>
    <w:p>
      <w:pPr>
        <w:pStyle w:val="BodyText"/>
        <w:spacing w:line="316" w:lineRule="auto" w:before="19"/>
        <w:ind w:right="192"/>
        <w:jc w:val="both"/>
      </w:pPr>
      <w:r>
        <w:rPr>
          <w:spacing w:val="-2"/>
        </w:rPr>
        <w:t>《证券日报》、《证券时报》以及巨潮资讯网（</w:t>
      </w:r>
      <w:hyperlink r:id="rId12">
        <w:r>
          <w:rPr>
            <w:rFonts w:ascii="宋体" w:hAnsi="宋体" w:cs="宋体" w:eastAsia="宋体" w:hint="default"/>
            <w:spacing w:val="-2"/>
          </w:rPr>
          <w:t>http://www.cninfo.com.cn</w:t>
        </w:r>
      </w:hyperlink>
      <w:r>
        <w:rPr>
          <w:spacing w:val="-2"/>
        </w:rPr>
        <w:t>）上的《关于发行股份及支付现金购买资产并配</w:t>
      </w:r>
      <w:r>
        <w:rPr>
          <w:spacing w:val="-45"/>
        </w:rPr>
        <w:t> </w:t>
      </w:r>
      <w:r>
        <w:rPr>
          <w:spacing w:val="-45"/>
        </w:rPr>
      </w:r>
      <w:r>
        <w:rPr/>
        <w:t>套募集资金事项获证监会正式批复的公告》（公告编号：</w:t>
      </w:r>
      <w:r>
        <w:rPr>
          <w:rFonts w:ascii="宋体" w:hAnsi="宋体" w:cs="宋体" w:eastAsia="宋体" w:hint="default"/>
        </w:rPr>
        <w:t>2014-038</w:t>
      </w:r>
      <w:r>
        <w:rPr/>
        <w:t>）。</w:t>
      </w:r>
    </w:p>
    <w:p>
      <w:pPr>
        <w:pStyle w:val="BodyText"/>
        <w:spacing w:line="240" w:lineRule="auto" w:before="140"/>
        <w:ind w:right="0"/>
        <w:jc w:val="both"/>
      </w:pPr>
      <w:r>
        <w:rPr/>
        <w:t>股份变动的过户情况</w:t>
      </w:r>
    </w:p>
    <w:p>
      <w:pPr>
        <w:pStyle w:val="BodyText"/>
        <w:spacing w:line="240" w:lineRule="auto" w:before="116"/>
        <w:ind w:right="0"/>
        <w:jc w:val="both"/>
      </w:pPr>
      <w:r>
        <w:rPr/>
        <w:t>√ 适用 □ 不适用</w:t>
      </w:r>
    </w:p>
    <w:p>
      <w:pPr>
        <w:spacing w:line="240" w:lineRule="auto" w:before="0"/>
        <w:rPr>
          <w:rFonts w:ascii="宋体" w:hAnsi="宋体" w:cs="宋体" w:eastAsia="宋体" w:hint="default"/>
          <w:sz w:val="15"/>
          <w:szCs w:val="15"/>
        </w:rPr>
      </w:pPr>
    </w:p>
    <w:p>
      <w:pPr>
        <w:pStyle w:val="BodyText"/>
        <w:spacing w:line="316" w:lineRule="auto"/>
        <w:ind w:right="192" w:firstLine="360"/>
        <w:jc w:val="both"/>
      </w:pPr>
      <w:r>
        <w:rPr>
          <w:rFonts w:ascii="宋体" w:hAnsi="宋体" w:cs="宋体" w:eastAsia="宋体" w:hint="default"/>
          <w:spacing w:val="-2"/>
        </w:rPr>
        <w:t>1</w:t>
      </w:r>
      <w:r>
        <w:rPr>
          <w:spacing w:val="-2"/>
        </w:rPr>
        <w:t>、报告期内，公司董事、副总经理李建国单独申请第一期行权，期权数量</w:t>
      </w:r>
      <w:r>
        <w:rPr>
          <w:rFonts w:ascii="宋体" w:hAnsi="宋体" w:cs="宋体" w:eastAsia="宋体" w:hint="default"/>
          <w:spacing w:val="-2"/>
        </w:rPr>
        <w:t>3.12</w:t>
      </w:r>
      <w:r>
        <w:rPr>
          <w:spacing w:val="-2"/>
        </w:rPr>
        <w:t>万股，公司于</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月向中国证券登记</w:t>
      </w:r>
      <w:r>
        <w:rPr/>
        <w:t> 结算有限责任公司深圳分公司办理相关股份登记手续，上市日期为</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17</w:t>
      </w:r>
      <w:r>
        <w:rPr/>
        <w:t>日。</w:t>
      </w:r>
    </w:p>
    <w:p>
      <w:pPr>
        <w:pStyle w:val="BodyText"/>
        <w:spacing w:line="319" w:lineRule="auto" w:before="139"/>
        <w:ind w:right="190" w:firstLine="360"/>
        <w:jc w:val="both"/>
      </w:pPr>
      <w:r>
        <w:rPr>
          <w:rFonts w:ascii="宋体" w:hAnsi="宋体" w:cs="宋体" w:eastAsia="宋体" w:hint="default"/>
          <w:spacing w:val="-2"/>
        </w:rPr>
        <w:t>2</w:t>
      </w:r>
      <w:r>
        <w:rPr>
          <w:spacing w:val="-2"/>
        </w:rPr>
        <w:t>、报告期内，公司股票期权激励计划</w:t>
      </w:r>
      <w:r>
        <w:rPr>
          <w:rFonts w:ascii="宋体" w:hAnsi="宋体" w:cs="宋体" w:eastAsia="宋体" w:hint="default"/>
          <w:spacing w:val="-2"/>
        </w:rPr>
        <w:t>339</w:t>
      </w:r>
      <w:r>
        <w:rPr>
          <w:spacing w:val="-2"/>
        </w:rPr>
        <w:t>名激励对象申请第二期行权，期权数量</w:t>
      </w:r>
      <w:r>
        <w:rPr>
          <w:rFonts w:ascii="宋体" w:hAnsi="宋体" w:cs="宋体" w:eastAsia="宋体" w:hint="default"/>
          <w:spacing w:val="-2"/>
        </w:rPr>
        <w:t>426.426</w:t>
      </w:r>
      <w:r>
        <w:rPr>
          <w:spacing w:val="-2"/>
        </w:rPr>
        <w:t>万股，公司于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月向中国</w:t>
      </w:r>
      <w:r>
        <w:rPr/>
        <w:t> 证券登记结算有限责任公司深圳分公司办理相关股份登记手续，上市日期为</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12</w:t>
      </w:r>
      <w:r>
        <w:rPr/>
        <w:t>日。</w:t>
      </w:r>
    </w:p>
    <w:p>
      <w:pPr>
        <w:pStyle w:val="BodyText"/>
        <w:spacing w:line="316" w:lineRule="auto" w:before="137"/>
        <w:ind w:right="192" w:firstLine="360"/>
        <w:jc w:val="both"/>
      </w:pPr>
      <w:r>
        <w:rPr>
          <w:rFonts w:ascii="宋体" w:hAnsi="宋体" w:cs="宋体" w:eastAsia="宋体" w:hint="default"/>
          <w:spacing w:val="-2"/>
        </w:rPr>
        <w:t>3</w:t>
      </w:r>
      <w:r>
        <w:rPr>
          <w:spacing w:val="-2"/>
        </w:rPr>
        <w:t>、报告期内，张秀珍、张建华、江海标、王佺、吕兴海合计持有的</w:t>
      </w:r>
      <w:r>
        <w:rPr>
          <w:rFonts w:ascii="宋体" w:hAnsi="宋体" w:cs="宋体" w:eastAsia="宋体" w:hint="default"/>
          <w:spacing w:val="-2"/>
        </w:rPr>
        <w:t>25,430,459</w:t>
      </w:r>
      <w:r>
        <w:rPr>
          <w:spacing w:val="-2"/>
        </w:rPr>
        <w:t>股股份解除限售，公司于</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月向中</w:t>
      </w:r>
      <w:r>
        <w:rPr/>
        <w:t> 国证券登记结算有限责任公司深圳分公司办理相关解限手续，本次限售股份上市流通日期为</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12</w:t>
      </w:r>
      <w:r>
        <w:rPr/>
        <w:t>日。</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87" w:firstLine="360"/>
        <w:jc w:val="left"/>
      </w:pPr>
      <w:r>
        <w:rPr>
          <w:rFonts w:ascii="宋体" w:hAnsi="宋体" w:cs="宋体" w:eastAsia="宋体" w:hint="default"/>
          <w:spacing w:val="-2"/>
        </w:rPr>
        <w:t>4</w:t>
      </w:r>
      <w:r>
        <w:rPr>
          <w:spacing w:val="-2"/>
        </w:rPr>
        <w:t>、报告期内，公司向自然人黄麟雏、侯丹军、侯丹云、程相利、吴勇、李宇、白钢、付琪舒、汪汉文、李姝、闫旭光、</w:t>
      </w:r>
      <w:r>
        <w:rPr/>
        <w:t> </w:t>
      </w:r>
      <w:r>
        <w:rPr>
          <w:spacing w:val="-2"/>
        </w:rPr>
        <w:t>储著荣、王静、姜以波、范学义、秦友奎、赫长云、姜永淑发行股份，并非公开发行股份募集本次发行股份购买资产的配套</w:t>
      </w:r>
      <w:r>
        <w:rPr>
          <w:spacing w:val="-72"/>
        </w:rPr>
        <w:t> </w:t>
      </w:r>
      <w:r>
        <w:rPr>
          <w:spacing w:val="-72"/>
        </w:rPr>
      </w:r>
      <w:r>
        <w:rPr>
          <w:spacing w:val="-2"/>
        </w:rPr>
        <w:t>资金，发行股份数量合计</w:t>
      </w:r>
      <w:r>
        <w:rPr>
          <w:rFonts w:ascii="宋体" w:hAnsi="宋体" w:cs="宋体" w:eastAsia="宋体" w:hint="default"/>
          <w:spacing w:val="-2"/>
        </w:rPr>
        <w:t>39,925,381</w:t>
      </w:r>
      <w:r>
        <w:rPr>
          <w:spacing w:val="-2"/>
        </w:rPr>
        <w:t>股。公司于</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日在中国证券登记结算有限责任公司深圳分公司办理完预登记手</w:t>
      </w:r>
      <w:r>
        <w:rPr>
          <w:spacing w:val="-48"/>
        </w:rPr>
        <w:t> </w:t>
      </w:r>
      <w:r>
        <w:rPr/>
        <w:t>续，新增股票于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16</w:t>
      </w:r>
      <w:r>
        <w:rPr/>
        <w:t>日在深圳证券交易所上市。</w:t>
      </w:r>
    </w:p>
    <w:p>
      <w:pPr>
        <w:pStyle w:val="BodyText"/>
        <w:spacing w:line="240" w:lineRule="auto" w:before="140"/>
        <w:ind w:right="87"/>
        <w:jc w:val="left"/>
      </w:pPr>
      <w:r>
        <w:rPr/>
        <w:t>股份变动对最近一年和最近一期基本每股收益和稀释每股收益、归属于公司普通股股东的每股净资产等财务指标的影响</w:t>
      </w:r>
    </w:p>
    <w:p>
      <w:pPr>
        <w:pStyle w:val="BodyText"/>
        <w:spacing w:line="357" w:lineRule="auto" w:before="116"/>
        <w:ind w:right="5852"/>
        <w:jc w:val="left"/>
      </w:pPr>
      <w:r>
        <w:rPr/>
        <w:t>□ 适用 √ 不适用 公司认为必要或证券监管机构要求披露的其他内容</w:t>
      </w:r>
    </w:p>
    <w:p>
      <w:pPr>
        <w:pStyle w:val="BodyText"/>
        <w:spacing w:line="240" w:lineRule="auto" w:before="29"/>
        <w:ind w:right="87"/>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87"/>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7"/>
        <w:jc w:val="left"/>
        <w:rPr>
          <w:b w:val="0"/>
          <w:bCs w:val="0"/>
        </w:rPr>
      </w:pPr>
      <w:r>
        <w:rPr>
          <w:rFonts w:ascii="宋体" w:hAnsi="宋体" w:cs="宋体" w:eastAsia="宋体" w:hint="default"/>
        </w:rPr>
        <w:t>1</w:t>
      </w:r>
      <w:r>
        <w:rPr/>
        <w:t>、报告期末近三年历次证券发行情况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87"/>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1266"/>
        <w:gridCol w:w="1367"/>
        <w:gridCol w:w="1367"/>
        <w:gridCol w:w="1366"/>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7" w:right="21" w:hanging="425"/>
              <w:jc w:val="left"/>
              <w:rPr>
                <w:rFonts w:ascii="宋体" w:hAnsi="宋体" w:cs="宋体" w:eastAsia="宋体" w:hint="default"/>
                <w:sz w:val="18"/>
                <w:szCs w:val="18"/>
              </w:rPr>
            </w:pPr>
            <w:r>
              <w:rPr>
                <w:rFonts w:ascii="宋体" w:hAnsi="宋体" w:cs="宋体" w:eastAsia="宋体" w:hint="default"/>
                <w:spacing w:val="-8"/>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购买资产发行股 票</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13.97</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29,212,592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29,212,592</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配套募集资金发 行股票</w:t>
            </w:r>
          </w:p>
        </w:tc>
        <w:tc>
          <w:tcPr>
            <w:tcW w:w="146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18.14</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10,712,789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10,712,789</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公开发行可转换 公司债券</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2"/>
        <w:ind w:right="87"/>
        <w:jc w:val="left"/>
      </w:pPr>
      <w:r>
        <w:rPr/>
        <w:t>前三年历次证券发行情况的说明</w:t>
      </w:r>
    </w:p>
    <w:p>
      <w:pPr>
        <w:spacing w:line="240" w:lineRule="auto" w:before="12"/>
        <w:rPr>
          <w:rFonts w:ascii="宋体" w:hAnsi="宋体" w:cs="宋体" w:eastAsia="宋体" w:hint="default"/>
          <w:sz w:val="14"/>
          <w:szCs w:val="14"/>
        </w:rPr>
      </w:pPr>
    </w:p>
    <w:p>
      <w:pPr>
        <w:pStyle w:val="BodyText"/>
        <w:spacing w:line="316" w:lineRule="auto"/>
        <w:ind w:right="87" w:firstLine="360"/>
        <w:jc w:val="left"/>
      </w:pPr>
      <w:r>
        <w:rPr>
          <w:spacing w:val="-2"/>
        </w:rPr>
        <w:t>根据中国证券监督管理委员会《关于核准东华软件股份公司向黄麟雏等发行股份购买资产并募集资金的批复》》（证监</w:t>
      </w:r>
      <w:r>
        <w:rPr/>
        <w:t> </w:t>
      </w:r>
      <w:r>
        <w:rPr>
          <w:spacing w:val="-2"/>
        </w:rPr>
        <w:t>许可〔</w:t>
      </w:r>
      <w:r>
        <w:rPr>
          <w:rFonts w:ascii="宋体" w:hAnsi="宋体" w:cs="宋体" w:eastAsia="宋体" w:hint="default"/>
          <w:spacing w:val="-2"/>
        </w:rPr>
        <w:t>2014</w:t>
      </w:r>
      <w:r>
        <w:rPr>
          <w:spacing w:val="-2"/>
        </w:rPr>
        <w:t>〕</w:t>
      </w:r>
      <w:r>
        <w:rPr>
          <w:rFonts w:ascii="宋体" w:hAnsi="宋体" w:cs="宋体" w:eastAsia="宋体" w:hint="default"/>
          <w:spacing w:val="-2"/>
        </w:rPr>
        <w:t>343</w:t>
      </w:r>
      <w:r>
        <w:rPr>
          <w:spacing w:val="-2"/>
        </w:rPr>
        <w:t>号），核准公司向黄麟雏发行</w:t>
      </w:r>
      <w:r>
        <w:rPr>
          <w:rFonts w:ascii="宋体" w:hAnsi="宋体" w:cs="宋体" w:eastAsia="宋体" w:hint="default"/>
          <w:spacing w:val="-2"/>
        </w:rPr>
        <w:t>2,178,968</w:t>
      </w:r>
      <w:r>
        <w:rPr>
          <w:spacing w:val="-2"/>
        </w:rPr>
        <w:t>股股份、向侯丹军发行</w:t>
      </w:r>
      <w:r>
        <w:rPr>
          <w:rFonts w:ascii="宋体" w:hAnsi="宋体" w:cs="宋体" w:eastAsia="宋体" w:hint="default"/>
          <w:spacing w:val="-2"/>
        </w:rPr>
        <w:t>1,815,807</w:t>
      </w:r>
      <w:r>
        <w:rPr>
          <w:spacing w:val="-2"/>
        </w:rPr>
        <w:t>股股份、向侯丹云发行</w:t>
      </w:r>
      <w:r>
        <w:rPr>
          <w:rFonts w:ascii="宋体" w:hAnsi="宋体" w:cs="宋体" w:eastAsia="宋体" w:hint="default"/>
          <w:spacing w:val="-2"/>
        </w:rPr>
        <w:t>1,815,807</w:t>
      </w:r>
      <w:r>
        <w:rPr>
          <w:rFonts w:ascii="宋体" w:hAnsi="宋体" w:cs="宋体" w:eastAsia="宋体" w:hint="default"/>
          <w:spacing w:val="-39"/>
        </w:rPr>
        <w:t> </w:t>
      </w:r>
      <w:r>
        <w:rPr>
          <w:spacing w:val="-2"/>
        </w:rPr>
        <w:t>股股份、向程相利发行</w:t>
      </w:r>
      <w:r>
        <w:rPr>
          <w:rFonts w:ascii="宋体" w:hAnsi="宋体" w:cs="宋体" w:eastAsia="宋体" w:hint="default"/>
          <w:spacing w:val="-2"/>
        </w:rPr>
        <w:t>1,452,645</w:t>
      </w:r>
      <w:r>
        <w:rPr>
          <w:spacing w:val="-2"/>
        </w:rPr>
        <w:t>股股份、向吴勇发行</w:t>
      </w:r>
      <w:r>
        <w:rPr>
          <w:rFonts w:ascii="宋体" w:hAnsi="宋体" w:cs="宋体" w:eastAsia="宋体" w:hint="default"/>
          <w:spacing w:val="-2"/>
        </w:rPr>
        <w:t>720,270</w:t>
      </w:r>
      <w:r>
        <w:rPr>
          <w:spacing w:val="-2"/>
        </w:rPr>
        <w:t>股股份、向李宇发行</w:t>
      </w:r>
      <w:r>
        <w:rPr>
          <w:rFonts w:ascii="宋体" w:hAnsi="宋体" w:cs="宋体" w:eastAsia="宋体" w:hint="default"/>
          <w:spacing w:val="-2"/>
        </w:rPr>
        <w:t>707,922</w:t>
      </w:r>
      <w:r>
        <w:rPr>
          <w:spacing w:val="-2"/>
        </w:rPr>
        <w:t>股股份、向白钢发行</w:t>
      </w:r>
      <w:r>
        <w:rPr>
          <w:rFonts w:ascii="宋体" w:hAnsi="宋体" w:cs="宋体" w:eastAsia="宋体" w:hint="default"/>
          <w:spacing w:val="-2"/>
        </w:rPr>
        <w:t>629,721</w:t>
      </w:r>
      <w:r>
        <w:rPr>
          <w:spacing w:val="-2"/>
        </w:rPr>
        <w:t>股股</w:t>
      </w:r>
      <w:r>
        <w:rPr>
          <w:spacing w:val="-38"/>
        </w:rPr>
        <w:t> </w:t>
      </w:r>
      <w:r>
        <w:rPr>
          <w:spacing w:val="-3"/>
        </w:rPr>
        <w:t>份、向付琪舒发行</w:t>
      </w:r>
      <w:r>
        <w:rPr>
          <w:rFonts w:ascii="宋体" w:hAnsi="宋体" w:cs="宋体" w:eastAsia="宋体" w:hint="default"/>
          <w:spacing w:val="-3"/>
        </w:rPr>
        <w:t>605,269</w:t>
      </w:r>
      <w:r>
        <w:rPr>
          <w:spacing w:val="-3"/>
        </w:rPr>
        <w:t>股股份、向汪汉文发行</w:t>
      </w:r>
      <w:r>
        <w:rPr>
          <w:rFonts w:ascii="宋体" w:hAnsi="宋体" w:cs="宋体" w:eastAsia="宋体" w:hint="default"/>
          <w:spacing w:val="-3"/>
        </w:rPr>
        <w:t>605,269</w:t>
      </w:r>
      <w:r>
        <w:rPr>
          <w:spacing w:val="-3"/>
        </w:rPr>
        <w:t>股股份、向李姝发行</w:t>
      </w:r>
      <w:r>
        <w:rPr>
          <w:rFonts w:ascii="宋体" w:hAnsi="宋体" w:cs="宋体" w:eastAsia="宋体" w:hint="default"/>
          <w:spacing w:val="-3"/>
        </w:rPr>
        <w:t>605,269</w:t>
      </w:r>
      <w:r>
        <w:rPr>
          <w:spacing w:val="-3"/>
        </w:rPr>
        <w:t>股股份、向闫旭光发行</w:t>
      </w:r>
      <w:r>
        <w:rPr>
          <w:rFonts w:ascii="宋体" w:hAnsi="宋体" w:cs="宋体" w:eastAsia="宋体" w:hint="default"/>
          <w:spacing w:val="-3"/>
        </w:rPr>
        <w:t>599,276</w:t>
      </w:r>
      <w:r>
        <w:rPr>
          <w:spacing w:val="-3"/>
        </w:rPr>
        <w:t>股股份、</w:t>
      </w:r>
      <w:r>
        <w:rPr>
          <w:spacing w:val="-59"/>
        </w:rPr>
        <w:t> </w:t>
      </w:r>
      <w:r>
        <w:rPr>
          <w:spacing w:val="-2"/>
        </w:rPr>
        <w:t>向储著荣发行</w:t>
      </w:r>
      <w:r>
        <w:rPr>
          <w:rFonts w:ascii="宋体" w:hAnsi="宋体" w:cs="宋体" w:eastAsia="宋体" w:hint="default"/>
          <w:spacing w:val="-2"/>
        </w:rPr>
        <w:t>599,276</w:t>
      </w:r>
      <w:r>
        <w:rPr>
          <w:spacing w:val="-2"/>
        </w:rPr>
        <w:t>股股份、向王静发行</w:t>
      </w:r>
      <w:r>
        <w:rPr>
          <w:rFonts w:ascii="宋体" w:hAnsi="宋体" w:cs="宋体" w:eastAsia="宋体" w:hint="default"/>
          <w:spacing w:val="-2"/>
        </w:rPr>
        <w:t>599,276</w:t>
      </w:r>
      <w:r>
        <w:rPr>
          <w:spacing w:val="-2"/>
        </w:rPr>
        <w:t>股股份、向姜以波发行</w:t>
      </w:r>
      <w:r>
        <w:rPr>
          <w:rFonts w:ascii="宋体" w:hAnsi="宋体" w:cs="宋体" w:eastAsia="宋体" w:hint="default"/>
          <w:spacing w:val="-2"/>
        </w:rPr>
        <w:t>599,276</w:t>
      </w:r>
      <w:r>
        <w:rPr>
          <w:spacing w:val="-2"/>
        </w:rPr>
        <w:t>股股份、向范学义发行</w:t>
      </w:r>
      <w:r>
        <w:rPr>
          <w:rFonts w:ascii="宋体" w:hAnsi="宋体" w:cs="宋体" w:eastAsia="宋体" w:hint="default"/>
          <w:spacing w:val="-2"/>
        </w:rPr>
        <w:t>242,107</w:t>
      </w:r>
      <w:r>
        <w:rPr>
          <w:spacing w:val="-2"/>
        </w:rPr>
        <w:t>股股份、向</w:t>
      </w:r>
      <w:r>
        <w:rPr>
          <w:spacing w:val="-40"/>
        </w:rPr>
        <w:t> </w:t>
      </w:r>
      <w:r>
        <w:rPr>
          <w:spacing w:val="-40"/>
        </w:rPr>
      </w:r>
      <w:r>
        <w:rPr>
          <w:spacing w:val="-4"/>
        </w:rPr>
        <w:t>秦友奎发行</w:t>
      </w:r>
      <w:r>
        <w:rPr>
          <w:rFonts w:ascii="宋体" w:hAnsi="宋体" w:cs="宋体" w:eastAsia="宋体" w:hint="default"/>
          <w:spacing w:val="-4"/>
        </w:rPr>
        <w:t>242,107</w:t>
      </w:r>
      <w:r>
        <w:rPr>
          <w:spacing w:val="-4"/>
        </w:rPr>
        <w:t>股股份、向赫长云发行</w:t>
      </w:r>
      <w:r>
        <w:rPr>
          <w:rFonts w:ascii="宋体" w:hAnsi="宋体" w:cs="宋体" w:eastAsia="宋体" w:hint="default"/>
          <w:spacing w:val="-4"/>
        </w:rPr>
        <w:t>242,107</w:t>
      </w:r>
      <w:r>
        <w:rPr>
          <w:spacing w:val="-4"/>
        </w:rPr>
        <w:t>股股份、向姜永淑发行</w:t>
      </w:r>
      <w:r>
        <w:rPr>
          <w:rFonts w:ascii="宋体" w:hAnsi="宋体" w:cs="宋体" w:eastAsia="宋体" w:hint="default"/>
          <w:spacing w:val="-4"/>
        </w:rPr>
        <w:t>242,107</w:t>
      </w:r>
      <w:r>
        <w:rPr>
          <w:spacing w:val="-4"/>
        </w:rPr>
        <w:t>股股份。核准公司非公开发行不超过</w:t>
      </w:r>
      <w:r>
        <w:rPr>
          <w:rFonts w:ascii="宋体" w:hAnsi="宋体" w:cs="宋体" w:eastAsia="宋体" w:hint="default"/>
          <w:spacing w:val="-4"/>
        </w:rPr>
        <w:t>7671930</w:t>
      </w:r>
      <w:r>
        <w:rPr>
          <w:rFonts w:ascii="宋体" w:hAnsi="宋体" w:cs="宋体" w:eastAsia="宋体" w:hint="default"/>
          <w:spacing w:val="-78"/>
        </w:rPr>
        <w:t> </w:t>
      </w:r>
      <w:r>
        <w:rPr>
          <w:spacing w:val="-2"/>
        </w:rPr>
        <w:t>股新股募集本次发行股份购买资产的配套资金。因公司实施</w:t>
      </w:r>
      <w:r>
        <w:rPr>
          <w:rFonts w:ascii="宋体" w:hAnsi="宋体" w:cs="宋体" w:eastAsia="宋体" w:hint="default"/>
          <w:spacing w:val="-2"/>
        </w:rPr>
        <w:t>2013</w:t>
      </w:r>
      <w:r>
        <w:rPr>
          <w:spacing w:val="-2"/>
        </w:rPr>
        <w:t>年度利润分配方案，每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股，导致本次发行股份购</w:t>
      </w:r>
      <w:r>
        <w:rPr>
          <w:spacing w:val="-59"/>
        </w:rPr>
        <w:t> </w:t>
      </w:r>
      <w:r>
        <w:rPr>
          <w:spacing w:val="-59"/>
        </w:rPr>
      </w:r>
      <w:r>
        <w:rPr>
          <w:spacing w:val="-2"/>
        </w:rPr>
        <w:t>买资产及配套募集资金股份数量作出相应调整。</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日，公司在中国证券登记结算有限责任公司深圳分公司办理了新</w:t>
      </w:r>
      <w:r>
        <w:rPr>
          <w:spacing w:val="-57"/>
        </w:rPr>
        <w:t> </w:t>
      </w:r>
      <w:r>
        <w:rPr>
          <w:spacing w:val="-57"/>
        </w:rPr>
      </w:r>
      <w:r>
        <w:rPr/>
        <w:t>增股份登记手续，上市日期</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16</w:t>
      </w:r>
      <w:r>
        <w:rPr/>
        <w:t>日。</w:t>
      </w:r>
    </w:p>
    <w:p>
      <w:pPr>
        <w:pStyle w:val="BodyText"/>
        <w:spacing w:line="319" w:lineRule="auto" w:before="139"/>
        <w:ind w:right="189" w:firstLine="360"/>
        <w:jc w:val="both"/>
      </w:pPr>
      <w:r>
        <w:rPr>
          <w:spacing w:val="-2"/>
        </w:rPr>
        <w:t>经中国证券监督管理委员会证监许可</w:t>
      </w:r>
      <w:r>
        <w:rPr>
          <w:rFonts w:ascii="宋体" w:hAnsi="宋体" w:cs="宋体" w:eastAsia="宋体" w:hint="default"/>
          <w:spacing w:val="-2"/>
        </w:rPr>
        <w:t>[2013]845</w:t>
      </w:r>
      <w:r>
        <w:rPr>
          <w:spacing w:val="-2"/>
        </w:rPr>
        <w:t>号文核准，东华软件股份公司（以下简称“公司”）于</w:t>
      </w:r>
      <w:r>
        <w:rPr>
          <w:rFonts w:ascii="宋体" w:hAnsi="宋体" w:cs="宋体" w:eastAsia="宋体" w:hint="default"/>
          <w:spacing w:val="-2"/>
        </w:rPr>
        <w:t>2013</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26</w:t>
      </w:r>
      <w:r>
        <w:rPr>
          <w:spacing w:val="-2"/>
        </w:rPr>
        <w:t>日公</w:t>
      </w:r>
      <w:r>
        <w:rPr/>
        <w:t> 开发行了</w:t>
      </w:r>
      <w:r>
        <w:rPr>
          <w:rFonts w:ascii="宋体" w:hAnsi="宋体" w:cs="宋体" w:eastAsia="宋体" w:hint="default"/>
        </w:rPr>
        <w:t>1,000</w:t>
      </w:r>
      <w:r>
        <w:rPr/>
        <w:t>万张可转换公司债券（以下简称“可转债”），每张面值</w:t>
      </w:r>
      <w:r>
        <w:rPr>
          <w:rFonts w:ascii="宋体" w:hAnsi="宋体" w:cs="宋体" w:eastAsia="宋体" w:hint="default"/>
        </w:rPr>
        <w:t>100</w:t>
      </w:r>
      <w:r>
        <w:rPr/>
        <w:t>元，发行总额</w:t>
      </w:r>
      <w:r>
        <w:rPr>
          <w:rFonts w:ascii="宋体" w:hAnsi="宋体" w:cs="宋体" w:eastAsia="宋体" w:hint="default"/>
        </w:rPr>
        <w:t>100,000</w:t>
      </w:r>
      <w:r>
        <w:rPr/>
        <w:t>万元；经深圳证券交易所</w:t>
      </w:r>
      <w:r>
        <w:rPr>
          <w:spacing w:val="-83"/>
        </w:rPr>
        <w:t> </w:t>
      </w:r>
      <w:r>
        <w:rPr>
          <w:spacing w:val="-83"/>
        </w:rPr>
      </w:r>
      <w:r>
        <w:rPr/>
        <w:t>深证上</w:t>
      </w:r>
      <w:r>
        <w:rPr>
          <w:rFonts w:ascii="宋体" w:hAnsi="宋体" w:cs="宋体" w:eastAsia="宋体" w:hint="default"/>
        </w:rPr>
        <w:t>[2013]273</w:t>
      </w:r>
      <w:r>
        <w:rPr/>
        <w:t>号文同意，公司</w:t>
      </w:r>
      <w:r>
        <w:rPr>
          <w:rFonts w:ascii="宋体" w:hAnsi="宋体" w:cs="宋体" w:eastAsia="宋体" w:hint="default"/>
        </w:rPr>
        <w:t>100,000</w:t>
      </w:r>
      <w:r>
        <w:rPr/>
        <w:t>万元可转债已于</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19</w:t>
      </w:r>
      <w:r>
        <w:rPr/>
        <w:t>日起在深圳证券交易所挂牌交易，债券简称“东华转</w:t>
      </w:r>
      <w:r>
        <w:rPr>
          <w:spacing w:val="-84"/>
        </w:rPr>
        <w:t> </w:t>
      </w:r>
      <w:r>
        <w:rPr>
          <w:spacing w:val="-84"/>
        </w:rPr>
      </w:r>
      <w:r>
        <w:rPr/>
        <w:t>债”，债券代码“</w:t>
      </w:r>
      <w:r>
        <w:rPr>
          <w:rFonts w:ascii="宋体" w:hAnsi="宋体" w:cs="宋体" w:eastAsia="宋体" w:hint="default"/>
        </w:rPr>
        <w:t>128002</w:t>
      </w:r>
      <w:r>
        <w:rPr/>
        <w:t>”。</w:t>
      </w:r>
    </w:p>
    <w:p>
      <w:pPr>
        <w:spacing w:after="0" w:line="319"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pStyle w:val="BodyText"/>
        <w:spacing w:line="430" w:lineRule="atLeast" w:before="169"/>
        <w:ind w:left="424" w:right="87" w:hanging="270"/>
        <w:jc w:val="left"/>
        <w:rPr>
          <w:rFonts w:ascii="宋体" w:hAnsi="宋体" w:cs="宋体" w:eastAsia="宋体" w:hint="default"/>
        </w:rPr>
      </w:pPr>
      <w:r>
        <w:rPr/>
        <w:t>√ 适用 □ 不适用 </w:t>
      </w:r>
      <w:r>
        <w:rPr>
          <w:spacing w:val="-5"/>
        </w:rPr>
        <w:t>报告期内，公司副总经理李建国申请第一期行权，期权总数</w:t>
      </w:r>
      <w:r>
        <w:rPr>
          <w:rFonts w:ascii="宋体" w:hAnsi="宋体" w:cs="宋体" w:eastAsia="宋体" w:hint="default"/>
          <w:spacing w:val="-5"/>
        </w:rPr>
        <w:t>31,200</w:t>
      </w:r>
      <w:r>
        <w:rPr>
          <w:spacing w:val="-5"/>
        </w:rPr>
        <w:t>股，经北京兴华会计师事务所</w:t>
      </w:r>
      <w:r>
        <w:rPr>
          <w:rFonts w:ascii="宋体" w:hAnsi="宋体" w:cs="宋体" w:eastAsia="宋体" w:hint="default"/>
          <w:spacing w:val="-5"/>
        </w:rPr>
        <w:t>2014</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3</w:t>
      </w:r>
      <w:r>
        <w:rPr>
          <w:spacing w:val="-5"/>
        </w:rPr>
        <w:t>日出具的</w:t>
      </w:r>
      <w:r>
        <w:rPr>
          <w:rFonts w:ascii="宋体" w:hAnsi="宋体" w:cs="宋体" w:eastAsia="宋体" w:hint="default"/>
          <w:spacing w:val="-5"/>
        </w:rPr>
        <w:t>[2014]</w:t>
      </w:r>
    </w:p>
    <w:p>
      <w:pPr>
        <w:pStyle w:val="BodyText"/>
        <w:spacing w:line="316" w:lineRule="auto" w:before="77"/>
        <w:ind w:right="190"/>
        <w:jc w:val="both"/>
      </w:pPr>
      <w:r>
        <w:rPr/>
        <w:t>京会兴验字第</w:t>
      </w:r>
      <w:r>
        <w:rPr>
          <w:rFonts w:ascii="宋体" w:hAnsi="宋体" w:cs="宋体" w:eastAsia="宋体" w:hint="default"/>
        </w:rPr>
        <w:t>03010001</w:t>
      </w:r>
      <w:r>
        <w:rPr/>
        <w:t>号验资报告验证，“截至</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3</w:t>
      </w:r>
      <w:r>
        <w:rPr/>
        <w:t>日止，贵公司已收到股权激励第一期行权的</w:t>
      </w:r>
      <w:r>
        <w:rPr>
          <w:rFonts w:ascii="宋体" w:hAnsi="宋体" w:cs="宋体" w:eastAsia="宋体" w:hint="default"/>
        </w:rPr>
        <w:t>1</w:t>
      </w:r>
      <w:r>
        <w:rPr/>
        <w:t>名激励对象缴纳出</w:t>
      </w:r>
      <w:r>
        <w:rPr>
          <w:spacing w:val="-84"/>
        </w:rPr>
        <w:t> </w:t>
      </w:r>
      <w:r>
        <w:rPr>
          <w:spacing w:val="-84"/>
        </w:rPr>
      </w:r>
      <w:r>
        <w:rPr>
          <w:spacing w:val="2"/>
        </w:rPr>
        <w:t>资款为人民币</w:t>
      </w:r>
      <w:r>
        <w:rPr>
          <w:rFonts w:ascii="宋体" w:hAnsi="宋体" w:cs="宋体" w:eastAsia="宋体" w:hint="default"/>
          <w:spacing w:val="2"/>
        </w:rPr>
        <w:t>649,440.00</w:t>
      </w:r>
      <w:r>
        <w:rPr>
          <w:rFonts w:ascii="宋体" w:hAnsi="宋体" w:cs="宋体" w:eastAsia="宋体" w:hint="default"/>
          <w:spacing w:val="24"/>
        </w:rPr>
        <w:t> </w:t>
      </w:r>
      <w:r>
        <w:rPr>
          <w:spacing w:val="3"/>
        </w:rPr>
        <w:t>元，其中含公司代扣代缴的个人所得税</w:t>
      </w:r>
      <w:r>
        <w:rPr>
          <w:rFonts w:ascii="宋体" w:hAnsi="宋体" w:cs="宋体" w:eastAsia="宋体" w:hint="default"/>
          <w:spacing w:val="3"/>
        </w:rPr>
        <w:t>142,440.00</w:t>
      </w:r>
      <w:r>
        <w:rPr>
          <w:rFonts w:ascii="宋体" w:hAnsi="宋体" w:cs="宋体" w:eastAsia="宋体" w:hint="default"/>
          <w:spacing w:val="24"/>
        </w:rPr>
        <w:t> </w:t>
      </w:r>
      <w:r>
        <w:rPr>
          <w:spacing w:val="5"/>
        </w:rPr>
        <w:t>元，扣除个人所得税后实际缴纳出资款为</w:t>
      </w:r>
      <w:r>
        <w:rPr>
          <w:spacing w:val="-85"/>
        </w:rPr>
        <w:t> </w:t>
      </w:r>
      <w:r>
        <w:rPr>
          <w:spacing w:val="-85"/>
        </w:rPr>
      </w:r>
      <w:r>
        <w:rPr>
          <w:rFonts w:ascii="宋体" w:hAnsi="宋体" w:cs="宋体" w:eastAsia="宋体" w:hint="default"/>
        </w:rPr>
        <w:t>507,000.00</w:t>
      </w:r>
      <w:r>
        <w:rPr/>
        <w:t>元（认购股数</w:t>
      </w:r>
      <w:r>
        <w:rPr>
          <w:rFonts w:ascii="宋体" w:hAnsi="宋体" w:cs="宋体" w:eastAsia="宋体" w:hint="default"/>
        </w:rPr>
        <w:t>31,200</w:t>
      </w:r>
      <w:r>
        <w:rPr/>
        <w:t>股，每股</w:t>
      </w:r>
      <w:r>
        <w:rPr>
          <w:rFonts w:ascii="宋体" w:hAnsi="宋体" w:cs="宋体" w:eastAsia="宋体" w:hint="default"/>
        </w:rPr>
        <w:t>16.25</w:t>
      </w:r>
      <w:r>
        <w:rPr/>
        <w:t>元），其中新增注册资本（股本）为人民币</w:t>
      </w:r>
      <w:r>
        <w:rPr>
          <w:rFonts w:ascii="宋体" w:hAnsi="宋体" w:cs="宋体" w:eastAsia="宋体" w:hint="default"/>
        </w:rPr>
        <w:t>31,200</w:t>
      </w:r>
      <w:r>
        <w:rPr/>
        <w:t>元，增加资本公积为人民</w:t>
      </w:r>
      <w:r>
        <w:rPr>
          <w:spacing w:val="-83"/>
        </w:rPr>
        <w:t> </w:t>
      </w:r>
      <w:r>
        <w:rPr>
          <w:spacing w:val="-83"/>
        </w:rPr>
      </w:r>
      <w:r>
        <w:rPr/>
        <w:t>币</w:t>
      </w:r>
      <w:r>
        <w:rPr>
          <w:rFonts w:ascii="宋体" w:hAnsi="宋体" w:cs="宋体" w:eastAsia="宋体" w:hint="default"/>
        </w:rPr>
        <w:t>475,800.00</w:t>
      </w:r>
      <w:r>
        <w:rPr/>
        <w:t>元。”</w:t>
      </w:r>
    </w:p>
    <w:p>
      <w:pPr>
        <w:pStyle w:val="BodyText"/>
        <w:spacing w:line="316" w:lineRule="auto" w:before="139"/>
        <w:ind w:right="190" w:firstLine="270"/>
        <w:jc w:val="both"/>
      </w:pPr>
      <w:r>
        <w:rPr>
          <w:spacing w:val="-2"/>
        </w:rPr>
        <w:t>报告期内，共有</w:t>
      </w:r>
      <w:r>
        <w:rPr>
          <w:rFonts w:ascii="宋体" w:hAnsi="宋体" w:cs="宋体" w:eastAsia="宋体" w:hint="default"/>
          <w:spacing w:val="-2"/>
        </w:rPr>
        <w:t>339</w:t>
      </w:r>
      <w:r>
        <w:rPr>
          <w:spacing w:val="-2"/>
        </w:rPr>
        <w:t>名激励对象申请第二期行权，期权总数</w:t>
      </w:r>
      <w:r>
        <w:rPr>
          <w:rFonts w:ascii="宋体" w:hAnsi="宋体" w:cs="宋体" w:eastAsia="宋体" w:hint="default"/>
          <w:spacing w:val="-2"/>
        </w:rPr>
        <w:t>4,264,260</w:t>
      </w:r>
      <w:r>
        <w:rPr>
          <w:spacing w:val="-2"/>
        </w:rPr>
        <w:t>股，经北京兴华会计师事务所</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24</w:t>
      </w:r>
      <w:r>
        <w:rPr>
          <w:spacing w:val="-2"/>
        </w:rPr>
        <w:t>日出具的</w:t>
      </w:r>
      <w:r>
        <w:rPr/>
        <w:t> </w:t>
      </w:r>
      <w:r>
        <w:rPr>
          <w:rFonts w:ascii="宋体" w:hAnsi="宋体" w:cs="宋体" w:eastAsia="宋体" w:hint="default"/>
          <w:spacing w:val="-2"/>
        </w:rPr>
        <w:t>[2014]</w:t>
      </w:r>
      <w:r>
        <w:rPr>
          <w:spacing w:val="-2"/>
        </w:rPr>
        <w:t>京会兴验字第</w:t>
      </w:r>
      <w:r>
        <w:rPr>
          <w:rFonts w:ascii="宋体" w:hAnsi="宋体" w:cs="宋体" w:eastAsia="宋体" w:hint="default"/>
          <w:spacing w:val="-2"/>
        </w:rPr>
        <w:t>03010002</w:t>
      </w:r>
      <w:r>
        <w:rPr>
          <w:spacing w:val="-2"/>
        </w:rPr>
        <w:t>号验资报告验证，“截至</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24</w:t>
      </w:r>
      <w:r>
        <w:rPr>
          <w:spacing w:val="-2"/>
        </w:rPr>
        <w:t>日止，贵公司已收到股权激励第二期行权的</w:t>
      </w:r>
      <w:r>
        <w:rPr>
          <w:rFonts w:ascii="宋体" w:hAnsi="宋体" w:cs="宋体" w:eastAsia="宋体" w:hint="default"/>
          <w:spacing w:val="-2"/>
        </w:rPr>
        <w:t>339</w:t>
      </w:r>
      <w:r>
        <w:rPr>
          <w:spacing w:val="-2"/>
        </w:rPr>
        <w:t>名激励对</w:t>
      </w:r>
      <w:r>
        <w:rPr>
          <w:spacing w:val="-40"/>
        </w:rPr>
        <w:t> </w:t>
      </w:r>
      <w:r>
        <w:rPr/>
        <w:t>象缴纳出资款为人民币</w:t>
      </w:r>
      <w:r>
        <w:rPr>
          <w:spacing w:val="-40"/>
        </w:rPr>
        <w:t> </w:t>
      </w:r>
      <w:r>
        <w:rPr>
          <w:rFonts w:ascii="宋体" w:hAnsi="宋体" w:cs="宋体" w:eastAsia="宋体" w:hint="default"/>
        </w:rPr>
        <w:t>91,183,769.04</w:t>
      </w:r>
      <w:r>
        <w:rPr>
          <w:rFonts w:ascii="宋体" w:hAnsi="宋体" w:cs="宋体" w:eastAsia="宋体" w:hint="default"/>
          <w:spacing w:val="-40"/>
        </w:rPr>
        <w:t> </w:t>
      </w:r>
      <w:r>
        <w:rPr/>
        <w:t>元，其中含公司代扣代缴的个人所得税</w:t>
      </w:r>
      <w:r>
        <w:rPr>
          <w:rFonts w:ascii="宋体" w:hAnsi="宋体" w:cs="宋体" w:eastAsia="宋体" w:hint="default"/>
        </w:rPr>
        <w:t>21,889,544.04</w:t>
      </w:r>
      <w:r>
        <w:rPr/>
        <w:t>元，扣除个人所得税后实际缴 </w:t>
      </w:r>
      <w:r>
        <w:rPr>
          <w:spacing w:val="-4"/>
        </w:rPr>
        <w:t>纳出资款为</w:t>
      </w:r>
      <w:r>
        <w:rPr>
          <w:rFonts w:ascii="宋体" w:hAnsi="宋体" w:cs="宋体" w:eastAsia="宋体" w:hint="default"/>
          <w:spacing w:val="-4"/>
        </w:rPr>
        <w:t>69,294,225.00</w:t>
      </w:r>
      <w:r>
        <w:rPr>
          <w:spacing w:val="-4"/>
        </w:rPr>
        <w:t>元（认购股数</w:t>
      </w:r>
      <w:r>
        <w:rPr>
          <w:rFonts w:ascii="宋体" w:hAnsi="宋体" w:cs="宋体" w:eastAsia="宋体" w:hint="default"/>
          <w:spacing w:val="-4"/>
        </w:rPr>
        <w:t>4,264,260.00</w:t>
      </w:r>
      <w:r>
        <w:rPr>
          <w:spacing w:val="-4"/>
        </w:rPr>
        <w:t>股，每股</w:t>
      </w:r>
      <w:r>
        <w:rPr>
          <w:rFonts w:ascii="宋体" w:hAnsi="宋体" w:cs="宋体" w:eastAsia="宋体" w:hint="default"/>
          <w:spacing w:val="-4"/>
        </w:rPr>
        <w:t>16.25</w:t>
      </w:r>
      <w:r>
        <w:rPr>
          <w:spacing w:val="-4"/>
        </w:rPr>
        <w:t>元），其中新增注册资本（股本）为人民币</w:t>
      </w:r>
      <w:r>
        <w:rPr>
          <w:rFonts w:ascii="宋体" w:hAnsi="宋体" w:cs="宋体" w:eastAsia="宋体" w:hint="default"/>
          <w:spacing w:val="-4"/>
        </w:rPr>
        <w:t>4,264,260.00</w:t>
      </w:r>
      <w:r>
        <w:rPr>
          <w:rFonts w:ascii="宋体" w:hAnsi="宋体" w:cs="宋体" w:eastAsia="宋体" w:hint="default"/>
          <w:spacing w:val="-53"/>
        </w:rPr>
        <w:t> </w:t>
      </w:r>
      <w:r>
        <w:rPr/>
        <w:t>元，增加资本公积为人民币</w:t>
      </w:r>
      <w:r>
        <w:rPr>
          <w:rFonts w:ascii="宋体" w:hAnsi="宋体" w:cs="宋体" w:eastAsia="宋体" w:hint="default"/>
        </w:rPr>
        <w:t>65,029,965.00</w:t>
      </w:r>
      <w:r>
        <w:rPr/>
        <w:t>元。出资方式为货币资金投入。”</w:t>
      </w:r>
    </w:p>
    <w:p>
      <w:pPr>
        <w:pStyle w:val="BodyText"/>
        <w:spacing w:line="316" w:lineRule="auto" w:before="139"/>
        <w:ind w:right="87" w:firstLine="270"/>
        <w:jc w:val="left"/>
      </w:pP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日，公司接到中国证券监督管理委员会（以下简称“中国证监会”）证监许可〔</w:t>
      </w:r>
      <w:r>
        <w:rPr>
          <w:rFonts w:ascii="宋体" w:hAnsi="宋体" w:cs="宋体" w:eastAsia="宋体" w:hint="default"/>
          <w:spacing w:val="-2"/>
        </w:rPr>
        <w:t>2014</w:t>
      </w:r>
      <w:r>
        <w:rPr>
          <w:spacing w:val="-2"/>
        </w:rPr>
        <w:t>〕</w:t>
      </w:r>
      <w:r>
        <w:rPr>
          <w:rFonts w:ascii="宋体" w:hAnsi="宋体" w:cs="宋体" w:eastAsia="宋体" w:hint="default"/>
          <w:spacing w:val="-2"/>
        </w:rPr>
        <w:t>343</w:t>
      </w:r>
      <w:r>
        <w:rPr>
          <w:spacing w:val="-2"/>
        </w:rPr>
        <w:t>号《关于核准东华</w:t>
      </w:r>
      <w:r>
        <w:rPr/>
        <w:t> </w:t>
      </w:r>
      <w:r>
        <w:rPr>
          <w:spacing w:val="-4"/>
        </w:rPr>
        <w:t>软件股份公司向黄麟雏等发行股份购买资产并募集配套资金的批复》，同意公司向自然人黄麟雏、侯丹军、侯丹云、程相利、</w:t>
      </w:r>
      <w:r>
        <w:rPr>
          <w:spacing w:val="-43"/>
        </w:rPr>
        <w:t> </w:t>
      </w:r>
      <w:r>
        <w:rPr>
          <w:spacing w:val="-43"/>
        </w:rPr>
      </w:r>
      <w:r>
        <w:rPr>
          <w:spacing w:val="-4"/>
        </w:rPr>
        <w:t>吴勇、李宇、白钢、付琪舒、汪汉文、李姝、闫旭光、储著荣、王静、姜以波、范学义、秦友奎、赫长云、姜永淑发行股份，</w:t>
      </w:r>
      <w:r>
        <w:rPr>
          <w:spacing w:val="-52"/>
        </w:rPr>
        <w:t> </w:t>
      </w:r>
      <w:r>
        <w:rPr>
          <w:spacing w:val="-52"/>
        </w:rPr>
      </w:r>
      <w:r>
        <w:rPr>
          <w:spacing w:val="10"/>
        </w:rPr>
        <w:t>并核准公司非公开发行股份募集本次发行股份购买资产的配套资金。本次发行股份购买资产涉及发行</w:t>
      </w:r>
      <w:r>
        <w:rPr>
          <w:rFonts w:ascii="宋体" w:hAnsi="宋体" w:cs="宋体" w:eastAsia="宋体" w:hint="default"/>
          <w:spacing w:val="10"/>
        </w:rPr>
        <w:t>A</w:t>
      </w:r>
      <w:r>
        <w:rPr>
          <w:spacing w:val="10"/>
        </w:rPr>
        <w:t>股股票数量为</w:t>
      </w:r>
      <w:r>
        <w:rPr>
          <w:spacing w:val="-84"/>
        </w:rPr>
        <w:t> </w:t>
      </w:r>
      <w:r>
        <w:rPr>
          <w:spacing w:val="-84"/>
        </w:rPr>
      </w:r>
      <w:r>
        <w:rPr>
          <w:rFonts w:ascii="宋体" w:hAnsi="宋体" w:cs="宋体" w:eastAsia="宋体" w:hint="default"/>
        </w:rPr>
        <w:t>29,212,592</w:t>
      </w:r>
      <w:r>
        <w:rPr/>
        <w:t>股，配套募集资金发行股票数量</w:t>
      </w:r>
      <w:r>
        <w:rPr>
          <w:rFonts w:ascii="宋体" w:hAnsi="宋体" w:cs="宋体" w:eastAsia="宋体" w:hint="default"/>
        </w:rPr>
        <w:t>10,712,789</w:t>
      </w:r>
      <w:r>
        <w:rPr/>
        <w:t>股，共计</w:t>
      </w:r>
      <w:r>
        <w:rPr>
          <w:rFonts w:ascii="宋体" w:hAnsi="宋体" w:cs="宋体" w:eastAsia="宋体" w:hint="default"/>
        </w:rPr>
        <w:t>39,925,381</w:t>
      </w:r>
      <w:r>
        <w:rPr/>
        <w:t>股，于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16</w:t>
      </w:r>
      <w:r>
        <w:rPr/>
        <w:t>日在深圳证券交易所上市。</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3</w:t>
      </w:r>
      <w:r>
        <w:rPr/>
        <w:t>、现存的内部职工股情况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宋体" w:hAnsi="宋体" w:cs="宋体" w:eastAsia="宋体" w:hint="default"/>
        </w:rPr>
        <w:t>1</w:t>
      </w:r>
      <w:r>
        <w:rPr/>
        <w:t>、公司股东数量及持股情况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9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62"/>
        <w:gridCol w:w="211"/>
        <w:gridCol w:w="1134"/>
        <w:gridCol w:w="248"/>
        <w:gridCol w:w="886"/>
        <w:gridCol w:w="708"/>
        <w:gridCol w:w="426"/>
        <w:gridCol w:w="1152"/>
        <w:gridCol w:w="833"/>
        <w:gridCol w:w="780"/>
      </w:tblGrid>
      <w:tr>
        <w:trPr>
          <w:trHeight w:val="1343" w:hRule="exact"/>
        </w:trPr>
        <w:tc>
          <w:tcPr>
            <w:tcW w:w="15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2" w:right="0"/>
              <w:jc w:val="left"/>
              <w:rPr>
                <w:rFonts w:ascii="宋体" w:hAnsi="宋体" w:cs="宋体" w:eastAsia="宋体" w:hint="default"/>
                <w:sz w:val="18"/>
                <w:szCs w:val="18"/>
              </w:rPr>
            </w:pPr>
            <w:r>
              <w:rPr>
                <w:rFonts w:ascii="宋体"/>
                <w:sz w:val="18"/>
              </w:rPr>
              <w:t>54,978</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0"/>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个交易日末普 通股股东总数</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1" w:right="0"/>
              <w:jc w:val="left"/>
              <w:rPr>
                <w:rFonts w:ascii="宋体" w:hAnsi="宋体" w:cs="宋体" w:eastAsia="宋体" w:hint="default"/>
                <w:sz w:val="18"/>
                <w:szCs w:val="18"/>
              </w:rPr>
            </w:pPr>
            <w:r>
              <w:rPr>
                <w:rFonts w:ascii="宋体"/>
                <w:sz w:val="18"/>
              </w:rPr>
              <w:t>81,371</w:t>
            </w:r>
          </w:p>
        </w:tc>
        <w:tc>
          <w:tcPr>
            <w:tcW w:w="15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宋体" w:hAnsi="宋体" w:cs="宋体" w:eastAsia="宋体" w:hint="default"/>
                <w:sz w:val="18"/>
                <w:szCs w:val="18"/>
              </w:rPr>
              <w:t>8</w:t>
            </w:r>
            <w:r>
              <w:rPr>
                <w:rFonts w:ascii="宋体" w:hAnsi="宋体" w:cs="宋体" w:eastAsia="宋体" w:hint="default"/>
                <w:sz w:val="18"/>
                <w:szCs w:val="18"/>
              </w:rPr>
              <w:t>）</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397"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1" w:right="6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1" w:right="12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67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北京东华诚信电 脑科技发展有限 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sz w:val="18"/>
              </w:rPr>
              <w:t>20.99%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317,985,040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158,992,520</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9"/>
              <w:jc w:val="right"/>
              <w:rPr>
                <w:rFonts w:ascii="宋体" w:hAnsi="宋体" w:cs="宋体" w:eastAsia="宋体" w:hint="default"/>
                <w:sz w:val="18"/>
                <w:szCs w:val="18"/>
              </w:rPr>
            </w:pPr>
            <w:r>
              <w:rPr>
                <w:rFonts w:ascii="宋体"/>
                <w:sz w:val="18"/>
              </w:rPr>
              <w:t>317,985,040</w:t>
            </w:r>
          </w:p>
        </w:tc>
        <w:tc>
          <w:tcPr>
            <w:tcW w:w="83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sz w:val="18"/>
              </w:rPr>
              <w:t>12.62%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191,226,692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95,613,346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sz w:val="18"/>
              </w:rPr>
              <w:t>143,420,018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
              <w:jc w:val="right"/>
              <w:rPr>
                <w:rFonts w:ascii="宋体" w:hAnsi="宋体" w:cs="宋体" w:eastAsia="宋体" w:hint="default"/>
                <w:sz w:val="18"/>
                <w:szCs w:val="18"/>
              </w:rPr>
            </w:pPr>
            <w:r>
              <w:rPr>
                <w:rFonts w:ascii="宋体"/>
                <w:sz w:val="18"/>
              </w:rPr>
              <w:t>47,806,674</w:t>
            </w:r>
          </w:p>
        </w:tc>
        <w:tc>
          <w:tcPr>
            <w:tcW w:w="83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sz w:val="18"/>
              </w:rPr>
              <w:t>10.76%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162,990,758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79,517,719</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
              <w:jc w:val="right"/>
              <w:rPr>
                <w:rFonts w:ascii="宋体" w:hAnsi="宋体" w:cs="宋体" w:eastAsia="宋体" w:hint="default"/>
                <w:sz w:val="18"/>
                <w:szCs w:val="18"/>
              </w:rPr>
            </w:pPr>
            <w:r>
              <w:rPr>
                <w:rFonts w:ascii="宋体"/>
                <w:sz w:val="18"/>
              </w:rPr>
              <w:t>162,990,758</w:t>
            </w:r>
          </w:p>
        </w:tc>
        <w:tc>
          <w:tcPr>
            <w:tcW w:w="83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r>
        <w:rPr/>
        <w:pict>
          <v:shape style="position:absolute;margin-left:160.216995pt;margin-top:387.319977pt;width:374.75pt;height:50.85pt;mso-position-horizontal-relative:page;mso-position-vertical-relative:page;z-index:-904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（如有）</w:t>
                  </w:r>
                </w:p>
              </w:txbxContent>
            </v:textbox>
            <w10:wrap type="none"/>
          </v:shape>
        </w:pict>
      </w:r>
      <w:r>
        <w:rPr/>
        <w:pict>
          <v:group style="position:absolute;margin-left:193.399994pt;margin-top:387.319977pt;width:341.6pt;height:15.6pt;mso-position-horizontal-relative:page;mso-position-vertical-relative:page;z-index:-904432" coordorigin="3868,7746" coordsize="6832,312">
            <v:shape style="position:absolute;left:3868;top:7746;width:6832;height:312" coordorigin="3868,7746" coordsize="6832,312" path="m3868,8058l10699,8058,10699,7746,3868,7746,3868,8058xe" filled="true" fillcolor="#ffffff" stroked="false">
              <v:path arrowok="t"/>
              <v:fill type="solid"/>
            </v:shape>
            <w10:wrap type="none"/>
          </v:group>
        </w:pict>
      </w:r>
      <w:r>
        <w:rPr/>
        <w:pict>
          <v:group style="position:absolute;margin-left:193.399994pt;margin-top:422.559998pt;width:341.6pt;height:15.6pt;mso-position-horizontal-relative:page;mso-position-vertical-relative:page;z-index:-904408" coordorigin="3868,8451" coordsize="6832,312">
            <v:shape style="position:absolute;left:3868;top:8451;width:6832;height:312" coordorigin="3868,8451" coordsize="6832,312" path="m3868,8763l10699,8763,10699,8451,3868,8451,3868,876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673"/>
        <w:gridCol w:w="1134"/>
        <w:gridCol w:w="1134"/>
        <w:gridCol w:w="1149"/>
        <w:gridCol w:w="1119"/>
        <w:gridCol w:w="264"/>
        <w:gridCol w:w="587"/>
        <w:gridCol w:w="780"/>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业设备有限公司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北京合创电商投 资顾问有限公司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69,531,758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34,765,879</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69,531,758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景顺长城精选蓝 筹股票型证券投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1.39%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2"/>
              <w:jc w:val="right"/>
              <w:rPr>
                <w:rFonts w:ascii="宋体" w:hAnsi="宋体" w:cs="宋体" w:eastAsia="宋体" w:hint="default"/>
                <w:sz w:val="18"/>
                <w:szCs w:val="18"/>
              </w:rPr>
            </w:pPr>
            <w:r>
              <w:rPr>
                <w:rFonts w:ascii="宋体"/>
                <w:sz w:val="18"/>
              </w:rPr>
              <w:t>21,000,000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sz w:val="18"/>
              </w:rPr>
              <w:t>175,438</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3"/>
              <w:jc w:val="right"/>
              <w:rPr>
                <w:rFonts w:ascii="宋体" w:hAnsi="宋体" w:cs="宋体" w:eastAsia="宋体" w:hint="default"/>
                <w:sz w:val="18"/>
                <w:szCs w:val="18"/>
              </w:rPr>
            </w:pPr>
            <w:r>
              <w:rPr>
                <w:rFonts w:ascii="宋体"/>
                <w:sz w:val="18"/>
              </w:rPr>
              <w:t>21,000,000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全国社保基金四 零三组合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17,498,986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14,007,172</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17,498,986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中国农业银行－ 国泰金牛创新成 长股票型证券投 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1.12%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17,024,796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sz w:val="18"/>
              </w:rPr>
              <w:t>11,024,796</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宋体" w:hAnsi="宋体" w:cs="宋体" w:eastAsia="宋体" w:hint="default"/>
                <w:sz w:val="18"/>
                <w:szCs w:val="18"/>
              </w:rPr>
            </w:pPr>
            <w:r>
              <w:rPr>
                <w:rFonts w:ascii="宋体"/>
                <w:sz w:val="18"/>
              </w:rPr>
              <w:t>17,024,796</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全国社保基金一 一二组合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16,058,219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13,058,219</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16,058,219</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12,460,000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5,690,000</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12,460,000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全国社保基金一 零七组合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10,799,685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10,799,685</w:t>
            </w:r>
          </w:p>
        </w:tc>
        <w:tc>
          <w:tcPr>
            <w:tcW w:w="114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10,799,685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名股东的情况</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67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34"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nil" w:sz="6" w:space="0" w:color="auto"/>
            </w:tcBorders>
          </w:tcPr>
          <w:p>
            <w:pPr/>
          </w:p>
        </w:tc>
        <w:tc>
          <w:tcPr>
            <w:tcW w:w="1149" w:type="dxa"/>
            <w:tcBorders>
              <w:top w:val="single" w:sz="4" w:space="0" w:color="000000"/>
              <w:left w:val="nil" w:sz="6" w:space="0" w:color="auto"/>
              <w:bottom w:val="single" w:sz="4" w:space="0" w:color="000000"/>
              <w:right w:val="nil" w:sz="6" w:space="0" w:color="auto"/>
            </w:tcBorders>
          </w:tcPr>
          <w:p>
            <w:pPr/>
          </w:p>
        </w:tc>
        <w:tc>
          <w:tcPr>
            <w:tcW w:w="1119" w:type="dxa"/>
            <w:tcBorders>
              <w:top w:val="single" w:sz="4" w:space="0" w:color="000000"/>
              <w:left w:val="nil" w:sz="6" w:space="0" w:color="auto"/>
              <w:bottom w:val="single" w:sz="4" w:space="0" w:color="000000"/>
              <w:right w:val="nil" w:sz="6" w:space="0" w:color="auto"/>
            </w:tcBorders>
          </w:tcPr>
          <w:p>
            <w:pPr/>
          </w:p>
        </w:tc>
        <w:tc>
          <w:tcPr>
            <w:tcW w:w="264" w:type="dxa"/>
            <w:tcBorders>
              <w:top w:val="single" w:sz="4" w:space="0" w:color="000000"/>
              <w:left w:val="nil" w:sz="6" w:space="0" w:color="auto"/>
              <w:bottom w:val="single" w:sz="4" w:space="0" w:color="000000"/>
              <w:right w:val="nil" w:sz="6" w:space="0" w:color="auto"/>
            </w:tcBorders>
          </w:tcPr>
          <w:p>
            <w:pPr/>
          </w:p>
        </w:tc>
        <w:tc>
          <w:tcPr>
            <w:tcW w:w="587" w:type="dxa"/>
            <w:tcBorders>
              <w:top w:val="single" w:sz="4" w:space="0" w:color="000000"/>
              <w:left w:val="nil" w:sz="6" w:space="0" w:color="auto"/>
              <w:bottom w:val="single" w:sz="4" w:space="0" w:color="000000"/>
              <w:right w:val="nil" w:sz="6" w:space="0" w:color="auto"/>
            </w:tcBorders>
          </w:tcPr>
          <w:p>
            <w:pPr/>
          </w:p>
        </w:tc>
        <w:tc>
          <w:tcPr>
            <w:tcW w:w="780"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8"/>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103"/>
              <w:jc w:val="left"/>
              <w:rPr>
                <w:rFonts w:ascii="宋体" w:hAnsi="宋体" w:cs="宋体" w:eastAsia="宋体" w:hint="default"/>
                <w:sz w:val="18"/>
                <w:szCs w:val="18"/>
              </w:rPr>
            </w:pPr>
            <w:r>
              <w:rPr>
                <w:rFonts w:ascii="宋体" w:hAnsi="宋体" w:cs="宋体" w:eastAsia="宋体" w:hint="default"/>
                <w:sz w:val="18"/>
                <w:szCs w:val="18"/>
              </w:rPr>
              <w:t>上述持股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以上的股东：北京东华诚信电脑科技发展有限公司、薛向东、北京东华诚 信工业设备有限公司和北京合创电商投资顾问有限公司存在关联关系。</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5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91"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50"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091" w:type="dxa"/>
            <w:gridSpan w:val="4"/>
            <w:vMerge/>
            <w:tcBorders>
              <w:left w:val="single" w:sz="4" w:space="0" w:color="000000"/>
              <w:bottom w:val="nil" w:sz="6" w:space="0" w:color="auto"/>
              <w:right w:val="single" w:sz="4" w:space="0" w:color="000000"/>
            </w:tcBorders>
            <w:shd w:val="clear" w:color="auto" w:fill="D2D2D2"/>
          </w:tcPr>
          <w:p>
            <w:pPr/>
          </w:p>
        </w:tc>
        <w:tc>
          <w:tcPr>
            <w:tcW w:w="13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09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83" w:type="dxa"/>
            <w:gridSpan w:val="2"/>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 公司</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317,985,040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sz w:val="18"/>
              </w:rPr>
              <w:t>317,985,040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162,990,758</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4" w:right="0"/>
              <w:jc w:val="left"/>
              <w:rPr>
                <w:rFonts w:ascii="宋体" w:hAnsi="宋体" w:cs="宋体" w:eastAsia="宋体" w:hint="default"/>
                <w:sz w:val="18"/>
                <w:szCs w:val="18"/>
              </w:rPr>
            </w:pPr>
            <w:r>
              <w:rPr>
                <w:rFonts w:ascii="宋体"/>
                <w:sz w:val="18"/>
              </w:rPr>
              <w:t>162,990,758</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69,531,758</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69,531,758</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47,806,674</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47,806,674</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中国工商银行－景顺长城精选蓝 筹股票型证券投资基金</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21,000,000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sz w:val="18"/>
              </w:rPr>
              <w:t>21,000,000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全国社保基金四零三组合</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17,498,986</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17,498,986</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中国农业银行－国泰金牛创新成 长股票型证券投资基金</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
              <w:jc w:val="right"/>
              <w:rPr>
                <w:rFonts w:ascii="宋体" w:hAnsi="宋体" w:cs="宋体" w:eastAsia="宋体" w:hint="default"/>
                <w:sz w:val="18"/>
                <w:szCs w:val="18"/>
              </w:rPr>
            </w:pPr>
            <w:r>
              <w:rPr>
                <w:rFonts w:ascii="宋体"/>
                <w:sz w:val="18"/>
              </w:rPr>
              <w:t>17,024,796</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sz w:val="18"/>
              </w:rPr>
              <w:t>17,024,796</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16,058,219</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16,058,219</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40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12,460,000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12,460,000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10,799,685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4" w:right="0"/>
              <w:jc w:val="left"/>
              <w:rPr>
                <w:rFonts w:ascii="宋体" w:hAnsi="宋体" w:cs="宋体" w:eastAsia="宋体" w:hint="default"/>
                <w:sz w:val="18"/>
                <w:szCs w:val="18"/>
              </w:rPr>
            </w:pPr>
            <w:r>
              <w:rPr>
                <w:rFonts w:ascii="宋体"/>
                <w:sz w:val="18"/>
              </w:rPr>
              <w:t>10,799,685</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名无限售流通股股东和</w:t>
            </w:r>
          </w:p>
          <w:p>
            <w:pPr>
              <w:pStyle w:val="TableParagraph"/>
              <w:spacing w:line="319" w:lineRule="auto" w:before="76"/>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pacing w:val="-2"/>
                <w:sz w:val="18"/>
                <w:szCs w:val="18"/>
              </w:rPr>
              <w:t>公司前十名股东中，北京东华诚信电脑科技发展有限公司、薛向东、北京东华诚信工业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设备有限公司和北京合创电商投资顾问有限公司存在关联关系；前十名无限售条件股东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中，未知其他股东之间是否存在关联关系，也未知是否属于一致行动人。</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名无限售条件普通股股东在报告期内是否进行约定购回交易</w:t>
      </w:r>
    </w:p>
    <w:p>
      <w:pPr>
        <w:pStyle w:val="BodyText"/>
        <w:spacing w:line="240" w:lineRule="auto" w:before="117"/>
        <w:ind w:right="0"/>
        <w:jc w:val="left"/>
      </w:pPr>
      <w:r>
        <w:rPr/>
        <w:t>□ 是 √ 否</w:t>
      </w:r>
    </w:p>
    <w:p>
      <w:pPr>
        <w:pStyle w:val="BodyText"/>
        <w:spacing w:line="240" w:lineRule="auto" w:before="116"/>
        <w:ind w:right="0"/>
        <w:jc w:val="left"/>
      </w:pPr>
      <w:r>
        <w:rPr/>
        <w:t>公司前</w:t>
      </w:r>
      <w:r>
        <w:rPr>
          <w:spacing w:val="-46"/>
        </w:rPr>
        <w:t> </w:t>
      </w:r>
      <w:r>
        <w:rPr>
          <w:rFonts w:ascii="宋体" w:hAnsi="宋体" w:cs="宋体" w:eastAsia="宋体" w:hint="default"/>
        </w:rPr>
        <w:t>10</w:t>
      </w:r>
      <w:r>
        <w:rPr>
          <w:rFonts w:ascii="宋体" w:hAnsi="宋体" w:cs="宋体" w:eastAsia="宋体" w:hint="default"/>
          <w:spacing w:val="-46"/>
        </w:rPr>
        <w:t> </w:t>
      </w:r>
      <w:r>
        <w:rPr/>
        <w:t>名普通股股东、前</w:t>
      </w:r>
      <w:r>
        <w:rPr>
          <w:spacing w:val="-46"/>
        </w:rPr>
        <w:t> </w:t>
      </w:r>
      <w:r>
        <w:rPr>
          <w:rFonts w:ascii="宋体" w:hAnsi="宋体" w:cs="宋体" w:eastAsia="宋体" w:hint="default"/>
        </w:rPr>
        <w:t>10</w:t>
      </w:r>
      <w:r>
        <w:rPr>
          <w:rFonts w:ascii="宋体" w:hAnsi="宋体" w:cs="宋体" w:eastAsia="宋体" w:hint="default"/>
          <w:spacing w:val="-46"/>
        </w:rPr>
        <w:t> </w:t>
      </w:r>
      <w:r>
        <w:rPr/>
        <w:t>名无限售条件普通股股东在报告期内未进行约定购回交易。</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、公司控股股东情况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159"/>
        <w:jc w:val="right"/>
      </w:pPr>
      <w:r>
        <w:rPr/>
        <w:pict>
          <v:shape style="position:absolute;margin-left:56.459999pt;margin-top:-98.908295pt;width:479.2pt;height:303.8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65" w:hanging="40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9"/>
                          <w:jc w:val="both"/>
                          <w:rPr>
                            <w:rFonts w:ascii="宋体" w:hAnsi="宋体" w:cs="宋体" w:eastAsia="宋体" w:hint="default"/>
                            <w:sz w:val="18"/>
                            <w:szCs w:val="18"/>
                          </w:rPr>
                        </w:pPr>
                        <w:r>
                          <w:rPr>
                            <w:rFonts w:ascii="宋体" w:hAnsi="宋体" w:cs="宋体" w:eastAsia="宋体" w:hint="default"/>
                            <w:sz w:val="18"/>
                            <w:szCs w:val="18"/>
                          </w:rPr>
                          <w:t>北京东华北京东华诚 信电脑科技发展有限 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1993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sz w:val="18"/>
                          </w:rPr>
                          <w:t>10204779-0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RMB3000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技术开发、技术推广、 技术转让、技术咨询、 技术服务；开发、销售 计算机软、硬件及外围 </w:t>
                        </w:r>
                        <w:r>
                          <w:rPr>
                            <w:rFonts w:ascii="宋体" w:hAnsi="宋体" w:cs="宋体" w:eastAsia="宋体" w:hint="default"/>
                            <w:spacing w:val="-9"/>
                            <w:sz w:val="18"/>
                            <w:szCs w:val="18"/>
                          </w:rPr>
                          <w:t>设备；计算机系统集成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货物进出口、代理进出 口。</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2"/>
                            <w:sz w:val="18"/>
                            <w:szCs w:val="18"/>
                          </w:rPr>
                          <w:t>目前北京东华诚信电脑科技发展有限公司已不再涉及具体计算机相关业务，公司业务主要涉及对外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投资以及参与</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非同业竞争的投资管理工作，并以投资管理为未来公司发展方向。</w:t>
                        </w:r>
                      </w:p>
                    </w:tc>
                  </w:tr>
                  <w:tr>
                    <w:trPr>
                      <w:trHeight w:val="1026"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日，北京东华诚信电脑科技发展有限公司实现营业收入</w:t>
                        </w:r>
                        <w:r>
                          <w:rPr>
                            <w:rFonts w:ascii="宋体" w:hAnsi="宋体" w:cs="宋体" w:eastAsia="宋体" w:hint="default"/>
                            <w:spacing w:val="-49"/>
                            <w:sz w:val="18"/>
                            <w:szCs w:val="18"/>
                          </w:rPr>
                          <w:t> </w:t>
                        </w:r>
                        <w:r>
                          <w:rPr>
                            <w:rFonts w:ascii="宋体" w:hAnsi="宋体" w:cs="宋体" w:eastAsia="宋体" w:hint="default"/>
                            <w:sz w:val="18"/>
                            <w:szCs w:val="18"/>
                          </w:rPr>
                          <w:t>3,228,880.37</w:t>
                        </w:r>
                        <w:r>
                          <w:rPr>
                            <w:rFonts w:ascii="宋体" w:hAnsi="宋体" w:cs="宋体" w:eastAsia="宋体" w:hint="default"/>
                            <w:spacing w:val="-50"/>
                            <w:sz w:val="18"/>
                            <w:szCs w:val="18"/>
                          </w:rPr>
                          <w:t> </w:t>
                        </w:r>
                        <w:r>
                          <w:rPr>
                            <w:rFonts w:ascii="宋体" w:hAnsi="宋体" w:cs="宋体" w:eastAsia="宋体" w:hint="default"/>
                            <w:spacing w:val="-11"/>
                            <w:sz w:val="18"/>
                            <w:szCs w:val="18"/>
                          </w:rPr>
                          <w:t>元，主</w:t>
                        </w:r>
                        <w:r>
                          <w:rPr>
                            <w:rFonts w:ascii="宋体" w:hAnsi="宋体" w:cs="宋体" w:eastAsia="宋体" w:hint="default"/>
                            <w:sz w:val="18"/>
                            <w:szCs w:val="18"/>
                          </w:rPr>
                          <w:t> </w:t>
                        </w:r>
                        <w:r>
                          <w:rPr>
                            <w:rFonts w:ascii="宋体" w:hAnsi="宋体" w:cs="宋体" w:eastAsia="宋体" w:hint="default"/>
                            <w:spacing w:val="-2"/>
                            <w:sz w:val="18"/>
                            <w:szCs w:val="18"/>
                          </w:rPr>
                          <w:t>要为租金收入。目前北京东华诚信电脑科技发展有限公司已不再涉及具体计算机相关业务，公司业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务主要涉及对外投资以及参与 </w:t>
                        </w:r>
                        <w:r>
                          <w:rPr>
                            <w:rFonts w:ascii="宋体" w:hAnsi="宋体" w:cs="宋体" w:eastAsia="宋体" w:hint="default"/>
                            <w:sz w:val="18"/>
                            <w:szCs w:val="18"/>
                          </w:rPr>
                          <w:t>IT</w:t>
                        </w:r>
                        <w:r>
                          <w:rPr>
                            <w:rFonts w:ascii="宋体" w:hAnsi="宋体" w:cs="宋体" w:eastAsia="宋体" w:hint="default"/>
                            <w:spacing w:val="-70"/>
                            <w:sz w:val="18"/>
                            <w:szCs w:val="18"/>
                          </w:rPr>
                          <w:t> </w:t>
                        </w:r>
                        <w:r>
                          <w:rPr>
                            <w:rFonts w:ascii="宋体" w:hAnsi="宋体" w:cs="宋体" w:eastAsia="宋体" w:hint="default"/>
                            <w:spacing w:val="-3"/>
                            <w:sz w:val="18"/>
                            <w:szCs w:val="18"/>
                          </w:rPr>
                          <w:t>非同业竞争的投资管理工作，并以投资管理为未来公司发展方向</w:t>
                        </w:r>
                      </w:p>
                    </w:tc>
                  </w:tr>
                  <w:tr>
                    <w:trPr>
                      <w:trHeight w:val="133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控股股东报告期内变更</w:t>
      </w:r>
    </w:p>
    <w:p>
      <w:pPr>
        <w:pStyle w:val="BodyText"/>
        <w:spacing w:line="357" w:lineRule="auto" w:before="117"/>
        <w:ind w:right="7072"/>
        <w:jc w:val="left"/>
      </w:pPr>
      <w:r>
        <w:rPr/>
        <w:t>□ 适用 √ 不适用 公司报告期控股股东未发生变更。</w:t>
      </w:r>
    </w:p>
    <w:p>
      <w:pPr>
        <w:spacing w:after="0" w:line="357"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3</w:t>
      </w:r>
      <w:r>
        <w:rPr/>
        <w:t>、公司实际控制人情况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薛向东及其家族成员</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
              <w:jc w:val="both"/>
              <w:rPr>
                <w:rFonts w:ascii="宋体" w:hAnsi="宋体" w:cs="宋体" w:eastAsia="宋体" w:hint="default"/>
                <w:sz w:val="18"/>
                <w:szCs w:val="18"/>
              </w:rPr>
            </w:pPr>
            <w:r>
              <w:rPr>
                <w:rFonts w:ascii="宋体" w:hAnsi="宋体" w:cs="宋体" w:eastAsia="宋体" w:hint="default"/>
                <w:spacing w:val="-1"/>
                <w:sz w:val="18"/>
                <w:szCs w:val="18"/>
              </w:rPr>
              <w:t>薛向东先生最近五年一直担任本公司董事长，除此之外现任本公司控股股东北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京东华诚信电脑科技发展有限公司董事，本公司全资子公司北京东华合创科技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有限公司、北京东华合创香港有限公司、东华软件工程有限公司、东华合创软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件有限公司、北京东华易时科技有限公司、北京东华信息技术有限公司、东华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星联科技有限公司董事长，全资子公司广州东华合创数码科技有限公司、泰安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东华合创软件有限公司、北京厚盾科技有限公司、东华软件技术有限公司、东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华合创科技有限公司、北京东华厚盾软件有限公司、山西东华软件有限公司、 </w:t>
            </w:r>
            <w:r>
              <w:rPr>
                <w:rFonts w:ascii="宋体" w:hAnsi="宋体" w:cs="宋体" w:eastAsia="宋体" w:hint="default"/>
                <w:spacing w:val="-1"/>
                <w:sz w:val="18"/>
                <w:szCs w:val="18"/>
              </w:rPr>
              <w:t>天津东华博雅有限公司执行董事，控股子公司北京联银通科技有限公司、全资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子公司哈尔滨东华软件有限公司董事。</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实际控制人报告期内变更</w:t>
      </w:r>
    </w:p>
    <w:p>
      <w:pPr>
        <w:pStyle w:val="BodyText"/>
        <w:spacing w:line="360" w:lineRule="auto" w:before="116"/>
        <w:ind w:right="5812"/>
        <w:jc w:val="left"/>
      </w:pPr>
      <w:r>
        <w:rPr/>
        <w:pict>
          <v:group style="position:absolute;margin-left:91.400002pt;margin-top:92.909668pt;width:403.75pt;height:202.55pt;mso-position-horizontal-relative:page;mso-position-vertical-relative:paragraph;z-index:-903856" coordorigin="1828,1858" coordsize="8075,4051">
            <v:shape style="position:absolute;left:2473;top:1895;width:1125;height:435" type="#_x0000_t75" stroked="false">
              <v:imagedata r:id="rId18" o:title=""/>
            </v:shape>
            <v:shape style="position:absolute;left:1828;top:5369;width:8070;height:525" type="#_x0000_t75" stroked="false">
              <v:imagedata r:id="rId19" o:title=""/>
            </v:shape>
            <v:group style="position:absolute;left:2977;top:2320;width:120;height:3064" coordorigin="2977,2320" coordsize="120,3064">
              <v:shape style="position:absolute;left:2977;top:2320;width:120;height:3064" coordorigin="2977,2320" coordsize="120,3064" path="m3027,5264l2977,5264,3037,5384,3082,5294,3031,5294,3027,5290,3027,5264xe" filled="true" fillcolor="#000000" stroked="false">
                <v:path arrowok="t"/>
                <v:fill type="solid"/>
              </v:shape>
              <v:shape style="position:absolute;left:2977;top:2320;width:120;height:3064" coordorigin="2977,2320" coordsize="120,3064" path="m3042,2320l3030,2320,3026,2324,3027,5290,3031,5294,3042,5294,3047,5290,3046,2330,3046,2324,3042,2320xe" filled="true" fillcolor="#000000" stroked="false">
                <v:path arrowok="t"/>
                <v:fill type="solid"/>
              </v:shape>
              <v:shape style="position:absolute;left:2977;top:2320;width:120;height:3064" coordorigin="2977,2320" coordsize="120,3064" path="m3097,5264l3047,5264,3047,5290,3042,5294,3082,5294,3097,5264xe" filled="true" fillcolor="#000000" stroked="false">
                <v:path arrowok="t"/>
                <v:fill type="solid"/>
              </v:shape>
              <v:shape style="position:absolute;left:4166;top:1910;width:1110;height:435" type="#_x0000_t75" stroked="false">
                <v:imagedata r:id="rId20" o:title=""/>
              </v:shape>
            </v:group>
            <v:group style="position:absolute;left:6243;top:1950;width:1110;height:435" coordorigin="6243,1950" coordsize="1110,435">
              <v:shape style="position:absolute;left:6243;top:1950;width:1110;height:435" coordorigin="6243,1950" coordsize="1110,435" path="m6243,2385l7353,2385,7353,1950,6243,1950,6243,2385xe" filled="true" fillcolor="#233e5f" stroked="false">
                <v:path arrowok="t"/>
                <v:fill opacity="32896f" type="solid"/>
              </v:shape>
              <v:shape style="position:absolute;left:6223;top:1910;width:1110;height:435" type="#_x0000_t75" stroked="false">
                <v:imagedata r:id="rId20" o:title=""/>
              </v:shape>
            </v:group>
            <v:group style="position:absolute;left:6223;top:1910;width:1110;height:435" coordorigin="6223,1910" coordsize="1110,435">
              <v:shape style="position:absolute;left:6223;top:1910;width:1110;height:435" coordorigin="6223,1910" coordsize="1110,435" path="m6223,2345l7333,2345,7333,1910,6223,1910,6223,2345xe" filled="false" stroked="true" strokeweight="1pt" strokecolor="#94b3d6">
                <v:path arrowok="t"/>
              </v:shape>
            </v:group>
            <v:group style="position:absolute;left:8311;top:1950;width:1110;height:435" coordorigin="8311,1950" coordsize="1110,435">
              <v:shape style="position:absolute;left:8311;top:1950;width:1110;height:435" coordorigin="8311,1950" coordsize="1110,435" path="m8311,2385l9421,2385,9421,1950,8311,1950,8311,2385xe" filled="true" fillcolor="#233e5f" stroked="false">
                <v:path arrowok="t"/>
                <v:fill opacity="32896f" type="solid"/>
              </v:shape>
              <v:shape style="position:absolute;left:8291;top:1910;width:1110;height:435" type="#_x0000_t75" stroked="false">
                <v:imagedata r:id="rId20" o:title=""/>
              </v:shape>
            </v:group>
            <v:group style="position:absolute;left:8291;top:1910;width:1110;height:435" coordorigin="8291,1910" coordsize="1110,435">
              <v:shape style="position:absolute;left:8291;top:1910;width:1110;height:435" coordorigin="8291,1910" coordsize="1110,435" path="m8291,2345l9401,2345,9401,1910,8291,1910,8291,2345xe" filled="false" stroked="true" strokeweight="1pt" strokecolor="#94b3d6">
                <v:path arrowok="t"/>
              </v:shape>
              <v:shape style="position:absolute;left:4166;top:2774;width:1110;height:435" type="#_x0000_t75" stroked="false">
                <v:imagedata r:id="rId21" o:title=""/>
              </v:shape>
              <v:shape style="position:absolute;left:4151;top:3659;width:1110;height:435" type="#_x0000_t75" stroked="false">
                <v:imagedata r:id="rId20" o:title=""/>
              </v:shape>
            </v:group>
            <v:group style="position:absolute;left:6243;top:2814;width:1125;height:435" coordorigin="6243,2814" coordsize="1125,435">
              <v:shape style="position:absolute;left:6243;top:2814;width:1125;height:435" coordorigin="6243,2814" coordsize="1125,435" path="m6243,3249l7368,3249,7368,2814,6243,2814,6243,3249xe" filled="true" fillcolor="#233e5f" stroked="false">
                <v:path arrowok="t"/>
                <v:fill opacity="32896f" type="solid"/>
              </v:shape>
              <v:shape style="position:absolute;left:6223;top:2774;width:1125;height:435" type="#_x0000_t75" stroked="false">
                <v:imagedata r:id="rId22" o:title=""/>
              </v:shape>
            </v:group>
            <v:group style="position:absolute;left:6223;top:2774;width:1125;height:435" coordorigin="6223,2774" coordsize="1125,435">
              <v:shape style="position:absolute;left:6223;top:2774;width:1125;height:435" coordorigin="6223,2774" coordsize="1125,435" path="m6223,3209l7348,3209,7348,2774,6223,2774,6223,3209xe" filled="false" stroked="true" strokeweight="1pt" strokecolor="#94b3d6">
                <v:path arrowok="t"/>
              </v:shape>
            </v:group>
            <v:group style="position:absolute;left:8311;top:2814;width:1110;height:435" coordorigin="8311,2814" coordsize="1110,435">
              <v:shape style="position:absolute;left:8311;top:2814;width:1110;height:435" coordorigin="8311,2814" coordsize="1110,435" path="m8311,3249l9421,3249,9421,2814,8311,2814,8311,3249xe" filled="true" fillcolor="#233e5f" stroked="false">
                <v:path arrowok="t"/>
                <v:fill opacity="32896f" type="solid"/>
              </v:shape>
              <v:shape style="position:absolute;left:8291;top:2774;width:1110;height:435" type="#_x0000_t75" stroked="false">
                <v:imagedata r:id="rId23" o:title=""/>
              </v:shape>
            </v:group>
            <v:group style="position:absolute;left:8291;top:2774;width:1110;height:435" coordorigin="8291,2774" coordsize="1110,435">
              <v:shape style="position:absolute;left:8291;top:2774;width:1110;height:435" coordorigin="8291,2774" coordsize="1110,435" path="m8291,3209l9401,3209,9401,2774,8291,2774,8291,3209xe" filled="false" stroked="true" strokeweight="1pt" strokecolor="#94b3d6">
                <v:path arrowok="t"/>
              </v:shape>
              <v:shape style="position:absolute;left:3901;top:4319;width:1820;height:435" type="#_x0000_t75" stroked="false">
                <v:imagedata r:id="rId24" o:title=""/>
              </v:shape>
            </v:group>
            <v:group style="position:absolute;left:5266;top:2118;width:485;height:2171" coordorigin="5266,2118" coordsize="485,2171">
              <v:shape style="position:absolute;left:5266;top:2118;width:485;height:2171" coordorigin="5266,2118" coordsize="485,2171" path="m5681,4169l5631,4169,5691,4289,5736,4199,5685,4199,5681,4195,5681,4169xe" filled="true" fillcolor="#000000" stroked="false">
                <v:path arrowok="t"/>
                <v:fill type="solid"/>
              </v:shape>
              <v:shape style="position:absolute;left:5266;top:2118;width:485;height:2171" coordorigin="5266,2118" coordsize="485,2171" path="m5681,2128l5681,4195,5685,4199,5697,4199,5701,4195,5701,2138,5691,2138,5681,2128xe" filled="true" fillcolor="#000000" stroked="false">
                <v:path arrowok="t"/>
                <v:fill type="solid"/>
              </v:shape>
              <v:shape style="position:absolute;left:5266;top:2118;width:485;height:2171" coordorigin="5266,2118" coordsize="485,2171" path="m5751,4169l5701,4169,5701,4195,5697,4199,5736,4199,5751,4169xe" filled="true" fillcolor="#000000" stroked="false">
                <v:path arrowok="t"/>
                <v:fill type="solid"/>
              </v:shape>
              <v:shape style="position:absolute;left:5266;top:2118;width:485;height:2171" coordorigin="5266,2118" coordsize="485,2171" path="m5697,2118l5270,2118,5266,2122,5266,2134,5270,2138,5681,2138,5681,2128,5701,2128,5701,2122,5697,2118xe" filled="true" fillcolor="#000000" stroked="false">
                <v:path arrowok="t"/>
                <v:fill type="solid"/>
              </v:shape>
              <v:shape style="position:absolute;left:5266;top:2118;width:485;height:2171" coordorigin="5266,2118" coordsize="485,2171" path="m5701,2128l5681,2128,5691,2138,5701,2138,5701,2128xe" filled="true" fillcolor="#000000" stroked="false">
                <v:path arrowok="t"/>
                <v:fill type="solid"/>
              </v:shape>
            </v:group>
            <v:group style="position:absolute;left:5276;top:2978;width:415;height:14" coordorigin="5276,2978" coordsize="415,14">
              <v:shape style="position:absolute;left:5276;top:2978;width:415;height:14" coordorigin="5276,2978" coordsize="415,14" path="m5276,2992l5691,2978e" filled="false" stroked="true" strokeweight=".75pt" strokecolor="#000000">
                <v:path arrowok="t"/>
              </v:shape>
            </v:group>
            <v:group style="position:absolute;left:4753;top:4744;width:120;height:625" coordorigin="4753,4744" coordsize="120,625">
              <v:shape style="position:absolute;left:4753;top:4744;width:120;height:625" coordorigin="4753,4744" coordsize="120,625" path="m4803,5249l4753,5249,4813,5369,4858,5279,4807,5279,4803,5275,4803,5249xe" filled="true" fillcolor="#000000" stroked="false">
                <v:path arrowok="t"/>
                <v:fill type="solid"/>
              </v:shape>
              <v:shape style="position:absolute;left:4753;top:4744;width:120;height:625" coordorigin="4753,4744" coordsize="120,625" path="m4823,5249l4803,5249,4803,5275,4807,5279,4818,5279,4822,5275,4823,5249xe" filled="true" fillcolor="#000000" stroked="false">
                <v:path arrowok="t"/>
                <v:fill type="solid"/>
              </v:shape>
              <v:shape style="position:absolute;left:4753;top:4744;width:120;height:625" coordorigin="4753,4744" coordsize="120,625" path="m4873,5249l4823,5249,4822,5275,4818,5279,4858,5279,4873,5249xe" filled="true" fillcolor="#000000" stroked="false">
                <v:path arrowok="t"/>
                <v:fill type="solid"/>
              </v:shape>
              <v:shape style="position:absolute;left:4753;top:4744;width:120;height:625" coordorigin="4753,4744" coordsize="120,625" path="m4816,4744l4805,4744,4801,4748,4801,4754,4803,5249,4823,5249,4821,4754,4821,4748,4816,4744xe" filled="true" fillcolor="#000000" stroked="false">
                <v:path arrowok="t"/>
                <v:fill type="solid"/>
              </v:shape>
              <v:shape style="position:absolute;left:5983;top:4289;width:1770;height:435" type="#_x0000_t75" stroked="false">
                <v:imagedata r:id="rId25" o:title=""/>
              </v:shape>
              <v:shape style="position:absolute;left:8053;top:4319;width:1745;height:435" type="#_x0000_t75" stroked="false">
                <v:imagedata r:id="rId26" o:title=""/>
              </v:shape>
            </v:group>
            <v:group style="position:absolute;left:7348;top:2992;width:405;height:2" coordorigin="7348,2992" coordsize="405,2">
              <v:shape style="position:absolute;left:7348;top:2992;width:405;height:2" coordorigin="7348,2992" coordsize="405,1" path="m7348,2992l7753,2993e" filled="false" stroked="true" strokeweight=".75pt" strokecolor="#000000">
                <v:path arrowok="t"/>
              </v:shape>
            </v:group>
            <v:group style="position:absolute;left:6796;top:4714;width:120;height:656" coordorigin="6796,4714" coordsize="120,656">
              <v:shape style="position:absolute;left:6796;top:4714;width:120;height:656" coordorigin="6796,4714" coordsize="120,656" path="m6796,5248l6853,5369,6901,5279,6861,5279,6850,5279,6845,5274,6845,5269,6846,5249,6796,5248xe" filled="true" fillcolor="#000000" stroked="false">
                <v:path arrowok="t"/>
                <v:fill type="solid"/>
              </v:shape>
              <v:shape style="position:absolute;left:6796;top:4714;width:120;height:656" coordorigin="6796,4714" coordsize="120,656" path="m6846,5249l6845,5269,6845,5274,6850,5279,6861,5279,6865,5275,6865,5269,6866,5249,6846,5249xe" filled="true" fillcolor="#000000" stroked="false">
                <v:path arrowok="t"/>
                <v:fill type="solid"/>
              </v:shape>
              <v:shape style="position:absolute;left:6796;top:4714;width:120;height:656" coordorigin="6796,4714" coordsize="120,656" path="m6866,5249l6865,5269,6865,5275,6861,5279,6901,5279,6916,5250,6866,5249xe" filled="true" fillcolor="#000000" stroked="false">
                <v:path arrowok="t"/>
                <v:fill type="solid"/>
              </v:shape>
              <v:shape style="position:absolute;left:6796;top:4714;width:120;height:656" coordorigin="6796,4714" coordsize="120,656" path="m6863,4714l6858,4718,6858,4724,6846,5249,6866,5249,6878,4724,6878,4719,6874,4714,6863,4714xe" filled="true" fillcolor="#000000" stroked="false">
                <v:path arrowok="t"/>
                <v:fill type="solid"/>
              </v:shape>
            </v:group>
            <v:group style="position:absolute;left:8941;top:4744;width:120;height:626" coordorigin="8941,4744" coordsize="120,626">
              <v:shape style="position:absolute;left:8941;top:4744;width:120;height:626" coordorigin="8941,4744" coordsize="120,626" path="m8991,5249l8941,5251,9005,5369,9046,5279,8996,5279,8992,5275,8991,5249xe" filled="true" fillcolor="#000000" stroked="false">
                <v:path arrowok="t"/>
                <v:fill type="solid"/>
              </v:shape>
              <v:shape style="position:absolute;left:8941;top:4744;width:120;height:626" coordorigin="8941,4744" coordsize="120,626" path="m9011,5249l8991,5249,8992,5275,8996,5279,9007,5279,9012,5274,9011,5249xe" filled="true" fillcolor="#000000" stroked="false">
                <v:path arrowok="t"/>
                <v:fill type="solid"/>
              </v:shape>
              <v:shape style="position:absolute;left:8941;top:4744;width:120;height:626" coordorigin="8941,4744" coordsize="120,626" path="m9061,5247l9011,5249,9012,5274,9007,5279,8996,5279,9046,5279,9061,5247xe" filled="true" fillcolor="#000000" stroked="false">
                <v:path arrowok="t"/>
                <v:fill type="solid"/>
              </v:shape>
              <v:shape style="position:absolute;left:8941;top:4744;width:120;height:626" coordorigin="8941,4744" coordsize="120,626" path="m8988,4744l8977,4744,8973,4749,8991,5249,9011,5249,8993,4748,8988,4744xe" filled="true" fillcolor="#000000" stroked="false">
                <v:path arrowok="t"/>
                <v:fill type="solid"/>
              </v:shape>
            </v:group>
            <v:group style="position:absolute;left:9401;top:2992;width:350;height:2" coordorigin="9401,2992" coordsize="350,2">
              <v:shape style="position:absolute;left:9401;top:2992;width:350;height:2" coordorigin="9401,2992" coordsize="350,1" path="m9401,2992l9751,2993e" filled="false" stroked="true" strokeweight=".75pt" strokecolor="#000000">
                <v:path arrowok="t"/>
              </v:shape>
            </v:group>
            <v:group style="position:absolute;left:7690;top:2088;width:120;height:2201" coordorigin="7690,2088" coordsize="120,2201">
              <v:shape style="position:absolute;left:7690;top:2088;width:120;height:2201" coordorigin="7690,2088" coordsize="120,2201" path="m7740,4169l7690,4169,7750,4289,7795,4199,7744,4199,7740,4195,7740,4169xe" filled="true" fillcolor="#000000" stroked="false">
                <v:path arrowok="t"/>
                <v:fill type="solid"/>
              </v:shape>
              <v:shape style="position:absolute;left:7690;top:2088;width:120;height:2201" coordorigin="7690,2088" coordsize="120,2201" path="m7754,2088l7742,2088,7738,2092,7740,4195,7744,4199,7755,4199,7760,4195,7758,2098,7758,2092,7754,2088xe" filled="true" fillcolor="#000000" stroked="false">
                <v:path arrowok="t"/>
                <v:fill type="solid"/>
              </v:shape>
              <v:shape style="position:absolute;left:7690;top:2088;width:120;height:2201" coordorigin="7690,2088" coordsize="120,2201" path="m7810,4169l7760,4169,7760,4195,7755,4199,7795,4199,7810,4169xe" filled="true" fillcolor="#000000" stroked="false">
                <v:path arrowok="t"/>
                <v:fill type="solid"/>
              </v:shape>
            </v:group>
            <v:group style="position:absolute;left:7333;top:2113;width:415;height:2" coordorigin="7333,2113" coordsize="415,2">
              <v:shape style="position:absolute;left:7333;top:2113;width:415;height:2" coordorigin="7333,2113" coordsize="415,1" path="m7333,2113l7748,2114e" filled="false" stroked="true" strokeweight=".75pt" strokecolor="#000000">
                <v:path arrowok="t"/>
              </v:shape>
            </v:group>
            <v:group style="position:absolute;left:9721;top:2119;width:120;height:2173" coordorigin="9721,2119" coordsize="120,2173">
              <v:shape style="position:absolute;left:9721;top:2119;width:120;height:2173" coordorigin="9721,2119" coordsize="120,2173" path="m9771,4172l9721,4173,9783,4292,9826,4202,9776,4202,9772,4198,9772,4192,9771,4172xe" filled="true" fillcolor="#000000" stroked="false">
                <v:path arrowok="t"/>
                <v:fill type="solid"/>
              </v:shape>
              <v:shape style="position:absolute;left:9721;top:2119;width:120;height:2173" coordorigin="9721,2119" coordsize="120,2173" path="m9791,4172l9771,4172,9772,4192,9772,4198,9776,4202,9787,4202,9791,4198,9792,4192,9791,4172xe" filled="true" fillcolor="#000000" stroked="false">
                <v:path arrowok="t"/>
                <v:fill type="solid"/>
              </v:shape>
              <v:shape style="position:absolute;left:9721;top:2119;width:120;height:2173" coordorigin="9721,2119" coordsize="120,2173" path="m9841,4171l9791,4172,9791,4198,9787,4202,9826,4202,9841,4171xe" filled="true" fillcolor="#000000" stroked="false">
                <v:path arrowok="t"/>
                <v:fill type="solid"/>
              </v:shape>
              <v:shape style="position:absolute;left:9721;top:2119;width:120;height:2173" coordorigin="9721,2119" coordsize="120,2173" path="m9756,2119l9745,2119,9741,2123,9741,2129,9771,4172,9791,4172,9761,2129,9761,2123,9756,2119xe" filled="true" fillcolor="#000000" stroked="false">
                <v:path arrowok="t"/>
                <v:fill type="solid"/>
              </v:shape>
            </v:group>
            <v:group style="position:absolute;left:9401;top:2128;width:350;height:2" coordorigin="9401,2128" coordsize="350,2">
              <v:shape style="position:absolute;left:9401;top:2128;width:350;height:2" coordorigin="9401,2128" coordsize="350,1" path="m9401,2128l9751,2129e" filled="false" stroked="true" strokeweight=".75pt" strokecolor="#000000">
                <v:path arrowok="t"/>
              </v:shape>
              <v:shape style="position:absolute;left:6228;top:1925;width:1110;height:435" type="#_x0000_t202" filled="false" stroked="false">
                <v:textbox inset="0,0,0,0">
                  <w:txbxContent>
                    <w:p>
                      <w:pPr>
                        <w:spacing w:before="118"/>
                        <w:ind w:left="280"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8296;top:1925;width:1110;height:435" type="#_x0000_t202" filled="false" stroked="false">
                <v:textbox inset="0,0,0,0">
                  <w:txbxContent>
                    <w:p>
                      <w:pPr>
                        <w:spacing w:before="118"/>
                        <w:ind w:left="281"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6228;top:2789;width:1125;height:435" type="#_x0000_t202" filled="false" stroked="false">
                <v:textbox inset="0,0,0,0">
                  <w:txbxContent>
                    <w:p>
                      <w:pPr>
                        <w:spacing w:before="118"/>
                        <w:ind w:left="287" w:right="0" w:firstLine="0"/>
                        <w:jc w:val="left"/>
                        <w:rPr>
                          <w:rFonts w:ascii="宋体" w:hAnsi="宋体" w:cs="宋体" w:eastAsia="宋体" w:hint="default"/>
                          <w:sz w:val="18"/>
                          <w:szCs w:val="18"/>
                        </w:rPr>
                      </w:pPr>
                      <w:r>
                        <w:rPr>
                          <w:rFonts w:ascii="宋体" w:hAnsi="宋体" w:cs="宋体" w:eastAsia="宋体" w:hint="default"/>
                          <w:sz w:val="18"/>
                          <w:szCs w:val="18"/>
                        </w:rPr>
                        <w:t>郭玉梅</w:t>
                      </w:r>
                    </w:p>
                  </w:txbxContent>
                </v:textbox>
                <w10:wrap type="none"/>
              </v:shape>
              <v:shape style="position:absolute;left:8296;top:2789;width:1110;height:435" type="#_x0000_t202" filled="false" stroked="false">
                <v:textbox inset="0,0,0,0">
                  <w:txbxContent>
                    <w:p>
                      <w:pPr>
                        <w:spacing w:before="118"/>
                        <w:ind w:left="281" w:right="0" w:firstLine="0"/>
                        <w:jc w:val="left"/>
                        <w:rPr>
                          <w:rFonts w:ascii="宋体" w:hAnsi="宋体" w:cs="宋体" w:eastAsia="宋体" w:hint="default"/>
                          <w:sz w:val="18"/>
                          <w:szCs w:val="18"/>
                        </w:rPr>
                      </w:pPr>
                      <w:r>
                        <w:rPr>
                          <w:rFonts w:ascii="宋体" w:hAnsi="宋体" w:cs="宋体" w:eastAsia="宋体" w:hint="default"/>
                          <w:sz w:val="18"/>
                          <w:szCs w:val="18"/>
                        </w:rPr>
                        <w:t>郭玉梅</w:t>
                      </w:r>
                    </w:p>
                  </w:txbxContent>
                </v:textbox>
                <w10:wrap type="none"/>
              </v:shape>
              <v:shape style="position:absolute;left:5331;top:1880;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v:shape style="position:absolute;left:7398;top:1858;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v:shape style="position:absolute;left:9449;top:1881;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v:shape style="position:absolute;left:5308;top:2745;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w:t>
                      </w:r>
                    </w:p>
                  </w:txbxContent>
                </v:textbox>
                <w10:wrap type="none"/>
              </v:shape>
              <v:shape style="position:absolute;left:7368;top:2731;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v:shape style="position:absolute;left:9391;top:2745;width:33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w:t>
                      </w:r>
                    </w:p>
                  </w:txbxContent>
                </v:textbox>
                <w10:wrap type="none"/>
              </v:shape>
              <v:shape style="position:absolute;left:3240;top:4941;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12.62%</w:t>
                      </w:r>
                    </w:p>
                  </w:txbxContent>
                </v:textbox>
                <w10:wrap type="none"/>
              </v:shape>
              <v:shape style="position:absolute;left:4956;top:4987;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20.99%</w:t>
                      </w:r>
                    </w:p>
                  </w:txbxContent>
                </v:textbox>
                <w10:wrap type="none"/>
              </v:shape>
              <v:shape style="position:absolute;left:6946;top:4987;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10.76%</w:t>
                      </w:r>
                    </w:p>
                  </w:txbxContent>
                </v:textbox>
                <w10:wrap type="none"/>
              </v:shape>
              <v:shape style="position:absolute;left:9150;top:4987;width:4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4.59%</w:t>
                      </w:r>
                    </w:p>
                  </w:txbxContent>
                </v:textbox>
                <w10:wrap type="none"/>
              </v:shape>
              <v:shape style="position:absolute;left:2478;top:1910;width:1125;height:435" type="#_x0000_t202" filled="false" stroked="true" strokeweight="1pt" strokecolor="#94b3d6">
                <v:textbox inset="0,0,0,0">
                  <w:txbxContent>
                    <w:p>
                      <w:pPr>
                        <w:spacing w:before="109"/>
                        <w:ind w:left="277"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4171;top:1925;width:1110;height:435" type="#_x0000_t202" filled="false" stroked="true" strokeweight="1pt" strokecolor="#94b3d6">
                <v:textbox inset="0,0,0,0">
                  <w:txbxContent>
                    <w:p>
                      <w:pPr>
                        <w:spacing w:before="108"/>
                        <w:ind w:left="270" w:right="0" w:firstLine="0"/>
                        <w:jc w:val="left"/>
                        <w:rPr>
                          <w:rFonts w:ascii="宋体" w:hAnsi="宋体" w:cs="宋体" w:eastAsia="宋体" w:hint="default"/>
                          <w:sz w:val="18"/>
                          <w:szCs w:val="18"/>
                        </w:rPr>
                      </w:pPr>
                      <w:r>
                        <w:rPr>
                          <w:rFonts w:ascii="宋体" w:hAnsi="宋体" w:cs="宋体" w:eastAsia="宋体" w:hint="default"/>
                          <w:sz w:val="18"/>
                          <w:szCs w:val="18"/>
                        </w:rPr>
                        <w:t>薛向东</w:t>
                      </w:r>
                    </w:p>
                  </w:txbxContent>
                </v:textbox>
                <w10:wrap type="none"/>
              </v:shape>
              <v:shape style="position:absolute;left:4171;top:2789;width:1110;height:435" type="#_x0000_t202" filled="false" stroked="true" strokeweight="1pt" strokecolor="#94b3d6">
                <v:textbox inset="0,0,0,0">
                  <w:txbxContent>
                    <w:p>
                      <w:pPr>
                        <w:spacing w:before="108"/>
                        <w:ind w:left="270" w:right="0" w:firstLine="0"/>
                        <w:jc w:val="left"/>
                        <w:rPr>
                          <w:rFonts w:ascii="宋体" w:hAnsi="宋体" w:cs="宋体" w:eastAsia="宋体" w:hint="default"/>
                          <w:sz w:val="18"/>
                          <w:szCs w:val="18"/>
                        </w:rPr>
                      </w:pPr>
                      <w:r>
                        <w:rPr>
                          <w:rFonts w:ascii="宋体" w:hAnsi="宋体" w:cs="宋体" w:eastAsia="宋体" w:hint="default"/>
                          <w:sz w:val="18"/>
                          <w:szCs w:val="18"/>
                        </w:rPr>
                        <w:t>郭玉梅</w:t>
                      </w:r>
                    </w:p>
                  </w:txbxContent>
                </v:textbox>
                <w10:wrap type="none"/>
              </v:shape>
              <v:shape style="position:absolute;left:3906;top:4334;width:1820;height:435" type="#_x0000_t202" filled="false" stroked="true" strokeweight="1pt" strokecolor="#94b3d6">
                <v:textbox inset="0,0,0,0">
                  <w:txbxContent>
                    <w:p>
                      <w:pPr>
                        <w:spacing w:before="109"/>
                        <w:ind w:left="535" w:right="0" w:firstLine="0"/>
                        <w:jc w:val="left"/>
                        <w:rPr>
                          <w:rFonts w:ascii="宋体" w:hAnsi="宋体" w:cs="宋体" w:eastAsia="宋体" w:hint="default"/>
                          <w:sz w:val="18"/>
                          <w:szCs w:val="18"/>
                        </w:rPr>
                      </w:pPr>
                      <w:r>
                        <w:rPr>
                          <w:rFonts w:ascii="宋体" w:hAnsi="宋体" w:cs="宋体" w:eastAsia="宋体" w:hint="default"/>
                          <w:sz w:val="18"/>
                          <w:szCs w:val="18"/>
                        </w:rPr>
                        <w:t>诚信电脑</w:t>
                      </w:r>
                    </w:p>
                  </w:txbxContent>
                </v:textbox>
                <w10:wrap type="none"/>
              </v:shape>
              <v:shape style="position:absolute;left:5988;top:4304;width:1770;height:435" type="#_x0000_t202" filled="false" stroked="true" strokeweight="1pt" strokecolor="#94b3d6">
                <v:textbox inset="0,0,0,0">
                  <w:txbxContent>
                    <w:p>
                      <w:pPr>
                        <w:spacing w:before="109"/>
                        <w:ind w:left="510" w:right="0" w:firstLine="0"/>
                        <w:jc w:val="left"/>
                        <w:rPr>
                          <w:rFonts w:ascii="宋体" w:hAnsi="宋体" w:cs="宋体" w:eastAsia="宋体" w:hint="default"/>
                          <w:sz w:val="18"/>
                          <w:szCs w:val="18"/>
                        </w:rPr>
                      </w:pPr>
                      <w:r>
                        <w:rPr>
                          <w:rFonts w:ascii="宋体" w:hAnsi="宋体" w:cs="宋体" w:eastAsia="宋体" w:hint="default"/>
                          <w:sz w:val="18"/>
                          <w:szCs w:val="18"/>
                        </w:rPr>
                        <w:t>工业设备</w:t>
                      </w:r>
                    </w:p>
                  </w:txbxContent>
                </v:textbox>
                <w10:wrap type="none"/>
              </v:shape>
              <v:shape style="position:absolute;left:8058;top:4334;width:1745;height:435" type="#_x0000_t202" filled="false" stroked="true" strokeweight="1pt" strokecolor="#94b3d6">
                <v:textbox inset="0,0,0,0">
                  <w:txbxContent>
                    <w:p>
                      <w:pPr>
                        <w:spacing w:before="109"/>
                        <w:ind w:left="498" w:right="0" w:firstLine="0"/>
                        <w:jc w:val="left"/>
                        <w:rPr>
                          <w:rFonts w:ascii="宋体" w:hAnsi="宋体" w:cs="宋体" w:eastAsia="宋体" w:hint="default"/>
                          <w:sz w:val="18"/>
                          <w:szCs w:val="18"/>
                        </w:rPr>
                      </w:pPr>
                      <w:r>
                        <w:rPr>
                          <w:rFonts w:ascii="宋体" w:hAnsi="宋体" w:cs="宋体" w:eastAsia="宋体" w:hint="default"/>
                          <w:sz w:val="18"/>
                          <w:szCs w:val="18"/>
                        </w:rPr>
                        <w:t>合创电商</w:t>
                      </w:r>
                    </w:p>
                  </w:txbxContent>
                </v:textbox>
                <w10:wrap type="none"/>
              </v:shape>
              <v:shape style="position:absolute;left:1833;top:5384;width:8070;height:525" type="#_x0000_t202" filled="false" stroked="true" strokeweight="1pt" strokecolor="#94b3d6">
                <v:textbox inset="0,0,0,0">
                  <w:txbxContent>
                    <w:p>
                      <w:pPr>
                        <w:spacing w:before="109"/>
                        <w:ind w:left="0" w:right="7" w:firstLine="0"/>
                        <w:jc w:val="center"/>
                        <w:rPr>
                          <w:rFonts w:ascii="宋体" w:hAnsi="宋体" w:cs="宋体" w:eastAsia="宋体" w:hint="default"/>
                          <w:sz w:val="18"/>
                          <w:szCs w:val="18"/>
                        </w:rPr>
                      </w:pPr>
                      <w:r>
                        <w:rPr>
                          <w:rFonts w:ascii="宋体" w:hAnsi="宋体" w:cs="宋体" w:eastAsia="宋体" w:hint="default"/>
                          <w:sz w:val="18"/>
                          <w:szCs w:val="18"/>
                        </w:rPr>
                        <w:t>东华软件股份公司</w:t>
                      </w:r>
                    </w:p>
                  </w:txbxContent>
                </v:textbox>
                <w10:wrap type="none"/>
              </v:shape>
            </v:group>
            <w10:wrap type="none"/>
          </v:group>
        </w:pict>
      </w:r>
      <w:r>
        <w:rPr/>
        <w:t>□ 适用 √ 不适用 公司报告期实际控制人未发生变更。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tbl>
      <w:tblPr>
        <w:tblW w:w="0" w:type="auto"/>
        <w:jc w:val="left"/>
        <w:tblInd w:w="3166" w:type="dxa"/>
        <w:tblLayout w:type="fixed"/>
        <w:tblCellMar>
          <w:top w:w="0" w:type="dxa"/>
          <w:left w:w="0" w:type="dxa"/>
          <w:bottom w:w="0" w:type="dxa"/>
          <w:right w:w="0" w:type="dxa"/>
        </w:tblCellMar>
        <w:tblLook w:val="01E0"/>
      </w:tblPr>
      <w:tblGrid>
        <w:gridCol w:w="1110"/>
        <w:gridCol w:w="433"/>
      </w:tblGrid>
      <w:tr>
        <w:trPr>
          <w:trHeight w:val="203" w:hRule="exact"/>
        </w:trPr>
        <w:tc>
          <w:tcPr>
            <w:tcW w:w="1110" w:type="dxa"/>
            <w:vMerge w:val="restart"/>
            <w:tcBorders>
              <w:top w:val="single" w:sz="8" w:space="0" w:color="94B3D6"/>
              <w:left w:val="single" w:sz="8" w:space="0" w:color="94B3D6"/>
              <w:right w:val="single" w:sz="8" w:space="0" w:color="94B3D6"/>
            </w:tcBorders>
          </w:tcPr>
          <w:p>
            <w:pPr>
              <w:pStyle w:val="TableParagraph"/>
              <w:spacing w:line="240" w:lineRule="auto" w:before="109"/>
              <w:ind w:left="270" w:right="0"/>
              <w:jc w:val="left"/>
              <w:rPr>
                <w:rFonts w:ascii="宋体" w:hAnsi="宋体" w:cs="宋体" w:eastAsia="宋体" w:hint="default"/>
                <w:sz w:val="18"/>
                <w:szCs w:val="18"/>
              </w:rPr>
            </w:pPr>
            <w:r>
              <w:rPr>
                <w:rFonts w:ascii="宋体" w:hAnsi="宋体" w:cs="宋体" w:eastAsia="宋体" w:hint="default"/>
                <w:sz w:val="18"/>
                <w:szCs w:val="18"/>
              </w:rPr>
              <w:t>薛  坤</w:t>
            </w:r>
          </w:p>
        </w:tc>
        <w:tc>
          <w:tcPr>
            <w:tcW w:w="433" w:type="dxa"/>
            <w:tcBorders>
              <w:top w:val="nil" w:sz="6" w:space="0" w:color="auto"/>
              <w:left w:val="single" w:sz="8" w:space="0" w:color="94B3D6"/>
              <w:bottom w:val="single" w:sz="6" w:space="0" w:color="000000"/>
              <w:right w:val="nil" w:sz="6" w:space="0" w:color="auto"/>
            </w:tcBorders>
          </w:tcPr>
          <w:p>
            <w:pPr>
              <w:pStyle w:val="TableParagraph"/>
              <w:spacing w:line="170" w:lineRule="exact"/>
              <w:ind w:left="11" w:right="0"/>
              <w:jc w:val="left"/>
              <w:rPr>
                <w:rFonts w:ascii="Times New Roman" w:hAnsi="Times New Roman" w:cs="Times New Roman" w:eastAsia="Times New Roman" w:hint="default"/>
                <w:sz w:val="18"/>
                <w:szCs w:val="18"/>
              </w:rPr>
            </w:pPr>
            <w:r>
              <w:rPr>
                <w:rFonts w:ascii="Times New Roman"/>
                <w:sz w:val="18"/>
              </w:rPr>
              <w:t>30%</w:t>
            </w:r>
          </w:p>
        </w:tc>
      </w:tr>
      <w:tr>
        <w:trPr>
          <w:trHeight w:val="232" w:hRule="exact"/>
        </w:trPr>
        <w:tc>
          <w:tcPr>
            <w:tcW w:w="1110" w:type="dxa"/>
            <w:vMerge/>
            <w:tcBorders>
              <w:left w:val="single" w:sz="8" w:space="0" w:color="94B3D6"/>
              <w:bottom w:val="single" w:sz="8" w:space="0" w:color="94B3D6"/>
              <w:right w:val="single" w:sz="8" w:space="0" w:color="94B3D6"/>
            </w:tcBorders>
          </w:tcPr>
          <w:p>
            <w:pPr/>
          </w:p>
        </w:tc>
        <w:tc>
          <w:tcPr>
            <w:tcW w:w="433" w:type="dxa"/>
            <w:tcBorders>
              <w:top w:val="single" w:sz="6" w:space="0" w:color="000000"/>
              <w:left w:val="single" w:sz="8" w:space="0" w:color="94B3D6"/>
              <w:bottom w:val="nil" w:sz="6" w:space="0" w:color="auto"/>
              <w:right w:val="nil" w:sz="6" w:space="0" w:color="auto"/>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实际控制人通过信托或其他资产管理方式控制公司</w:t>
      </w:r>
    </w:p>
    <w:p>
      <w:pPr>
        <w:spacing w:line="240" w:lineRule="auto" w:before="4"/>
        <w:rPr>
          <w:rFonts w:ascii="宋体" w:hAnsi="宋体" w:cs="宋体" w:eastAsia="宋体" w:hint="default"/>
          <w:sz w:val="21"/>
          <w:szCs w:val="21"/>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6"/>
        <w:gridCol w:w="1093"/>
        <w:gridCol w:w="888"/>
        <w:gridCol w:w="1801"/>
        <w:gridCol w:w="1404"/>
        <w:gridCol w:w="2196"/>
      </w:tblGrid>
      <w:tr>
        <w:trPr>
          <w:trHeight w:val="714"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47"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962"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1"/>
              <w:jc w:val="left"/>
              <w:rPr>
                <w:rFonts w:ascii="宋体" w:hAnsi="宋体" w:cs="宋体" w:eastAsia="宋体" w:hint="default"/>
                <w:sz w:val="18"/>
                <w:szCs w:val="18"/>
              </w:rPr>
            </w:pPr>
            <w:r>
              <w:rPr>
                <w:rFonts w:ascii="宋体" w:hAnsi="宋体" w:cs="宋体" w:eastAsia="宋体" w:hint="default"/>
                <w:sz w:val="18"/>
                <w:szCs w:val="18"/>
              </w:rPr>
              <w:t>北京东华诚信工业设备有 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sz w:val="18"/>
              </w:rPr>
              <w:t>80201385-8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35"/>
              <w:jc w:val="right"/>
              <w:rPr>
                <w:rFonts w:ascii="宋体" w:hAnsi="宋体" w:cs="宋体" w:eastAsia="宋体" w:hint="default"/>
                <w:sz w:val="18"/>
                <w:szCs w:val="18"/>
              </w:rPr>
            </w:pPr>
            <w:r>
              <w:rPr>
                <w:rFonts w:ascii="宋体" w:hAnsi="宋体" w:cs="宋体" w:eastAsia="宋体" w:hint="default"/>
                <w:sz w:val="18"/>
                <w:szCs w:val="18"/>
              </w:rPr>
              <w:t>RMB1500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
              <w:jc w:val="both"/>
              <w:rPr>
                <w:rFonts w:ascii="宋体" w:hAnsi="宋体" w:cs="宋体" w:eastAsia="宋体" w:hint="default"/>
                <w:sz w:val="18"/>
                <w:szCs w:val="18"/>
              </w:rPr>
            </w:pPr>
            <w:r>
              <w:rPr>
                <w:rFonts w:ascii="宋体" w:hAnsi="宋体" w:cs="宋体" w:eastAsia="宋体" w:hint="default"/>
                <w:sz w:val="18"/>
                <w:szCs w:val="18"/>
              </w:rPr>
              <w:t>销售机械电器设备、五金交 电、电子元器件、制冷空调 设备、金属材料及开发后的 产品；工业窑炉、自动化控 制系统的技术开发、转让、 咨询、服务。</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752"/>
        <w:jc w:val="left"/>
      </w:pPr>
      <w:r>
        <w:rPr/>
        <w:t>□ 适用 √ 不适用 在公司所知的范围内，没有公司股东及其一致行动人在报告期提出或实施股份增持计划。</w:t>
      </w:r>
    </w:p>
    <w:p>
      <w:pPr>
        <w:spacing w:after="0" w:line="36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7612"/>
        <w:jc w:val="left"/>
      </w:pPr>
      <w:r>
        <w:rPr/>
        <w:t>□ 适用 √ 不适用 报告期公司不存在优先股。</w:t>
      </w:r>
    </w:p>
    <w:p>
      <w:pPr>
        <w:spacing w:after="0" w:line="35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group style="position:absolute;margin-left:143.660004pt;margin-top:274.879974pt;width:43.05pt;height:35.2pt;mso-position-horizontal-relative:page;mso-position-vertical-relative:page;z-index:-903832" coordorigin="2873,5498" coordsize="861,704">
            <v:group style="position:absolute;left:2873;top:5498;width:861;height:704" coordorigin="2873,5498" coordsize="861,704">
              <v:shape style="position:absolute;left:2873;top:5498;width:861;height:704" coordorigin="2873,5498" coordsize="861,704" path="m2873,6201l3734,6201,3734,5498,2873,5498,2873,6201xe" filled="true" fillcolor="#ffffff" stroked="false">
                <v:path arrowok="t"/>
                <v:fill type="solid"/>
              </v:shape>
            </v:group>
            <v:group style="position:absolute;left:2896;top:5654;width:815;height:392" coordorigin="2896,5654" coordsize="815,392">
              <v:shape style="position:absolute;left:2896;top:5654;width:815;height:392" coordorigin="2896,5654" coordsize="815,392" path="m2896,6045l3711,6045,3711,5654,2896,5654,2896,604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6"/>
        </w:rPr>
        <w:t> </w:t>
      </w:r>
      <w:r>
        <w:rPr/>
        <w:t>董事、监事、高级管理人员和员工情况</w:t>
      </w:r>
      <w:bookmarkEnd w:id="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599"/>
        <w:gridCol w:w="1141"/>
        <w:gridCol w:w="870"/>
        <w:gridCol w:w="683"/>
        <w:gridCol w:w="1057"/>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薛向东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95,613,346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191,226,692</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吕  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9"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1,418,730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39,000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2,915,460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夏金崇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652,103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1,366,606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李建国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538,143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62,400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1,201,086</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91"/>
              <w:jc w:val="right"/>
              <w:rPr>
                <w:rFonts w:ascii="宋体" w:hAnsi="宋体" w:cs="宋体" w:eastAsia="宋体" w:hint="default"/>
                <w:sz w:val="18"/>
                <w:szCs w:val="18"/>
              </w:rPr>
            </w:pPr>
            <w:r>
              <w:rPr>
                <w:rFonts w:ascii="宋体" w:hAnsi="宋体" w:cs="宋体" w:eastAsia="宋体" w:hint="default"/>
                <w:sz w:val="18"/>
                <w:szCs w:val="18"/>
              </w:rPr>
              <w:t>杨  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118,531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299,462</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郑晓清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23,400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10,000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83,600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苏根继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蒋恕慧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郭玉杰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金  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61,738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185,876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高书敬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124,800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黄杏国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124,800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林文平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124,800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刘志华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5" w:right="0"/>
              <w:jc w:val="center"/>
              <w:rPr>
                <w:rFonts w:ascii="宋体" w:hAnsi="宋体" w:cs="宋体" w:eastAsia="宋体" w:hint="default"/>
                <w:sz w:val="18"/>
                <w:szCs w:val="18"/>
              </w:rPr>
            </w:pPr>
            <w:r>
              <w:rPr>
                <w:rFonts w:ascii="宋体"/>
                <w:sz w:val="18"/>
              </w:rPr>
              <w:t>7,800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46,800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599"/>
        <w:gridCol w:w="1141"/>
        <w:gridCol w:w="870"/>
        <w:gridCol w:w="683"/>
        <w:gridCol w:w="1057"/>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311,442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685,284</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31,500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62,700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62,400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62,400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阮  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62,400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  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23,400</w:t>
            </w: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46,800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  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98,862,233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538,700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left"/>
              <w:rPr>
                <w:rFonts w:ascii="宋体" w:hAnsi="宋体" w:cs="宋体" w:eastAsia="宋体" w:hint="default"/>
                <w:sz w:val="18"/>
                <w:szCs w:val="18"/>
              </w:rPr>
            </w:pPr>
            <w:r>
              <w:rPr>
                <w:rFonts w:ascii="宋体"/>
                <w:sz w:val="18"/>
              </w:rPr>
              <w:t>17,800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198,728,966</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424" w:right="4914" w:hanging="270"/>
        <w:jc w:val="left"/>
      </w:pPr>
      <w:r>
        <w:rPr/>
        <w:t>公司现任董事、监事、高级管理人员最近</w:t>
      </w:r>
      <w:r>
        <w:rPr>
          <w:spacing w:val="-46"/>
        </w:rPr>
        <w:t> </w:t>
      </w:r>
      <w:r>
        <w:rPr>
          <w:rFonts w:ascii="宋体" w:hAnsi="宋体" w:cs="宋体" w:eastAsia="宋体" w:hint="default"/>
        </w:rPr>
        <w:t>5</w:t>
      </w:r>
      <w:r>
        <w:rPr>
          <w:rFonts w:ascii="宋体" w:hAnsi="宋体" w:cs="宋体" w:eastAsia="宋体" w:hint="default"/>
          <w:spacing w:val="-46"/>
        </w:rPr>
        <w:t> </w:t>
      </w:r>
      <w:r>
        <w:rPr/>
        <w:t>年的主要工作经历 </w:t>
      </w:r>
      <w:r>
        <w:rPr>
          <w:rFonts w:ascii="宋体" w:hAnsi="宋体" w:cs="宋体" w:eastAsia="宋体" w:hint="default"/>
        </w:rPr>
        <w:t>1</w:t>
      </w:r>
      <w:r>
        <w:rPr/>
        <w:t>、董事简介</w:t>
      </w:r>
    </w:p>
    <w:p>
      <w:pPr>
        <w:pStyle w:val="BodyText"/>
        <w:spacing w:line="316" w:lineRule="auto" w:before="46"/>
        <w:ind w:right="142" w:firstLine="270"/>
        <w:jc w:val="left"/>
      </w:pPr>
      <w:r>
        <w:rPr/>
        <w:t>薛向东先生：中国国籍，现年</w:t>
      </w:r>
      <w:r>
        <w:rPr>
          <w:rFonts w:ascii="宋体" w:hAnsi="宋体" w:cs="宋体" w:eastAsia="宋体" w:hint="default"/>
        </w:rPr>
        <w:t>56</w:t>
      </w:r>
      <w:r>
        <w:rPr/>
        <w:t>岁，大学本科，高级工程师，长期从事行业应用软件开发及计算机信息系统集成工作， 公司实际控制人，最近</w:t>
      </w:r>
      <w:r>
        <w:rPr>
          <w:rFonts w:ascii="宋体" w:hAnsi="宋体" w:cs="宋体" w:eastAsia="宋体" w:hint="default"/>
        </w:rPr>
        <w:t>5</w:t>
      </w:r>
      <w:r>
        <w:rPr/>
        <w:t>年一直担任本公司董事长。</w:t>
      </w:r>
    </w:p>
    <w:p>
      <w:pPr>
        <w:pStyle w:val="BodyText"/>
        <w:spacing w:line="316" w:lineRule="auto" w:before="139"/>
        <w:ind w:right="133" w:firstLine="270"/>
        <w:jc w:val="left"/>
      </w:pPr>
      <w:r>
        <w:rPr/>
        <w:t>吕</w:t>
      </w:r>
      <w:r>
        <w:rPr>
          <w:spacing w:val="9"/>
        </w:rPr>
        <w:t> </w:t>
      </w:r>
      <w:r>
        <w:rPr/>
        <w:t>波先生：中国国籍，现年</w:t>
      </w:r>
      <w:r>
        <w:rPr>
          <w:rFonts w:ascii="宋体" w:hAnsi="宋体" w:cs="宋体" w:eastAsia="宋体" w:hint="default"/>
        </w:rPr>
        <w:t>52</w:t>
      </w:r>
      <w:r>
        <w:rPr/>
        <w:t>岁，硕士研究生，讲师，长期从事行业应用软件开发及计算机信息系统集成工作，最近</w:t>
      </w:r>
      <w:r>
        <w:rPr>
          <w:rFonts w:ascii="宋体" w:hAnsi="宋体" w:cs="宋体" w:eastAsia="宋体" w:hint="default"/>
        </w:rPr>
        <w:t>5 </w:t>
      </w:r>
      <w:r>
        <w:rPr/>
        <w:t>年一直担任本公司副董事长、总经理。</w:t>
      </w:r>
    </w:p>
    <w:p>
      <w:pPr>
        <w:pStyle w:val="BodyText"/>
        <w:spacing w:line="316" w:lineRule="auto" w:before="139"/>
        <w:ind w:right="0" w:firstLine="270"/>
        <w:jc w:val="left"/>
      </w:pPr>
      <w:r>
        <w:rPr>
          <w:spacing w:val="-2"/>
        </w:rPr>
        <w:t>夏金崇先生：中国国籍，现年</w:t>
      </w:r>
      <w:r>
        <w:rPr>
          <w:rFonts w:ascii="宋体" w:hAnsi="宋体" w:cs="宋体" w:eastAsia="宋体" w:hint="default"/>
          <w:spacing w:val="-2"/>
        </w:rPr>
        <w:t>51</w:t>
      </w:r>
      <w:r>
        <w:rPr>
          <w:spacing w:val="-2"/>
        </w:rPr>
        <w:t>岁，大学本科，工程师，长期从事行业应用软件开发及计算机信息系统集成工作，最近</w:t>
      </w:r>
      <w:r>
        <w:rPr>
          <w:rFonts w:ascii="宋体" w:hAnsi="宋体" w:cs="宋体" w:eastAsia="宋体" w:hint="default"/>
          <w:spacing w:val="-2"/>
        </w:rPr>
        <w:t>5</w:t>
      </w:r>
      <w:r>
        <w:rPr>
          <w:rFonts w:ascii="宋体" w:hAnsi="宋体" w:cs="宋体" w:eastAsia="宋体" w:hint="default"/>
        </w:rPr>
        <w:t> </w:t>
      </w:r>
      <w:r>
        <w:rPr/>
        <w:t>年一直担任任本公司董事、副总经理。</w:t>
      </w:r>
    </w:p>
    <w:p>
      <w:pPr>
        <w:pStyle w:val="BodyText"/>
        <w:spacing w:line="316" w:lineRule="auto" w:before="139"/>
        <w:ind w:right="0" w:firstLine="270"/>
        <w:jc w:val="left"/>
      </w:pPr>
      <w:r>
        <w:rPr>
          <w:spacing w:val="-2"/>
        </w:rPr>
        <w:t>李建国先生：中国国籍，现年</w:t>
      </w:r>
      <w:r>
        <w:rPr>
          <w:rFonts w:ascii="宋体" w:hAnsi="宋体" w:cs="宋体" w:eastAsia="宋体" w:hint="default"/>
          <w:spacing w:val="-2"/>
        </w:rPr>
        <w:t>46</w:t>
      </w:r>
      <w:r>
        <w:rPr>
          <w:spacing w:val="-2"/>
        </w:rPr>
        <w:t>岁，硕士研究生，长期从事行业应用软件开发及计算机信息系统集成工作，最近</w:t>
      </w:r>
      <w:r>
        <w:rPr>
          <w:rFonts w:ascii="宋体" w:hAnsi="宋体" w:cs="宋体" w:eastAsia="宋体" w:hint="default"/>
          <w:spacing w:val="-2"/>
        </w:rPr>
        <w:t>5</w:t>
      </w:r>
      <w:r>
        <w:rPr>
          <w:spacing w:val="-2"/>
        </w:rPr>
        <w:t>年一直</w:t>
      </w:r>
      <w:r>
        <w:rPr/>
        <w:t> 担任本公司董事、副总经理。</w:t>
      </w:r>
    </w:p>
    <w:p>
      <w:pPr>
        <w:pStyle w:val="BodyText"/>
        <w:spacing w:line="439" w:lineRule="auto" w:before="139"/>
        <w:ind w:left="424" w:right="0"/>
        <w:jc w:val="left"/>
      </w:pPr>
      <w:r>
        <w:rPr/>
        <w:t>杨 健先生：中国国籍，现年</w:t>
      </w:r>
      <w:r>
        <w:rPr>
          <w:rFonts w:ascii="宋体" w:hAnsi="宋体" w:cs="宋体" w:eastAsia="宋体" w:hint="default"/>
        </w:rPr>
        <w:t>47</w:t>
      </w:r>
      <w:r>
        <w:rPr/>
        <w:t>岁，硕士研究生，会计师，最近</w:t>
      </w:r>
      <w:r>
        <w:rPr>
          <w:rFonts w:ascii="宋体" w:hAnsi="宋体" w:cs="宋体" w:eastAsia="宋体" w:hint="default"/>
        </w:rPr>
        <w:t>5</w:t>
      </w:r>
      <w:r>
        <w:rPr/>
        <w:t>年一直担任本公司董事、副总经理、董事会秘书。 郑晓清女士：中国国籍，现年</w:t>
      </w:r>
      <w:r>
        <w:rPr>
          <w:rFonts w:ascii="宋体" w:hAnsi="宋体" w:cs="宋体" w:eastAsia="宋体" w:hint="default"/>
        </w:rPr>
        <w:t>44</w:t>
      </w:r>
      <w:r>
        <w:rPr/>
        <w:t>岁，硕士研究生，最近</w:t>
      </w:r>
      <w:r>
        <w:rPr>
          <w:rFonts w:ascii="宋体" w:hAnsi="宋体" w:cs="宋体" w:eastAsia="宋体" w:hint="default"/>
        </w:rPr>
        <w:t>5</w:t>
      </w:r>
      <w:r>
        <w:rPr/>
        <w:t>年一直担任本公司董事、市场部经理。 </w:t>
      </w:r>
      <w:r>
        <w:rPr>
          <w:spacing w:val="-2"/>
        </w:rPr>
        <w:t>耿建新先生：中国国籍，现年</w:t>
      </w:r>
      <w:r>
        <w:rPr>
          <w:rFonts w:ascii="宋体" w:hAnsi="宋体" w:cs="宋体" w:eastAsia="宋体" w:hint="default"/>
          <w:spacing w:val="-2"/>
        </w:rPr>
        <w:t>61</w:t>
      </w:r>
      <w:r>
        <w:rPr>
          <w:spacing w:val="-2"/>
        </w:rPr>
        <w:t>岁，博士研究生，会计学教授，最近</w:t>
      </w:r>
      <w:r>
        <w:rPr>
          <w:rFonts w:ascii="宋体" w:hAnsi="宋体" w:cs="宋体" w:eastAsia="宋体" w:hint="default"/>
          <w:spacing w:val="-2"/>
        </w:rPr>
        <w:t>5</w:t>
      </w:r>
      <w:r>
        <w:rPr>
          <w:spacing w:val="-2"/>
        </w:rPr>
        <w:t>年一直担任中国人民大学会计学教授，中国会计学</w:t>
      </w:r>
    </w:p>
    <w:p>
      <w:pPr>
        <w:spacing w:after="0" w:line="439"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87"/>
        <w:jc w:val="left"/>
      </w:pPr>
      <w:r>
        <w:rPr>
          <w:spacing w:val="-2"/>
        </w:rPr>
        <w:t>会理事，学部副主任，财政部会计准则委员会委员，中国审计学会理事，学术委员会副主任，中国审计专业研究生教指委委</w:t>
      </w:r>
      <w:r>
        <w:rPr>
          <w:spacing w:val="-66"/>
        </w:rPr>
        <w:t> </w:t>
      </w:r>
      <w:r>
        <w:rPr>
          <w:spacing w:val="-66"/>
        </w:rPr>
      </w:r>
      <w:r>
        <w:rPr/>
        <w:t>员。</w:t>
      </w:r>
    </w:p>
    <w:p>
      <w:pPr>
        <w:pStyle w:val="BodyText"/>
        <w:spacing w:line="316" w:lineRule="auto" w:before="139"/>
        <w:ind w:right="87" w:firstLine="270"/>
        <w:jc w:val="left"/>
      </w:pPr>
      <w:r>
        <w:rPr>
          <w:spacing w:val="-2"/>
        </w:rPr>
        <w:t>林中先生：中国国籍，现年</w:t>
      </w:r>
      <w:r>
        <w:rPr>
          <w:rFonts w:ascii="宋体" w:hAnsi="宋体" w:cs="宋体" w:eastAsia="宋体" w:hint="default"/>
          <w:spacing w:val="-2"/>
        </w:rPr>
        <w:t>53</w:t>
      </w:r>
      <w:r>
        <w:rPr>
          <w:spacing w:val="-2"/>
        </w:rPr>
        <w:t>岁，硕士研究生，最近</w:t>
      </w:r>
      <w:r>
        <w:rPr>
          <w:rFonts w:ascii="宋体" w:hAnsi="宋体" w:cs="宋体" w:eastAsia="宋体" w:hint="default"/>
          <w:spacing w:val="-2"/>
        </w:rPr>
        <w:t>5</w:t>
      </w:r>
      <w:r>
        <w:rPr>
          <w:spacing w:val="-2"/>
        </w:rPr>
        <w:t>年一直担任华北计算技术研究所科技委学位委员会副主席，全国信</w:t>
      </w:r>
      <w:r>
        <w:rPr/>
        <w:t> 息安全标准化技术委员会委员。</w:t>
      </w:r>
    </w:p>
    <w:p>
      <w:pPr>
        <w:pStyle w:val="BodyText"/>
        <w:spacing w:line="432" w:lineRule="exact" w:before="4"/>
        <w:ind w:left="424" w:right="87"/>
        <w:jc w:val="left"/>
      </w:pPr>
      <w:r>
        <w:rPr/>
        <w:t>同生辉先生：中国国籍，现年</w:t>
      </w:r>
      <w:r>
        <w:rPr>
          <w:rFonts w:ascii="宋体" w:hAnsi="宋体" w:cs="宋体" w:eastAsia="宋体" w:hint="default"/>
        </w:rPr>
        <w:t>43</w:t>
      </w:r>
      <w:r>
        <w:rPr/>
        <w:t>岁，博士研究生，最近</w:t>
      </w:r>
      <w:r>
        <w:rPr>
          <w:rFonts w:ascii="宋体" w:hAnsi="宋体" w:cs="宋体" w:eastAsia="宋体" w:hint="default"/>
        </w:rPr>
        <w:t>5</w:t>
      </w:r>
      <w:r>
        <w:rPr/>
        <w:t>年一直担任中央财经大学副教授，副院长。 </w:t>
      </w:r>
      <w:r>
        <w:rPr>
          <w:spacing w:val="-2"/>
        </w:rPr>
        <w:t>范玉顺先生：中国国籍，现年</w:t>
      </w:r>
      <w:r>
        <w:rPr>
          <w:rFonts w:ascii="宋体" w:hAnsi="宋体" w:cs="宋体" w:eastAsia="宋体" w:hint="default"/>
          <w:spacing w:val="-2"/>
        </w:rPr>
        <w:t>53</w:t>
      </w:r>
      <w:r>
        <w:rPr>
          <w:spacing w:val="-2"/>
        </w:rPr>
        <w:t>岁，博士学历，客座科学家。最近</w:t>
      </w:r>
      <w:r>
        <w:rPr>
          <w:rFonts w:ascii="宋体" w:hAnsi="宋体" w:cs="宋体" w:eastAsia="宋体" w:hint="default"/>
          <w:spacing w:val="-2"/>
        </w:rPr>
        <w:t>5</w:t>
      </w:r>
      <w:r>
        <w:rPr>
          <w:spacing w:val="-2"/>
        </w:rPr>
        <w:t>年一直担任清华大学自动化系教师，北京立思辰科技</w:t>
      </w:r>
    </w:p>
    <w:p>
      <w:pPr>
        <w:pStyle w:val="BodyText"/>
        <w:spacing w:line="439" w:lineRule="auto" w:before="15"/>
        <w:ind w:left="424" w:right="7832" w:hanging="270"/>
        <w:jc w:val="left"/>
      </w:pPr>
      <w:r>
        <w:rPr/>
        <w:t>股份有限公司独立董事。 </w:t>
      </w:r>
      <w:r>
        <w:rPr>
          <w:rFonts w:ascii="宋体" w:hAnsi="宋体" w:cs="宋体" w:eastAsia="宋体" w:hint="default"/>
        </w:rPr>
        <w:t>2</w:t>
      </w:r>
      <w:r>
        <w:rPr/>
        <w:t>、监事简介</w:t>
      </w:r>
    </w:p>
    <w:p>
      <w:pPr>
        <w:pStyle w:val="BodyText"/>
        <w:spacing w:line="439" w:lineRule="auto" w:before="47"/>
        <w:ind w:left="424" w:right="992"/>
        <w:jc w:val="left"/>
      </w:pPr>
      <w:r>
        <w:rPr/>
        <w:t>苏根继先生：中国国籍，现年</w:t>
      </w:r>
      <w:r>
        <w:rPr>
          <w:rFonts w:ascii="宋体" w:hAnsi="宋体" w:cs="宋体" w:eastAsia="宋体" w:hint="default"/>
        </w:rPr>
        <w:t>51</w:t>
      </w:r>
      <w:r>
        <w:rPr/>
        <w:t>岁，大学本科，讲师，最近</w:t>
      </w:r>
      <w:r>
        <w:rPr>
          <w:rFonts w:ascii="宋体" w:hAnsi="宋体" w:cs="宋体" w:eastAsia="宋体" w:hint="default"/>
        </w:rPr>
        <w:t>5</w:t>
      </w:r>
      <w:r>
        <w:rPr/>
        <w:t>年一直担任本公司监事会主席、法律部负责人。 蒋恕慧女士：中国国籍，现年</w:t>
      </w:r>
      <w:r>
        <w:rPr>
          <w:rFonts w:ascii="宋体" w:hAnsi="宋体" w:cs="宋体" w:eastAsia="宋体" w:hint="default"/>
        </w:rPr>
        <w:t>51</w:t>
      </w:r>
      <w:r>
        <w:rPr/>
        <w:t>岁，大学本科，工程师，最近</w:t>
      </w:r>
      <w:r>
        <w:rPr>
          <w:rFonts w:ascii="宋体" w:hAnsi="宋体" w:cs="宋体" w:eastAsia="宋体" w:hint="default"/>
        </w:rPr>
        <w:t>5</w:t>
      </w:r>
      <w:r>
        <w:rPr/>
        <w:t>年一直担任本公司监事、商务部经理。 郭玉杰先生：中国国籍，现年</w:t>
      </w:r>
      <w:r>
        <w:rPr>
          <w:rFonts w:ascii="宋体" w:hAnsi="宋体" w:cs="宋体" w:eastAsia="宋体" w:hint="default"/>
        </w:rPr>
        <w:t>51</w:t>
      </w:r>
      <w:r>
        <w:rPr/>
        <w:t>岁，大学专科，最近</w:t>
      </w:r>
      <w:r>
        <w:rPr>
          <w:rFonts w:ascii="宋体" w:hAnsi="宋体" w:cs="宋体" w:eastAsia="宋体" w:hint="default"/>
        </w:rPr>
        <w:t>5</w:t>
      </w:r>
      <w:r>
        <w:rPr/>
        <w:t>年一直担任本公司监事。</w:t>
      </w:r>
    </w:p>
    <w:p>
      <w:pPr>
        <w:pStyle w:val="BodyText"/>
        <w:spacing w:line="240" w:lineRule="auto" w:before="47"/>
        <w:ind w:left="424" w:right="87"/>
        <w:jc w:val="left"/>
      </w:pPr>
      <w:r>
        <w:rPr>
          <w:rFonts w:ascii="宋体" w:hAnsi="宋体" w:cs="宋体" w:eastAsia="宋体" w:hint="default"/>
        </w:rPr>
        <w:t>3</w:t>
      </w:r>
      <w:r>
        <w:rPr/>
        <w:t>、高级管理人员简介</w:t>
      </w:r>
    </w:p>
    <w:p>
      <w:pPr>
        <w:spacing w:line="240" w:lineRule="auto" w:before="0"/>
        <w:rPr>
          <w:rFonts w:ascii="宋体" w:hAnsi="宋体" w:cs="宋体" w:eastAsia="宋体" w:hint="default"/>
          <w:sz w:val="15"/>
          <w:szCs w:val="15"/>
        </w:rPr>
      </w:pPr>
    </w:p>
    <w:p>
      <w:pPr>
        <w:pStyle w:val="BodyText"/>
        <w:spacing w:line="439" w:lineRule="auto"/>
        <w:ind w:left="424" w:right="829"/>
        <w:jc w:val="left"/>
      </w:pPr>
      <w:r>
        <w:rPr/>
        <w:t>金 伟先生：中国国籍，现年</w:t>
      </w:r>
      <w:r>
        <w:rPr>
          <w:rFonts w:ascii="宋体" w:hAnsi="宋体" w:cs="宋体" w:eastAsia="宋体" w:hint="default"/>
        </w:rPr>
        <w:t>58</w:t>
      </w:r>
      <w:r>
        <w:rPr/>
        <w:t>岁，硕士研究生，工程师，最近</w:t>
      </w:r>
      <w:r>
        <w:rPr>
          <w:rFonts w:ascii="宋体" w:hAnsi="宋体" w:cs="宋体" w:eastAsia="宋体" w:hint="default"/>
        </w:rPr>
        <w:t>5</w:t>
      </w:r>
      <w:r>
        <w:rPr/>
        <w:t>年一直担任本公司副总经理。 高书敬先生：中国国籍，现年</w:t>
      </w:r>
      <w:r>
        <w:rPr>
          <w:rFonts w:ascii="宋体" w:hAnsi="宋体" w:cs="宋体" w:eastAsia="宋体" w:hint="default"/>
        </w:rPr>
        <w:t>48</w:t>
      </w:r>
      <w:r>
        <w:rPr/>
        <w:t>岁，硕士研究生，经济师，最近</w:t>
      </w:r>
      <w:r>
        <w:rPr>
          <w:rFonts w:ascii="宋体" w:hAnsi="宋体" w:cs="宋体" w:eastAsia="宋体" w:hint="default"/>
        </w:rPr>
        <w:t>5</w:t>
      </w:r>
      <w:r>
        <w:rPr/>
        <w:t>年一直担任本公司副总经理。 黄杏国先生：中国国籍，</w:t>
      </w:r>
      <w:r>
        <w:rPr>
          <w:rFonts w:ascii="宋体" w:hAnsi="宋体" w:cs="宋体" w:eastAsia="宋体" w:hint="default"/>
        </w:rPr>
        <w:t>1966-2015</w:t>
      </w:r>
      <w:r>
        <w:rPr/>
        <w:t>（已逝），硕士研究生，最近</w:t>
      </w:r>
      <w:r>
        <w:rPr>
          <w:rFonts w:ascii="宋体" w:hAnsi="宋体" w:cs="宋体" w:eastAsia="宋体" w:hint="default"/>
        </w:rPr>
        <w:t>5</w:t>
      </w:r>
      <w:r>
        <w:rPr/>
        <w:t>年一直担任本公司副总经理。 林文平先生：中国国籍，现年</w:t>
      </w:r>
      <w:r>
        <w:rPr>
          <w:rFonts w:ascii="宋体" w:hAnsi="宋体" w:cs="宋体" w:eastAsia="宋体" w:hint="default"/>
        </w:rPr>
        <w:t>49</w:t>
      </w:r>
      <w:r>
        <w:rPr/>
        <w:t>岁，硕士研究生，工程师，最近</w:t>
      </w:r>
      <w:r>
        <w:rPr>
          <w:rFonts w:ascii="宋体" w:hAnsi="宋体" w:cs="宋体" w:eastAsia="宋体" w:hint="default"/>
        </w:rPr>
        <w:t>5</w:t>
      </w:r>
      <w:r>
        <w:rPr/>
        <w:t>年一直在本公司工作，现任本公司副总经理。 刘志华先生：中国国籍，现年</w:t>
      </w:r>
      <w:r>
        <w:rPr>
          <w:rFonts w:ascii="宋体" w:hAnsi="宋体" w:cs="宋体" w:eastAsia="宋体" w:hint="default"/>
        </w:rPr>
        <w:t>45</w:t>
      </w:r>
      <w:r>
        <w:rPr/>
        <w:t>岁，硕士研究生，工程师，最近</w:t>
      </w:r>
      <w:r>
        <w:rPr>
          <w:rFonts w:ascii="宋体" w:hAnsi="宋体" w:cs="宋体" w:eastAsia="宋体" w:hint="default"/>
        </w:rPr>
        <w:t>5</w:t>
      </w:r>
      <w:r>
        <w:rPr/>
        <w:t>年一直在本公司工作，现任本公司副总经理。</w:t>
      </w:r>
    </w:p>
    <w:p>
      <w:pPr>
        <w:pStyle w:val="BodyText"/>
        <w:spacing w:line="316" w:lineRule="auto" w:before="47"/>
        <w:ind w:right="173" w:firstLine="270"/>
        <w:jc w:val="left"/>
      </w:pPr>
      <w:r>
        <w:rPr/>
        <w:t>王</w:t>
      </w:r>
      <w:r>
        <w:rPr>
          <w:spacing w:val="9"/>
        </w:rPr>
        <w:t> </w:t>
      </w:r>
      <w:r>
        <w:rPr/>
        <w:t>佺先生：中国国籍，现年</w:t>
      </w:r>
      <w:r>
        <w:rPr>
          <w:rFonts w:ascii="宋体" w:hAnsi="宋体" w:cs="宋体" w:eastAsia="宋体" w:hint="default"/>
        </w:rPr>
        <w:t>41</w:t>
      </w:r>
      <w:r>
        <w:rPr/>
        <w:t>岁，</w:t>
      </w:r>
      <w:r>
        <w:rPr>
          <w:rFonts w:ascii="宋体" w:hAnsi="宋体" w:cs="宋体" w:eastAsia="宋体" w:hint="default"/>
        </w:rPr>
        <w:t>EMBA</w:t>
      </w:r>
      <w:r>
        <w:rPr/>
        <w:t>学位，最近</w:t>
      </w:r>
      <w:r>
        <w:rPr>
          <w:rFonts w:ascii="宋体" w:hAnsi="宋体" w:cs="宋体" w:eastAsia="宋体" w:hint="default"/>
        </w:rPr>
        <w:t>5</w:t>
      </w:r>
      <w:r>
        <w:rPr/>
        <w:t>年一直担任北京神州新桥科技有限公司副总裁，现任本公司副总经 理。</w:t>
      </w:r>
    </w:p>
    <w:p>
      <w:pPr>
        <w:pStyle w:val="BodyText"/>
        <w:spacing w:line="432" w:lineRule="exact" w:before="3"/>
        <w:ind w:left="424" w:right="87"/>
        <w:jc w:val="left"/>
      </w:pPr>
      <w:r>
        <w:rPr>
          <w:spacing w:val="-4"/>
        </w:rPr>
        <w:t>徐德力先生：中国国籍，现年</w:t>
      </w:r>
      <w:r>
        <w:rPr>
          <w:rFonts w:ascii="宋体" w:hAnsi="宋体" w:cs="宋体" w:eastAsia="宋体" w:hint="default"/>
          <w:spacing w:val="-4"/>
        </w:rPr>
        <w:t>41</w:t>
      </w:r>
      <w:r>
        <w:rPr>
          <w:spacing w:val="-4"/>
        </w:rPr>
        <w:t>岁，硕士研究生，最近</w:t>
      </w:r>
      <w:r>
        <w:rPr>
          <w:rFonts w:ascii="宋体" w:hAnsi="宋体" w:cs="宋体" w:eastAsia="宋体" w:hint="default"/>
          <w:spacing w:val="-4"/>
        </w:rPr>
        <w:t>5</w:t>
      </w:r>
      <w:r>
        <w:rPr>
          <w:spacing w:val="-4"/>
        </w:rPr>
        <w:t>年一直在本公司工作，现任本公司副总经理、电力事业部总经理。</w:t>
      </w:r>
      <w:r>
        <w:rPr>
          <w:spacing w:val="-44"/>
        </w:rPr>
        <w:t> </w:t>
      </w:r>
      <w:r>
        <w:rPr>
          <w:spacing w:val="-44"/>
        </w:rPr>
      </w:r>
      <w:r>
        <w:rPr>
          <w:spacing w:val="-2"/>
        </w:rPr>
        <w:t>韩士斌先生：中国国籍，现年</w:t>
      </w:r>
      <w:r>
        <w:rPr>
          <w:rFonts w:ascii="宋体" w:hAnsi="宋体" w:cs="宋体" w:eastAsia="宋体" w:hint="default"/>
          <w:spacing w:val="-2"/>
        </w:rPr>
        <w:t>49</w:t>
      </w:r>
      <w:r>
        <w:rPr>
          <w:spacing w:val="-2"/>
        </w:rPr>
        <w:t>岁，硕士研究生，工程师，最近</w:t>
      </w:r>
      <w:r>
        <w:rPr>
          <w:rFonts w:ascii="宋体" w:hAnsi="宋体" w:cs="宋体" w:eastAsia="宋体" w:hint="default"/>
          <w:spacing w:val="-2"/>
        </w:rPr>
        <w:t>5</w:t>
      </w:r>
      <w:r>
        <w:rPr>
          <w:spacing w:val="-2"/>
        </w:rPr>
        <w:t>年一直在本公司工作，现任本公司副总经理、医疗卫生</w:t>
      </w:r>
    </w:p>
    <w:p>
      <w:pPr>
        <w:pStyle w:val="BodyText"/>
        <w:spacing w:line="439" w:lineRule="auto" w:before="15"/>
        <w:ind w:left="424" w:right="92" w:hanging="270"/>
        <w:jc w:val="left"/>
      </w:pPr>
      <w:r>
        <w:rPr/>
        <w:t>事业部总经理。 董国勇先生：中国国籍，现年</w:t>
      </w:r>
      <w:r>
        <w:rPr>
          <w:rFonts w:ascii="宋体" w:hAnsi="宋体" w:cs="宋体" w:eastAsia="宋体" w:hint="default"/>
        </w:rPr>
        <w:t>42</w:t>
      </w:r>
      <w:r>
        <w:rPr/>
        <w:t>岁，大学本科，最近</w:t>
      </w:r>
      <w:r>
        <w:rPr>
          <w:rFonts w:ascii="宋体" w:hAnsi="宋体" w:cs="宋体" w:eastAsia="宋体" w:hint="default"/>
        </w:rPr>
        <w:t>5</w:t>
      </w:r>
      <w:r>
        <w:rPr/>
        <w:t>年一直在本公司工作，现任本公司副总经理、金融事业部总经理。 阮  晋先生：中国国籍，现年</w:t>
      </w:r>
      <w:r>
        <w:rPr>
          <w:rFonts w:ascii="宋体" w:hAnsi="宋体" w:cs="宋体" w:eastAsia="宋体" w:hint="default"/>
        </w:rPr>
        <w:t>42</w:t>
      </w:r>
      <w:r>
        <w:rPr/>
        <w:t>岁，</w:t>
      </w:r>
      <w:r>
        <w:rPr>
          <w:rFonts w:ascii="宋体" w:hAnsi="宋体" w:cs="宋体" w:eastAsia="宋体" w:hint="default"/>
        </w:rPr>
        <w:t>EMBA</w:t>
      </w:r>
      <w:r>
        <w:rPr/>
        <w:t>学位，最近</w:t>
      </w:r>
      <w:r>
        <w:rPr>
          <w:rFonts w:ascii="宋体" w:hAnsi="宋体" w:cs="宋体" w:eastAsia="宋体" w:hint="default"/>
        </w:rPr>
        <w:t>5</w:t>
      </w:r>
      <w:r>
        <w:rPr/>
        <w:t>年一直在本公司工作，现任本公司副总经理。</w:t>
      </w:r>
    </w:p>
    <w:p>
      <w:pPr>
        <w:pStyle w:val="BodyText"/>
        <w:spacing w:line="441" w:lineRule="auto" w:before="47"/>
        <w:ind w:right="87" w:firstLine="270"/>
        <w:jc w:val="left"/>
      </w:pPr>
      <w:r>
        <w:rPr/>
        <w:t>叶 莉女士：中国国籍，现年</w:t>
      </w:r>
      <w:r>
        <w:rPr>
          <w:rFonts w:ascii="宋体" w:hAnsi="宋体" w:cs="宋体" w:eastAsia="宋体" w:hint="default"/>
        </w:rPr>
        <w:t>42</w:t>
      </w:r>
      <w:r>
        <w:rPr/>
        <w:t>岁，硕士研究生，最近</w:t>
      </w:r>
      <w:r>
        <w:rPr>
          <w:rFonts w:ascii="宋体" w:hAnsi="宋体" w:cs="宋体" w:eastAsia="宋体" w:hint="default"/>
        </w:rPr>
        <w:t>5</w:t>
      </w:r>
      <w:r>
        <w:rPr/>
        <w:t>年一直在本公司工作，现任本公司财务总监。 在股东单位任职情况</w:t>
      </w:r>
    </w:p>
    <w:p>
      <w:pPr>
        <w:pStyle w:val="BodyText"/>
        <w:spacing w:line="200" w:lineRule="exact"/>
        <w:ind w:right="87"/>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492"/>
        <w:gridCol w:w="1035"/>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2" w:right="6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035"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87"/>
        <w:jc w:val="left"/>
      </w:pPr>
      <w:r>
        <w:rPr/>
        <w:t>在其他单位任职情况</w:t>
      </w:r>
    </w:p>
    <w:p>
      <w:pPr>
        <w:pStyle w:val="BodyText"/>
        <w:spacing w:line="240" w:lineRule="auto" w:before="117"/>
        <w:ind w:right="87"/>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天津东华博雅有限公司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中国会计学会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理事，学部副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财政部会计准则委员会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中国审计学会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理事，学术委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员会副主任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中国审计专业研究生教指委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北京京东方科技股份有限公司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深圳大富科技股份有限公司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北京首行节能艾启威股份有限公司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华北计算技术研究所科技委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学位委员会 副主席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全国信息安全标准化技术委员会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副教授，副院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清华大学自动化系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北京立思辰科技股份有限公司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w:t>
      </w:r>
    </w:p>
    <w:p>
      <w:pPr>
        <w:spacing w:line="240" w:lineRule="auto" w:before="1"/>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283"/>
        <w:gridCol w:w="7372"/>
      </w:tblGrid>
      <w:tr>
        <w:trPr>
          <w:trHeight w:val="744" w:hRule="exact"/>
        </w:trPr>
        <w:tc>
          <w:tcPr>
            <w:tcW w:w="2283"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pacing w:val="-6"/>
                <w:sz w:val="18"/>
                <w:szCs w:val="18"/>
              </w:rPr>
              <w:t>董事、监事、高级管理人员报</w:t>
            </w:r>
            <w:r>
              <w:rPr>
                <w:rFonts w:ascii="宋体" w:hAnsi="宋体" w:cs="宋体" w:eastAsia="宋体" w:hint="default"/>
                <w:sz w:val="18"/>
                <w:szCs w:val="18"/>
              </w:rPr>
              <w:t> 酬的决策程序</w:t>
            </w:r>
          </w:p>
        </w:tc>
        <w:tc>
          <w:tcPr>
            <w:tcW w:w="737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2"/>
              <w:ind w:right="0"/>
              <w:jc w:val="left"/>
              <w:rPr>
                <w:rFonts w:ascii="宋体" w:hAnsi="宋体" w:cs="宋体" w:eastAsia="宋体" w:hint="default"/>
                <w:sz w:val="18"/>
                <w:szCs w:val="18"/>
              </w:rPr>
            </w:pPr>
            <w:r>
              <w:rPr>
                <w:rFonts w:ascii="宋体" w:hAnsi="宋体" w:cs="宋体" w:eastAsia="宋体" w:hint="default"/>
                <w:spacing w:val="-1"/>
                <w:sz w:val="18"/>
                <w:szCs w:val="18"/>
              </w:rPr>
              <w:t>董事、监事的津贴根据股东大会决议确定。薪酬与考核委员会是董事会按照股东大会决议设立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的专门工作机构，负责对董事与高级管理人员的考核和薪酬进行审查，并提出意见和建议。</w:t>
            </w:r>
          </w:p>
        </w:tc>
      </w:tr>
      <w:tr>
        <w:trPr>
          <w:trHeight w:val="1056" w:hRule="exact"/>
        </w:trPr>
        <w:tc>
          <w:tcPr>
            <w:tcW w:w="2283"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316" w:lineRule="auto" w:before="21"/>
              <w:ind w:left="-1" w:right="0"/>
              <w:jc w:val="left"/>
              <w:rPr>
                <w:rFonts w:ascii="宋体" w:hAnsi="宋体" w:cs="宋体" w:eastAsia="宋体" w:hint="default"/>
                <w:sz w:val="18"/>
                <w:szCs w:val="18"/>
              </w:rPr>
            </w:pPr>
            <w:r>
              <w:rPr>
                <w:rFonts w:ascii="宋体" w:hAnsi="宋体" w:cs="宋体" w:eastAsia="宋体" w:hint="default"/>
                <w:spacing w:val="-6"/>
                <w:sz w:val="18"/>
                <w:szCs w:val="18"/>
              </w:rPr>
              <w:t>董事、监事、高级管理人员报</w:t>
            </w:r>
            <w:r>
              <w:rPr>
                <w:rFonts w:ascii="宋体" w:hAnsi="宋体" w:cs="宋体" w:eastAsia="宋体" w:hint="default"/>
                <w:sz w:val="18"/>
                <w:szCs w:val="18"/>
              </w:rPr>
              <w:t> 酬确定依据</w:t>
            </w:r>
          </w:p>
        </w:tc>
        <w:tc>
          <w:tcPr>
            <w:tcW w:w="7372"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2"/>
              <w:ind w:right="-29"/>
              <w:jc w:val="both"/>
              <w:rPr>
                <w:rFonts w:ascii="宋体" w:hAnsi="宋体" w:cs="宋体" w:eastAsia="宋体" w:hint="default"/>
                <w:sz w:val="18"/>
                <w:szCs w:val="18"/>
              </w:rPr>
            </w:pPr>
            <w:r>
              <w:rPr>
                <w:rFonts w:ascii="宋体" w:hAnsi="宋体" w:cs="宋体" w:eastAsia="宋体" w:hint="default"/>
                <w:sz w:val="18"/>
                <w:szCs w:val="18"/>
              </w:rPr>
              <w:t>在公司任职的董事、监事、高级管理人员按照其行政职务根据公司现行的工资制度领取报酬， 年底根据经营业绩，按照绩效考核体系对高级管理人员进行考评，根据考评结果确定其年终奖 金。</w:t>
            </w:r>
          </w:p>
        </w:tc>
      </w:tr>
      <w:tr>
        <w:trPr>
          <w:trHeight w:val="665" w:hRule="exact"/>
        </w:trPr>
        <w:tc>
          <w:tcPr>
            <w:tcW w:w="2283" w:type="dxa"/>
            <w:tcBorders>
              <w:top w:val="single" w:sz="8" w:space="0" w:color="000000"/>
              <w:left w:val="single" w:sz="8" w:space="0" w:color="000000"/>
              <w:bottom w:val="single" w:sz="8" w:space="0" w:color="000000"/>
              <w:right w:val="single" w:sz="8" w:space="0" w:color="000000"/>
            </w:tcBorders>
            <w:shd w:val="clear" w:color="auto" w:fill="D7D7D7"/>
          </w:tcPr>
          <w:p>
            <w:pPr>
              <w:pStyle w:val="TableParagraph"/>
              <w:spacing w:line="319" w:lineRule="auto" w:before="21"/>
              <w:ind w:left="-1" w:right="1"/>
              <w:jc w:val="left"/>
              <w:rPr>
                <w:rFonts w:ascii="宋体" w:hAnsi="宋体" w:cs="宋体" w:eastAsia="宋体" w:hint="default"/>
                <w:sz w:val="18"/>
                <w:szCs w:val="18"/>
              </w:rPr>
            </w:pPr>
            <w:r>
              <w:rPr>
                <w:rFonts w:ascii="宋体" w:hAnsi="宋体" w:cs="宋体" w:eastAsia="宋体" w:hint="default"/>
                <w:spacing w:val="-6"/>
                <w:sz w:val="18"/>
                <w:szCs w:val="18"/>
              </w:rPr>
              <w:t>董事、监事和高级管理人员报</w:t>
            </w:r>
            <w:r>
              <w:rPr>
                <w:rFonts w:ascii="宋体" w:hAnsi="宋体" w:cs="宋体" w:eastAsia="宋体" w:hint="default"/>
                <w:sz w:val="18"/>
                <w:szCs w:val="18"/>
              </w:rPr>
              <w:t> 酬的实际支付情况</w:t>
            </w:r>
          </w:p>
        </w:tc>
        <w:tc>
          <w:tcPr>
            <w:tcW w:w="7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公司严格按照董事、监事、高级管理人员薪酬的决策程序与确定依据按月支付薪酬。</w:t>
            </w:r>
          </w:p>
        </w:tc>
      </w:tr>
    </w:tbl>
    <w:p>
      <w:pPr>
        <w:pStyle w:val="BodyText"/>
        <w:spacing w:line="240" w:lineRule="auto" w:before="51"/>
        <w:ind w:right="0"/>
        <w:jc w:val="left"/>
      </w:pPr>
      <w:r>
        <w:rPr/>
        <w:t>公司报告期内董事、监事和高级管理人员报酬情况</w:t>
      </w:r>
    </w:p>
    <w:p>
      <w:pPr>
        <w:pStyle w:val="BodyText"/>
        <w:spacing w:line="240" w:lineRule="auto" w:before="116"/>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41.8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47.8</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董事、副总经 理、董事会秘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40.24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40.24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  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34.96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  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  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794.32</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pict>
          <v:shape style="position:absolute;margin-left:328.899994pt;margin-top:23.381731pt;width:62.55pt;height:66.4pt;mso-position-horizontal-relative:page;mso-position-vertical-relative:paragraph;z-index:-9038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股）</w:t>
                  </w:r>
                </w:p>
              </w:txbxContent>
            </v:textbox>
            <w10:wrap type="none"/>
          </v:shape>
        </w:pict>
      </w: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3" w:right="21"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hanging="2"/>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15"/>
                <w:sz w:val="18"/>
                <w:szCs w:val="18"/>
              </w:rPr>
              <w:t>权价格（元</w:t>
            </w:r>
            <w:r>
              <w:rPr>
                <w:rFonts w:ascii="宋体" w:hAnsi="宋体" w:cs="宋体" w:eastAsia="宋体" w:hint="default"/>
                <w:spacing w:val="-15"/>
                <w:sz w:val="18"/>
                <w:szCs w:val="18"/>
              </w:rPr>
              <w:t>/</w:t>
            </w:r>
            <w:r>
              <w:rPr>
                <w:rFonts w:ascii="宋体" w:hAnsi="宋体" w:cs="宋体" w:eastAsia="宋体"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68"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23,400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高书敬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黄杏国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31,200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  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  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  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491,400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951,600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1026" w:hRule="exact"/>
        </w:trPr>
        <w:tc>
          <w:tcPr>
            <w:tcW w:w="96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611" w:type="dxa"/>
            <w:gridSpan w:val="9"/>
            <w:tcBorders>
              <w:top w:val="single" w:sz="4" w:space="0" w:color="000000"/>
              <w:left w:val="single" w:sz="9" w:space="0" w:color="FFFFFF"/>
              <w:bottom w:val="single" w:sz="4" w:space="0" w:color="000000"/>
              <w:right w:val="single" w:sz="13" w:space="0" w:color="FFFFFF"/>
            </w:tcBorders>
          </w:tcPr>
          <w:p>
            <w:pPr>
              <w:pStyle w:val="TableParagraph"/>
              <w:spacing w:line="319" w:lineRule="auto" w:before="51"/>
              <w:ind w:left="16" w:right="-123"/>
              <w:jc w:val="left"/>
              <w:rPr>
                <w:rFonts w:ascii="宋体" w:hAnsi="宋体" w:cs="宋体" w:eastAsia="宋体" w:hint="default"/>
                <w:sz w:val="18"/>
                <w:szCs w:val="18"/>
              </w:rPr>
            </w:pPr>
            <w:r>
              <w:rPr>
                <w:rFonts w:ascii="宋体" w:hAnsi="宋体" w:cs="宋体" w:eastAsia="宋体" w:hint="default"/>
                <w:spacing w:val="-5"/>
                <w:sz w:val="18"/>
                <w:szCs w:val="18"/>
              </w:rPr>
              <w:t>报告期内，公 </w:t>
            </w:r>
            <w:r>
              <w:rPr>
                <w:rFonts w:ascii="宋体" w:hAnsi="宋体" w:cs="宋体" w:eastAsia="宋体" w:hint="default"/>
                <w:sz w:val="18"/>
                <w:szCs w:val="18"/>
              </w:rPr>
              <w:t>生在卖出股</w:t>
            </w:r>
            <w:r>
              <w:rPr>
                <w:rFonts w:ascii="宋体" w:hAnsi="宋体" w:cs="宋体" w:eastAsia="宋体" w:hint="default"/>
                <w:spacing w:val="6"/>
                <w:sz w:val="18"/>
                <w:szCs w:val="18"/>
              </w:rPr>
              <w:t> </w:t>
            </w:r>
            <w:r>
              <w:rPr>
                <w:rFonts w:ascii="宋体" w:hAnsi="宋体" w:cs="宋体" w:eastAsia="宋体" w:hint="default"/>
                <w:sz w:val="18"/>
                <w:szCs w:val="18"/>
              </w:rPr>
              <w:t>配方案，</w:t>
            </w:r>
          </w:p>
          <w:p>
            <w:pPr>
              <w:pStyle w:val="TableParagraph"/>
              <w:spacing w:line="240" w:lineRule="auto" w:before="51"/>
              <w:ind w:left="1053" w:right="0"/>
              <w:jc w:val="center"/>
              <w:rPr>
                <w:rFonts w:ascii="宋体" w:hAnsi="宋体" w:cs="宋体" w:eastAsia="宋体" w:hint="default"/>
                <w:sz w:val="18"/>
                <w:szCs w:val="18"/>
              </w:rPr>
            </w:pPr>
            <w:r>
              <w:rPr>
                <w:rFonts w:ascii="宋体" w:hAnsi="宋体" w:cs="宋体" w:eastAsia="宋体" w:hint="default"/>
                <w:sz w:val="18"/>
                <w:szCs w:val="18"/>
              </w:rPr>
              <w:t>司副总经理刘志华先生因在</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日卖出东华软件</w:t>
            </w:r>
            <w:r>
              <w:rPr>
                <w:rFonts w:ascii="宋体" w:hAnsi="宋体" w:cs="宋体" w:eastAsia="宋体" w:hint="default"/>
                <w:spacing w:val="-45"/>
                <w:sz w:val="18"/>
                <w:szCs w:val="18"/>
              </w:rPr>
              <w:t> </w:t>
            </w:r>
            <w:r>
              <w:rPr>
                <w:rFonts w:ascii="宋体" w:hAnsi="宋体" w:cs="宋体" w:eastAsia="宋体" w:hint="default"/>
                <w:sz w:val="18"/>
                <w:szCs w:val="18"/>
              </w:rPr>
              <w:t>7800</w:t>
            </w:r>
            <w:r>
              <w:rPr>
                <w:rFonts w:ascii="宋体" w:hAnsi="宋体" w:cs="宋体" w:eastAsia="宋体" w:hint="default"/>
                <w:spacing w:val="-45"/>
                <w:sz w:val="18"/>
                <w:szCs w:val="18"/>
              </w:rPr>
              <w:t> </w:t>
            </w:r>
            <w:r>
              <w:rPr>
                <w:rFonts w:ascii="宋体" w:hAnsi="宋体" w:cs="宋体" w:eastAsia="宋体" w:hint="default"/>
                <w:spacing w:val="-5"/>
                <w:sz w:val="18"/>
                <w:szCs w:val="18"/>
              </w:rPr>
              <w:t>股，为避免短线交易，刘志华先</w:t>
            </w:r>
          </w:p>
          <w:p>
            <w:pPr>
              <w:pStyle w:val="TableParagraph"/>
              <w:spacing w:line="240" w:lineRule="auto" w:before="76"/>
              <w:ind w:left="901" w:right="0"/>
              <w:jc w:val="center"/>
              <w:rPr>
                <w:rFonts w:ascii="宋体" w:hAnsi="宋体" w:cs="宋体" w:eastAsia="宋体" w:hint="default"/>
                <w:sz w:val="18"/>
                <w:szCs w:val="18"/>
              </w:rPr>
            </w:pPr>
            <w:r>
              <w:rPr>
                <w:rFonts w:ascii="宋体" w:hAnsi="宋体" w:cs="宋体" w:eastAsia="宋体" w:hint="default"/>
                <w:sz w:val="18"/>
                <w:szCs w:val="18"/>
              </w:rPr>
              <w:t>票 </w:t>
            </w:r>
            <w:r>
              <w:rPr>
                <w:rFonts w:ascii="宋体" w:hAnsi="宋体" w:cs="宋体" w:eastAsia="宋体" w:hint="default"/>
                <w:sz w:val="18"/>
                <w:szCs w:val="18"/>
              </w:rPr>
              <w:t>6</w:t>
            </w:r>
            <w:r>
              <w:rPr>
                <w:rFonts w:ascii="宋体" w:hAnsi="宋体" w:cs="宋体" w:eastAsia="宋体" w:hint="default"/>
                <w:spacing w:val="-56"/>
                <w:sz w:val="18"/>
                <w:szCs w:val="18"/>
              </w:rPr>
              <w:t> </w:t>
            </w:r>
            <w:r>
              <w:rPr>
                <w:rFonts w:ascii="宋体" w:hAnsi="宋体" w:cs="宋体" w:eastAsia="宋体" w:hint="default"/>
                <w:spacing w:val="-3"/>
                <w:sz w:val="18"/>
                <w:szCs w:val="18"/>
              </w:rPr>
              <w:t>个月后单独办理第二期行权，公司激励对象高管均未卖出股票；报告期内，公司因实施利润分</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71.760002pt;margin-top:-63.184361pt;width:463.3pt;height:50.85pt;mso-position-horizontal-relative:page;mso-position-vertical-relative:paragraph;z-index:-90378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（如有）</w:t>
                  </w:r>
                </w:p>
              </w:txbxContent>
            </v:textbox>
            <w10:wrap type="none"/>
          </v:shape>
        </w:pict>
      </w:r>
      <w:r>
        <w:rPr/>
        <w:t>四、公司董事、监事、高级管理人员变动情况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334" w:right="6532" w:hanging="180"/>
        <w:jc w:val="left"/>
      </w:pPr>
      <w:r>
        <w:rPr/>
        <w:t>截止报告期末，公司在职员工为</w:t>
      </w:r>
      <w:r>
        <w:rPr>
          <w:rFonts w:ascii="宋体" w:hAnsi="宋体" w:cs="宋体" w:eastAsia="宋体" w:hint="default"/>
        </w:rPr>
        <w:t>5862</w:t>
      </w:r>
      <w:r>
        <w:rPr/>
        <w:t>人。 </w:t>
      </w:r>
      <w:r>
        <w:rPr>
          <w:rFonts w:ascii="宋体" w:hAnsi="宋体" w:cs="宋体" w:eastAsia="宋体" w:hint="default"/>
        </w:rPr>
        <w:t>1</w:t>
      </w:r>
      <w:r>
        <w:rPr/>
        <w:t>、按员工专业构成分类：</w:t>
      </w:r>
    </w:p>
    <w:p>
      <w:pPr>
        <w:spacing w:line="240" w:lineRule="auto" w:before="10"/>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3418"/>
        <w:gridCol w:w="2835"/>
        <w:gridCol w:w="3262"/>
      </w:tblGrid>
      <w:tr>
        <w:trPr>
          <w:trHeight w:val="352" w:hRule="exact"/>
        </w:trPr>
        <w:tc>
          <w:tcPr>
            <w:tcW w:w="34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542"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b/>
                <w:bCs/>
                <w:w w:val="95"/>
                <w:sz w:val="18"/>
                <w:szCs w:val="18"/>
              </w:rPr>
              <w:t>专</w:t>
              <w:tab/>
            </w:r>
            <w:r>
              <w:rPr>
                <w:rFonts w:ascii="宋体" w:hAnsi="宋体" w:cs="宋体" w:eastAsia="宋体" w:hint="default"/>
                <w:b/>
                <w:bCs/>
                <w:sz w:val="18"/>
                <w:szCs w:val="18"/>
              </w:rPr>
              <w:t>业</w:t>
            </w:r>
            <w:r>
              <w:rPr>
                <w:rFonts w:ascii="宋体" w:hAnsi="宋体" w:cs="宋体" w:eastAsia="宋体" w:hint="default"/>
                <w:sz w:val="18"/>
                <w:szCs w:val="18"/>
              </w:rPr>
            </w:r>
          </w:p>
        </w:tc>
        <w:tc>
          <w:tcPr>
            <w:tcW w:w="283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32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988" w:right="0"/>
              <w:jc w:val="left"/>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352" w:hRule="exact"/>
        </w:trPr>
        <w:tc>
          <w:tcPr>
            <w:tcW w:w="34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left="89"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76</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w:t>
            </w:r>
          </w:p>
        </w:tc>
      </w:tr>
      <w:tr>
        <w:trPr>
          <w:trHeight w:val="353"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481</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8.21%</w:t>
            </w:r>
          </w:p>
        </w:tc>
      </w:tr>
      <w:tr>
        <w:trPr>
          <w:trHeight w:val="352"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4,807</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81.97%</w:t>
            </w:r>
          </w:p>
        </w:tc>
      </w:tr>
      <w:tr>
        <w:trPr>
          <w:trHeight w:val="352"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88</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1.53%</w:t>
            </w:r>
          </w:p>
        </w:tc>
      </w:tr>
      <w:tr>
        <w:trPr>
          <w:trHeight w:val="353"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410</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6.99%</w:t>
            </w:r>
          </w:p>
        </w:tc>
      </w:tr>
      <w:tr>
        <w:trPr>
          <w:trHeight w:val="353" w:hRule="exact"/>
        </w:trPr>
        <w:tc>
          <w:tcPr>
            <w:tcW w:w="34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542"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b/>
                <w:w w:val="95"/>
                <w:sz w:val="18"/>
              </w:rPr>
              <w:t>5862</w:t>
            </w:r>
            <w:r>
              <w:rPr>
                <w:rFonts w:ascii="宋体"/>
                <w:sz w:val="18"/>
              </w:rPr>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宋体" w:hAnsi="宋体" w:cs="宋体" w:eastAsia="宋体" w:hint="default"/>
        </w:rPr>
        <w:t>2</w:t>
      </w:r>
      <w:r>
        <w:rPr/>
        <w:t>、按员工教育程度分类</w:t>
      </w: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3418"/>
        <w:gridCol w:w="2835"/>
        <w:gridCol w:w="3262"/>
      </w:tblGrid>
      <w:tr>
        <w:trPr>
          <w:trHeight w:val="337" w:hRule="exact"/>
        </w:trPr>
        <w:tc>
          <w:tcPr>
            <w:tcW w:w="34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542" w:val="left" w:leader="none"/>
              </w:tabs>
              <w:spacing w:line="240" w:lineRule="auto" w:before="6"/>
              <w:ind w:right="1"/>
              <w:jc w:val="center"/>
              <w:rPr>
                <w:rFonts w:ascii="宋体" w:hAnsi="宋体" w:cs="宋体" w:eastAsia="宋体" w:hint="default"/>
                <w:sz w:val="18"/>
                <w:szCs w:val="18"/>
              </w:rPr>
            </w:pPr>
            <w:r>
              <w:rPr>
                <w:rFonts w:ascii="宋体" w:hAnsi="宋体" w:cs="宋体" w:eastAsia="宋体" w:hint="default"/>
                <w:b/>
                <w:bCs/>
                <w:w w:val="95"/>
                <w:sz w:val="18"/>
                <w:szCs w:val="18"/>
              </w:rPr>
              <w:t>学</w:t>
              <w:tab/>
            </w:r>
            <w:r>
              <w:rPr>
                <w:rFonts w:ascii="宋体" w:hAnsi="宋体" w:cs="宋体" w:eastAsia="宋体" w:hint="default"/>
                <w:b/>
                <w:bCs/>
                <w:sz w:val="18"/>
                <w:szCs w:val="18"/>
              </w:rPr>
              <w:t>历</w:t>
            </w:r>
            <w:r>
              <w:rPr>
                <w:rFonts w:ascii="宋体" w:hAnsi="宋体" w:cs="宋体" w:eastAsia="宋体" w:hint="default"/>
                <w:sz w:val="18"/>
                <w:szCs w:val="18"/>
              </w:rPr>
            </w:r>
          </w:p>
        </w:tc>
        <w:tc>
          <w:tcPr>
            <w:tcW w:w="283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32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left="988" w:right="0"/>
              <w:jc w:val="left"/>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353"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研究生及以上学历</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478</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8.15%</w:t>
            </w:r>
          </w:p>
        </w:tc>
      </w:tr>
      <w:tr>
        <w:trPr>
          <w:trHeight w:val="352"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大学本科学历</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4,279</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72.99%</w:t>
            </w:r>
          </w:p>
        </w:tc>
      </w:tr>
      <w:tr>
        <w:trPr>
          <w:trHeight w:val="352"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997</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17.01%</w:t>
            </w:r>
          </w:p>
        </w:tc>
      </w:tr>
      <w:tr>
        <w:trPr>
          <w:trHeight w:val="353" w:hRule="exact"/>
        </w:trPr>
        <w:tc>
          <w:tcPr>
            <w:tcW w:w="3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108</w:t>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1.85%</w:t>
            </w:r>
          </w:p>
        </w:tc>
      </w:tr>
      <w:tr>
        <w:trPr>
          <w:trHeight w:val="353" w:hRule="exact"/>
        </w:trPr>
        <w:tc>
          <w:tcPr>
            <w:tcW w:w="34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tabs>
                <w:tab w:pos="542"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b/>
                <w:w w:val="95"/>
                <w:sz w:val="18"/>
              </w:rPr>
              <w:t>5862</w:t>
            </w:r>
            <w:r>
              <w:rPr>
                <w:rFonts w:ascii="宋体"/>
                <w:sz w:val="18"/>
              </w:rPr>
            </w:r>
          </w:p>
        </w:tc>
        <w:tc>
          <w:tcPr>
            <w:tcW w:w="3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line="8676" w:lineRule="exact"/>
        <w:ind w:left="154" w:right="0" w:firstLine="0"/>
        <w:rPr>
          <w:rFonts w:ascii="宋体" w:hAnsi="宋体" w:cs="宋体" w:eastAsia="宋体" w:hint="default"/>
          <w:sz w:val="20"/>
          <w:szCs w:val="20"/>
        </w:rPr>
      </w:pPr>
      <w:r>
        <w:rPr>
          <w:rFonts w:ascii="宋体" w:hAnsi="宋体" w:cs="宋体" w:eastAsia="宋体" w:hint="default"/>
          <w:position w:val="-173"/>
          <w:sz w:val="20"/>
          <w:szCs w:val="20"/>
        </w:rPr>
        <w:pict>
          <v:group style="width:419.05pt;height:433.8pt;mso-position-horizontal-relative:char;mso-position-vertical-relative:line" coordorigin="0,0" coordsize="8381,8676">
            <v:shape style="position:absolute;left:0;top:0;width:8346;height:4037" type="#_x0000_t75" stroked="false">
              <v:imagedata r:id="rId27" o:title=""/>
            </v:shape>
            <v:shape style="position:absolute;left:0;top:4097;width:8381;height:4579" type="#_x0000_t75" stroked="false">
              <v:imagedata r:id="rId28" o:title=""/>
            </v:shape>
          </v:group>
        </w:pict>
      </w:r>
      <w:r>
        <w:rPr>
          <w:rFonts w:ascii="宋体" w:hAnsi="宋体" w:cs="宋体" w:eastAsia="宋体" w:hint="default"/>
          <w:position w:val="-173"/>
          <w:sz w:val="20"/>
          <w:szCs w:val="20"/>
        </w:rPr>
      </w:r>
    </w:p>
    <w:p>
      <w:pPr>
        <w:spacing w:after="0" w:line="8676" w:lineRule="exact"/>
        <w:rPr>
          <w:rFonts w:ascii="宋体" w:hAnsi="宋体" w:cs="宋体" w:eastAsia="宋体" w:hint="default"/>
          <w:sz w:val="20"/>
          <w:szCs w:val="20"/>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855" w:right="893"/>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圳证券交易所中小企业板上市公司规范运作指引》及中国证监会有关法律法规的要求，不断完善公司治理结构，建立健全内</w:t>
      </w:r>
      <w:r>
        <w:rPr>
          <w:spacing w:val="-66"/>
        </w:rPr>
        <w:t> </w:t>
      </w:r>
      <w:r>
        <w:rPr>
          <w:spacing w:val="-66"/>
        </w:rPr>
      </w:r>
      <w:r>
        <w:rPr>
          <w:spacing w:val="-2"/>
        </w:rPr>
        <w:t>部管理和控制制度，持续深入开展公司治理活动，规范公司运作，提高公司治理水平。公司在实际运作中没有违反相关规定</w:t>
      </w:r>
      <w:r>
        <w:rPr>
          <w:spacing w:val="-66"/>
        </w:rPr>
        <w:t> </w:t>
      </w:r>
      <w:r>
        <w:rPr>
          <w:spacing w:val="-66"/>
        </w:rPr>
      </w:r>
      <w:r>
        <w:rPr>
          <w:spacing w:val="-5"/>
        </w:rPr>
        <w:t>或与相关规定不一致的情况，公司治理基本符合相关法律法规和规范性文件的要求。报告期内，公司严格按照《章程》、《董</w:t>
      </w:r>
      <w:r>
        <w:rPr>
          <w:spacing w:val="-80"/>
        </w:rPr>
        <w:t> </w:t>
      </w:r>
      <w:r>
        <w:rPr>
          <w:spacing w:val="-80"/>
        </w:rPr>
      </w:r>
      <w:r>
        <w:rPr/>
        <w:t>事会议事规则》、《监事会议事规则》规定，召开了</w:t>
      </w:r>
      <w:r>
        <w:rPr>
          <w:rFonts w:ascii="宋体" w:hAnsi="宋体" w:cs="宋体" w:eastAsia="宋体" w:hint="default"/>
        </w:rPr>
        <w:t>4</w:t>
      </w:r>
      <w:r>
        <w:rPr/>
        <w:t>次股东大会，</w:t>
      </w:r>
      <w:r>
        <w:rPr>
          <w:rFonts w:ascii="宋体" w:hAnsi="宋体" w:cs="宋体" w:eastAsia="宋体" w:hint="default"/>
        </w:rPr>
        <w:t>16</w:t>
      </w:r>
      <w:r>
        <w:rPr/>
        <w:t>次董事会会议，</w:t>
      </w:r>
      <w:r>
        <w:rPr>
          <w:rFonts w:ascii="宋体" w:hAnsi="宋体" w:cs="宋体" w:eastAsia="宋体" w:hint="default"/>
        </w:rPr>
        <w:t>10</w:t>
      </w:r>
      <w:r>
        <w:rPr/>
        <w:t>次监事会会议，各会议召开运行合</w:t>
      </w:r>
      <w:r>
        <w:rPr>
          <w:spacing w:val="-82"/>
        </w:rPr>
        <w:t> </w:t>
      </w:r>
      <w:r>
        <w:rPr>
          <w:spacing w:val="-82"/>
        </w:rPr>
      </w:r>
      <w:r>
        <w:rPr/>
        <w:t>法有效。截止报告期末，公司治理实际情况基本符合中国证监会、深交所发布的有关上市公司治理的规范性文件的要求。</w:t>
      </w:r>
    </w:p>
    <w:p>
      <w:pPr>
        <w:pStyle w:val="BodyText"/>
        <w:spacing w:line="432" w:lineRule="exact" w:before="3"/>
        <w:ind w:left="514" w:right="87"/>
        <w:jc w:val="left"/>
      </w:pPr>
      <w:r>
        <w:rPr>
          <w:rFonts w:ascii="宋体" w:hAnsi="宋体" w:cs="宋体" w:eastAsia="宋体" w:hint="default"/>
        </w:rPr>
        <w:t>1</w:t>
      </w:r>
      <w:r>
        <w:rPr/>
        <w:t>、公司治理制度的建立情况 </w:t>
      </w:r>
      <w:r>
        <w:rPr>
          <w:spacing w:val="-2"/>
        </w:rPr>
        <w:t>报告期内，公司不断建立、健全各项公司治理制度，目前已涵盖经营管理、财务、信息披露、内部审计、对外投资等各</w:t>
      </w:r>
    </w:p>
    <w:p>
      <w:pPr>
        <w:pStyle w:val="BodyText"/>
        <w:spacing w:line="439" w:lineRule="auto" w:before="15"/>
        <w:ind w:left="514" w:right="4772" w:hanging="360"/>
        <w:jc w:val="left"/>
      </w:pPr>
      <w:r>
        <w:rPr/>
        <w:t>个方面，为公司的规范运作与健康发展提供了良好的制度保障。 </w:t>
      </w:r>
      <w:r>
        <w:rPr>
          <w:rFonts w:ascii="宋体" w:hAnsi="宋体" w:cs="宋体" w:eastAsia="宋体" w:hint="default"/>
        </w:rPr>
        <w:t>2</w:t>
      </w:r>
      <w:r>
        <w:rPr/>
        <w:t>、关于股东与股东大会</w:t>
      </w:r>
    </w:p>
    <w:p>
      <w:pPr>
        <w:pStyle w:val="BodyText"/>
        <w:spacing w:line="316" w:lineRule="auto" w:before="47"/>
        <w:ind w:right="193" w:firstLine="360"/>
        <w:jc w:val="both"/>
      </w:pPr>
      <w:r>
        <w:rPr>
          <w:spacing w:val="-2"/>
        </w:rPr>
        <w:t>公司严格按照《公司法》、《上市公司股东大会规范意见》、《公司章程》、《股东大会议事规则》的规定和要求，召</w:t>
      </w:r>
      <w:r>
        <w:rPr/>
        <w:t> </w:t>
      </w:r>
      <w:r>
        <w:rPr>
          <w:spacing w:val="-2"/>
        </w:rPr>
        <w:t>集、召开股东大会，规范表决程序，并通过聘请律师见证，保证会议的合法性。确保全体股东特别是中小股东享有平等地位</w:t>
      </w:r>
      <w:r>
        <w:rPr>
          <w:spacing w:val="-66"/>
        </w:rPr>
        <w:t> </w:t>
      </w:r>
      <w:r>
        <w:rPr>
          <w:spacing w:val="-66"/>
        </w:rPr>
      </w:r>
      <w:r>
        <w:rPr/>
        <w:t>和权利，并承担相应的义务，充分保护股东的合法权益，充分行使自己的权利。</w:t>
      </w:r>
    </w:p>
    <w:p>
      <w:pPr>
        <w:pStyle w:val="BodyText"/>
        <w:spacing w:line="432" w:lineRule="exact" w:before="3"/>
        <w:ind w:left="514" w:right="87"/>
        <w:jc w:val="left"/>
      </w:pPr>
      <w:r>
        <w:rPr>
          <w:rFonts w:ascii="宋体" w:hAnsi="宋体" w:cs="宋体" w:eastAsia="宋体" w:hint="default"/>
        </w:rPr>
        <w:t>3</w:t>
      </w:r>
      <w:r>
        <w:rPr/>
        <w:t>、关于公司与控股股东 </w:t>
      </w:r>
      <w:r>
        <w:rPr>
          <w:spacing w:val="-2"/>
        </w:rPr>
        <w:t>本公司按照《公司法》、《证券法》、《公司章程》及证券监管部门的有关规定正确处理与控股股东的关系。本公司控</w:t>
      </w:r>
    </w:p>
    <w:p>
      <w:pPr>
        <w:pStyle w:val="BodyText"/>
        <w:spacing w:line="316" w:lineRule="auto" w:before="15"/>
        <w:ind w:right="193"/>
        <w:jc w:val="both"/>
      </w:pPr>
      <w:r>
        <w:rPr>
          <w:spacing w:val="-2"/>
        </w:rPr>
        <w:t>股股东依法行使其权利并承担相应义务，无占用公司资金、超越股东大会授权范围行使职权、直接或间接干预本公司的决策</w:t>
      </w:r>
      <w:r>
        <w:rPr>
          <w:spacing w:val="-66"/>
        </w:rPr>
        <w:t> </w:t>
      </w:r>
      <w:r>
        <w:rPr>
          <w:spacing w:val="-66"/>
        </w:rPr>
      </w:r>
      <w:r>
        <w:rPr>
          <w:spacing w:val="-2"/>
        </w:rPr>
        <w:t>和生产经营活动的情形。本公司具有自主经营能力，在业务、人员、资金、财务等方面均独立于控股股东，公司董事会、监</w:t>
      </w:r>
      <w:r>
        <w:rPr>
          <w:spacing w:val="-71"/>
        </w:rPr>
        <w:t> </w:t>
      </w:r>
      <w:r>
        <w:rPr>
          <w:spacing w:val="-71"/>
        </w:rPr>
      </w:r>
      <w:r>
        <w:rPr/>
        <w:t>事会和内部机构能够按照各自的议事规则和规章制度独立运作，各司其职。</w:t>
      </w:r>
    </w:p>
    <w:p>
      <w:pPr>
        <w:pStyle w:val="BodyText"/>
        <w:spacing w:line="432" w:lineRule="exact" w:before="3"/>
        <w:ind w:left="514" w:right="87"/>
        <w:jc w:val="left"/>
      </w:pPr>
      <w:r>
        <w:rPr>
          <w:rFonts w:ascii="宋体" w:hAnsi="宋体" w:cs="宋体" w:eastAsia="宋体" w:hint="default"/>
        </w:rPr>
        <w:t>4</w:t>
      </w:r>
      <w:r>
        <w:rPr/>
        <w:t>、关于董事与董事会 </w:t>
      </w:r>
      <w:r>
        <w:rPr>
          <w:spacing w:val="-2"/>
        </w:rPr>
        <w:t>公司董事能够依据《中小企业板块上市公司董事行为指引》、《董事会议事规则》开展工作，认真出席相关会议，积极</w:t>
      </w:r>
    </w:p>
    <w:p>
      <w:pPr>
        <w:pStyle w:val="BodyText"/>
        <w:spacing w:line="316" w:lineRule="auto" w:before="15"/>
        <w:ind w:right="189"/>
        <w:jc w:val="both"/>
      </w:pPr>
      <w:r>
        <w:rPr>
          <w:spacing w:val="-2"/>
        </w:rPr>
        <w:t>参加培训，熟悉有关法律法规。公司严格按照《公司章程》规定的选聘程序选举董事，公司目前有董事</w:t>
      </w:r>
      <w:r>
        <w:rPr>
          <w:rFonts w:ascii="宋体" w:hAnsi="宋体" w:cs="宋体" w:eastAsia="宋体" w:hint="default"/>
          <w:spacing w:val="-2"/>
        </w:rPr>
        <w:t>10</w:t>
      </w:r>
      <w:r>
        <w:rPr>
          <w:spacing w:val="-2"/>
        </w:rPr>
        <w:t>名，其中独立董事</w:t>
      </w:r>
      <w:r>
        <w:rPr>
          <w:spacing w:val="-66"/>
        </w:rPr>
        <w:t> </w:t>
      </w:r>
      <w:r>
        <w:rPr>
          <w:spacing w:val="-66"/>
        </w:rPr>
      </w:r>
      <w:r>
        <w:rPr>
          <w:rFonts w:ascii="宋体" w:hAnsi="宋体" w:cs="宋体" w:eastAsia="宋体" w:hint="default"/>
        </w:rPr>
        <w:t>4</w:t>
      </w:r>
      <w:r>
        <w:rPr/>
        <w:t>名，董事会的人员构成符合法律法规和《公司章程》的要求。独立董事按照《独立董事工作细则》等制度规定独立履行职</w:t>
      </w:r>
      <w:r>
        <w:rPr>
          <w:spacing w:val="-83"/>
        </w:rPr>
        <w:t> </w:t>
      </w:r>
      <w:r>
        <w:rPr>
          <w:spacing w:val="-83"/>
        </w:rPr>
      </w:r>
      <w:r>
        <w:rPr/>
        <w:t>责，出席公司董事会、股东大会，对公司重大事项发表独立意见，保证了公司的规范运作。</w:t>
      </w:r>
    </w:p>
    <w:p>
      <w:pPr>
        <w:pStyle w:val="BodyText"/>
        <w:spacing w:line="432" w:lineRule="exact" w:before="3"/>
        <w:ind w:left="514" w:right="87"/>
        <w:jc w:val="left"/>
      </w:pPr>
      <w:r>
        <w:rPr>
          <w:rFonts w:ascii="宋体" w:hAnsi="宋体" w:cs="宋体" w:eastAsia="宋体" w:hint="default"/>
        </w:rPr>
        <w:t>5</w:t>
      </w:r>
      <w:r>
        <w:rPr/>
        <w:t>、监事和监事会 </w:t>
      </w:r>
      <w:r>
        <w:rPr>
          <w:spacing w:val="-2"/>
        </w:rPr>
        <w:t>公司监事会严格按照《公司法》、《公司章程》和《监事会议事规则》的有关规定开展工作，监事的推荐、选举和产生</w:t>
      </w:r>
    </w:p>
    <w:p>
      <w:pPr>
        <w:pStyle w:val="BodyText"/>
        <w:spacing w:line="439" w:lineRule="auto" w:before="15"/>
        <w:ind w:right="189"/>
        <w:jc w:val="both"/>
      </w:pPr>
      <w:r>
        <w:rPr>
          <w:spacing w:val="-2"/>
        </w:rPr>
        <w:t>程序符合相关法律、法规要求。公司监事认真履行职责，对公司财务状况、重大事项的合法、合规性进行监督，维护公司及</w:t>
      </w:r>
      <w:r>
        <w:rPr>
          <w:spacing w:val="-67"/>
        </w:rPr>
        <w:t> </w:t>
      </w:r>
      <w:r>
        <w:rPr>
          <w:spacing w:val="-67"/>
        </w:rPr>
      </w:r>
      <w:r>
        <w:rPr/>
        <w:t>股东的合法权益。</w:t>
      </w:r>
    </w:p>
    <w:p>
      <w:pPr>
        <w:pStyle w:val="BodyText"/>
        <w:spacing w:line="240" w:lineRule="auto" w:before="47"/>
        <w:ind w:left="514" w:right="87"/>
        <w:jc w:val="left"/>
      </w:pPr>
      <w:r>
        <w:rPr>
          <w:rFonts w:ascii="宋体" w:hAnsi="宋体" w:cs="宋体" w:eastAsia="宋体" w:hint="default"/>
        </w:rPr>
        <w:t>6</w:t>
      </w:r>
      <w:r>
        <w:rPr/>
        <w:t>、关于信息披露与透明度</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公司根据《信息披露事务管理办法》和《投资者关系管理制度》，认真履行信息披露义务。公司指定《中国证券报》、</w:t>
      </w:r>
    </w:p>
    <w:p>
      <w:pPr>
        <w:pStyle w:val="BodyText"/>
        <w:spacing w:line="316" w:lineRule="auto" w:before="77"/>
        <w:ind w:right="190"/>
        <w:jc w:val="both"/>
      </w:pPr>
      <w:r>
        <w:rPr/>
        <w:t>《证券日报》、《证券时报》以及巨潮资讯网（</w:t>
      </w:r>
      <w:hyperlink r:id="rId12">
        <w:r>
          <w:rPr>
            <w:rFonts w:ascii="宋体" w:hAnsi="宋体" w:cs="宋体" w:eastAsia="宋体" w:hint="default"/>
          </w:rPr>
          <w:t>www.cninfo.com.cn</w:t>
        </w:r>
      </w:hyperlink>
      <w:r>
        <w:rPr/>
        <w:t>）作为公司信息披露的报纸和网站。保证公司信息披露</w:t>
      </w:r>
      <w:r>
        <w:rPr>
          <w:spacing w:val="-84"/>
        </w:rPr>
        <w:t> </w:t>
      </w:r>
      <w:r>
        <w:rPr>
          <w:spacing w:val="-84"/>
        </w:rPr>
      </w:r>
      <w:r>
        <w:rPr>
          <w:spacing w:val="-2"/>
        </w:rPr>
        <w:t>的真实、准确、完整、及时，并确保所有股东有平等的机会获得信息。本公司指定董事会秘书负责信息披露工作，证券事务</w:t>
      </w:r>
      <w:r>
        <w:rPr>
          <w:spacing w:val="-67"/>
        </w:rPr>
        <w:t> </w:t>
      </w:r>
      <w:r>
        <w:rPr>
          <w:spacing w:val="-67"/>
        </w:rPr>
      </w:r>
      <w:r>
        <w:rPr/>
        <w:t>代表协助董事会秘书开展工作。</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87"/>
        <w:jc w:val="left"/>
      </w:pPr>
      <w:r>
        <w:rPr>
          <w:rFonts w:ascii="宋体" w:hAnsi="宋体" w:cs="宋体" w:eastAsia="宋体" w:hint="default"/>
        </w:rPr>
        <w:t>7</w:t>
      </w:r>
      <w:r>
        <w:rPr/>
        <w:t>、关于相关利益者</w:t>
      </w:r>
    </w:p>
    <w:p>
      <w:pPr>
        <w:spacing w:line="240" w:lineRule="auto" w:before="0"/>
        <w:rPr>
          <w:rFonts w:ascii="宋体" w:hAnsi="宋体" w:cs="宋体" w:eastAsia="宋体" w:hint="default"/>
          <w:sz w:val="15"/>
          <w:szCs w:val="15"/>
        </w:rPr>
      </w:pPr>
    </w:p>
    <w:p>
      <w:pPr>
        <w:pStyle w:val="BodyText"/>
        <w:spacing w:line="316" w:lineRule="auto"/>
        <w:ind w:right="87" w:firstLine="360"/>
        <w:jc w:val="left"/>
      </w:pPr>
      <w:r>
        <w:rPr>
          <w:spacing w:val="-2"/>
        </w:rPr>
        <w:t>本公司能够充分尊重和维护相关利益者的合法权益，积极与相关利益者合作，加强与各方的沟通和交流，实现股东、员</w:t>
      </w:r>
      <w:r>
        <w:rPr/>
        <w:t> 工、社会等各方利益的协调平衡，共同推动公司持续、健康的发展。</w:t>
      </w:r>
    </w:p>
    <w:p>
      <w:pPr>
        <w:pStyle w:val="BodyText"/>
        <w:spacing w:line="432" w:lineRule="exact" w:before="4"/>
        <w:ind w:left="514" w:right="87"/>
        <w:jc w:val="left"/>
      </w:pPr>
      <w:r>
        <w:rPr>
          <w:rFonts w:ascii="宋体" w:hAnsi="宋体" w:cs="宋体" w:eastAsia="宋体" w:hint="default"/>
        </w:rPr>
        <w:t>8</w:t>
      </w:r>
      <w:r>
        <w:rPr/>
        <w:t>、绩效评价与激励约束机制 </w:t>
      </w:r>
      <w:r>
        <w:rPr>
          <w:spacing w:val="-2"/>
        </w:rPr>
        <w:t>公司建立了完善的绩效评价、激励与约束机制，公司高级管理人员均有董事会聘任，董事会薪酬与考核委员会负责对公</w:t>
      </w:r>
    </w:p>
    <w:p>
      <w:pPr>
        <w:pStyle w:val="BodyText"/>
        <w:spacing w:line="316" w:lineRule="auto" w:before="15"/>
        <w:ind w:right="191"/>
        <w:jc w:val="both"/>
      </w:pPr>
      <w:r>
        <w:rPr>
          <w:spacing w:val="-2"/>
        </w:rPr>
        <w:t>司高级管理人员的工作能力、履行情况、责任目标完成情况进行严格考评。同时，公司通过股票期权激励计划的实施，进一</w:t>
      </w:r>
      <w:r>
        <w:rPr>
          <w:spacing w:val="-65"/>
        </w:rPr>
        <w:t> </w:t>
      </w:r>
      <w:r>
        <w:rPr>
          <w:spacing w:val="-65"/>
        </w:rPr>
      </w:r>
      <w:r>
        <w:rPr>
          <w:spacing w:val="-2"/>
        </w:rPr>
        <w:t>步调动管理者和核心员工的工作积极性，对吸引和保留优秀管理人才和核心员工起到积极的促进作用。通过激励机制的不断</w:t>
      </w:r>
      <w:r>
        <w:rPr>
          <w:spacing w:val="-64"/>
        </w:rPr>
        <w:t> </w:t>
      </w:r>
      <w:r>
        <w:rPr>
          <w:spacing w:val="-64"/>
        </w:rPr>
      </w:r>
      <w:r>
        <w:rPr/>
        <w:t>完善，有效的促进了公司持续健康发展、完善了公司法人治理结构。</w:t>
      </w:r>
    </w:p>
    <w:p>
      <w:pPr>
        <w:pStyle w:val="BodyText"/>
        <w:spacing w:line="432" w:lineRule="exact" w:before="3"/>
        <w:ind w:left="514" w:right="87"/>
        <w:jc w:val="left"/>
      </w:pPr>
      <w:r>
        <w:rPr>
          <w:rFonts w:ascii="宋体" w:hAnsi="宋体" w:cs="宋体" w:eastAsia="宋体" w:hint="default"/>
        </w:rPr>
        <w:t>9</w:t>
      </w:r>
      <w:r>
        <w:rPr/>
        <w:t>、内部审计制度的建立和执行情况 </w:t>
      </w:r>
      <w:r>
        <w:rPr>
          <w:spacing w:val="-2"/>
        </w:rPr>
        <w:t>公司建立了《内部审计制度》，对内审工作作出明确的规定和要求。公司内部审计部门直接对董事会负责，在审计委员</w:t>
      </w:r>
    </w:p>
    <w:p>
      <w:pPr>
        <w:pStyle w:val="BodyText"/>
        <w:spacing w:line="316" w:lineRule="auto" w:before="15"/>
        <w:ind w:right="87"/>
        <w:jc w:val="left"/>
      </w:pPr>
      <w:r>
        <w:rPr>
          <w:spacing w:val="-4"/>
        </w:rPr>
        <w:t>会的指导下，独立行使审计职权，不受其他部门和个人的干涉。内部审计部门对公司及下属子公司所有经营管理、财务状况、</w:t>
      </w:r>
      <w:r>
        <w:rPr>
          <w:spacing w:val="-46"/>
        </w:rPr>
        <w:t> </w:t>
      </w:r>
      <w:r>
        <w:rPr>
          <w:spacing w:val="-46"/>
        </w:rPr>
      </w:r>
      <w:r>
        <w:rPr>
          <w:spacing w:val="-2"/>
        </w:rPr>
        <w:t>内控执行等情况进行内部审计，对其经济效益的真实性、合理性、合法性做出合理评价，提升内部控制管理的有效性，进一</w:t>
      </w:r>
      <w:r>
        <w:rPr>
          <w:spacing w:val="-66"/>
        </w:rPr>
        <w:t> </w:t>
      </w:r>
      <w:r>
        <w:rPr>
          <w:spacing w:val="-66"/>
        </w:rPr>
      </w:r>
      <w:r>
        <w:rPr/>
        <w:t>步防范经营风险和财务风险。</w:t>
      </w:r>
    </w:p>
    <w:p>
      <w:pPr>
        <w:pStyle w:val="BodyText"/>
        <w:spacing w:line="240" w:lineRule="auto" w:before="139"/>
        <w:ind w:right="87"/>
        <w:jc w:val="left"/>
      </w:pPr>
      <w:r>
        <w:rPr/>
        <w:t>公司治理与《公司法》和中国证监会相关规定的要求是否存在差异</w:t>
      </w:r>
    </w:p>
    <w:p>
      <w:pPr>
        <w:spacing w:line="240" w:lineRule="auto" w:before="0"/>
        <w:rPr>
          <w:rFonts w:ascii="宋体" w:hAnsi="宋体" w:cs="宋体" w:eastAsia="宋体" w:hint="default"/>
          <w:sz w:val="15"/>
          <w:szCs w:val="15"/>
        </w:rPr>
      </w:pPr>
    </w:p>
    <w:p>
      <w:pPr>
        <w:pStyle w:val="BodyText"/>
        <w:spacing w:line="439" w:lineRule="auto"/>
        <w:ind w:right="4592"/>
        <w:jc w:val="left"/>
      </w:pPr>
      <w:r>
        <w:rPr/>
        <w:t>□ 是 √ 否 公司治理与《公司法》和中国证监会相关规定的要求不存在差异。</w:t>
      </w:r>
    </w:p>
    <w:p>
      <w:pPr>
        <w:pStyle w:val="BodyText"/>
        <w:spacing w:line="439" w:lineRule="auto" w:before="47"/>
        <w:ind w:left="514" w:right="3512" w:hanging="360"/>
        <w:jc w:val="left"/>
      </w:pPr>
      <w:r>
        <w:rPr/>
        <w:t>公司治理专项活动开展情况以及内幕信息知情人登记管理制度的制定、实施情况 </w:t>
      </w:r>
      <w:r>
        <w:rPr>
          <w:rFonts w:ascii="宋体" w:hAnsi="宋体" w:cs="宋体" w:eastAsia="宋体" w:hint="default"/>
        </w:rPr>
        <w:t>1 </w:t>
      </w:r>
      <w:r>
        <w:rPr/>
        <w:t>、公司治理专项活动展开情况</w:t>
      </w:r>
    </w:p>
    <w:p>
      <w:pPr>
        <w:pStyle w:val="BodyText"/>
        <w:spacing w:line="316" w:lineRule="auto" w:before="47"/>
        <w:ind w:right="102" w:firstLine="360"/>
        <w:jc w:val="both"/>
      </w:pPr>
      <w:r>
        <w:rPr/>
        <w:t>根据中国证券监督管理委员会《关于开展加强上市公司治理专项活动有关事项的通知》（证监公司字</w:t>
      </w:r>
      <w:r>
        <w:rPr>
          <w:rFonts w:ascii="宋体" w:hAnsi="宋体" w:cs="宋体" w:eastAsia="宋体" w:hint="default"/>
        </w:rPr>
        <w:t>[2007]28</w:t>
      </w:r>
      <w:r>
        <w:rPr>
          <w:rFonts w:ascii="宋体" w:hAnsi="宋体" w:cs="宋体" w:eastAsia="宋体" w:hint="default"/>
          <w:spacing w:val="4"/>
        </w:rPr>
        <w:t> </w:t>
      </w:r>
      <w:r>
        <w:rPr/>
        <w:t>号）、 </w:t>
      </w:r>
      <w:r>
        <w:rPr>
          <w:spacing w:val="-2"/>
        </w:rPr>
        <w:t>深圳证券交易所《关于做好加强上市公司治理专项活动有关工作的通知》和中国证监会北京监管局《关于进一步深入开展北</w:t>
      </w:r>
      <w:r>
        <w:rPr>
          <w:spacing w:val="-66"/>
        </w:rPr>
        <w:t> </w:t>
      </w:r>
      <w:r>
        <w:rPr>
          <w:spacing w:val="-66"/>
        </w:rPr>
      </w:r>
      <w:r>
        <w:rPr/>
        <w:t>京辖区公司治理专项活动的通知》（京证公司发</w:t>
      </w:r>
      <w:r>
        <w:rPr>
          <w:rFonts w:ascii="宋体" w:hAnsi="宋体" w:cs="宋体" w:eastAsia="宋体" w:hint="default"/>
        </w:rPr>
        <w:t>[2007]18 </w:t>
      </w:r>
      <w:r>
        <w:rPr>
          <w:spacing w:val="-3"/>
        </w:rPr>
        <w:t>号）的要求，公司从</w:t>
      </w:r>
      <w:r>
        <w:rPr>
          <w:rFonts w:ascii="宋体" w:hAnsi="宋体" w:cs="宋体" w:eastAsia="宋体" w:hint="default"/>
          <w:spacing w:val="-3"/>
        </w:rPr>
        <w:t>2007 </w:t>
      </w:r>
      <w:r>
        <w:rPr/>
        <w:t>年</w:t>
      </w:r>
      <w:r>
        <w:rPr>
          <w:rFonts w:ascii="宋体" w:hAnsi="宋体" w:cs="宋体" w:eastAsia="宋体" w:hint="default"/>
        </w:rPr>
        <w:t>3</w:t>
      </w:r>
      <w:r>
        <w:rPr>
          <w:rFonts w:ascii="宋体" w:hAnsi="宋体" w:cs="宋体" w:eastAsia="宋体" w:hint="default"/>
          <w:spacing w:val="-30"/>
        </w:rPr>
        <w:t> </w:t>
      </w:r>
      <w:r>
        <w:rPr/>
        <w:t>月起开展了公司治理专项活动，详 见</w:t>
      </w:r>
      <w:r>
        <w:rPr>
          <w:rFonts w:ascii="宋体" w:hAnsi="宋体" w:cs="宋体" w:eastAsia="宋体" w:hint="default"/>
        </w:rPr>
        <w:t>2007 </w:t>
      </w:r>
      <w:r>
        <w:rPr/>
        <w:t>年</w:t>
      </w:r>
      <w:r>
        <w:rPr>
          <w:rFonts w:ascii="宋体" w:hAnsi="宋体" w:cs="宋体" w:eastAsia="宋体" w:hint="default"/>
        </w:rPr>
        <w:t>11 </w:t>
      </w:r>
      <w:r>
        <w:rPr/>
        <w:t>月</w:t>
      </w:r>
      <w:r>
        <w:rPr>
          <w:rFonts w:ascii="宋体" w:hAnsi="宋体" w:cs="宋体" w:eastAsia="宋体" w:hint="default"/>
        </w:rPr>
        <w:t>20 </w:t>
      </w:r>
      <w:r>
        <w:rPr/>
        <w:t>日刊登于巨潮资讯网</w:t>
      </w:r>
      <w:r>
        <w:rPr>
          <w:rFonts w:ascii="宋体" w:hAnsi="宋体" w:cs="宋体" w:eastAsia="宋体" w:hint="default"/>
        </w:rPr>
        <w:t>(www.cninfo.com.cn) </w:t>
      </w:r>
      <w:r>
        <w:rPr>
          <w:spacing w:val="-6"/>
        </w:rPr>
        <w:t>上的《公司治理专项活动整改报告》</w:t>
      </w:r>
      <w:r>
        <w:rPr>
          <w:rFonts w:ascii="宋体" w:hAnsi="宋体" w:cs="宋体" w:eastAsia="宋体" w:hint="default"/>
          <w:spacing w:val="-6"/>
        </w:rPr>
        <w:t>(</w:t>
      </w:r>
      <w:r>
        <w:rPr>
          <w:spacing w:val="-6"/>
        </w:rPr>
        <w:t>公告编号</w:t>
      </w:r>
      <w:r>
        <w:rPr>
          <w:rFonts w:ascii="宋体" w:hAnsi="宋体" w:cs="宋体" w:eastAsia="宋体" w:hint="default"/>
          <w:spacing w:val="-6"/>
        </w:rPr>
        <w:t>2007-042</w:t>
      </w:r>
      <w:r>
        <w:rPr>
          <w:rFonts w:ascii="宋体" w:hAnsi="宋体" w:cs="宋体" w:eastAsia="宋体" w:hint="default"/>
          <w:spacing w:val="1"/>
        </w:rPr>
        <w:t> </w:t>
      </w:r>
      <w:r>
        <w:rPr/>
        <w:t>号</w:t>
      </w:r>
      <w:r>
        <w:rPr>
          <w:rFonts w:ascii="宋体" w:hAnsi="宋体" w:cs="宋体" w:eastAsia="宋体" w:hint="default"/>
        </w:rPr>
        <w:t>)</w:t>
      </w:r>
      <w:r>
        <w:rPr/>
        <w:t>。</w:t>
      </w:r>
    </w:p>
    <w:p>
      <w:pPr>
        <w:pStyle w:val="BodyText"/>
        <w:spacing w:line="432" w:lineRule="exact" w:before="3"/>
        <w:ind w:left="514" w:right="87" w:firstLine="90"/>
        <w:jc w:val="left"/>
      </w:pPr>
      <w:r>
        <w:rPr>
          <w:rFonts w:ascii="宋体" w:hAnsi="宋体" w:cs="宋体" w:eastAsia="宋体" w:hint="default"/>
        </w:rPr>
        <w:t>2</w:t>
      </w:r>
      <w:r>
        <w:rPr/>
        <w:t>、公司内幕信息知情人登记管理制度的制定、实施情况 </w:t>
      </w:r>
      <w:r>
        <w:rPr>
          <w:spacing w:val="-7"/>
        </w:rPr>
        <w:t>为规范公司内幕信息知情人管理，加强内幕信息保密工作，维护公司信息披露的公开、公平、公正，公司根据《公司法》、</w:t>
      </w:r>
    </w:p>
    <w:p>
      <w:pPr>
        <w:pStyle w:val="BodyText"/>
        <w:spacing w:line="316" w:lineRule="auto" w:before="15"/>
        <w:ind w:right="87"/>
        <w:jc w:val="left"/>
      </w:pPr>
      <w:r>
        <w:rPr>
          <w:spacing w:val="-2"/>
        </w:rPr>
        <w:t>《证券法》、《上市公司信息披露管理办法》、《深圳证券交易所股票上市规则》等有关法律法规及《公司章程》的有关规</w:t>
      </w:r>
      <w:r>
        <w:rPr>
          <w:spacing w:val="-68"/>
        </w:rPr>
        <w:t> </w:t>
      </w:r>
      <w:r>
        <w:rPr>
          <w:spacing w:val="-68"/>
        </w:rPr>
      </w:r>
      <w:r>
        <w:rPr>
          <w:spacing w:val="-2"/>
        </w:rPr>
        <w:t>定，并结合本公司实际情况，</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日，公司第三届董事会第二十五次会议审议通过了《内幕信息知情人管理制度》，</w:t>
      </w:r>
      <w:r>
        <w:rPr>
          <w:spacing w:val="-58"/>
        </w:rPr>
        <w:t> </w:t>
      </w:r>
      <w:r>
        <w:rPr>
          <w:spacing w:val="-58"/>
        </w:rPr>
      </w:r>
      <w:r>
        <w:rPr/>
        <w:t>详见</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28</w:t>
      </w:r>
      <w:r>
        <w:rPr/>
        <w:t>日刊登于巨潮资讯网</w:t>
      </w:r>
      <w:r>
        <w:rPr>
          <w:rFonts w:ascii="宋体" w:hAnsi="宋体" w:cs="宋体" w:eastAsia="宋体" w:hint="default"/>
        </w:rPr>
        <w:t>(www.cninfo.com.cn)</w:t>
      </w:r>
      <w:r>
        <w:rPr/>
        <w:t>上的《东华软件股份公司内幕信息知情人管理制度》。</w:t>
      </w:r>
    </w:p>
    <w:p>
      <w:pPr>
        <w:pStyle w:val="BodyText"/>
        <w:spacing w:line="316" w:lineRule="auto" w:before="139"/>
        <w:ind w:right="92" w:firstLine="450"/>
        <w:jc w:val="left"/>
      </w:pPr>
      <w:r>
        <w:rPr/>
        <w:t>根据中国证券监督管理委员会《关于上市公司建立内幕信息知情人登记管理制度的规定》（证监会公告</w:t>
      </w:r>
      <w:r>
        <w:rPr>
          <w:rFonts w:ascii="宋体" w:hAnsi="宋体" w:cs="宋体" w:eastAsia="宋体" w:hint="default"/>
        </w:rPr>
        <w:t>[2011]30 </w:t>
      </w:r>
      <w:r>
        <w:rPr/>
        <w:t>号） 和中国证监会北京监管局《关于建立健全上市公司内幕信息知情人登记管理制度的通知》（京证公司发</w:t>
      </w:r>
      <w:r>
        <w:rPr>
          <w:rFonts w:ascii="宋体" w:hAnsi="宋体" w:cs="宋体" w:eastAsia="宋体" w:hint="default"/>
        </w:rPr>
        <w:t>[2011]209</w:t>
      </w:r>
      <w:r>
        <w:rPr/>
        <w:t>号）的要</w:t>
      </w:r>
      <w:r>
        <w:rPr>
          <w:spacing w:val="-82"/>
        </w:rPr>
        <w:t> </w:t>
      </w:r>
      <w:r>
        <w:rPr>
          <w:spacing w:val="-2"/>
        </w:rPr>
        <w:t>求，公司对《内幕信息知情人管理制度》进行了全面修订，并于</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日，公司第四届董事会第十七次会议审议通过，</w:t>
      </w:r>
      <w:r>
        <w:rPr>
          <w:spacing w:val="-58"/>
        </w:rPr>
        <w:t> </w:t>
      </w:r>
      <w:r>
        <w:rPr>
          <w:spacing w:val="-58"/>
        </w:rPr>
      </w:r>
      <w:r>
        <w:rPr>
          <w:spacing w:val="7"/>
        </w:rPr>
        <w:t>详见</w:t>
      </w:r>
      <w:r>
        <w:rPr>
          <w:rFonts w:ascii="宋体" w:hAnsi="宋体" w:cs="宋体" w:eastAsia="宋体" w:hint="default"/>
          <w:spacing w:val="7"/>
        </w:rPr>
        <w:t>2012</w:t>
      </w:r>
      <w:r>
        <w:rPr>
          <w:spacing w:val="7"/>
        </w:rPr>
        <w:t>年</w:t>
      </w:r>
      <w:r>
        <w:rPr>
          <w:rFonts w:ascii="宋体" w:hAnsi="宋体" w:cs="宋体" w:eastAsia="宋体" w:hint="default"/>
          <w:spacing w:val="7"/>
        </w:rPr>
        <w:t>4</w:t>
      </w:r>
      <w:r>
        <w:rPr>
          <w:rFonts w:ascii="宋体" w:hAnsi="宋体" w:cs="宋体" w:eastAsia="宋体" w:hint="default"/>
          <w:spacing w:val="-73"/>
        </w:rPr>
        <w:t> </w:t>
      </w:r>
      <w:r>
        <w:rPr>
          <w:spacing w:val="10"/>
        </w:rPr>
        <w:t>月</w:t>
      </w:r>
      <w:r>
        <w:rPr>
          <w:rFonts w:ascii="宋体" w:hAnsi="宋体" w:cs="宋体" w:eastAsia="宋体" w:hint="default"/>
          <w:spacing w:val="10"/>
        </w:rPr>
        <w:t>26</w:t>
      </w:r>
      <w:r>
        <w:rPr>
          <w:spacing w:val="10"/>
        </w:rPr>
        <w:t>日刊登</w:t>
      </w:r>
      <w:r>
        <w:rPr>
          <w:spacing w:val="-73"/>
        </w:rPr>
        <w:t> </w:t>
      </w:r>
      <w:r>
        <w:rPr>
          <w:spacing w:val="12"/>
        </w:rPr>
        <w:t>于巨潮资讯网</w:t>
      </w:r>
      <w:r>
        <w:rPr>
          <w:spacing w:val="-73"/>
        </w:rPr>
        <w:t> </w:t>
      </w:r>
      <w:r>
        <w:rPr>
          <w:rFonts w:ascii="宋体" w:hAnsi="宋体" w:cs="宋体" w:eastAsia="宋体" w:hint="default"/>
        </w:rPr>
        <w:t>(www.cninfo.com.cn)</w:t>
      </w:r>
      <w:r>
        <w:rPr>
          <w:rFonts w:ascii="宋体" w:hAnsi="宋体" w:cs="宋体" w:eastAsia="宋体" w:hint="default"/>
          <w:spacing w:val="-73"/>
        </w:rPr>
        <w:t> </w:t>
      </w:r>
      <w:r>
        <w:rPr>
          <w:spacing w:val="10"/>
        </w:rPr>
        <w:t>上的《</w:t>
      </w:r>
      <w:r>
        <w:rPr>
          <w:spacing w:val="-74"/>
        </w:rPr>
        <w:t> </w:t>
      </w:r>
      <w:r>
        <w:rPr>
          <w:spacing w:val="14"/>
        </w:rPr>
        <w:t>东华软件股份公司内幕信息知情人管理制度》。</w:t>
      </w:r>
      <w:r>
        <w:rPr>
          <w:spacing w:val="-77"/>
        </w:rPr>
        <w:t> </w:t>
      </w:r>
      <w:r>
        <w:rPr>
          <w:spacing w:val="-77"/>
        </w:rPr>
      </w:r>
      <w:r>
        <w:rPr>
          <w:spacing w:val="-2"/>
        </w:rPr>
        <w:t>报告期内，公司如实、完整地记录内幕信息在公开前的报告内幕信息知情人名单，以及知情人知悉内幕信息的时间，并于内</w:t>
      </w:r>
      <w:r>
        <w:rPr>
          <w:spacing w:val="-66"/>
        </w:rPr>
        <w:t> </w:t>
      </w:r>
      <w:r>
        <w:rPr>
          <w:spacing w:val="-66"/>
        </w:rPr>
      </w:r>
      <w:r>
        <w:rPr>
          <w:spacing w:val="-4"/>
        </w:rPr>
        <w:t>幕信息公开披露后，及时向中国证券管理委员会北京监管局、深圳证券交易所报备相关《内幕信息知情人档案》。报告期内，</w:t>
      </w:r>
      <w:r>
        <w:rPr>
          <w:spacing w:val="-44"/>
        </w:rPr>
        <w:t> </w:t>
      </w:r>
      <w:r>
        <w:rPr>
          <w:spacing w:val="-44"/>
        </w:rPr>
      </w:r>
      <w:r>
        <w:rPr/>
        <w:t>公司未发现内幕信息知情人在影响公司股价的重大敏感信息披露前利用内幕信息买卖公司股份的情况。</w:t>
      </w:r>
    </w:p>
    <w:p>
      <w:pPr>
        <w:spacing w:after="0" w:line="316" w:lineRule="auto"/>
        <w:jc w:val="left"/>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、本报告期年度股东大会情况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3261"/>
        <w:gridCol w:w="994"/>
        <w:gridCol w:w="1308"/>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1"/>
              <w:ind w:left="22" w:right="117"/>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年年度股 东大会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103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《东华软件股份公司</w:t>
            </w:r>
            <w:r>
              <w:rPr>
                <w:rFonts w:ascii="宋体" w:hAnsi="宋体" w:cs="宋体" w:eastAsia="宋体" w:hint="default"/>
                <w:spacing w:val="-64"/>
                <w:sz w:val="18"/>
                <w:szCs w:val="18"/>
              </w:rPr>
              <w:t> </w:t>
            </w:r>
            <w:r>
              <w:rPr>
                <w:rFonts w:ascii="宋体" w:hAnsi="宋体" w:cs="宋体" w:eastAsia="宋体" w:hint="default"/>
                <w:sz w:val="18"/>
                <w:szCs w:val="18"/>
              </w:rPr>
              <w:t>2013 </w:t>
            </w:r>
            <w:r>
              <w:rPr>
                <w:rFonts w:ascii="宋体" w:hAnsi="宋体" w:cs="宋体" w:eastAsia="宋体" w:hint="default"/>
                <w:sz w:val="18"/>
                <w:szCs w:val="18"/>
              </w:rPr>
              <w:t>全文及摘要；</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年度财务决算报告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36"/>
                <w:sz w:val="18"/>
                <w:szCs w:val="18"/>
              </w:rPr>
              <w:t> </w:t>
            </w:r>
            <w:r>
              <w:rPr>
                <w:rFonts w:ascii="宋体" w:hAnsi="宋体" w:cs="宋体" w:eastAsia="宋体" w:hint="default"/>
                <w:sz w:val="18"/>
                <w:szCs w:val="18"/>
              </w:rPr>
              <w:t>《关于聘任</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年度审计机构并决定 其报酬的议案》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刊登在《中国证券 </w:t>
            </w:r>
            <w:r>
              <w:rPr>
                <w:rFonts w:ascii="宋体" w:hAnsi="宋体" w:cs="宋体" w:eastAsia="宋体" w:hint="default"/>
                <w:spacing w:val="-27"/>
                <w:sz w:val="18"/>
                <w:szCs w:val="18"/>
              </w:rPr>
              <w:t>报》、《证券日报》、</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《证券时报》及巨潮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19"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29">
              <w:r>
                <w:rPr>
                  <w:rFonts w:ascii="宋体" w:hAnsi="宋体" w:cs="宋体" w:eastAsia="宋体" w:hint="default"/>
                  <w:sz w:val="18"/>
                  <w:szCs w:val="18"/>
                </w:rPr>
                <w:t>www.cninfo.com.</w:t>
              </w:r>
            </w:hyperlink>
            <w:r>
              <w:rPr>
                <w:rFonts w:ascii="宋体" w:hAnsi="宋体" w:cs="宋体" w:eastAsia="宋体" w:hint="default"/>
                <w:sz w:val="18"/>
                <w:szCs w:val="18"/>
              </w:rPr>
              <w:t> </w:t>
            </w:r>
            <w:r>
              <w:rPr>
                <w:rFonts w:ascii="宋体" w:hAnsi="宋体" w:cs="宋体" w:eastAsia="宋体" w:hint="default"/>
                <w:spacing w:val="-9"/>
                <w:sz w:val="18"/>
                <w:szCs w:val="18"/>
              </w:rPr>
              <w:t>cn</w:t>
            </w:r>
            <w:r>
              <w:rPr>
                <w:rFonts w:ascii="宋体" w:hAnsi="宋体" w:cs="宋体" w:eastAsia="宋体" w:hint="default"/>
                <w:spacing w:val="-9"/>
                <w:sz w:val="18"/>
                <w:szCs w:val="18"/>
              </w:rPr>
              <w:t>）上的《东华软件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年年 度股东大会决议公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2014-051</w:t>
            </w:r>
            <w:r>
              <w:rPr>
                <w:rFonts w:ascii="宋体" w:hAnsi="宋体" w:cs="宋体" w:eastAsia="宋体" w:hint="default"/>
                <w:spacing w:val="-18"/>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pict>
          <v:shape style="position:absolute;margin-left:289.359985pt;margin-top:-173.066315pt;width:100.3pt;height:160.050pt;mso-position-horizontal-relative:page;mso-position-vertical-relative:paragraph;z-index:-90373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年年度报告》</w:t>
                  </w:r>
                </w:p>
              </w:txbxContent>
            </v:textbox>
            <w10:wrap type="none"/>
          </v:shape>
        </w:pict>
      </w:r>
      <w:r>
        <w:rPr/>
        <w:pict>
          <v:group style="position:absolute;margin-left:340.480011pt;margin-top:-173.066315pt;width:49.15pt;height:160.050pt;mso-position-horizontal-relative:page;mso-position-vertical-relative:paragraph;z-index:-903712" coordorigin="6810,-3461" coordsize="983,3201">
            <v:group style="position:absolute;left:6810;top:-3461;width:983;height:3201" coordorigin="6810,-3461" coordsize="983,3201">
              <v:shape style="position:absolute;left:6810;top:-3461;width:983;height:3201" coordorigin="6810,-3461" coordsize="983,3201" path="m6810,-261l7792,-261,7792,-3461,6810,-3461,6810,-261xe" filled="true" fillcolor="#ffffff" stroked="false">
                <v:path arrowok="t"/>
                <v:fill type="solid"/>
              </v:shape>
            </v:group>
            <v:group style="position:absolute;left:6832;top:-2057;width:938;height:393" coordorigin="6832,-2057" coordsize="938,393">
              <v:shape style="position:absolute;left:6832;top:-2057;width:938;height:393" coordorigin="6832,-2057" coordsize="938,393" path="m6832,-1665l7770,-1665,7770,-2057,6832,-2057,6832,-1665xe" filled="true" fillcolor="#ffffff" stroked="false">
                <v:path arrowok="t"/>
                <v:fill type="solid"/>
              </v:shape>
            </v:group>
            <w10:wrap type="none"/>
          </v:group>
        </w:pict>
      </w:r>
      <w:r>
        <w:rPr>
          <w:rFonts w:ascii="宋体" w:hAnsi="宋体" w:cs="宋体" w:eastAsia="宋体"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BodyText"/>
        <w:spacing w:line="240" w:lineRule="auto" w:before="44"/>
        <w:ind w:left="0" w:right="161"/>
        <w:jc w:val="right"/>
      </w:pPr>
      <w:r>
        <w:rPr/>
        <w:pict>
          <v:shape style="position:absolute;margin-left:56.459999pt;margin-top:-119.068291pt;width:479.1pt;height:406.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814"/>
                    <w:gridCol w:w="2978"/>
                    <w:gridCol w:w="991"/>
                    <w:gridCol w:w="852"/>
                    <w:gridCol w:w="2336"/>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、审议通过了《关于提名公司第五届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董事会董事候选人的议案》；</w:t>
                        </w:r>
                        <w:r>
                          <w:rPr>
                            <w:rFonts w:ascii="宋体" w:hAnsi="宋体" w:cs="宋体" w:eastAsia="宋体" w:hint="default"/>
                            <w:spacing w:val="-24"/>
                            <w:sz w:val="18"/>
                            <w:szCs w:val="18"/>
                          </w:rPr>
                          <w:t> </w:t>
                        </w:r>
                        <w:r>
                          <w:rPr>
                            <w:rFonts w:ascii="宋体" w:hAnsi="宋体" w:cs="宋体" w:eastAsia="宋体" w:hint="default"/>
                            <w:spacing w:val="-6"/>
                            <w:sz w:val="18"/>
                            <w:szCs w:val="18"/>
                          </w:rPr>
                          <w:t>2</w:t>
                        </w:r>
                        <w:r>
                          <w:rPr>
                            <w:rFonts w:ascii="宋体" w:hAnsi="宋体" w:cs="宋体" w:eastAsia="宋体" w:hint="default"/>
                            <w:spacing w:val="-6"/>
                            <w:sz w:val="18"/>
                            <w:szCs w:val="18"/>
                          </w:rPr>
                          <w:t>、审议</w:t>
                        </w:r>
                        <w:r>
                          <w:rPr>
                            <w:rFonts w:ascii="宋体" w:hAnsi="宋体" w:cs="宋体" w:eastAsia="宋体" w:hint="default"/>
                            <w:sz w:val="18"/>
                            <w:szCs w:val="18"/>
                          </w:rPr>
                          <w:t> 通过了《关于提名公司第五届监事会 </w:t>
                        </w:r>
                        <w:r>
                          <w:rPr>
                            <w:rFonts w:ascii="宋体" w:hAnsi="宋体" w:cs="宋体" w:eastAsia="宋体" w:hint="default"/>
                            <w:spacing w:val="-6"/>
                            <w:sz w:val="18"/>
                            <w:szCs w:val="18"/>
                          </w:rPr>
                          <w:t>股东代表监事候选人的议案》；</w:t>
                        </w:r>
                        <w:r>
                          <w:rPr>
                            <w:rFonts w:ascii="宋体" w:hAnsi="宋体" w:cs="宋体" w:eastAsia="宋体" w:hint="default"/>
                            <w:spacing w:val="-6"/>
                            <w:sz w:val="18"/>
                            <w:szCs w:val="18"/>
                          </w:rPr>
                          <w:t>3</w:t>
                        </w:r>
                        <w:r>
                          <w:rPr>
                            <w:rFonts w:ascii="宋体" w:hAnsi="宋体" w:cs="宋体" w:eastAsia="宋体" w:hint="default"/>
                            <w:spacing w:val="-6"/>
                            <w:sz w:val="18"/>
                            <w:szCs w:val="18"/>
                          </w:rPr>
                          <w:t>、审</w:t>
                        </w:r>
                        <w:r>
                          <w:rPr>
                            <w:rFonts w:ascii="宋体" w:hAnsi="宋体" w:cs="宋体" w:eastAsia="宋体" w:hint="default"/>
                            <w:spacing w:val="-78"/>
                            <w:sz w:val="18"/>
                            <w:szCs w:val="18"/>
                          </w:rPr>
                          <w:t> </w:t>
                        </w:r>
                        <w:r>
                          <w:rPr>
                            <w:rFonts w:ascii="宋体" w:hAnsi="宋体" w:cs="宋体" w:eastAsia="宋体" w:hint="default"/>
                            <w:sz w:val="18"/>
                            <w:szCs w:val="18"/>
                          </w:rPr>
                          <w:t>议通过了《关于调整公司董事及监事 </w:t>
                        </w:r>
                        <w:r>
                          <w:rPr>
                            <w:rFonts w:ascii="宋体" w:hAnsi="宋体" w:cs="宋体" w:eastAsia="宋体" w:hint="default"/>
                            <w:spacing w:val="-13"/>
                            <w:sz w:val="18"/>
                            <w:szCs w:val="18"/>
                          </w:rPr>
                          <w:t>津贴的议案》；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刊登在中国证券报》、《证券日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8"/>
                            <w:sz w:val="18"/>
                            <w:szCs w:val="18"/>
                          </w:rPr>
                          <w:t>报》、《证券时报》及巨潮资讯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网（</w:t>
                        </w:r>
                        <w:hyperlink r:id="rId12">
                          <w:r>
                            <w:rPr>
                              <w:rFonts w:ascii="宋体" w:hAnsi="宋体" w:cs="宋体" w:eastAsia="宋体" w:hint="default"/>
                              <w:sz w:val="18"/>
                              <w:szCs w:val="18"/>
                            </w:rPr>
                            <w:t>www.cninfo.com.cn</w:t>
                          </w:r>
                        </w:hyperlink>
                        <w:r>
                          <w:rPr>
                            <w:rFonts w:ascii="宋体" w:hAnsi="宋体" w:cs="宋体" w:eastAsia="宋体" w:hint="default"/>
                            <w:sz w:val="18"/>
                            <w:szCs w:val="18"/>
                          </w:rPr>
                          <w:t>）上 的《东华软件股份公司</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z w:val="18"/>
                            <w:szCs w:val="18"/>
                          </w:rPr>
                          <w:t>年第一次临时股东大会决议 </w:t>
                        </w:r>
                        <w:r>
                          <w:rPr>
                            <w:rFonts w:ascii="宋体" w:hAnsi="宋体" w:cs="宋体" w:eastAsia="宋体" w:hint="default"/>
                            <w:spacing w:val="-23"/>
                            <w:sz w:val="18"/>
                            <w:szCs w:val="18"/>
                          </w:rPr>
                          <w:t>公告》（公告编号：</w:t>
                        </w:r>
                        <w:r>
                          <w:rPr>
                            <w:rFonts w:ascii="宋体" w:hAnsi="宋体" w:cs="宋体" w:eastAsia="宋体" w:hint="default"/>
                            <w:spacing w:val="-23"/>
                            <w:sz w:val="18"/>
                            <w:szCs w:val="18"/>
                          </w:rPr>
                          <w:t>2014-013</w:t>
                        </w:r>
                        <w:r>
                          <w:rPr>
                            <w:rFonts w:ascii="宋体" w:hAnsi="宋体" w:cs="宋体" w:eastAsia="宋体" w:hint="default"/>
                            <w:spacing w:val="-23"/>
                            <w:sz w:val="18"/>
                            <w:szCs w:val="18"/>
                          </w:rPr>
                          <w:t>）。</w:t>
                        </w:r>
                        <w:r>
                          <w:rPr>
                            <w:rFonts w:ascii="宋体" w:hAnsi="宋体" w:cs="宋体" w:eastAsia="宋体" w:hint="default"/>
                            <w:sz w:val="18"/>
                            <w:szCs w:val="18"/>
                          </w:rPr>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6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、审议通过了《关于修改</w:t>
                        </w:r>
                        <w:r>
                          <w:rPr>
                            <w:rFonts w:ascii="宋体" w:hAnsi="宋体" w:cs="宋体" w:eastAsia="宋体" w:hint="default"/>
                            <w:sz w:val="18"/>
                            <w:szCs w:val="18"/>
                          </w:rPr>
                          <w:t>&lt;</w:t>
                        </w:r>
                        <w:r>
                          <w:rPr>
                            <w:rFonts w:ascii="宋体" w:hAnsi="宋体" w:cs="宋体" w:eastAsia="宋体" w:hint="default"/>
                            <w:sz w:val="18"/>
                            <w:szCs w:val="18"/>
                          </w:rPr>
                          <w:t>东华软件 股份公司章程</w:t>
                        </w:r>
                        <w:r>
                          <w:rPr>
                            <w:rFonts w:ascii="宋体" w:hAnsi="宋体" w:cs="宋体" w:eastAsia="宋体" w:hint="default"/>
                            <w:sz w:val="18"/>
                            <w:szCs w:val="18"/>
                          </w:rPr>
                          <w:t>&gt;</w:t>
                        </w:r>
                        <w:r>
                          <w:rPr>
                            <w:rFonts w:ascii="宋体" w:hAnsi="宋体" w:cs="宋体" w:eastAsia="宋体" w:hint="default"/>
                            <w:sz w:val="18"/>
                            <w:szCs w:val="18"/>
                          </w:rPr>
                          <w:t>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详见刊登于</w:t>
                        </w:r>
                        <w:r>
                          <w:rPr>
                            <w:rFonts w:ascii="宋体" w:hAnsi="宋体" w:cs="宋体" w:eastAsia="宋体" w:hint="default"/>
                            <w:spacing w:val="-60"/>
                            <w:sz w:val="18"/>
                            <w:szCs w:val="18"/>
                          </w:rPr>
                          <w:t>在</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5"/>
                          <w:ind w:left="22" w:right="22"/>
                          <w:jc w:val="left"/>
                          <w:rPr>
                            <w:rFonts w:ascii="宋体" w:hAnsi="宋体" w:cs="宋体" w:eastAsia="宋体" w:hint="default"/>
                            <w:sz w:val="18"/>
                            <w:szCs w:val="18"/>
                          </w:rPr>
                        </w:pPr>
                        <w:r>
                          <w:rPr>
                            <w:rFonts w:ascii="宋体" w:hAnsi="宋体" w:cs="宋体" w:eastAsia="宋体" w:hint="default"/>
                            <w:spacing w:val="-18"/>
                            <w:sz w:val="18"/>
                            <w:szCs w:val="18"/>
                          </w:rPr>
                          <w:t>《证券日报》、《证券时报》及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巨潮资讯网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r>
                          <w:rPr>
                            <w:rFonts w:ascii="宋体" w:hAnsi="宋体" w:cs="宋体" w:eastAsia="宋体" w:hint="default"/>
                            <w:sz w:val="18"/>
                            <w:szCs w:val="18"/>
                          </w:rPr>
                          <w:t>）上的</w:t>
                        </w:r>
                      </w:p>
                      <w:p>
                        <w:pPr>
                          <w:pStyle w:val="TableParagraph"/>
                          <w:spacing w:line="319" w:lineRule="auto" w:before="76"/>
                          <w:ind w:left="22" w:right="53"/>
                          <w:jc w:val="left"/>
                          <w:rPr>
                            <w:rFonts w:ascii="宋体" w:hAnsi="宋体" w:cs="宋体" w:eastAsia="宋体" w:hint="default"/>
                            <w:sz w:val="18"/>
                            <w:szCs w:val="18"/>
                          </w:rPr>
                        </w:pPr>
                        <w:r>
                          <w:rPr>
                            <w:rFonts w:ascii="宋体" w:hAnsi="宋体" w:cs="宋体" w:eastAsia="宋体" w:hint="default"/>
                            <w:sz w:val="18"/>
                            <w:szCs w:val="18"/>
                          </w:rPr>
                          <w:t>《东华软件股份公司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第二次临时股东大会决议公 </w:t>
                        </w:r>
                        <w:r>
                          <w:rPr>
                            <w:rFonts w:ascii="宋体" w:hAnsi="宋体" w:cs="宋体" w:eastAsia="宋体" w:hint="default"/>
                            <w:spacing w:val="-15"/>
                            <w:sz w:val="18"/>
                            <w:szCs w:val="18"/>
                          </w:rPr>
                          <w:t>告》（公告编号：</w:t>
                        </w:r>
                        <w:r>
                          <w:rPr>
                            <w:rFonts w:ascii="宋体" w:hAnsi="宋体" w:cs="宋体" w:eastAsia="宋体" w:hint="default"/>
                            <w:spacing w:val="-15"/>
                            <w:sz w:val="18"/>
                            <w:szCs w:val="18"/>
                          </w:rPr>
                          <w:t>2014-090</w:t>
                        </w:r>
                        <w:r>
                          <w:rPr>
                            <w:rFonts w:ascii="宋体" w:hAnsi="宋体" w:cs="宋体" w:eastAsia="宋体" w:hint="default"/>
                            <w:spacing w:val="-15"/>
                            <w:sz w:val="18"/>
                            <w:szCs w:val="18"/>
                          </w:rPr>
                          <w:t>）。</w:t>
                        </w:r>
                        <w:r>
                          <w:rPr>
                            <w:rFonts w:ascii="宋体" w:hAnsi="宋体" w:cs="宋体" w:eastAsia="宋体" w:hint="default"/>
                            <w:sz w:val="18"/>
                            <w:szCs w:val="18"/>
                          </w:rPr>
                        </w:r>
                      </w:p>
                    </w:tc>
                  </w:tr>
                  <w:tr>
                    <w:trPr>
                      <w:trHeight w:val="348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年第三次临时 股东大会</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、审议通过《关于公司符合非公开发</w:t>
                        </w:r>
                        <w:r>
                          <w:rPr>
                            <w:rFonts w:ascii="宋体" w:hAnsi="宋体" w:cs="宋体" w:eastAsia="宋体" w:hint="default"/>
                            <w:sz w:val="18"/>
                            <w:szCs w:val="18"/>
                          </w:rPr>
                          <w:t> 行股份及支付现金购买资产并募集配 </w:t>
                        </w:r>
                        <w:r>
                          <w:rPr>
                            <w:rFonts w:ascii="宋体" w:hAnsi="宋体" w:cs="宋体" w:eastAsia="宋体" w:hint="default"/>
                            <w:spacing w:val="-6"/>
                            <w:sz w:val="18"/>
                            <w:szCs w:val="18"/>
                          </w:rPr>
                          <w:t>套资金条件的议案》；</w:t>
                        </w:r>
                        <w:r>
                          <w:rPr>
                            <w:rFonts w:ascii="宋体" w:hAnsi="宋体" w:cs="宋体" w:eastAsia="宋体" w:hint="default"/>
                            <w:spacing w:val="-6"/>
                            <w:sz w:val="18"/>
                            <w:szCs w:val="18"/>
                          </w:rPr>
                          <w:t>2</w:t>
                        </w:r>
                        <w:r>
                          <w:rPr>
                            <w:rFonts w:ascii="宋体" w:hAnsi="宋体" w:cs="宋体" w:eastAsia="宋体" w:hint="default"/>
                            <w:spacing w:val="-6"/>
                            <w:sz w:val="18"/>
                            <w:szCs w:val="18"/>
                          </w:rPr>
                          <w:t>、逐项审议通</w:t>
                        </w:r>
                        <w:r>
                          <w:rPr>
                            <w:rFonts w:ascii="宋体" w:hAnsi="宋体" w:cs="宋体" w:eastAsia="宋体" w:hint="default"/>
                            <w:spacing w:val="-78"/>
                            <w:sz w:val="18"/>
                            <w:szCs w:val="18"/>
                          </w:rPr>
                          <w:t> </w:t>
                        </w:r>
                        <w:r>
                          <w:rPr>
                            <w:rFonts w:ascii="宋体" w:hAnsi="宋体" w:cs="宋体" w:eastAsia="宋体" w:hint="default"/>
                            <w:sz w:val="18"/>
                            <w:szCs w:val="18"/>
                          </w:rPr>
                          <w:t>过《关于公司发行股份及支付现金购 买资产并募集配套资金方案的议案》 </w:t>
                        </w:r>
                        <w:r>
                          <w:rPr>
                            <w:rFonts w:ascii="宋体" w:hAnsi="宋体" w:cs="宋体" w:eastAsia="宋体" w:hint="default"/>
                            <w:sz w:val="18"/>
                            <w:szCs w:val="18"/>
                          </w:rPr>
                          <w:t>2.1.1</w:t>
                        </w:r>
                        <w:r>
                          <w:rPr>
                            <w:rFonts w:ascii="宋体" w:hAnsi="宋体" w:cs="宋体" w:eastAsia="宋体" w:hint="default"/>
                            <w:spacing w:val="-58"/>
                            <w:sz w:val="18"/>
                            <w:szCs w:val="18"/>
                          </w:rPr>
                          <w:t> </w:t>
                        </w:r>
                        <w:r>
                          <w:rPr>
                            <w:rFonts w:ascii="宋体" w:hAnsi="宋体" w:cs="宋体" w:eastAsia="宋体" w:hint="default"/>
                            <w:sz w:val="18"/>
                            <w:szCs w:val="18"/>
                          </w:rPr>
                          <w:t>交易对方</w:t>
                        </w:r>
                        <w:r>
                          <w:rPr>
                            <w:rFonts w:ascii="宋体" w:hAnsi="宋体" w:cs="宋体" w:eastAsia="宋体" w:hint="default"/>
                            <w:spacing w:val="-58"/>
                            <w:sz w:val="18"/>
                            <w:szCs w:val="18"/>
                          </w:rPr>
                          <w:t> </w:t>
                        </w:r>
                        <w:r>
                          <w:rPr>
                            <w:rFonts w:ascii="宋体" w:hAnsi="宋体" w:cs="宋体" w:eastAsia="宋体" w:hint="default"/>
                            <w:sz w:val="18"/>
                            <w:szCs w:val="18"/>
                          </w:rPr>
                          <w:t>2.1.2</w:t>
                        </w:r>
                        <w:r>
                          <w:rPr>
                            <w:rFonts w:ascii="宋体" w:hAnsi="宋体" w:cs="宋体" w:eastAsia="宋体" w:hint="default"/>
                            <w:spacing w:val="-58"/>
                            <w:sz w:val="18"/>
                            <w:szCs w:val="18"/>
                          </w:rPr>
                          <w:t> </w:t>
                        </w:r>
                        <w:r>
                          <w:rPr>
                            <w:rFonts w:ascii="宋体" w:hAnsi="宋体" w:cs="宋体" w:eastAsia="宋体" w:hint="default"/>
                            <w:sz w:val="18"/>
                            <w:szCs w:val="18"/>
                          </w:rPr>
                          <w:t>标的资产</w:t>
                        </w:r>
                        <w:r>
                          <w:rPr>
                            <w:rFonts w:ascii="宋体" w:hAnsi="宋体" w:cs="宋体" w:eastAsia="宋体" w:hint="default"/>
                            <w:spacing w:val="-58"/>
                            <w:sz w:val="18"/>
                            <w:szCs w:val="18"/>
                          </w:rPr>
                          <w:t> </w:t>
                        </w:r>
                        <w:r>
                          <w:rPr>
                            <w:rFonts w:ascii="宋体" w:hAnsi="宋体" w:cs="宋体" w:eastAsia="宋体" w:hint="default"/>
                            <w:sz w:val="18"/>
                            <w:szCs w:val="18"/>
                          </w:rPr>
                          <w:t>2.1.3 </w:t>
                        </w:r>
                        <w:r>
                          <w:rPr>
                            <w:rFonts w:ascii="宋体" w:hAnsi="宋体" w:cs="宋体" w:eastAsia="宋体" w:hint="default"/>
                            <w:sz w:val="18"/>
                            <w:szCs w:val="18"/>
                          </w:rPr>
                          <w:t>标的资产的交易价格及定价依据 </w:t>
                        </w:r>
                        <w:r>
                          <w:rPr>
                            <w:rFonts w:ascii="宋体" w:hAnsi="宋体" w:cs="宋体" w:eastAsia="宋体" w:hint="default"/>
                            <w:sz w:val="18"/>
                            <w:szCs w:val="18"/>
                          </w:rPr>
                          <w:t>2.1.4</w:t>
                        </w:r>
                        <w:r>
                          <w:rPr>
                            <w:rFonts w:ascii="宋体" w:hAnsi="宋体" w:cs="宋体" w:eastAsia="宋体" w:hint="default"/>
                            <w:spacing w:val="-46"/>
                            <w:sz w:val="18"/>
                            <w:szCs w:val="18"/>
                          </w:rPr>
                          <w:t> </w:t>
                        </w:r>
                        <w:r>
                          <w:rPr>
                            <w:rFonts w:ascii="宋体" w:hAnsi="宋体" w:cs="宋体" w:eastAsia="宋体" w:hint="default"/>
                            <w:sz w:val="18"/>
                            <w:szCs w:val="18"/>
                          </w:rPr>
                          <w:t>交易对价的支付方式</w:t>
                        </w:r>
                        <w:r>
                          <w:rPr>
                            <w:rFonts w:ascii="宋体" w:hAnsi="宋体" w:cs="宋体" w:eastAsia="宋体" w:hint="default"/>
                            <w:spacing w:val="-46"/>
                            <w:sz w:val="18"/>
                            <w:szCs w:val="18"/>
                          </w:rPr>
                          <w:t> </w:t>
                        </w:r>
                        <w:r>
                          <w:rPr>
                            <w:rFonts w:ascii="宋体" w:hAnsi="宋体" w:cs="宋体" w:eastAsia="宋体" w:hint="default"/>
                            <w:sz w:val="18"/>
                            <w:szCs w:val="18"/>
                          </w:rPr>
                          <w:t>2.1.5</w:t>
                        </w:r>
                        <w:r>
                          <w:rPr>
                            <w:rFonts w:ascii="宋体" w:hAnsi="宋体" w:cs="宋体" w:eastAsia="宋体" w:hint="default"/>
                            <w:spacing w:val="-46"/>
                            <w:sz w:val="18"/>
                            <w:szCs w:val="18"/>
                          </w:rPr>
                          <w:t> </w:t>
                        </w:r>
                        <w:r>
                          <w:rPr>
                            <w:rFonts w:ascii="宋体" w:hAnsi="宋体" w:cs="宋体" w:eastAsia="宋体" w:hint="default"/>
                            <w:sz w:val="18"/>
                            <w:szCs w:val="18"/>
                          </w:rPr>
                          <w:t>现</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金对价的支付期限</w:t>
                        </w:r>
                        <w:r>
                          <w:rPr>
                            <w:rFonts w:ascii="宋体" w:hAnsi="宋体" w:cs="宋体" w:eastAsia="宋体" w:hint="default"/>
                            <w:spacing w:val="-46"/>
                            <w:sz w:val="18"/>
                            <w:szCs w:val="18"/>
                          </w:rPr>
                          <w:t> </w:t>
                        </w:r>
                        <w:r>
                          <w:rPr>
                            <w:rFonts w:ascii="宋体" w:hAnsi="宋体" w:cs="宋体" w:eastAsia="宋体" w:hint="default"/>
                            <w:sz w:val="18"/>
                            <w:szCs w:val="18"/>
                          </w:rPr>
                          <w:t>2.1.6</w:t>
                        </w:r>
                        <w:r>
                          <w:rPr>
                            <w:rFonts w:ascii="宋体" w:hAnsi="宋体" w:cs="宋体" w:eastAsia="宋体" w:hint="default"/>
                            <w:spacing w:val="-46"/>
                            <w:sz w:val="18"/>
                            <w:szCs w:val="18"/>
                          </w:rPr>
                          <w:t> </w:t>
                        </w:r>
                        <w:r>
                          <w:rPr>
                            <w:rFonts w:ascii="宋体" w:hAnsi="宋体" w:cs="宋体" w:eastAsia="宋体" w:hint="default"/>
                            <w:sz w:val="18"/>
                            <w:szCs w:val="18"/>
                          </w:rPr>
                          <w:t>发行股票的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种类和面值</w:t>
                        </w:r>
                        <w:r>
                          <w:rPr>
                            <w:rFonts w:ascii="宋体" w:hAnsi="宋体" w:cs="宋体" w:eastAsia="宋体" w:hint="default"/>
                            <w:spacing w:val="-46"/>
                            <w:sz w:val="18"/>
                            <w:szCs w:val="18"/>
                          </w:rPr>
                          <w:t> </w:t>
                        </w:r>
                        <w:r>
                          <w:rPr>
                            <w:rFonts w:ascii="宋体" w:hAnsi="宋体" w:cs="宋体" w:eastAsia="宋体" w:hint="default"/>
                            <w:sz w:val="18"/>
                            <w:szCs w:val="18"/>
                          </w:rPr>
                          <w:t>2.1.7</w:t>
                        </w:r>
                        <w:r>
                          <w:rPr>
                            <w:rFonts w:ascii="宋体" w:hAnsi="宋体" w:cs="宋体" w:eastAsia="宋体" w:hint="default"/>
                            <w:spacing w:val="-46"/>
                            <w:sz w:val="18"/>
                            <w:szCs w:val="18"/>
                          </w:rPr>
                          <w:t> </w:t>
                        </w:r>
                        <w:r>
                          <w:rPr>
                            <w:rFonts w:ascii="宋体" w:hAnsi="宋体" w:cs="宋体" w:eastAsia="宋体" w:hint="default"/>
                            <w:sz w:val="18"/>
                            <w:szCs w:val="18"/>
                          </w:rPr>
                          <w:t>发行对象及发行方</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46"/>
                            <w:sz w:val="18"/>
                            <w:szCs w:val="18"/>
                          </w:rPr>
                          <w:t> </w:t>
                        </w:r>
                        <w:r>
                          <w:rPr>
                            <w:rFonts w:ascii="宋体" w:hAnsi="宋体" w:cs="宋体" w:eastAsia="宋体" w:hint="default"/>
                            <w:sz w:val="18"/>
                            <w:szCs w:val="18"/>
                          </w:rPr>
                          <w:t>2.1.8</w:t>
                        </w:r>
                        <w:r>
                          <w:rPr>
                            <w:rFonts w:ascii="宋体" w:hAnsi="宋体" w:cs="宋体" w:eastAsia="宋体" w:hint="default"/>
                            <w:spacing w:val="-46"/>
                            <w:sz w:val="18"/>
                            <w:szCs w:val="18"/>
                          </w:rPr>
                          <w:t> </w:t>
                        </w:r>
                        <w:r>
                          <w:rPr>
                            <w:rFonts w:ascii="宋体" w:hAnsi="宋体" w:cs="宋体" w:eastAsia="宋体" w:hint="default"/>
                            <w:sz w:val="18"/>
                            <w:szCs w:val="18"/>
                          </w:rPr>
                          <w:t>定价基准日和发行价格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详见刊登于</w:t>
                        </w:r>
                        <w:r>
                          <w:rPr>
                            <w:rFonts w:ascii="宋体" w:hAnsi="宋体" w:cs="宋体" w:eastAsia="宋体" w:hint="default"/>
                            <w:spacing w:val="-60"/>
                            <w:sz w:val="18"/>
                            <w:szCs w:val="18"/>
                          </w:rPr>
                          <w:t>在</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18"/>
                            <w:sz w:val="18"/>
                            <w:szCs w:val="18"/>
                          </w:rPr>
                          <w:t>《证券日报》、《证券时报》及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巨潮资讯网</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www.cninfo.com.cn</w:t>
                          </w:r>
                        </w:hyperlink>
                        <w:r>
                          <w:rPr>
                            <w:rFonts w:ascii="宋体" w:hAnsi="宋体" w:cs="宋体" w:eastAsia="宋体" w:hint="default"/>
                            <w:sz w:val="18"/>
                            <w:szCs w:val="18"/>
                          </w:rPr>
                          <w:t>）上的</w:t>
                        </w:r>
                      </w:p>
                      <w:p>
                        <w:pPr>
                          <w:pStyle w:val="TableParagraph"/>
                          <w:spacing w:line="319" w:lineRule="auto" w:before="76"/>
                          <w:ind w:left="22" w:right="53"/>
                          <w:jc w:val="left"/>
                          <w:rPr>
                            <w:rFonts w:ascii="宋体" w:hAnsi="宋体" w:cs="宋体" w:eastAsia="宋体" w:hint="default"/>
                            <w:sz w:val="18"/>
                            <w:szCs w:val="18"/>
                          </w:rPr>
                        </w:pPr>
                        <w:r>
                          <w:rPr>
                            <w:rFonts w:ascii="宋体" w:hAnsi="宋体" w:cs="宋体" w:eastAsia="宋体" w:hint="default"/>
                            <w:sz w:val="18"/>
                            <w:szCs w:val="18"/>
                          </w:rPr>
                          <w:t>《东华软件股份公司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第三次临时股东大会决议公 </w:t>
                        </w:r>
                        <w:r>
                          <w:rPr>
                            <w:rFonts w:ascii="宋体" w:hAnsi="宋体" w:cs="宋体" w:eastAsia="宋体" w:hint="default"/>
                            <w:spacing w:val="-6"/>
                            <w:sz w:val="18"/>
                            <w:szCs w:val="18"/>
                          </w:rPr>
                          <w:t>告》（公告编号：</w:t>
                        </w:r>
                        <w:r>
                          <w:rPr>
                            <w:rFonts w:ascii="宋体" w:hAnsi="宋体" w:cs="宋体" w:eastAsia="宋体" w:hint="default"/>
                            <w:spacing w:val="-6"/>
                            <w:sz w:val="18"/>
                            <w:szCs w:val="18"/>
                          </w:rPr>
                          <w:t>2014-119</w:t>
                        </w:r>
                        <w:r>
                          <w:rPr>
                            <w:rFonts w:ascii="宋体" w:hAnsi="宋体" w:cs="宋体" w:eastAsia="宋体" w:hint="default"/>
                            <w:spacing w:val="-6"/>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61"/>
        <w:jc w:val="right"/>
      </w:pPr>
      <w:r>
        <w:rPr/>
        <w:t>、</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814"/>
        <w:gridCol w:w="2978"/>
        <w:gridCol w:w="991"/>
        <w:gridCol w:w="852"/>
        <w:gridCol w:w="2336"/>
      </w:tblGrid>
      <w:tr>
        <w:trPr>
          <w:trHeight w:val="317" w:hRule="exact"/>
        </w:trPr>
        <w:tc>
          <w:tcPr>
            <w:tcW w:w="1596"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
        </w:tc>
        <w:tc>
          <w:tcPr>
            <w:tcW w:w="29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2.1.9</w:t>
            </w:r>
            <w:r>
              <w:rPr>
                <w:rFonts w:ascii="宋体" w:hAnsi="宋体" w:cs="宋体" w:eastAsia="宋体" w:hint="default"/>
                <w:spacing w:val="-46"/>
                <w:sz w:val="18"/>
                <w:szCs w:val="18"/>
              </w:rPr>
              <w:t> </w:t>
            </w:r>
            <w:r>
              <w:rPr>
                <w:rFonts w:ascii="宋体" w:hAnsi="宋体" w:cs="宋体" w:eastAsia="宋体" w:hint="default"/>
                <w:sz w:val="18"/>
                <w:szCs w:val="18"/>
              </w:rPr>
              <w:t>发行数量</w:t>
            </w:r>
            <w:r>
              <w:rPr>
                <w:rFonts w:ascii="宋体" w:hAnsi="宋体" w:cs="宋体" w:eastAsia="宋体" w:hint="default"/>
                <w:spacing w:val="-46"/>
                <w:sz w:val="18"/>
                <w:szCs w:val="18"/>
              </w:rPr>
              <w:t> </w:t>
            </w:r>
            <w:r>
              <w:rPr>
                <w:rFonts w:ascii="宋体" w:hAnsi="宋体" w:cs="宋体" w:eastAsia="宋体" w:hint="default"/>
                <w:sz w:val="18"/>
                <w:szCs w:val="18"/>
              </w:rPr>
              <w:t>2.1.10</w:t>
            </w:r>
            <w:r>
              <w:rPr>
                <w:rFonts w:ascii="宋体" w:hAnsi="宋体" w:cs="宋体" w:eastAsia="宋体" w:hint="default"/>
                <w:spacing w:val="-46"/>
                <w:sz w:val="18"/>
                <w:szCs w:val="18"/>
              </w:rPr>
              <w:t> </w:t>
            </w:r>
            <w:r>
              <w:rPr>
                <w:rFonts w:ascii="宋体" w:hAnsi="宋体" w:cs="宋体" w:eastAsia="宋体" w:hint="default"/>
                <w:sz w:val="18"/>
                <w:szCs w:val="18"/>
              </w:rPr>
              <w:t>锁定期安排</w:t>
            </w:r>
          </w:p>
        </w:tc>
        <w:tc>
          <w:tcPr>
            <w:tcW w:w="99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2336"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2.1.11</w:t>
            </w:r>
            <w:r>
              <w:rPr>
                <w:rFonts w:ascii="宋体" w:hAnsi="宋体" w:cs="宋体" w:eastAsia="宋体" w:hint="default"/>
                <w:spacing w:val="-46"/>
                <w:sz w:val="18"/>
                <w:szCs w:val="18"/>
              </w:rPr>
              <w:t> </w:t>
            </w:r>
            <w:r>
              <w:rPr>
                <w:rFonts w:ascii="宋体" w:hAnsi="宋体" w:cs="宋体" w:eastAsia="宋体" w:hint="default"/>
                <w:sz w:val="18"/>
                <w:szCs w:val="18"/>
              </w:rPr>
              <w:t>发行股份上市地点</w:t>
            </w:r>
            <w:r>
              <w:rPr>
                <w:rFonts w:ascii="宋体" w:hAnsi="宋体" w:cs="宋体" w:eastAsia="宋体" w:hint="default"/>
                <w:spacing w:val="-46"/>
                <w:sz w:val="18"/>
                <w:szCs w:val="18"/>
              </w:rPr>
              <w:t> </w:t>
            </w:r>
            <w:r>
              <w:rPr>
                <w:rFonts w:ascii="宋体" w:hAnsi="宋体" w:cs="宋体" w:eastAsia="宋体" w:hint="default"/>
                <w:sz w:val="18"/>
                <w:szCs w:val="18"/>
              </w:rPr>
              <w:t>2.1.12</w:t>
            </w:r>
            <w:r>
              <w:rPr>
                <w:rFonts w:ascii="宋体" w:hAnsi="宋体" w:cs="宋体" w:eastAsia="宋体" w:hint="default"/>
                <w:spacing w:val="-46"/>
                <w:sz w:val="18"/>
                <w:szCs w:val="18"/>
              </w:rPr>
              <w:t> </w:t>
            </w:r>
            <w:r>
              <w:rPr>
                <w:rFonts w:ascii="宋体" w:hAnsi="宋体" w:cs="宋体" w:eastAsia="宋体" w:hint="default"/>
                <w:sz w:val="18"/>
                <w:szCs w:val="18"/>
              </w:rPr>
              <w:t>滚</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存未分配利润的安排</w:t>
            </w:r>
            <w:r>
              <w:rPr>
                <w:rFonts w:ascii="宋体" w:hAnsi="宋体" w:cs="宋体" w:eastAsia="宋体" w:hint="default"/>
                <w:spacing w:val="-46"/>
                <w:sz w:val="18"/>
                <w:szCs w:val="18"/>
              </w:rPr>
              <w:t> </w:t>
            </w:r>
            <w:r>
              <w:rPr>
                <w:rFonts w:ascii="宋体" w:hAnsi="宋体" w:cs="宋体" w:eastAsia="宋体" w:hint="default"/>
                <w:sz w:val="18"/>
                <w:szCs w:val="18"/>
              </w:rPr>
              <w:t>2.1.13</w:t>
            </w:r>
            <w:r>
              <w:rPr>
                <w:rFonts w:ascii="宋体" w:hAnsi="宋体" w:cs="宋体" w:eastAsia="宋体" w:hint="default"/>
                <w:spacing w:val="-45"/>
                <w:sz w:val="18"/>
                <w:szCs w:val="18"/>
              </w:rPr>
              <w:t> </w:t>
            </w:r>
            <w:r>
              <w:rPr>
                <w:rFonts w:ascii="宋体" w:hAnsi="宋体" w:cs="宋体" w:eastAsia="宋体" w:hint="default"/>
                <w:sz w:val="18"/>
                <w:szCs w:val="18"/>
              </w:rPr>
              <w:t>标的资</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产自基准日至交割日期间损益的归属</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2.1.14</w:t>
            </w:r>
            <w:r>
              <w:rPr>
                <w:rFonts w:ascii="宋体" w:hAnsi="宋体" w:cs="宋体" w:eastAsia="宋体" w:hint="default"/>
                <w:spacing w:val="-50"/>
                <w:sz w:val="18"/>
                <w:szCs w:val="18"/>
              </w:rPr>
              <w:t> </w:t>
            </w:r>
            <w:r>
              <w:rPr>
                <w:rFonts w:ascii="宋体" w:hAnsi="宋体" w:cs="宋体" w:eastAsia="宋体" w:hint="default"/>
                <w:sz w:val="18"/>
                <w:szCs w:val="18"/>
              </w:rPr>
              <w:t>相关资产办理权属转移的合同</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义务和违约责任</w:t>
            </w:r>
            <w:r>
              <w:rPr>
                <w:rFonts w:ascii="宋体" w:hAnsi="宋体" w:cs="宋体" w:eastAsia="宋体" w:hint="default"/>
                <w:spacing w:val="-46"/>
                <w:sz w:val="18"/>
                <w:szCs w:val="18"/>
              </w:rPr>
              <w:t> </w:t>
            </w:r>
            <w:r>
              <w:rPr>
                <w:rFonts w:ascii="宋体" w:hAnsi="宋体" w:cs="宋体" w:eastAsia="宋体" w:hint="default"/>
                <w:sz w:val="18"/>
                <w:szCs w:val="18"/>
              </w:rPr>
              <w:t>2.1.15</w:t>
            </w:r>
            <w:r>
              <w:rPr>
                <w:rFonts w:ascii="宋体" w:hAnsi="宋体" w:cs="宋体" w:eastAsia="宋体" w:hint="default"/>
                <w:spacing w:val="-46"/>
                <w:sz w:val="18"/>
                <w:szCs w:val="18"/>
              </w:rPr>
              <w:t> </w:t>
            </w:r>
            <w:r>
              <w:rPr>
                <w:rFonts w:ascii="宋体" w:hAnsi="宋体" w:cs="宋体" w:eastAsia="宋体" w:hint="default"/>
                <w:sz w:val="18"/>
                <w:szCs w:val="18"/>
              </w:rPr>
              <w:t>业绩承诺及</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补偿安排</w:t>
            </w:r>
            <w:r>
              <w:rPr>
                <w:rFonts w:ascii="宋体" w:hAnsi="宋体" w:cs="宋体" w:eastAsia="宋体" w:hint="default"/>
                <w:spacing w:val="-47"/>
                <w:sz w:val="18"/>
                <w:szCs w:val="18"/>
              </w:rPr>
              <w:t> </w:t>
            </w:r>
            <w:r>
              <w:rPr>
                <w:rFonts w:ascii="宋体" w:hAnsi="宋体" w:cs="宋体" w:eastAsia="宋体" w:hint="default"/>
                <w:sz w:val="18"/>
                <w:szCs w:val="18"/>
              </w:rPr>
              <w:t>2.1.16</w:t>
            </w:r>
            <w:r>
              <w:rPr>
                <w:rFonts w:ascii="宋体" w:hAnsi="宋体" w:cs="宋体" w:eastAsia="宋体" w:hint="default"/>
                <w:spacing w:val="-47"/>
                <w:sz w:val="18"/>
                <w:szCs w:val="18"/>
              </w:rPr>
              <w:t> </w:t>
            </w:r>
            <w:r>
              <w:rPr>
                <w:rFonts w:ascii="宋体" w:hAnsi="宋体" w:cs="宋体" w:eastAsia="宋体" w:hint="default"/>
                <w:sz w:val="18"/>
                <w:szCs w:val="18"/>
              </w:rPr>
              <w:t>决议的有效期</w:t>
            </w:r>
            <w:r>
              <w:rPr>
                <w:rFonts w:ascii="宋体" w:hAnsi="宋体" w:cs="宋体" w:eastAsia="宋体" w:hint="default"/>
                <w:spacing w:val="-47"/>
                <w:sz w:val="18"/>
                <w:szCs w:val="18"/>
              </w:rPr>
              <w:t> </w:t>
            </w:r>
            <w:r>
              <w:rPr>
                <w:rFonts w:ascii="宋体" w:hAnsi="宋体" w:cs="宋体" w:eastAsia="宋体" w:hint="default"/>
                <w:sz w:val="18"/>
                <w:szCs w:val="18"/>
              </w:rPr>
              <w:t>2.2.1</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募集配套资金金额</w:t>
            </w:r>
            <w:r>
              <w:rPr>
                <w:rFonts w:ascii="宋体" w:hAnsi="宋体" w:cs="宋体" w:eastAsia="宋体" w:hint="default"/>
                <w:spacing w:val="-46"/>
                <w:sz w:val="18"/>
                <w:szCs w:val="18"/>
              </w:rPr>
              <w:t> </w:t>
            </w:r>
            <w:r>
              <w:rPr>
                <w:rFonts w:ascii="宋体" w:hAnsi="宋体" w:cs="宋体" w:eastAsia="宋体" w:hint="default"/>
                <w:sz w:val="18"/>
                <w:szCs w:val="18"/>
              </w:rPr>
              <w:t>2.2.2</w:t>
            </w:r>
            <w:r>
              <w:rPr>
                <w:rFonts w:ascii="宋体" w:hAnsi="宋体" w:cs="宋体" w:eastAsia="宋体" w:hint="default"/>
                <w:spacing w:val="-46"/>
                <w:sz w:val="18"/>
                <w:szCs w:val="18"/>
              </w:rPr>
              <w:t> </w:t>
            </w:r>
            <w:r>
              <w:rPr>
                <w:rFonts w:ascii="宋体" w:hAnsi="宋体" w:cs="宋体" w:eastAsia="宋体" w:hint="default"/>
                <w:sz w:val="18"/>
                <w:szCs w:val="18"/>
              </w:rPr>
              <w:t>发行股票的</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种类和面值</w:t>
            </w:r>
            <w:r>
              <w:rPr>
                <w:rFonts w:ascii="宋体" w:hAnsi="宋体" w:cs="宋体" w:eastAsia="宋体" w:hint="default"/>
                <w:spacing w:val="-46"/>
                <w:sz w:val="18"/>
                <w:szCs w:val="18"/>
              </w:rPr>
              <w:t> </w:t>
            </w:r>
            <w:r>
              <w:rPr>
                <w:rFonts w:ascii="宋体" w:hAnsi="宋体" w:cs="宋体" w:eastAsia="宋体" w:hint="default"/>
                <w:sz w:val="18"/>
                <w:szCs w:val="18"/>
              </w:rPr>
              <w:t>2.2.3</w:t>
            </w:r>
            <w:r>
              <w:rPr>
                <w:rFonts w:ascii="宋体" w:hAnsi="宋体" w:cs="宋体" w:eastAsia="宋体" w:hint="default"/>
                <w:spacing w:val="-46"/>
                <w:sz w:val="18"/>
                <w:szCs w:val="18"/>
              </w:rPr>
              <w:t> </w:t>
            </w:r>
            <w:r>
              <w:rPr>
                <w:rFonts w:ascii="宋体" w:hAnsi="宋体" w:cs="宋体" w:eastAsia="宋体" w:hint="default"/>
                <w:sz w:val="18"/>
                <w:szCs w:val="18"/>
              </w:rPr>
              <w:t>发行方式</w:t>
            </w:r>
            <w:r>
              <w:rPr>
                <w:rFonts w:ascii="宋体" w:hAnsi="宋体" w:cs="宋体" w:eastAsia="宋体" w:hint="default"/>
                <w:spacing w:val="-46"/>
                <w:sz w:val="18"/>
                <w:szCs w:val="18"/>
              </w:rPr>
              <w:t> </w:t>
            </w:r>
            <w:r>
              <w:rPr>
                <w:rFonts w:ascii="宋体" w:hAnsi="宋体" w:cs="宋体" w:eastAsia="宋体" w:hint="default"/>
                <w:sz w:val="18"/>
                <w:szCs w:val="18"/>
              </w:rPr>
              <w:t>2.2.4</w:t>
            </w:r>
            <w:r>
              <w:rPr>
                <w:rFonts w:ascii="宋体" w:hAnsi="宋体" w:cs="宋体" w:eastAsia="宋体" w:hint="default"/>
                <w:spacing w:val="-46"/>
                <w:sz w:val="18"/>
                <w:szCs w:val="18"/>
              </w:rPr>
              <w:t> </w:t>
            </w:r>
            <w:r>
              <w:rPr>
                <w:rFonts w:ascii="宋体" w:hAnsi="宋体" w:cs="宋体" w:eastAsia="宋体" w:hint="default"/>
                <w:sz w:val="18"/>
                <w:szCs w:val="18"/>
              </w:rPr>
              <w:t>发</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行对象及认购方式</w:t>
            </w:r>
            <w:r>
              <w:rPr>
                <w:rFonts w:ascii="宋体" w:hAnsi="宋体" w:cs="宋体" w:eastAsia="宋体" w:hint="default"/>
                <w:spacing w:val="-46"/>
                <w:sz w:val="18"/>
                <w:szCs w:val="18"/>
              </w:rPr>
              <w:t> </w:t>
            </w:r>
            <w:r>
              <w:rPr>
                <w:rFonts w:ascii="宋体" w:hAnsi="宋体" w:cs="宋体" w:eastAsia="宋体" w:hint="default"/>
                <w:sz w:val="18"/>
                <w:szCs w:val="18"/>
              </w:rPr>
              <w:t>2.2.5</w:t>
            </w:r>
            <w:r>
              <w:rPr>
                <w:rFonts w:ascii="宋体" w:hAnsi="宋体" w:cs="宋体" w:eastAsia="宋体" w:hint="default"/>
                <w:spacing w:val="-46"/>
                <w:sz w:val="18"/>
                <w:szCs w:val="18"/>
              </w:rPr>
              <w:t> </w:t>
            </w:r>
            <w:r>
              <w:rPr>
                <w:rFonts w:ascii="宋体" w:hAnsi="宋体" w:cs="宋体" w:eastAsia="宋体" w:hint="default"/>
                <w:sz w:val="18"/>
                <w:szCs w:val="18"/>
              </w:rPr>
              <w:t>定价基准日</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和发行价格</w:t>
            </w:r>
            <w:r>
              <w:rPr>
                <w:rFonts w:ascii="宋体" w:hAnsi="宋体" w:cs="宋体" w:eastAsia="宋体" w:hint="default"/>
                <w:spacing w:val="-46"/>
                <w:sz w:val="18"/>
                <w:szCs w:val="18"/>
              </w:rPr>
              <w:t> </w:t>
            </w:r>
            <w:r>
              <w:rPr>
                <w:rFonts w:ascii="宋体" w:hAnsi="宋体" w:cs="宋体" w:eastAsia="宋体" w:hint="default"/>
                <w:sz w:val="18"/>
                <w:szCs w:val="18"/>
              </w:rPr>
              <w:t>2.2.6</w:t>
            </w:r>
            <w:r>
              <w:rPr>
                <w:rFonts w:ascii="宋体" w:hAnsi="宋体" w:cs="宋体" w:eastAsia="宋体" w:hint="default"/>
                <w:spacing w:val="-46"/>
                <w:sz w:val="18"/>
                <w:szCs w:val="18"/>
              </w:rPr>
              <w:t> </w:t>
            </w:r>
            <w:r>
              <w:rPr>
                <w:rFonts w:ascii="宋体" w:hAnsi="宋体" w:cs="宋体" w:eastAsia="宋体" w:hint="default"/>
                <w:sz w:val="18"/>
                <w:szCs w:val="18"/>
              </w:rPr>
              <w:t>发行数量</w:t>
            </w:r>
            <w:r>
              <w:rPr>
                <w:rFonts w:ascii="宋体" w:hAnsi="宋体" w:cs="宋体" w:eastAsia="宋体" w:hint="default"/>
                <w:spacing w:val="-46"/>
                <w:sz w:val="18"/>
                <w:szCs w:val="18"/>
              </w:rPr>
              <w:t> </w:t>
            </w:r>
            <w:r>
              <w:rPr>
                <w:rFonts w:ascii="宋体" w:hAnsi="宋体" w:cs="宋体" w:eastAsia="宋体" w:hint="default"/>
                <w:sz w:val="18"/>
                <w:szCs w:val="18"/>
              </w:rPr>
              <w:t>2.2.7</w:t>
            </w:r>
            <w:r>
              <w:rPr>
                <w:rFonts w:ascii="宋体" w:hAnsi="宋体" w:cs="宋体" w:eastAsia="宋体" w:hint="default"/>
                <w:spacing w:val="-46"/>
                <w:sz w:val="18"/>
                <w:szCs w:val="18"/>
              </w:rPr>
              <w:t> </w:t>
            </w:r>
            <w:r>
              <w:rPr>
                <w:rFonts w:ascii="宋体" w:hAnsi="宋体" w:cs="宋体" w:eastAsia="宋体" w:hint="default"/>
                <w:sz w:val="18"/>
                <w:szCs w:val="18"/>
              </w:rPr>
              <w:t>募</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集配套资金用途</w:t>
            </w:r>
            <w:r>
              <w:rPr>
                <w:rFonts w:ascii="宋体" w:hAnsi="宋体" w:cs="宋体" w:eastAsia="宋体" w:hint="default"/>
                <w:spacing w:val="-46"/>
                <w:sz w:val="18"/>
                <w:szCs w:val="18"/>
              </w:rPr>
              <w:t> </w:t>
            </w:r>
            <w:r>
              <w:rPr>
                <w:rFonts w:ascii="宋体" w:hAnsi="宋体" w:cs="宋体" w:eastAsia="宋体" w:hint="default"/>
                <w:sz w:val="18"/>
                <w:szCs w:val="18"/>
              </w:rPr>
              <w:t>2.2.8</w:t>
            </w:r>
            <w:r>
              <w:rPr>
                <w:rFonts w:ascii="宋体" w:hAnsi="宋体" w:cs="宋体" w:eastAsia="宋体" w:hint="default"/>
                <w:spacing w:val="-46"/>
                <w:sz w:val="18"/>
                <w:szCs w:val="18"/>
              </w:rPr>
              <w:t> </w:t>
            </w:r>
            <w:r>
              <w:rPr>
                <w:rFonts w:ascii="宋体" w:hAnsi="宋体" w:cs="宋体" w:eastAsia="宋体" w:hint="default"/>
                <w:sz w:val="18"/>
                <w:szCs w:val="18"/>
              </w:rPr>
              <w:t>限售期</w:t>
            </w:r>
            <w:r>
              <w:rPr>
                <w:rFonts w:ascii="宋体" w:hAnsi="宋体" w:cs="宋体" w:eastAsia="宋体" w:hint="default"/>
                <w:spacing w:val="-46"/>
                <w:sz w:val="18"/>
                <w:szCs w:val="18"/>
              </w:rPr>
              <w:t> </w:t>
            </w:r>
            <w:r>
              <w:rPr>
                <w:rFonts w:ascii="宋体" w:hAnsi="宋体" w:cs="宋体" w:eastAsia="宋体" w:hint="default"/>
                <w:sz w:val="18"/>
                <w:szCs w:val="18"/>
              </w:rPr>
              <w:t>2.2.9</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滚存未分配利润的安排</w:t>
            </w:r>
            <w:r>
              <w:rPr>
                <w:rFonts w:ascii="宋体" w:hAnsi="宋体" w:cs="宋体" w:eastAsia="宋体" w:hint="default"/>
                <w:spacing w:val="-46"/>
                <w:sz w:val="18"/>
                <w:szCs w:val="18"/>
              </w:rPr>
              <w:t> </w:t>
            </w:r>
            <w:r>
              <w:rPr>
                <w:rFonts w:ascii="宋体" w:hAnsi="宋体" w:cs="宋体" w:eastAsia="宋体" w:hint="default"/>
                <w:sz w:val="18"/>
                <w:szCs w:val="18"/>
              </w:rPr>
              <w:t>2.2.10</w:t>
            </w:r>
            <w:r>
              <w:rPr>
                <w:rFonts w:ascii="宋体" w:hAnsi="宋体" w:cs="宋体" w:eastAsia="宋体" w:hint="default"/>
                <w:spacing w:val="-46"/>
                <w:sz w:val="18"/>
                <w:szCs w:val="18"/>
              </w:rPr>
              <w:t> </w:t>
            </w:r>
            <w:r>
              <w:rPr>
                <w:rFonts w:ascii="宋体" w:hAnsi="宋体" w:cs="宋体" w:eastAsia="宋体" w:hint="default"/>
                <w:sz w:val="18"/>
                <w:szCs w:val="18"/>
              </w:rPr>
              <w:t>发行</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股份上市地点</w:t>
            </w:r>
            <w:r>
              <w:rPr>
                <w:rFonts w:ascii="宋体" w:hAnsi="宋体" w:cs="宋体" w:eastAsia="宋体" w:hint="default"/>
                <w:spacing w:val="-46"/>
                <w:sz w:val="18"/>
                <w:szCs w:val="18"/>
              </w:rPr>
              <w:t> </w:t>
            </w:r>
            <w:r>
              <w:rPr>
                <w:rFonts w:ascii="宋体" w:hAnsi="宋体" w:cs="宋体" w:eastAsia="宋体" w:hint="default"/>
                <w:sz w:val="18"/>
                <w:szCs w:val="18"/>
              </w:rPr>
              <w:t>2.2.11</w:t>
            </w:r>
            <w:r>
              <w:rPr>
                <w:rFonts w:ascii="宋体" w:hAnsi="宋体" w:cs="宋体" w:eastAsia="宋体" w:hint="default"/>
                <w:spacing w:val="-46"/>
                <w:sz w:val="18"/>
                <w:szCs w:val="18"/>
              </w:rPr>
              <w:t> </w:t>
            </w:r>
            <w:r>
              <w:rPr>
                <w:rFonts w:ascii="宋体" w:hAnsi="宋体" w:cs="宋体" w:eastAsia="宋体" w:hint="default"/>
                <w:sz w:val="18"/>
                <w:szCs w:val="18"/>
              </w:rPr>
              <w:t>决议的有效期</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、审议通过《关于本次交易符合</w:t>
            </w:r>
            <w:r>
              <w:rPr>
                <w:rFonts w:ascii="宋体" w:hAnsi="宋体" w:cs="宋体" w:eastAsia="宋体" w:hint="default"/>
                <w:sz w:val="18"/>
                <w:szCs w:val="18"/>
              </w:rPr>
              <w:t>&lt;</w:t>
            </w:r>
            <w:r>
              <w:rPr>
                <w:rFonts w:ascii="宋体" w:hAnsi="宋体" w:cs="宋体" w:eastAsia="宋体" w:hint="default"/>
                <w:sz w:val="18"/>
                <w:szCs w:val="18"/>
              </w:rPr>
              <w:t>关</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于规范上市公司重大资产重组若干问</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题的规定</w:t>
            </w:r>
            <w:r>
              <w:rPr>
                <w:rFonts w:ascii="宋体" w:hAnsi="宋体" w:cs="宋体" w:eastAsia="宋体" w:hint="default"/>
                <w:sz w:val="18"/>
                <w:szCs w:val="18"/>
              </w:rPr>
              <w:t>&gt;</w:t>
            </w:r>
            <w:r>
              <w:rPr>
                <w:rFonts w:ascii="宋体" w:hAnsi="宋体" w:cs="宋体" w:eastAsia="宋体" w:hint="default"/>
                <w:sz w:val="18"/>
                <w:szCs w:val="18"/>
              </w:rPr>
              <w:t>第四条规定的议案》</w:t>
            </w:r>
            <w:r>
              <w:rPr>
                <w:rFonts w:ascii="宋体" w:hAnsi="宋体" w:cs="宋体" w:eastAsia="宋体" w:hint="default"/>
                <w:sz w:val="18"/>
                <w:szCs w:val="18"/>
              </w:rPr>
              <w:t>4</w:t>
            </w:r>
            <w:r>
              <w:rPr>
                <w:rFonts w:ascii="宋体" w:hAnsi="宋体" w:cs="宋体" w:eastAsia="宋体" w:hint="default"/>
                <w:sz w:val="18"/>
                <w:szCs w:val="18"/>
              </w:rPr>
              <w:t>、审</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议通过《关于本次交易符合</w:t>
            </w:r>
            <w:r>
              <w:rPr>
                <w:rFonts w:ascii="宋体" w:hAnsi="宋体" w:cs="宋体" w:eastAsia="宋体" w:hint="default"/>
                <w:spacing w:val="-3"/>
                <w:sz w:val="18"/>
                <w:szCs w:val="18"/>
              </w:rPr>
              <w:t>&lt;</w:t>
            </w:r>
            <w:r>
              <w:rPr>
                <w:rFonts w:ascii="宋体" w:hAnsi="宋体" w:cs="宋体" w:eastAsia="宋体" w:hint="default"/>
                <w:spacing w:val="-3"/>
                <w:sz w:val="18"/>
                <w:szCs w:val="18"/>
              </w:rPr>
              <w:t>上市公司</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重大资产重组管理办法</w:t>
            </w:r>
            <w:r>
              <w:rPr>
                <w:rFonts w:ascii="宋体" w:hAnsi="宋体" w:cs="宋体" w:eastAsia="宋体" w:hint="default"/>
                <w:sz w:val="18"/>
                <w:szCs w:val="18"/>
              </w:rPr>
              <w:t>&gt;</w:t>
            </w:r>
            <w:r>
              <w:rPr>
                <w:rFonts w:ascii="宋体" w:hAnsi="宋体" w:cs="宋体" w:eastAsia="宋体" w:hint="default"/>
                <w:sz w:val="18"/>
                <w:szCs w:val="18"/>
              </w:rPr>
              <w:t>第四十三条</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第二款规定的议案》</w:t>
            </w:r>
            <w:r>
              <w:rPr>
                <w:rFonts w:ascii="宋体" w:hAnsi="宋体" w:cs="宋体" w:eastAsia="宋体" w:hint="default"/>
                <w:spacing w:val="-3"/>
                <w:sz w:val="18"/>
                <w:szCs w:val="18"/>
              </w:rPr>
              <w:t>5</w:t>
            </w:r>
            <w:r>
              <w:rPr>
                <w:rFonts w:ascii="宋体" w:hAnsi="宋体" w:cs="宋体" w:eastAsia="宋体" w:hint="default"/>
                <w:spacing w:val="-3"/>
                <w:sz w:val="18"/>
                <w:szCs w:val="18"/>
              </w:rPr>
              <w:t>、审议通过《关</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于本次交易符合</w:t>
            </w:r>
            <w:r>
              <w:rPr>
                <w:rFonts w:ascii="宋体" w:hAnsi="宋体" w:cs="宋体" w:eastAsia="宋体" w:hint="default"/>
                <w:sz w:val="18"/>
                <w:szCs w:val="18"/>
              </w:rPr>
              <w:t>&lt;</w:t>
            </w:r>
            <w:r>
              <w:rPr>
                <w:rFonts w:ascii="宋体" w:hAnsi="宋体" w:cs="宋体" w:eastAsia="宋体" w:hint="default"/>
                <w:sz w:val="18"/>
                <w:szCs w:val="18"/>
              </w:rPr>
              <w:t>上市公司重大资产</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重组管理办法</w:t>
            </w:r>
            <w:r>
              <w:rPr>
                <w:rFonts w:ascii="宋体" w:hAnsi="宋体" w:cs="宋体" w:eastAsia="宋体" w:hint="default"/>
                <w:sz w:val="18"/>
                <w:szCs w:val="18"/>
              </w:rPr>
              <w:t>&gt;</w:t>
            </w:r>
            <w:r>
              <w:rPr>
                <w:rFonts w:ascii="宋体" w:hAnsi="宋体" w:cs="宋体" w:eastAsia="宋体" w:hint="default"/>
                <w:sz w:val="18"/>
                <w:szCs w:val="18"/>
              </w:rPr>
              <w:t>第四十四条及其适用</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意见的规定的议案》</w:t>
            </w:r>
            <w:r>
              <w:rPr>
                <w:rFonts w:ascii="宋体" w:hAnsi="宋体" w:cs="宋体" w:eastAsia="宋体" w:hint="default"/>
                <w:spacing w:val="-3"/>
                <w:sz w:val="18"/>
                <w:szCs w:val="18"/>
              </w:rPr>
              <w:t>6</w:t>
            </w:r>
            <w:r>
              <w:rPr>
                <w:rFonts w:ascii="宋体" w:hAnsi="宋体" w:cs="宋体" w:eastAsia="宋体" w:hint="default"/>
                <w:spacing w:val="-3"/>
                <w:sz w:val="18"/>
                <w:szCs w:val="18"/>
              </w:rPr>
              <w:t>、审议通过《关</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于公司与深圳市至高通信技术发展有</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限公司全体股东签署附生效条件的</w:t>
            </w:r>
            <w:r>
              <w:rPr>
                <w:rFonts w:ascii="宋体" w:hAnsi="宋体" w:cs="宋体" w:eastAsia="宋体" w:hint="default"/>
                <w:sz w:val="18"/>
                <w:szCs w:val="18"/>
              </w:rPr>
              <w:t>&lt;</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发行股份及支付现金购买资产协议</w:t>
            </w:r>
            <w:r>
              <w:rPr>
                <w:rFonts w:ascii="宋体" w:hAnsi="宋体" w:cs="宋体" w:eastAsia="宋体" w:hint="default"/>
                <w:sz w:val="18"/>
                <w:szCs w:val="18"/>
              </w:rPr>
              <w:t>&gt;</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z w:val="18"/>
                <w:szCs w:val="18"/>
              </w:rPr>
              <w:t>7</w:t>
            </w:r>
            <w:r>
              <w:rPr>
                <w:rFonts w:ascii="宋体" w:hAnsi="宋体" w:cs="宋体" w:eastAsia="宋体" w:hint="default"/>
                <w:sz w:val="18"/>
                <w:szCs w:val="18"/>
              </w:rPr>
              <w:t>、审议通过《关于</w:t>
            </w:r>
            <w:r>
              <w:rPr>
                <w:rFonts w:ascii="宋体" w:hAnsi="宋体" w:cs="宋体" w:eastAsia="宋体" w:hint="default"/>
                <w:sz w:val="18"/>
                <w:szCs w:val="18"/>
              </w:rPr>
              <w:t>&lt;</w:t>
            </w:r>
            <w:r>
              <w:rPr>
                <w:rFonts w:ascii="宋体" w:hAnsi="宋体" w:cs="宋体" w:eastAsia="宋体" w:hint="default"/>
                <w:sz w:val="18"/>
                <w:szCs w:val="18"/>
              </w:rPr>
              <w:t>东华软</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件股份公司发行股份及支付现金购买</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资产并募集配套资金报告书（草案）</w:t>
            </w:r>
            <w:r>
              <w:rPr>
                <w:rFonts w:ascii="宋体" w:hAnsi="宋体" w:cs="宋体" w:eastAsia="宋体" w:hint="default"/>
                <w:spacing w:val="-3"/>
                <w:sz w:val="18"/>
                <w:szCs w:val="18"/>
              </w:rPr>
              <w:t>&gt;</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及其摘要的议案》</w:t>
            </w:r>
            <w:r>
              <w:rPr>
                <w:rFonts w:ascii="宋体" w:hAnsi="宋体" w:cs="宋体" w:eastAsia="宋体" w:hint="default"/>
                <w:spacing w:val="-3"/>
                <w:sz w:val="18"/>
                <w:szCs w:val="18"/>
              </w:rPr>
              <w:t>8</w:t>
            </w:r>
            <w:r>
              <w:rPr>
                <w:rFonts w:ascii="宋体" w:hAnsi="宋体" w:cs="宋体" w:eastAsia="宋体" w:hint="default"/>
                <w:spacing w:val="-3"/>
                <w:sz w:val="18"/>
                <w:szCs w:val="18"/>
              </w:rPr>
              <w:t>、审议通过《关于</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公司本次交易不构成关联交易的议</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案》</w:t>
            </w:r>
            <w:r>
              <w:rPr>
                <w:rFonts w:ascii="宋体" w:hAnsi="宋体" w:cs="宋体" w:eastAsia="宋体" w:hint="default"/>
                <w:spacing w:val="-3"/>
                <w:sz w:val="18"/>
                <w:szCs w:val="18"/>
              </w:rPr>
              <w:t>9</w:t>
            </w:r>
            <w:r>
              <w:rPr>
                <w:rFonts w:ascii="宋体" w:hAnsi="宋体" w:cs="宋体" w:eastAsia="宋体" w:hint="default"/>
                <w:spacing w:val="-3"/>
                <w:sz w:val="18"/>
                <w:szCs w:val="18"/>
              </w:rPr>
              <w:t>、审议通过《关于批准本次交易</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相关审计报告、盈利预测审核报告以</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及资产评估报告的议案》</w:t>
            </w:r>
            <w:r>
              <w:rPr>
                <w:rFonts w:ascii="宋体" w:hAnsi="宋体" w:cs="宋体" w:eastAsia="宋体" w:hint="default"/>
                <w:sz w:val="18"/>
                <w:szCs w:val="18"/>
              </w:rPr>
              <w:t>10</w:t>
            </w:r>
            <w:r>
              <w:rPr>
                <w:rFonts w:ascii="宋体" w:hAnsi="宋体" w:cs="宋体" w:eastAsia="宋体" w:hint="default"/>
                <w:sz w:val="18"/>
                <w:szCs w:val="18"/>
              </w:rPr>
              <w:t>、审议通</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过《关于评估机构的独立性、评估假</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设前提的合理性、评估方法与评估目</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的的相关性以及评估定价的公允性的</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意见的议案》</w:t>
            </w:r>
            <w:r>
              <w:rPr>
                <w:rFonts w:ascii="宋体" w:hAnsi="宋体" w:cs="宋体" w:eastAsia="宋体" w:hint="default"/>
                <w:sz w:val="18"/>
                <w:szCs w:val="18"/>
              </w:rPr>
              <w:t>11</w:t>
            </w:r>
            <w:r>
              <w:rPr>
                <w:rFonts w:ascii="宋体" w:hAnsi="宋体" w:cs="宋体" w:eastAsia="宋体" w:hint="default"/>
                <w:sz w:val="18"/>
                <w:szCs w:val="18"/>
              </w:rPr>
              <w:t>、审议通过《关于提</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13" w:hRule="exact"/>
        </w:trPr>
        <w:tc>
          <w:tcPr>
            <w:tcW w:w="1596"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请股东大会授权董事会全权办理本次</w:t>
            </w:r>
          </w:p>
        </w:tc>
        <w:tc>
          <w:tcPr>
            <w:tcW w:w="99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2336" w:type="dxa"/>
            <w:vMerge/>
            <w:tcBorders>
              <w:left w:val="single" w:sz="4" w:space="0" w:color="000000"/>
              <w:right w:val="single" w:sz="4" w:space="0" w:color="000000"/>
            </w:tcBorders>
          </w:tcPr>
          <w:p>
            <w:pPr/>
          </w:p>
        </w:tc>
      </w:tr>
      <w:tr>
        <w:trPr>
          <w:trHeight w:val="357" w:hRule="exact"/>
        </w:trPr>
        <w:tc>
          <w:tcPr>
            <w:tcW w:w="1596"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2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交易相关事宜的议案》</w:t>
            </w:r>
          </w:p>
        </w:tc>
        <w:tc>
          <w:tcPr>
            <w:tcW w:w="99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233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3</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吴淼</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郭庆旺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张守文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耿建新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同生辉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独立董事对公司有关事项是否提出异议</w:t>
      </w:r>
    </w:p>
    <w:p>
      <w:pPr>
        <w:pStyle w:val="BodyText"/>
        <w:spacing w:line="357" w:lineRule="auto" w:before="116"/>
        <w:ind w:right="5992"/>
        <w:jc w:val="left"/>
      </w:pPr>
      <w:r>
        <w:rPr/>
        <w:t>□ 是 √ 否 报告期内独立董事对公司有关事项未提出异议。</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独立董事对公司有关建议是否被采纳</w:t>
      </w:r>
    </w:p>
    <w:p>
      <w:pPr>
        <w:pStyle w:val="BodyText"/>
        <w:spacing w:line="357" w:lineRule="auto" w:before="117"/>
        <w:ind w:right="5812"/>
        <w:jc w:val="left"/>
      </w:pPr>
      <w:r>
        <w:rPr/>
        <w:t>√ 是 □ 否 独立董事对公司有关建议被采纳或未被采纳的说明</w:t>
      </w:r>
    </w:p>
    <w:p>
      <w:pPr>
        <w:pStyle w:val="BodyText"/>
        <w:spacing w:line="316" w:lineRule="auto" w:before="107"/>
        <w:ind w:right="149" w:firstLine="360"/>
        <w:jc w:val="both"/>
      </w:pPr>
      <w:r>
        <w:rPr>
          <w:spacing w:val="-2"/>
        </w:rPr>
        <w:t>报告期内，公司独立董事勤勉尽责、有效地履行独立董事职务，对公司进行了多次实地现场考察，详细了解公司日常经</w:t>
      </w:r>
      <w:r>
        <w:rPr/>
        <w:t> </w:t>
      </w:r>
      <w:r>
        <w:rPr>
          <w:spacing w:val="-2"/>
        </w:rPr>
        <w:t>营和公司财务状况。报告期内，公司四名独立董事全部出席公司历次董事会，并在会议中提出对公司发展的建议与意见。在</w:t>
      </w:r>
      <w:r>
        <w:rPr>
          <w:spacing w:val="-66"/>
        </w:rPr>
        <w:t> </w:t>
      </w:r>
      <w:r>
        <w:rPr>
          <w:spacing w:val="-66"/>
        </w:rPr>
      </w:r>
      <w:r>
        <w:rPr>
          <w:spacing w:val="-2"/>
        </w:rPr>
        <w:t>公司定期报告前后，独立董事与公司董事、高级管理人员、内审部门及会计师进行沟通，对公司内部控制、公司治理、经营</w:t>
      </w:r>
      <w:r>
        <w:rPr>
          <w:spacing w:val="-67"/>
        </w:rPr>
        <w:t> </w:t>
      </w:r>
      <w:r>
        <w:rPr>
          <w:spacing w:val="-67"/>
        </w:rPr>
      </w:r>
      <w:r>
        <w:rPr>
          <w:spacing w:val="-2"/>
        </w:rPr>
        <w:t>策略、发展方向、公司战略等诸多方面提出指导性意见；同时，及时获悉公司各大重大事项的进展情况，并对公司重大事项</w:t>
      </w:r>
      <w:r>
        <w:rPr>
          <w:spacing w:val="-66"/>
        </w:rPr>
        <w:t> </w:t>
      </w:r>
      <w:r>
        <w:rPr>
          <w:spacing w:val="-66"/>
        </w:rPr>
      </w:r>
      <w:r>
        <w:rPr/>
        <w:t>发表独立意见，为公司董事会各项议案的审议表决提供了有力的支持，保护了公司和广大投资者的利益。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四、董事会下设专门委员会在报告期内履行职责情况</w:t>
      </w:r>
      <w:r>
        <w:rPr>
          <w:b w:val="0"/>
          <w:bCs w:val="0"/>
        </w:rPr>
      </w:r>
    </w:p>
    <w:p>
      <w:pPr>
        <w:pStyle w:val="BodyText"/>
        <w:spacing w:line="430" w:lineRule="atLeast" w:before="152"/>
        <w:ind w:left="514" w:right="142"/>
        <w:jc w:val="left"/>
      </w:pPr>
      <w:r>
        <w:rPr>
          <w:rFonts w:ascii="宋体" w:hAnsi="宋体" w:cs="宋体" w:eastAsia="宋体" w:hint="default"/>
        </w:rPr>
        <w:t>1</w:t>
      </w:r>
      <w:r>
        <w:rPr/>
        <w:t>、审计委员会的履行职责情况 报告期内，公司董事会审计委员会认真履行职责，共召开</w:t>
      </w:r>
      <w:r>
        <w:rPr>
          <w:rFonts w:ascii="宋体" w:hAnsi="宋体" w:cs="宋体" w:eastAsia="宋体" w:hint="default"/>
        </w:rPr>
        <w:t>5</w:t>
      </w:r>
      <w:r>
        <w:rPr/>
        <w:t>次会议。审计委员会听取了审计公司年度工作总结和工作计</w:t>
      </w:r>
    </w:p>
    <w:p>
      <w:pPr>
        <w:pStyle w:val="BodyText"/>
        <w:spacing w:line="316" w:lineRule="auto" w:before="76"/>
        <w:ind w:right="0"/>
        <w:jc w:val="left"/>
      </w:pPr>
      <w:r>
        <w:rPr>
          <w:spacing w:val="-2"/>
        </w:rPr>
        <w:t>划安排，与公司内部审计部门积极沟通配合，指导审计部门开展各项相关工作；提议续聘外部审计机构；积极监督公司的内</w:t>
      </w:r>
      <w:r>
        <w:rPr>
          <w:spacing w:val="-66"/>
        </w:rPr>
        <w:t> </w:t>
      </w:r>
      <w:r>
        <w:rPr>
          <w:spacing w:val="-66"/>
        </w:rPr>
      </w:r>
      <w:r>
        <w:rPr>
          <w:spacing w:val="-2"/>
        </w:rPr>
        <w:t>部审计制度及其实施情况，对公司的内控制度的健全和完善提出意见和建议；对公司定期财务报告等需要披露的重要财务信</w:t>
      </w:r>
    </w:p>
    <w:p>
      <w:pPr>
        <w:spacing w:after="0" w:line="316"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439" w:lineRule="auto" w:before="44"/>
        <w:ind w:left="514" w:right="3512" w:hanging="360"/>
        <w:jc w:val="left"/>
      </w:pPr>
      <w:r>
        <w:rPr/>
        <w:t>息进行严格审核，与审计会计师及时、有效沟通，并对重要事项进行充分讨论。 </w:t>
      </w:r>
      <w:r>
        <w:rPr>
          <w:rFonts w:ascii="宋体" w:hAnsi="宋体" w:cs="宋体" w:eastAsia="宋体" w:hint="default"/>
        </w:rPr>
        <w:t>2</w:t>
      </w:r>
      <w:r>
        <w:rPr/>
        <w:t>、提名委员会的履行职责情况</w:t>
      </w:r>
    </w:p>
    <w:p>
      <w:pPr>
        <w:pStyle w:val="BodyText"/>
        <w:spacing w:line="319" w:lineRule="auto" w:before="47"/>
        <w:ind w:right="182" w:firstLine="720"/>
        <w:jc w:val="left"/>
      </w:pPr>
      <w:r>
        <w:rPr/>
        <w:t>报告期内，公司董事会提名委员会认真履行职责，共召开</w:t>
      </w:r>
      <w:r>
        <w:rPr>
          <w:rFonts w:ascii="宋体" w:hAnsi="宋体" w:cs="宋体" w:eastAsia="宋体" w:hint="default"/>
        </w:rPr>
        <w:t>1</w:t>
      </w:r>
      <w:r>
        <w:rPr/>
        <w:t>次会议，按照《董事会提名委员会工作细则》提名李燕 女士为第五届董事会独立董事候选人。</w:t>
      </w:r>
    </w:p>
    <w:p>
      <w:pPr>
        <w:pStyle w:val="BodyText"/>
        <w:spacing w:line="432" w:lineRule="exact" w:before="1"/>
        <w:ind w:left="514" w:right="182"/>
        <w:jc w:val="left"/>
      </w:pPr>
      <w:r>
        <w:rPr>
          <w:rFonts w:ascii="宋体" w:hAnsi="宋体" w:cs="宋体" w:eastAsia="宋体" w:hint="default"/>
        </w:rPr>
        <w:t>3</w:t>
      </w:r>
      <w:r>
        <w:rPr/>
        <w:t>、薪酬与考核委员会的履行职责情况 报告期内，公司薪酬与考核委员会认真履行职责，共召开</w:t>
      </w:r>
      <w:r>
        <w:rPr>
          <w:rFonts w:ascii="宋体" w:hAnsi="宋体" w:cs="宋体" w:eastAsia="宋体" w:hint="default"/>
        </w:rPr>
        <w:t>1</w:t>
      </w:r>
      <w:r>
        <w:rPr/>
        <w:t>次会议，年底依据公司《高级管理人员薪酬及考核制度》对</w:t>
      </w:r>
    </w:p>
    <w:p>
      <w:pPr>
        <w:pStyle w:val="BodyText"/>
        <w:spacing w:line="439" w:lineRule="auto" w:before="15"/>
        <w:ind w:left="514" w:right="6572" w:hanging="360"/>
        <w:jc w:val="left"/>
      </w:pPr>
      <w:r>
        <w:rPr/>
        <w:t>公司高级管理人员进行考核，确认薪酬。 </w:t>
      </w:r>
      <w:r>
        <w:rPr>
          <w:rFonts w:ascii="宋体" w:hAnsi="宋体" w:cs="宋体" w:eastAsia="宋体" w:hint="default"/>
        </w:rPr>
        <w:t>4</w:t>
      </w:r>
      <w:r>
        <w:rPr/>
        <w:t>、战略委员会的履行职责情况</w:t>
      </w:r>
    </w:p>
    <w:p>
      <w:pPr>
        <w:pStyle w:val="BodyText"/>
        <w:spacing w:line="316" w:lineRule="auto" w:before="47"/>
        <w:ind w:right="192" w:firstLine="360"/>
        <w:jc w:val="both"/>
      </w:pPr>
      <w:r>
        <w:rPr/>
        <w:t>报告期内，公司战略委员会认真履行职责，共召开</w:t>
      </w:r>
      <w:r>
        <w:rPr>
          <w:rFonts w:ascii="宋体" w:hAnsi="宋体" w:cs="宋体" w:eastAsia="宋体" w:hint="default"/>
        </w:rPr>
        <w:t>4</w:t>
      </w:r>
      <w:r>
        <w:rPr/>
        <w:t>次会议，对公司未来发展规划以及影响公司未来发展的重大事项进 </w:t>
      </w:r>
      <w:r>
        <w:rPr>
          <w:spacing w:val="-2"/>
        </w:rPr>
        <w:t>行了深入探讨研究并提出了建议；提议对外投资设立健康乐软件有限公司事项，对外投资设立东华智慧城市股份有限公司以</w:t>
      </w:r>
      <w:r>
        <w:rPr>
          <w:spacing w:val="-64"/>
        </w:rPr>
        <w:t> </w:t>
      </w:r>
      <w:r>
        <w:rPr>
          <w:spacing w:val="-64"/>
        </w:rPr>
      </w:r>
      <w:r>
        <w:rPr/>
        <w:t>及参与发起设立海南银行的相关事项；讨论公司发行股份及支付现金购买深圳市至高通信技术发展有限公司事项。</w:t>
      </w:r>
    </w:p>
    <w:p>
      <w:pPr>
        <w:spacing w:line="240" w:lineRule="auto" w:before="10"/>
        <w:rPr>
          <w:rFonts w:ascii="宋体" w:hAnsi="宋体" w:cs="宋体" w:eastAsia="宋体" w:hint="default"/>
          <w:sz w:val="20"/>
          <w:szCs w:val="20"/>
        </w:rPr>
      </w:pPr>
    </w:p>
    <w:p>
      <w:pPr>
        <w:pStyle w:val="Heading2"/>
        <w:spacing w:line="240" w:lineRule="auto"/>
        <w:ind w:right="87"/>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7"/>
        <w:jc w:val="left"/>
      </w:pPr>
      <w:r>
        <w:rPr/>
        <w:t>监事会在报告期内的监督活动中发现公司是否存在风险</w:t>
      </w:r>
    </w:p>
    <w:p>
      <w:pPr>
        <w:pStyle w:val="BodyText"/>
        <w:spacing w:line="360" w:lineRule="auto" w:before="116"/>
        <w:ind w:right="6752"/>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87"/>
        <w:jc w:val="left"/>
        <w:rPr>
          <w:b w:val="0"/>
          <w:bCs w:val="0"/>
        </w:rPr>
      </w:pPr>
      <w:r>
        <w:rPr/>
        <w:t>六、公司相对于控股股东在业务、人员、资产、机构、财务等方面的独立完整情况</w:t>
      </w:r>
      <w:r>
        <w:rPr>
          <w:b w:val="0"/>
          <w:bCs w:val="0"/>
        </w:rPr>
      </w:r>
    </w:p>
    <w:p>
      <w:pPr>
        <w:pStyle w:val="BodyText"/>
        <w:spacing w:line="430" w:lineRule="atLeast" w:before="153"/>
        <w:ind w:left="514" w:right="87"/>
        <w:jc w:val="left"/>
      </w:pPr>
      <w:r>
        <w:rPr/>
        <w:t>公司与控股股东在业务、人员、资产、机构、财务等方面完全分开，具有独立完整的业务及自主经营能力。 </w:t>
      </w:r>
      <w:r>
        <w:rPr>
          <w:rFonts w:ascii="宋体" w:hAnsi="宋体" w:cs="宋体" w:eastAsia="宋体" w:hint="default"/>
          <w:spacing w:val="-2"/>
        </w:rPr>
        <w:t>1</w:t>
      </w:r>
      <w:r>
        <w:rPr>
          <w:spacing w:val="-2"/>
        </w:rPr>
        <w:t>、业务独立情况公司主要从事行业应用软件开发、计算机信息系统集成及相关服务业务，拥有独立的采购和销售系统，</w:t>
      </w:r>
    </w:p>
    <w:p>
      <w:pPr>
        <w:pStyle w:val="BodyText"/>
        <w:spacing w:line="316" w:lineRule="auto" w:before="76"/>
        <w:ind w:right="92"/>
        <w:jc w:val="left"/>
      </w:pPr>
      <w:r>
        <w:rPr/>
        <w:t>独立的进行原材料和产品的采购和销售，并建立了符合现代企业制度要求和公司实际情况的法人治理结构和内部组织结构， </w:t>
      </w:r>
      <w:r>
        <w:rPr>
          <w:spacing w:val="-2"/>
        </w:rPr>
        <w:t>在生产经营及管理上独立运作。本公司的实际控制人薛向东及其家族成员以及所控制的诚信电脑、诚信设备、合创投资分别</w:t>
      </w:r>
      <w:r>
        <w:rPr>
          <w:spacing w:val="-66"/>
        </w:rPr>
        <w:t> </w:t>
      </w:r>
      <w:r>
        <w:rPr>
          <w:spacing w:val="-66"/>
        </w:rPr>
      </w:r>
      <w:r>
        <w:rPr/>
        <w:t>于</w:t>
      </w:r>
      <w:r>
        <w:rPr>
          <w:rFonts w:ascii="宋体" w:hAnsi="宋体" w:cs="宋体" w:eastAsia="宋体" w:hint="default"/>
        </w:rPr>
        <w:t>2005</w:t>
      </w:r>
      <w:r>
        <w:rPr/>
        <w:t>年</w:t>
      </w:r>
      <w:r>
        <w:rPr>
          <w:rFonts w:ascii="宋体" w:hAnsi="宋体" w:cs="宋体" w:eastAsia="宋体" w:hint="default"/>
        </w:rPr>
        <w:t>10</w:t>
      </w:r>
      <w:r>
        <w:rPr/>
        <w:t>月</w:t>
      </w:r>
      <w:r>
        <w:rPr>
          <w:rFonts w:ascii="宋体" w:hAnsi="宋体" w:cs="宋体" w:eastAsia="宋体" w:hint="default"/>
        </w:rPr>
        <w:t>28</w:t>
      </w:r>
      <w:r>
        <w:rPr/>
        <w:t>日向本公司出具了《不竞争承诺函》以及</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5</w:t>
      </w:r>
      <w:r>
        <w:rPr/>
        <w:t>日签订的《避免同业竞争承诺》，本公司与任何股东 及其他关联方之间不存在同业竞争。</w:t>
      </w:r>
    </w:p>
    <w:p>
      <w:pPr>
        <w:pStyle w:val="BodyText"/>
        <w:spacing w:line="316" w:lineRule="auto" w:before="139"/>
        <w:ind w:right="191" w:firstLine="360"/>
        <w:jc w:val="both"/>
      </w:pPr>
      <w:r>
        <w:rPr>
          <w:rFonts w:ascii="宋体" w:hAnsi="宋体" w:cs="宋体" w:eastAsia="宋体" w:hint="default"/>
        </w:rPr>
        <w:t>2</w:t>
      </w:r>
      <w:r>
        <w:rPr/>
        <w:t>、人员独立情况公司逐步建立健全法人治理结构，董事、监事及高级管理人员均严格按照《公司法》、《公司章程》 </w:t>
      </w:r>
      <w:r>
        <w:rPr>
          <w:spacing w:val="-2"/>
        </w:rPr>
        <w:t>规定的条件和程序产生。目前，除董事长薛向东担任控股股东诚信电脑的董事外，公司其余董事、监事均未在公司股东单位</w:t>
      </w:r>
      <w:r>
        <w:rPr>
          <w:spacing w:val="-66"/>
        </w:rPr>
        <w:t> </w:t>
      </w:r>
      <w:r>
        <w:rPr>
          <w:spacing w:val="-66"/>
        </w:rPr>
      </w:r>
      <w:r>
        <w:rPr>
          <w:spacing w:val="-2"/>
        </w:rPr>
        <w:t>任职。公司总经理、副总经理、财务负责人和董事会秘书等高级管理人员专职在公司工作并领取薪酬，其中公司副总经理王</w:t>
      </w:r>
      <w:r>
        <w:rPr>
          <w:spacing w:val="-66"/>
        </w:rPr>
        <w:t> </w:t>
      </w:r>
      <w:r>
        <w:rPr>
          <w:spacing w:val="-66"/>
        </w:rPr>
      </w:r>
      <w:r>
        <w:rPr>
          <w:spacing w:val="-2"/>
        </w:rPr>
        <w:t>佺在控股子公司北京神州新桥科技有限公司担任副总经理，并在控股子公司领取工资。其余公司高级管理人员未在公司股东</w:t>
      </w:r>
      <w:r>
        <w:rPr>
          <w:spacing w:val="-64"/>
        </w:rPr>
        <w:t> </w:t>
      </w:r>
      <w:r>
        <w:rPr>
          <w:spacing w:val="-64"/>
        </w:rPr>
      </w:r>
      <w:r>
        <w:rPr/>
        <w:t>单位任职，也未在与公司业务相同或相似、或存在其他利益冲突的企业任职。</w:t>
      </w:r>
    </w:p>
    <w:p>
      <w:pPr>
        <w:pStyle w:val="BodyText"/>
        <w:spacing w:line="316" w:lineRule="auto" w:before="139"/>
        <w:ind w:right="103" w:firstLine="360"/>
        <w:jc w:val="both"/>
      </w:pPr>
      <w:r>
        <w:rPr>
          <w:rFonts w:ascii="宋体" w:hAnsi="宋体" w:cs="宋体" w:eastAsia="宋体" w:hint="default"/>
          <w:spacing w:val="-2"/>
        </w:rPr>
        <w:t>3</w:t>
      </w:r>
      <w:r>
        <w:rPr>
          <w:spacing w:val="-2"/>
        </w:rPr>
        <w:t>、资产独立情况公司拥有独立的生产经营场所，对全部资产拥有完全的控制支配权，拥有独立的经营系统和配套设施、</w:t>
      </w:r>
      <w:r>
        <w:rPr/>
        <w:t> </w:t>
      </w:r>
      <w:r>
        <w:rPr>
          <w:spacing w:val="-4"/>
        </w:rPr>
        <w:t>专有技术、计算机软件著作权等资产。公司和控股股东产权关系明确，公司资产完整并由公司实际控制和使用，不存在资产、</w:t>
      </w:r>
      <w:r>
        <w:rPr>
          <w:spacing w:val="-46"/>
        </w:rPr>
        <w:t> </w:t>
      </w:r>
      <w:r>
        <w:rPr>
          <w:spacing w:val="-46"/>
        </w:rPr>
      </w:r>
      <w:r>
        <w:rPr/>
        <w:t>资金被控股股东、实际控制人及其控制的企业违规占用而损害公司利益的情况。</w:t>
      </w:r>
    </w:p>
    <w:p>
      <w:pPr>
        <w:pStyle w:val="BodyText"/>
        <w:spacing w:line="316" w:lineRule="auto" w:before="139"/>
        <w:ind w:right="200" w:firstLine="360"/>
        <w:jc w:val="both"/>
      </w:pPr>
      <w:r>
        <w:rPr>
          <w:rFonts w:ascii="宋体" w:hAnsi="宋体" w:cs="宋体" w:eastAsia="宋体" w:hint="default"/>
        </w:rPr>
        <w:t>4</w:t>
      </w:r>
      <w:r>
        <w:rPr/>
        <w:t>、机构独立情况公司根据《公司法》、《证券法》及《公司章程》的相关规定，设立了健全的组织结构体系，独立运 作，不存在与控股股东或其职能部门之间的从属关系。</w:t>
      </w:r>
    </w:p>
    <w:p>
      <w:pPr>
        <w:pStyle w:val="BodyText"/>
        <w:spacing w:line="316" w:lineRule="auto" w:before="139"/>
        <w:ind w:right="191" w:firstLine="360"/>
        <w:jc w:val="both"/>
      </w:pPr>
      <w:r>
        <w:rPr>
          <w:rFonts w:ascii="宋体" w:hAnsi="宋体" w:cs="宋体" w:eastAsia="宋体" w:hint="default"/>
        </w:rPr>
        <w:t>5</w:t>
      </w:r>
      <w:r>
        <w:rPr/>
        <w:t>、财务独立情况公司已依照相关法律、法规成立了独立的财务部门，建立了独立的会计核算体系和财务管理制度，并 </w:t>
      </w:r>
      <w:r>
        <w:rPr>
          <w:spacing w:val="-2"/>
        </w:rPr>
        <w:t>实施严格的内部审计制度，不存在本公司股东或其他关联方干预本公司资金使用的情况；公司拥有独立的银行账户，独立进</w:t>
      </w:r>
      <w:r>
        <w:rPr>
          <w:spacing w:val="-66"/>
        </w:rPr>
        <w:t> </w:t>
      </w:r>
      <w:r>
        <w:rPr>
          <w:spacing w:val="-66"/>
        </w:rPr>
      </w:r>
      <w:r>
        <w:rPr>
          <w:spacing w:val="-2"/>
        </w:rPr>
        <w:t>行纳税申报并履行纳税义务，本公司股东及其他关联方未以任何形式占用公司资金、资产和其他资源。截止目前，本公司没</w:t>
      </w:r>
      <w:r>
        <w:rPr>
          <w:spacing w:val="-66"/>
        </w:rPr>
        <w:t> </w:t>
      </w:r>
      <w:r>
        <w:rPr>
          <w:spacing w:val="-66"/>
        </w:rPr>
      </w:r>
      <w:r>
        <w:rPr/>
        <w:t>有以资产、权益或信誉为股东、股东的控股子公司或附属企业、个人提供担保的行为。</w:t>
      </w:r>
    </w:p>
    <w:p>
      <w:pPr>
        <w:spacing w:after="0" w:line="316" w:lineRule="auto"/>
        <w:jc w:val="both"/>
        <w:sectPr>
          <w:pgSz w:w="11910" w:h="16840"/>
          <w:pgMar w:header="747" w:footer="979" w:top="1060" w:bottom="116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14" w:right="8102" w:hanging="360"/>
        <w:jc w:val="left"/>
      </w:pPr>
      <w:r>
        <w:rPr/>
        <w:t>√ 适用 □ 不适用 </w:t>
      </w:r>
      <w:r>
        <w:rPr>
          <w:rFonts w:ascii="宋体" w:hAnsi="宋体" w:cs="宋体" w:eastAsia="宋体" w:hint="default"/>
        </w:rPr>
        <w:t>1</w:t>
      </w:r>
      <w:r>
        <w:rPr/>
        <w:t>、同业竞争情况</w:t>
      </w:r>
    </w:p>
    <w:p>
      <w:pPr>
        <w:pStyle w:val="BodyText"/>
        <w:spacing w:line="240" w:lineRule="auto" w:before="47"/>
        <w:ind w:left="514" w:right="87"/>
        <w:jc w:val="left"/>
      </w:pPr>
      <w:r>
        <w:rPr/>
        <w:t>本公司目前主要从事的主营业务为行业应用软件开发、计算机系统集成及相关服务业。</w:t>
      </w:r>
    </w:p>
    <w:p>
      <w:pPr>
        <w:spacing w:line="240" w:lineRule="auto" w:before="0"/>
        <w:rPr>
          <w:rFonts w:ascii="宋体" w:hAnsi="宋体" w:cs="宋体" w:eastAsia="宋体" w:hint="default"/>
          <w:sz w:val="15"/>
          <w:szCs w:val="15"/>
        </w:rPr>
      </w:pPr>
    </w:p>
    <w:p>
      <w:pPr>
        <w:pStyle w:val="BodyText"/>
        <w:spacing w:line="316" w:lineRule="auto"/>
        <w:ind w:right="193" w:firstLine="360"/>
        <w:jc w:val="both"/>
      </w:pPr>
      <w:r>
        <w:rPr>
          <w:spacing w:val="-2"/>
        </w:rPr>
        <w:t>本公司的实际控制人是自然人薛向东先生及其家族成员，其所控制的法人包括诚信电脑、诚信设备和合创投资，均为本</w:t>
      </w:r>
      <w:r>
        <w:rPr/>
        <w:t> 公司的法人股东。本公司实际控制人及其控制的法人目前实际从事的主要业务情况如下：</w:t>
      </w:r>
    </w:p>
    <w:p>
      <w:pPr>
        <w:pStyle w:val="BodyText"/>
        <w:spacing w:line="316" w:lineRule="auto" w:before="139"/>
        <w:ind w:right="92" w:firstLine="360"/>
        <w:jc w:val="left"/>
      </w:pPr>
      <w:r>
        <w:rPr>
          <w:spacing w:val="-2"/>
        </w:rPr>
        <w:t>诚信电脑主要从事的业务为技术开发、技术推广、技术转让、技术咨询、技术服务；开发、销售计算机软硬件及外围设</w:t>
      </w:r>
      <w:r>
        <w:rPr/>
        <w:t> 备；计算机系统集成；货物进出口、代理进出口；工业设备主要从事的业务为销售机械电器设备、五金交电、电子元器件、 </w:t>
      </w:r>
      <w:r>
        <w:rPr>
          <w:spacing w:val="-2"/>
        </w:rPr>
        <w:t>制冷空调设备、金属材料及开发后的产品、工业窑炉、自动化控制系统的技术开发、转让、咨询、服务等；合创投资主要从</w:t>
      </w:r>
      <w:r>
        <w:rPr>
          <w:spacing w:val="-71"/>
        </w:rPr>
        <w:t> </w:t>
      </w:r>
      <w:r>
        <w:rPr>
          <w:spacing w:val="-71"/>
        </w:rPr>
      </w:r>
      <w:r>
        <w:rPr/>
        <w:t>事的业务为投资咨询、企业策划、企业管理咨询；市场调查；承办展览展示活动；组织文化艺术交流活动；经济贸易咨询； </w:t>
      </w:r>
      <w:r>
        <w:rPr>
          <w:spacing w:val="-2"/>
        </w:rPr>
        <w:t>电脑动画设计。除此以外，上述三名法人均不存在为他人经营的情况。因此，公司目前不存在与控股股东、实际控制人及其</w:t>
      </w:r>
      <w:r>
        <w:rPr>
          <w:spacing w:val="-66"/>
        </w:rPr>
        <w:t> </w:t>
      </w:r>
      <w:r>
        <w:rPr>
          <w:spacing w:val="-66"/>
        </w:rPr>
      </w:r>
      <w:r>
        <w:rPr/>
        <w:t>控制的其他企业从事相同、相似业务的情况。</w:t>
      </w:r>
    </w:p>
    <w:p>
      <w:pPr>
        <w:pStyle w:val="BodyText"/>
        <w:spacing w:line="432" w:lineRule="exact" w:before="3"/>
        <w:ind w:left="514" w:right="87"/>
        <w:jc w:val="left"/>
      </w:pPr>
      <w:r>
        <w:rPr>
          <w:rFonts w:ascii="宋体" w:hAnsi="宋体" w:cs="宋体" w:eastAsia="宋体" w:hint="default"/>
        </w:rPr>
        <w:t>2</w:t>
      </w:r>
      <w:r>
        <w:rPr/>
        <w:t>、避免同业竞争的措施 </w:t>
      </w:r>
      <w:r>
        <w:rPr>
          <w:spacing w:val="-2"/>
        </w:rPr>
        <w:t>为避免损害本公司及其股东利益，本公司实际控制人薛向东及其家族成员以及所控制的诚信电脑、工业设备、合创投资</w:t>
      </w:r>
    </w:p>
    <w:p>
      <w:pPr>
        <w:pStyle w:val="BodyText"/>
        <w:spacing w:line="316" w:lineRule="auto" w:before="15"/>
        <w:ind w:right="192"/>
        <w:jc w:val="both"/>
      </w:pPr>
      <w:r>
        <w:rPr/>
        <w:t>于</w:t>
      </w:r>
      <w:r>
        <w:rPr>
          <w:rFonts w:ascii="宋体" w:hAnsi="宋体" w:cs="宋体" w:eastAsia="宋体" w:hint="default"/>
        </w:rPr>
        <w:t>2005</w:t>
      </w:r>
      <w:r>
        <w:rPr/>
        <w:t>年</w:t>
      </w:r>
      <w:r>
        <w:rPr>
          <w:rFonts w:ascii="宋体" w:hAnsi="宋体" w:cs="宋体" w:eastAsia="宋体" w:hint="default"/>
        </w:rPr>
        <w:t>10</w:t>
      </w:r>
      <w:r>
        <w:rPr/>
        <w:t>月</w:t>
      </w:r>
      <w:r>
        <w:rPr>
          <w:rFonts w:ascii="宋体" w:hAnsi="宋体" w:cs="宋体" w:eastAsia="宋体" w:hint="default"/>
        </w:rPr>
        <w:t>28</w:t>
      </w:r>
      <w:r>
        <w:rPr/>
        <w:t>日向本公司出具了《不竞争承诺函》，并于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5</w:t>
      </w:r>
      <w:r>
        <w:rPr/>
        <w:t>日，出具了《避免同业竞争承诺函》，承诺其将来 </w:t>
      </w:r>
      <w:r>
        <w:rPr>
          <w:spacing w:val="-2"/>
        </w:rPr>
        <w:t>不会以直接或间接方式从事与本公司相同或同类的业务，从而确保避免对本公司的经营构成任何直接或间接的业务竞争。该</w:t>
      </w:r>
      <w:r>
        <w:rPr>
          <w:spacing w:val="-64"/>
        </w:rPr>
        <w:t> </w:t>
      </w:r>
      <w:r>
        <w:rPr>
          <w:spacing w:val="-64"/>
        </w:rPr>
      </w:r>
      <w:r>
        <w:rPr/>
        <w:t>承诺自出具之日起生效，并在承诺人作为本公司股东或关联方的整个期间持续有效。</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公司建立了完善的《高级管理人员薪酬及考核制度》，根据该制度的规定，公司高级管理人员均由董事会聘任，董事会</w:t>
      </w:r>
      <w:r>
        <w:rPr/>
        <w:t> </w:t>
      </w:r>
      <w:r>
        <w:rPr>
          <w:spacing w:val="-2"/>
        </w:rPr>
        <w:t>薪酬与考核委员会负责对公司高级管理人员的工作能力、履职情况、责任目标完成情况进行考评。报告期内，公司高级管理</w:t>
      </w:r>
      <w:r>
        <w:rPr>
          <w:spacing w:val="-66"/>
        </w:rPr>
        <w:t> </w:t>
      </w:r>
      <w:r>
        <w:rPr>
          <w:spacing w:val="-66"/>
        </w:rPr>
      </w:r>
      <w:r>
        <w:rPr>
          <w:spacing w:val="-2"/>
        </w:rPr>
        <w:t>人员严格按照《公司法》、《公司章程》及有关法律法规认真履行职责，积极落实公司股东大会和董事会各项决议。公司不</w:t>
      </w:r>
      <w:r>
        <w:rPr>
          <w:spacing w:val="-70"/>
        </w:rPr>
        <w:t> </w:t>
      </w:r>
      <w:r>
        <w:rPr>
          <w:spacing w:val="-70"/>
        </w:rPr>
      </w:r>
      <w:r>
        <w:rPr>
          <w:spacing w:val="-2"/>
        </w:rPr>
        <w:t>断加强绩效管理工作，根据发展战略和年度经营目标，确定公司年度经营重点工作，并从财务、业务、基础管理及能力等维</w:t>
      </w:r>
      <w:r>
        <w:rPr>
          <w:spacing w:val="-66"/>
        </w:rPr>
        <w:t> </w:t>
      </w:r>
      <w:r>
        <w:rPr>
          <w:spacing w:val="-66"/>
        </w:rPr>
      </w:r>
      <w:r>
        <w:rPr>
          <w:spacing w:val="-2"/>
        </w:rPr>
        <w:t>度，以经营管理工作及相关能力表现相结合的形式进行考评。经考核，</w:t>
      </w:r>
      <w:r>
        <w:rPr>
          <w:rFonts w:ascii="宋体" w:hAnsi="宋体" w:cs="宋体" w:eastAsia="宋体" w:hint="default"/>
          <w:spacing w:val="-2"/>
        </w:rPr>
        <w:t>2014</w:t>
      </w:r>
      <w:r>
        <w:rPr>
          <w:spacing w:val="-2"/>
        </w:rPr>
        <w:t>年度公司高级管理人员认真履行职责，较好的完</w:t>
      </w:r>
      <w:r>
        <w:rPr>
          <w:spacing w:val="-61"/>
        </w:rPr>
        <w:t> </w:t>
      </w:r>
      <w:r>
        <w:rPr>
          <w:spacing w:val="-61"/>
        </w:rPr>
      </w:r>
      <w:r>
        <w:rPr/>
        <w:t>成了年初制定的工作目标和任务。</w:t>
      </w:r>
    </w:p>
    <w:p>
      <w:pPr>
        <w:pStyle w:val="BodyText"/>
        <w:spacing w:line="316" w:lineRule="auto" w:before="139"/>
        <w:ind w:right="192" w:firstLine="360"/>
        <w:jc w:val="both"/>
      </w:pPr>
      <w:r>
        <w:rPr/>
        <w:t>报告期内，公司股票期权激励计划第二期行权条件已经满足，共有</w:t>
      </w:r>
      <w:r>
        <w:rPr>
          <w:rFonts w:ascii="宋体" w:hAnsi="宋体" w:cs="宋体" w:eastAsia="宋体" w:hint="default"/>
        </w:rPr>
        <w:t>339</w:t>
      </w:r>
      <w:r>
        <w:rPr/>
        <w:t>名激励对象申请第二期行权，行权价格</w:t>
      </w:r>
      <w:r>
        <w:rPr>
          <w:rFonts w:ascii="宋体" w:hAnsi="宋体" w:cs="宋体" w:eastAsia="宋体" w:hint="default"/>
        </w:rPr>
        <w:t>16.25</w:t>
      </w:r>
      <w:r>
        <w:rPr/>
        <w:t>元</w:t>
      </w:r>
      <w:r>
        <w:rPr>
          <w:rFonts w:ascii="宋体" w:hAnsi="宋体" w:cs="宋体" w:eastAsia="宋体" w:hint="default"/>
        </w:rPr>
        <w:t>/ </w:t>
      </w:r>
      <w:r>
        <w:rPr>
          <w:spacing w:val="-2"/>
        </w:rPr>
        <w:t>股，通过股权激励的实施，有效的调动了管理者和公司核心员工的工作积极性和主动性，对保留公司优秀管理人才和核心员</w:t>
      </w:r>
      <w:r>
        <w:rPr>
          <w:spacing w:val="-66"/>
        </w:rPr>
        <w:t> </w:t>
      </w:r>
      <w:r>
        <w:rPr>
          <w:spacing w:val="-66"/>
        </w:rPr>
      </w:r>
      <w:r>
        <w:rPr/>
        <w:t>工起到了积极作用。</w:t>
      </w:r>
    </w:p>
    <w:p>
      <w:pPr>
        <w:spacing w:after="0" w:line="316" w:lineRule="auto"/>
        <w:jc w:val="both"/>
        <w:sectPr>
          <w:pgSz w:w="11910" w:h="16840"/>
          <w:pgMar w:header="747"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855" w:right="893"/>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公司依照《公司法》、《证券法》、《企业内部控制基本规范》等有关法律、法规和规章制度，以及证监会、深交所的</w:t>
      </w:r>
      <w:r>
        <w:rPr/>
        <w:t> </w:t>
      </w:r>
      <w:r>
        <w:rPr>
          <w:spacing w:val="-2"/>
        </w:rPr>
        <w:t>有关规则、指引的要求，建立了一套符合公司实际情况的，较为完善、健全、有效的内部控制制度体系，并结合公司的实际</w:t>
      </w:r>
      <w:r>
        <w:rPr>
          <w:spacing w:val="-68"/>
        </w:rPr>
        <w:t> </w:t>
      </w:r>
      <w:r>
        <w:rPr>
          <w:spacing w:val="-68"/>
        </w:rPr>
      </w:r>
      <w:r>
        <w:rPr>
          <w:spacing w:val="-2"/>
        </w:rPr>
        <w:t>情况、自身特点和管理需要，不断健全公司法人治理结构、完善内部控制体系，规范公司运作，提高公司管理水平，具体如</w:t>
      </w:r>
      <w:r>
        <w:rPr>
          <w:spacing w:val="-68"/>
        </w:rPr>
        <w:t> </w:t>
      </w:r>
      <w:r>
        <w:rPr>
          <w:spacing w:val="-68"/>
        </w:rPr>
      </w:r>
      <w:r>
        <w:rPr/>
        <w:t>下：</w:t>
      </w:r>
    </w:p>
    <w:p>
      <w:pPr>
        <w:pStyle w:val="BodyText"/>
        <w:spacing w:line="432" w:lineRule="exact" w:before="3"/>
        <w:ind w:left="514" w:right="87"/>
        <w:jc w:val="left"/>
      </w:pPr>
      <w:r>
        <w:rPr>
          <w:rFonts w:ascii="宋体" w:hAnsi="宋体" w:cs="宋体" w:eastAsia="宋体" w:hint="default"/>
        </w:rPr>
        <w:t>1</w:t>
      </w:r>
      <w:r>
        <w:rPr/>
        <w:t>、公司治理控制 </w:t>
      </w:r>
      <w:r>
        <w:rPr>
          <w:spacing w:val="-2"/>
        </w:rPr>
        <w:t>公司下设股东大会、董事会、监事会，董事会下设战略委员会、审计委员会、薪酬与考核委员会、提名委员会四个专门</w:t>
      </w:r>
    </w:p>
    <w:p>
      <w:pPr>
        <w:pStyle w:val="BodyText"/>
        <w:spacing w:line="316" w:lineRule="auto" w:before="15"/>
        <w:ind w:right="103"/>
        <w:jc w:val="both"/>
      </w:pPr>
      <w:r>
        <w:rPr>
          <w:spacing w:val="-2"/>
        </w:rPr>
        <w:t>委员会，公司建立了较为完善的法人治理结构和完善的管理制度。根据《公司法》、《证券法》等有关法律法规的规定，制</w:t>
      </w:r>
      <w:r>
        <w:rPr>
          <w:spacing w:val="-67"/>
        </w:rPr>
        <w:t> </w:t>
      </w:r>
      <w:r>
        <w:rPr>
          <w:spacing w:val="-67"/>
        </w:rPr>
      </w:r>
      <w:r>
        <w:rPr>
          <w:spacing w:val="-4"/>
        </w:rPr>
        <w:t>订了《股东大会议事规则》、《董事会议事规则》、《监事会议事规则》、《总经理工作细则》、《董事会秘书工作细则》、</w:t>
      </w:r>
    </w:p>
    <w:p>
      <w:pPr>
        <w:pStyle w:val="BodyText"/>
        <w:spacing w:line="316" w:lineRule="auto" w:before="19"/>
        <w:ind w:right="190"/>
        <w:jc w:val="both"/>
      </w:pPr>
      <w:r>
        <w:rPr>
          <w:spacing w:val="-2"/>
        </w:rPr>
        <w:t>《独立董事工作制度》、《提名委员会实施细则》、《战略委员会实施细则》、《审计委员会实施细则》、《薪酬与考核委</w:t>
      </w:r>
      <w:r>
        <w:rPr>
          <w:spacing w:val="-70"/>
        </w:rPr>
        <w:t> </w:t>
      </w:r>
      <w:r>
        <w:rPr>
          <w:spacing w:val="-70"/>
        </w:rPr>
      </w:r>
      <w:r>
        <w:rPr>
          <w:spacing w:val="-2"/>
        </w:rPr>
        <w:t>员会实施细则》等相关制度，明确了“三会”及专门委员会的职责权限、任职资格、议事规则和工作程序，确保了决策、监</w:t>
      </w:r>
      <w:r>
        <w:rPr>
          <w:spacing w:val="-68"/>
        </w:rPr>
        <w:t> </w:t>
      </w:r>
      <w:r>
        <w:rPr>
          <w:spacing w:val="-68"/>
        </w:rPr>
      </w:r>
      <w:r>
        <w:rPr/>
        <w:t>督相互分离、形成制衡，保证了公司经营、管理工作的顺利进行。</w:t>
      </w:r>
    </w:p>
    <w:p>
      <w:pPr>
        <w:pStyle w:val="BodyText"/>
        <w:spacing w:line="432" w:lineRule="exact" w:before="3"/>
        <w:ind w:left="514" w:right="87"/>
        <w:jc w:val="left"/>
      </w:pPr>
      <w:r>
        <w:rPr>
          <w:rFonts w:ascii="宋体" w:hAnsi="宋体" w:cs="宋体" w:eastAsia="宋体" w:hint="default"/>
        </w:rPr>
        <w:t>2</w:t>
      </w:r>
      <w:r>
        <w:rPr/>
        <w:t>、生产经营控制 </w:t>
      </w:r>
      <w:r>
        <w:rPr>
          <w:spacing w:val="-2"/>
        </w:rPr>
        <w:t>公司制定了明确的各职能部门的工作权限和职责，以基本制度为基础，制定了涵盖产品研发、测试、咨询与实施、人力</w:t>
      </w:r>
    </w:p>
    <w:p>
      <w:pPr>
        <w:pStyle w:val="BodyText"/>
        <w:spacing w:line="319" w:lineRule="auto" w:before="15"/>
        <w:ind w:right="190"/>
        <w:jc w:val="both"/>
      </w:pPr>
      <w:r>
        <w:rPr>
          <w:spacing w:val="-2"/>
        </w:rPr>
        <w:t>资源、财务管理、销售合同管理、行政管理等整个经营过程的一系列制度，确保各项工作都有章可循，管理有序，形成了规</w:t>
      </w:r>
      <w:r>
        <w:rPr>
          <w:spacing w:val="-68"/>
        </w:rPr>
        <w:t> </w:t>
      </w:r>
      <w:r>
        <w:rPr>
          <w:spacing w:val="-68"/>
        </w:rPr>
      </w:r>
      <w:r>
        <w:rPr>
          <w:spacing w:val="-2"/>
        </w:rPr>
        <w:t>范的管理体系。公司对控股或全资子公司的经营、资金、人员、财务等重大方面，按照法律法规及其公司章程的规定，通过</w:t>
      </w:r>
      <w:r>
        <w:rPr>
          <w:spacing w:val="-68"/>
        </w:rPr>
        <w:t> </w:t>
      </w:r>
      <w:r>
        <w:rPr>
          <w:spacing w:val="-68"/>
        </w:rPr>
      </w:r>
      <w:r>
        <w:rPr/>
        <w:t>严谨的制度安排履行必要的监管。</w:t>
      </w:r>
    </w:p>
    <w:p>
      <w:pPr>
        <w:pStyle w:val="BodyText"/>
        <w:spacing w:line="432" w:lineRule="exact" w:before="1"/>
        <w:ind w:left="514" w:right="87"/>
        <w:jc w:val="left"/>
      </w:pPr>
      <w:r>
        <w:rPr>
          <w:rFonts w:ascii="宋体" w:hAnsi="宋体" w:cs="宋体" w:eastAsia="宋体" w:hint="default"/>
        </w:rPr>
        <w:t>3</w:t>
      </w:r>
      <w:r>
        <w:rPr/>
        <w:t>、财务管理控制 </w:t>
      </w:r>
      <w:r>
        <w:rPr>
          <w:spacing w:val="-2"/>
        </w:rPr>
        <w:t>公司根据《会计法》、《企业财务通则》、《企业内部控制规范》等有关规定，建立了规范、完整的财务管理控制制度</w:t>
      </w:r>
    </w:p>
    <w:p>
      <w:pPr>
        <w:pStyle w:val="BodyText"/>
        <w:spacing w:line="316" w:lineRule="auto" w:before="15"/>
        <w:ind w:right="190"/>
        <w:jc w:val="both"/>
      </w:pPr>
      <w:r>
        <w:rPr>
          <w:spacing w:val="-2"/>
        </w:rPr>
        <w:t>以及相关的操作规程。公司按照《企业会计准则》的有关规定，结合业务性质和特点，制定了公司会计核算办法，会计核算</w:t>
      </w:r>
      <w:r>
        <w:rPr>
          <w:spacing w:val="-68"/>
        </w:rPr>
        <w:t> </w:t>
      </w:r>
      <w:r>
        <w:rPr>
          <w:spacing w:val="-68"/>
        </w:rPr>
      </w:r>
      <w:r>
        <w:rPr>
          <w:spacing w:val="-2"/>
        </w:rPr>
        <w:t>体系健全。公司还通过财务管理信息系统，对货币资金、采购与付款、销售与收款、固定资产、存货等建立了严格内部审批</w:t>
      </w:r>
      <w:r>
        <w:rPr>
          <w:spacing w:val="-67"/>
        </w:rPr>
        <w:t> </w:t>
      </w:r>
      <w:r>
        <w:rPr>
          <w:spacing w:val="-67"/>
        </w:rPr>
      </w:r>
      <w:r>
        <w:rPr/>
        <w:t>程序，规定了相应的审批权限，并实施有效控制管理。报告期内公司未发现财务报告内部控制存在重大缺陷的具体情况。</w:t>
      </w:r>
    </w:p>
    <w:p>
      <w:pPr>
        <w:pStyle w:val="BodyText"/>
        <w:spacing w:line="432" w:lineRule="exact" w:before="3"/>
        <w:ind w:left="514" w:right="87"/>
        <w:jc w:val="left"/>
      </w:pPr>
      <w:r>
        <w:rPr>
          <w:rFonts w:ascii="宋体" w:hAnsi="宋体" w:cs="宋体" w:eastAsia="宋体" w:hint="default"/>
        </w:rPr>
        <w:t>4</w:t>
      </w:r>
      <w:r>
        <w:rPr/>
        <w:t>、关联交易控制 </w:t>
      </w:r>
      <w:r>
        <w:rPr>
          <w:spacing w:val="-2"/>
        </w:rPr>
        <w:t>公司制定了《关联交易制度》、《规范与关联方资金往来制度》，对关联方和关联交易、关联交易的审批权限和决策程</w:t>
      </w:r>
    </w:p>
    <w:p>
      <w:pPr>
        <w:pStyle w:val="BodyText"/>
        <w:spacing w:line="316" w:lineRule="auto" w:before="15"/>
        <w:ind w:right="190"/>
        <w:jc w:val="both"/>
      </w:pPr>
      <w:r>
        <w:rPr>
          <w:spacing w:val="-2"/>
        </w:rPr>
        <w:t>序等作了明确的规定，规范与关联方的交易行为，力求遵循诚实信用、公正、公平、公开的原则，保护公司及中小股东的利</w:t>
      </w:r>
      <w:r>
        <w:rPr>
          <w:spacing w:val="-67"/>
        </w:rPr>
        <w:t> </w:t>
      </w:r>
      <w:r>
        <w:rPr>
          <w:spacing w:val="-67"/>
        </w:rPr>
      </w:r>
      <w:r>
        <w:rPr/>
        <w:t>益。</w:t>
      </w:r>
    </w:p>
    <w:p>
      <w:pPr>
        <w:pStyle w:val="BodyText"/>
        <w:spacing w:line="432" w:lineRule="exact" w:before="3"/>
        <w:ind w:left="514" w:right="87"/>
        <w:jc w:val="left"/>
      </w:pPr>
      <w:r>
        <w:rPr>
          <w:rFonts w:ascii="宋体" w:hAnsi="宋体" w:cs="宋体" w:eastAsia="宋体" w:hint="default"/>
        </w:rPr>
        <w:t>5</w:t>
      </w:r>
      <w:r>
        <w:rPr/>
        <w:t>、对外担保控制 </w:t>
      </w:r>
      <w:r>
        <w:rPr>
          <w:spacing w:val="-2"/>
        </w:rPr>
        <w:t>公司建立了《对外担保制度》，对公司发生对外担保行为时的担保对象、审批权限和决策程序、安全措施等作了详细规</w:t>
      </w:r>
    </w:p>
    <w:p>
      <w:pPr>
        <w:pStyle w:val="BodyText"/>
        <w:spacing w:line="316" w:lineRule="auto" w:before="15"/>
        <w:ind w:right="193"/>
        <w:jc w:val="both"/>
      </w:pPr>
      <w:r>
        <w:rPr>
          <w:spacing w:val="-2"/>
        </w:rPr>
        <w:t>定，并明确规定：公司对外担保应当取得出席董事会会议的三分之二以上董事同意并经全体独立董事三分之二以上同意，或</w:t>
      </w:r>
      <w:r>
        <w:rPr>
          <w:spacing w:val="-66"/>
        </w:rPr>
        <w:t> </w:t>
      </w:r>
      <w:r>
        <w:rPr>
          <w:spacing w:val="-66"/>
        </w:rPr>
      </w:r>
      <w:r>
        <w:rPr/>
        <w:t>者经股东大会批准。未经董事会或股东大会批准，公司不得对外提供担保。</w:t>
      </w:r>
    </w:p>
    <w:p>
      <w:pPr>
        <w:pStyle w:val="BodyText"/>
        <w:spacing w:line="430" w:lineRule="exact" w:before="5"/>
        <w:ind w:left="514" w:right="87"/>
        <w:jc w:val="left"/>
      </w:pPr>
      <w:r>
        <w:rPr>
          <w:rFonts w:ascii="宋体" w:hAnsi="宋体" w:cs="宋体" w:eastAsia="宋体" w:hint="default"/>
        </w:rPr>
        <w:t>6</w:t>
      </w:r>
      <w:r>
        <w:rPr/>
        <w:t>、对外投资管理制度 </w:t>
      </w:r>
      <w:r>
        <w:rPr>
          <w:spacing w:val="-2"/>
        </w:rPr>
        <w:t>公司制定了《对外投资管理制度》，对公司重大投资的基本原则和决策程序予以明确的规定。由公司董事会战略委员会</w:t>
      </w:r>
    </w:p>
    <w:p>
      <w:pPr>
        <w:pStyle w:val="BodyText"/>
        <w:spacing w:line="316" w:lineRule="auto" w:before="15"/>
        <w:ind w:right="193"/>
        <w:jc w:val="both"/>
      </w:pPr>
      <w:r>
        <w:rPr>
          <w:spacing w:val="-2"/>
        </w:rPr>
        <w:t>负责统筹、协调和组织对外投资项目的分析和研究，为决策提供建议后，根据投资数额提交董事会、股东大会审议。进一步</w:t>
      </w:r>
      <w:r>
        <w:rPr>
          <w:spacing w:val="-66"/>
        </w:rPr>
        <w:t> </w:t>
      </w:r>
      <w:r>
        <w:rPr>
          <w:spacing w:val="-66"/>
        </w:rPr>
      </w:r>
      <w:r>
        <w:rPr/>
        <w:t>加强对外投资的管理，规范公司对外投资行为，提高资金运作效率，保障公司对外投资的保值、增值。</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87"/>
        <w:jc w:val="left"/>
      </w:pPr>
      <w:r>
        <w:rPr>
          <w:rFonts w:ascii="宋体" w:hAnsi="宋体" w:cs="宋体" w:eastAsia="宋体" w:hint="default"/>
        </w:rPr>
        <w:t>7</w:t>
      </w:r>
      <w:r>
        <w:rPr/>
        <w:t>、内部审计控制</w:t>
      </w:r>
    </w:p>
    <w:p>
      <w:pPr>
        <w:spacing w:line="240" w:lineRule="auto" w:before="0"/>
        <w:rPr>
          <w:rFonts w:ascii="宋体" w:hAnsi="宋体" w:cs="宋体" w:eastAsia="宋体" w:hint="default"/>
          <w:sz w:val="15"/>
          <w:szCs w:val="15"/>
        </w:rPr>
      </w:pPr>
    </w:p>
    <w:p>
      <w:pPr>
        <w:pStyle w:val="BodyText"/>
        <w:spacing w:line="319" w:lineRule="auto"/>
        <w:ind w:right="87" w:firstLine="360"/>
        <w:jc w:val="left"/>
      </w:pPr>
      <w:r>
        <w:rPr>
          <w:spacing w:val="-2"/>
        </w:rPr>
        <w:t>公司建立了《内部审计制度》，对内审工作作出明确的规定和要求。公司内部审计部门直接对董事会负责，在审计委员</w:t>
      </w:r>
      <w:r>
        <w:rPr/>
        <w:t> </w:t>
      </w:r>
      <w:r>
        <w:rPr>
          <w:spacing w:val="-4"/>
        </w:rPr>
        <w:t>会的指导下，独立行使审计职权，不受其他部门和个人的干涉。内部审计部门对公司及下属子公司所有经营管理、财务状况、</w:t>
      </w:r>
      <w:r>
        <w:rPr>
          <w:spacing w:val="-45"/>
        </w:rPr>
        <w:t> </w:t>
      </w:r>
      <w:r>
        <w:rPr>
          <w:spacing w:val="-45"/>
        </w:rPr>
      </w:r>
      <w:r>
        <w:rPr>
          <w:spacing w:val="-2"/>
        </w:rPr>
        <w:t>内控执行等情况进行内部审计，对其经济效益的真实性、合理性、合法性做出合理评价，提升内部控制管理的有效性，进一</w:t>
      </w:r>
      <w:r>
        <w:rPr>
          <w:spacing w:val="-66"/>
        </w:rPr>
        <w:t> </w:t>
      </w:r>
      <w:r>
        <w:rPr>
          <w:spacing w:val="-66"/>
        </w:rPr>
      </w:r>
      <w:r>
        <w:rPr/>
        <w:t>步防范经营风险和财务风险。</w:t>
      </w:r>
    </w:p>
    <w:p>
      <w:pPr>
        <w:pStyle w:val="BodyText"/>
        <w:spacing w:line="432" w:lineRule="exact" w:before="1"/>
        <w:ind w:left="514" w:right="87"/>
        <w:jc w:val="left"/>
      </w:pPr>
      <w:r>
        <w:rPr>
          <w:rFonts w:ascii="宋体" w:hAnsi="宋体" w:cs="宋体" w:eastAsia="宋体" w:hint="default"/>
        </w:rPr>
        <w:t>8</w:t>
      </w:r>
      <w:r>
        <w:rPr/>
        <w:t>、对控股子公司的管理控制 </w:t>
      </w:r>
      <w:r>
        <w:rPr>
          <w:spacing w:val="-2"/>
        </w:rPr>
        <w:t>公司严格依照有关法律法规和上市公司的有关规定对控股子公司进行管理，控股子公司根据《公司法》的要求建立了董</w:t>
      </w:r>
    </w:p>
    <w:p>
      <w:pPr>
        <w:pStyle w:val="BodyText"/>
        <w:spacing w:line="316" w:lineRule="auto" w:before="15"/>
        <w:ind w:right="92"/>
        <w:jc w:val="left"/>
      </w:pPr>
      <w:r>
        <w:rPr/>
        <w:t>事会和监事会，依法管理和监督经营活动。各控股子公司都参照公司制度，并结合实际情况建立健全经营和财务管理制度。 公司依据考核规定对控股子公司进行年度业绩考核，确保子公司的经营符合公司的总体战略和经营管理目标的实现。</w:t>
      </w:r>
    </w:p>
    <w:p>
      <w:pPr>
        <w:pStyle w:val="BodyText"/>
        <w:spacing w:line="432" w:lineRule="exact" w:before="3"/>
        <w:ind w:left="514" w:right="87"/>
        <w:jc w:val="left"/>
      </w:pPr>
      <w:r>
        <w:rPr>
          <w:rFonts w:ascii="宋体" w:hAnsi="宋体" w:cs="宋体" w:eastAsia="宋体" w:hint="default"/>
        </w:rPr>
        <w:t>9</w:t>
      </w:r>
      <w:r>
        <w:rPr/>
        <w:t>、信息披露控制 </w:t>
      </w:r>
      <w:r>
        <w:rPr>
          <w:spacing w:val="-2"/>
        </w:rPr>
        <w:t>公司建立了《投资者关系管理制度》、《信息披露管理办法》、《重大事件信息内部报告制度》、《董事会审计委员会</w:t>
      </w:r>
    </w:p>
    <w:p>
      <w:pPr>
        <w:pStyle w:val="BodyText"/>
        <w:spacing w:line="316" w:lineRule="auto" w:before="15"/>
        <w:ind w:right="92"/>
        <w:jc w:val="left"/>
      </w:pPr>
      <w:r>
        <w:rPr/>
        <w:t>年报审议工作规则》、《独立董事年报工作制度》、《年报披露重大差错责任追究制度》、《内幕信息知情人管理制度》， </w:t>
      </w:r>
      <w:r>
        <w:rPr>
          <w:spacing w:val="-2"/>
        </w:rPr>
        <w:t>从信息披露机构和人员、事务管理、披露程序、信息报告、保密措施、档案管理、责任追究等方面作了详细规定，规范了定</w:t>
      </w:r>
      <w:r>
        <w:rPr>
          <w:spacing w:val="-72"/>
        </w:rPr>
        <w:t> </w:t>
      </w:r>
      <w:r>
        <w:rPr>
          <w:spacing w:val="-72"/>
        </w:rPr>
      </w:r>
      <w:r>
        <w:rPr/>
        <w:t>期报告和临时公告的草拟、审核、通报和发布流程，明确了公司内部各相关部门在信息披露工作中的职责和行为规范。</w:t>
      </w:r>
    </w:p>
    <w:p>
      <w:pPr>
        <w:spacing w:line="240" w:lineRule="auto" w:before="10"/>
        <w:rPr>
          <w:rFonts w:ascii="宋体" w:hAnsi="宋体" w:cs="宋体" w:eastAsia="宋体" w:hint="default"/>
          <w:sz w:val="20"/>
          <w:szCs w:val="20"/>
        </w:rPr>
      </w:pPr>
    </w:p>
    <w:p>
      <w:pPr>
        <w:pStyle w:val="Heading2"/>
        <w:spacing w:line="240" w:lineRule="auto"/>
        <w:ind w:right="87"/>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7" w:firstLine="360"/>
        <w:jc w:val="left"/>
      </w:pPr>
      <w:r>
        <w:rPr>
          <w:spacing w:val="-2"/>
        </w:rPr>
        <w:t>根据公司财务报告内部控制重大缺陷的认定情况，于内部控制评价报告基准日，不存在财务报告内部控制重大缺陷，董</w:t>
      </w:r>
      <w:r>
        <w:rPr/>
        <w:t> 事会认为，公司已按照企业内部控制规范体系和相关规定的要求在所有重大方面保持了有效的财务报告内部控制。</w:t>
      </w:r>
    </w:p>
    <w:p>
      <w:pPr>
        <w:pStyle w:val="BodyText"/>
        <w:spacing w:line="319" w:lineRule="auto" w:before="139"/>
        <w:ind w:right="87" w:firstLine="360"/>
        <w:jc w:val="left"/>
      </w:pPr>
      <w:r>
        <w:rPr>
          <w:spacing w:val="-2"/>
        </w:rPr>
        <w:t>根据公司非财务报告内部控制重大缺陷认定情况，于内部控制评价报告基准日，公司未发现非财务报告内部控制重大缺</w:t>
      </w:r>
      <w:r>
        <w:rPr/>
        <w:t> 陷。</w:t>
      </w:r>
    </w:p>
    <w:p>
      <w:pPr>
        <w:pStyle w:val="BodyText"/>
        <w:spacing w:line="316" w:lineRule="auto" w:before="137"/>
        <w:ind w:right="191" w:firstLine="360"/>
        <w:jc w:val="both"/>
      </w:pPr>
      <w:r>
        <w:rPr>
          <w:spacing w:val="-2"/>
        </w:rPr>
        <w:t>自内部控制评价报告基准日至内部控制评价报告发出日之间未发生影响内部控制有效性评价结论的因素。公司董事会出</w:t>
      </w:r>
      <w:r>
        <w:rPr/>
        <w:t> 具了《东华软件</w:t>
      </w:r>
      <w:r>
        <w:rPr>
          <w:rFonts w:ascii="宋体" w:hAnsi="宋体" w:cs="宋体" w:eastAsia="宋体" w:hint="default"/>
        </w:rPr>
        <w:t>2014</w:t>
      </w:r>
      <w:r>
        <w:rPr/>
        <w:t>年度内部控制自我评价报告》，刊登在</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29</w:t>
      </w:r>
      <w:r>
        <w:rPr/>
        <w:t>日巨潮资讯网（</w:t>
      </w:r>
      <w:hyperlink r:id="rId12">
        <w:r>
          <w:rPr>
            <w:rFonts w:ascii="宋体" w:hAnsi="宋体" w:cs="宋体" w:eastAsia="宋体" w:hint="default"/>
          </w:rPr>
          <w:t>http://www.cninfo.com.cn</w:t>
        </w:r>
      </w:hyperlink>
      <w:r>
        <w:rPr/>
        <w:t>）上， </w:t>
      </w:r>
      <w:r>
        <w:rPr>
          <w:spacing w:val="-2"/>
        </w:rPr>
        <w:t>公司董事会及全体董事保证本报告内容不存在任何虚假记载、误导性陈述或重大遗漏，并对报告内容的真实性、准确性和完</w:t>
      </w:r>
      <w:r>
        <w:rPr>
          <w:spacing w:val="-66"/>
        </w:rPr>
        <w:t> </w:t>
      </w:r>
      <w:r>
        <w:rPr>
          <w:spacing w:val="-66"/>
        </w:rPr>
      </w:r>
      <w:r>
        <w:rPr/>
        <w:t>整性承担个别及连带责任。</w:t>
      </w:r>
    </w:p>
    <w:p>
      <w:pPr>
        <w:spacing w:line="240" w:lineRule="auto" w:before="10"/>
        <w:rPr>
          <w:rFonts w:ascii="宋体" w:hAnsi="宋体" w:cs="宋体" w:eastAsia="宋体" w:hint="default"/>
          <w:sz w:val="20"/>
          <w:szCs w:val="20"/>
        </w:rPr>
      </w:pPr>
    </w:p>
    <w:p>
      <w:pPr>
        <w:pStyle w:val="Heading2"/>
        <w:spacing w:line="240" w:lineRule="auto"/>
        <w:ind w:right="87"/>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87" w:firstLine="360"/>
        <w:jc w:val="left"/>
      </w:pPr>
      <w:r>
        <w:rPr>
          <w:spacing w:val="-2"/>
        </w:rPr>
        <w:t>公司根据《会计法》、《企业会计准则》、《企业内部控制基本规范》以及监管部门的相关规范性文件的要求，建立了</w:t>
      </w:r>
      <w:r>
        <w:rPr/>
        <w:t> 财务报告内部控制，本年度的财务报告内部控制不存在重大缺陷。</w:t>
      </w:r>
    </w:p>
    <w:p>
      <w:pPr>
        <w:spacing w:line="240" w:lineRule="auto" w:before="10"/>
        <w:rPr>
          <w:rFonts w:ascii="宋体" w:hAnsi="宋体" w:cs="宋体" w:eastAsia="宋体" w:hint="default"/>
          <w:sz w:val="20"/>
          <w:szCs w:val="20"/>
        </w:rPr>
      </w:pPr>
    </w:p>
    <w:p>
      <w:pPr>
        <w:pStyle w:val="Heading2"/>
        <w:spacing w:line="240" w:lineRule="auto"/>
        <w:ind w:right="87"/>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报告期内未出现重大内部控制缺陷。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6"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67"/>
              <w:jc w:val="left"/>
              <w:rPr>
                <w:rFonts w:ascii="宋体" w:hAnsi="宋体" w:cs="宋体" w:eastAsia="宋体" w:hint="default"/>
                <w:sz w:val="18"/>
                <w:szCs w:val="18"/>
              </w:rPr>
            </w:pPr>
            <w:r>
              <w:rPr>
                <w:rFonts w:ascii="宋体" w:hAnsi="宋体" w:cs="宋体" w:eastAsia="宋体" w:hint="default"/>
                <w:sz w:val="18"/>
                <w:szCs w:val="18"/>
              </w:rPr>
              <w:t>详见刊登在巨潮资讯网（</w:t>
            </w:r>
            <w:hyperlink r:id="rId12">
              <w:r>
                <w:rPr>
                  <w:rFonts w:ascii="宋体" w:hAnsi="宋体" w:cs="宋体" w:eastAsia="宋体" w:hint="default"/>
                  <w:sz w:val="18"/>
                  <w:szCs w:val="18"/>
                </w:rPr>
                <w:t>http://www.cninfo.com.cn</w:t>
              </w:r>
            </w:hyperlink>
            <w:r>
              <w:rPr>
                <w:rFonts w:ascii="宋体" w:hAnsi="宋体" w:cs="宋体" w:eastAsia="宋体" w:hint="default"/>
                <w:sz w:val="18"/>
                <w:szCs w:val="18"/>
              </w:rPr>
              <w:t>）上的《东华软件股份公司</w:t>
            </w:r>
            <w:r>
              <w:rPr>
                <w:rFonts w:ascii="宋体" w:hAnsi="宋体" w:cs="宋体" w:eastAsia="宋体" w:hint="default"/>
                <w:spacing w:val="-46"/>
                <w:sz w:val="18"/>
                <w:szCs w:val="18"/>
              </w:rPr>
              <w:t> </w:t>
            </w:r>
            <w:r>
              <w:rPr>
                <w:rFonts w:ascii="宋体" w:hAnsi="宋体" w:cs="宋体" w:eastAsia="宋体" w:hint="default"/>
                <w:sz w:val="18"/>
                <w:szCs w:val="18"/>
              </w:rPr>
              <w:t>2014 </w:t>
            </w:r>
            <w:r>
              <w:rPr>
                <w:rFonts w:ascii="宋体" w:hAnsi="宋体" w:cs="宋体" w:eastAsia="宋体" w:hint="default"/>
                <w:spacing w:val="-7"/>
                <w:sz w:val="18"/>
                <w:szCs w:val="18"/>
              </w:rPr>
              <w:t>年度内部控制自我评价报告》。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pacing w:val="-2"/>
                <w:sz w:val="18"/>
                <w:szCs w:val="18"/>
              </w:rPr>
              <w:t>北京兴华会计师事务所（特殊普通合伙）对公司内部控制的有效性进行了评价，出具了《内部控制鉴证报告》（</w:t>
            </w:r>
            <w:r>
              <w:rPr>
                <w:rFonts w:ascii="宋体" w:hAnsi="宋体" w:cs="宋体" w:eastAsia="宋体" w:hint="default"/>
                <w:spacing w:val="-2"/>
                <w:sz w:val="18"/>
                <w:szCs w:val="18"/>
              </w:rPr>
              <w:t>2015</w:t>
            </w:r>
            <w:r>
              <w:rPr>
                <w:rFonts w:ascii="宋体" w:hAnsi="宋体" w:cs="宋体" w:eastAsia="宋体" w:hint="default"/>
                <w:spacing w:val="-2"/>
                <w:sz w:val="18"/>
                <w:szCs w:val="18"/>
              </w:rPr>
              <w:t>）京</w:t>
            </w:r>
            <w:r>
              <w:rPr>
                <w:rFonts w:ascii="宋体" w:hAnsi="宋体" w:cs="宋体" w:eastAsia="宋体" w:hint="default"/>
                <w:spacing w:val="-69"/>
                <w:sz w:val="18"/>
                <w:szCs w:val="18"/>
              </w:rPr>
              <w:t> </w:t>
            </w:r>
            <w:r>
              <w:rPr>
                <w:rFonts w:ascii="宋体" w:hAnsi="宋体" w:cs="宋体" w:eastAsia="宋体" w:hint="default"/>
                <w:sz w:val="18"/>
                <w:szCs w:val="18"/>
              </w:rPr>
              <w:t>会兴内鉴字第</w:t>
            </w:r>
            <w:r>
              <w:rPr>
                <w:rFonts w:ascii="宋体" w:hAnsi="宋体" w:cs="宋体" w:eastAsia="宋体" w:hint="default"/>
                <w:spacing w:val="-46"/>
                <w:sz w:val="18"/>
                <w:szCs w:val="18"/>
              </w:rPr>
              <w:t> </w:t>
            </w:r>
            <w:r>
              <w:rPr>
                <w:rFonts w:ascii="宋体" w:hAnsi="宋体" w:cs="宋体" w:eastAsia="宋体" w:hint="default"/>
                <w:sz w:val="18"/>
                <w:szCs w:val="18"/>
              </w:rPr>
              <w:t>03010002</w:t>
            </w:r>
            <w:r>
              <w:rPr>
                <w:rFonts w:ascii="宋体" w:hAnsi="宋体" w:cs="宋体" w:eastAsia="宋体" w:hint="default"/>
                <w:spacing w:val="-46"/>
                <w:sz w:val="18"/>
                <w:szCs w:val="18"/>
              </w:rPr>
              <w:t> </w:t>
            </w:r>
            <w:r>
              <w:rPr>
                <w:rFonts w:ascii="宋体" w:hAnsi="宋体" w:cs="宋体" w:eastAsia="宋体" w:hint="default"/>
                <w:sz w:val="18"/>
                <w:szCs w:val="18"/>
              </w:rPr>
              <w:t>号，认为：东华软件股份公司按照财政部等五部委颁发的《企业内部控制基本规范》及相关规定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2"/>
                <w:sz w:val="18"/>
                <w:szCs w:val="18"/>
              </w:rPr>
              <w:t>刊登在巨潮资讯网上</w:t>
            </w:r>
            <w:hyperlink r:id="rId30">
              <w:r>
                <w:rPr>
                  <w:rFonts w:ascii="宋体" w:hAnsi="宋体" w:cs="宋体" w:eastAsia="宋体" w:hint="default"/>
                  <w:spacing w:val="-2"/>
                  <w:sz w:val="18"/>
                  <w:szCs w:val="18"/>
                </w:rPr>
                <w:t>(http://www.cninfo.com.cn/)</w:t>
              </w:r>
            </w:hyperlink>
            <w:r>
              <w:rPr>
                <w:rFonts w:ascii="宋体" w:hAnsi="宋体" w:cs="宋体" w:eastAsia="宋体" w:hint="default"/>
                <w:spacing w:val="-2"/>
                <w:sz w:val="18"/>
                <w:szCs w:val="18"/>
              </w:rPr>
              <w:t>上</w:t>
            </w:r>
            <w:hyperlink r:id="rId30">
              <w:r>
                <w:rPr>
                  <w:rFonts w:ascii="宋体" w:hAnsi="宋体" w:cs="宋体" w:eastAsia="宋体" w:hint="default"/>
                  <w:spacing w:val="-2"/>
                  <w:sz w:val="18"/>
                  <w:szCs w:val="18"/>
                </w:rPr>
                <w:t>的</w:t>
              </w:r>
            </w:hyperlink>
            <w:r>
              <w:rPr>
                <w:rFonts w:ascii="宋体" w:hAnsi="宋体" w:cs="宋体" w:eastAsia="宋体" w:hint="default"/>
                <w:spacing w:val="-2"/>
                <w:sz w:val="18"/>
                <w:szCs w:val="18"/>
              </w:rPr>
              <w:t>《东华软件股份公司内部控制鉴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证报告》</w:t>
            </w:r>
          </w:p>
        </w:tc>
      </w:tr>
    </w:tbl>
    <w:p>
      <w:pPr>
        <w:pStyle w:val="BodyText"/>
        <w:spacing w:line="240" w:lineRule="auto" w:before="51"/>
        <w:ind w:right="0"/>
        <w:jc w:val="left"/>
      </w:pPr>
      <w:r>
        <w:rPr/>
        <w:t>会计师事务所是否出具非标准意见的内部控制鉴证报告</w:t>
      </w:r>
    </w:p>
    <w:p>
      <w:pPr>
        <w:pStyle w:val="BodyText"/>
        <w:spacing w:line="360" w:lineRule="auto" w:before="116"/>
        <w:ind w:right="3652"/>
        <w:jc w:val="left"/>
      </w:pPr>
      <w:r>
        <w:rPr/>
        <w:t>□ 是 √ 否 会计师事务所出具的内部控制鉴证报告与董事会的自我评价报告意见是否一致</w:t>
      </w:r>
    </w:p>
    <w:p>
      <w:pPr>
        <w:pStyle w:val="BodyText"/>
        <w:spacing w:line="240" w:lineRule="auto" w:before="26"/>
        <w:ind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334" w:right="3112"/>
        <w:jc w:val="left"/>
      </w:pPr>
      <w:r>
        <w:rPr/>
        <w:t>公司已建立《年报披露重大差错责任追究制度》。 报告期内未发生重大会计差错更正、重大遗漏信息补充以及业绩预告修正等情况。</w:t>
      </w:r>
    </w:p>
    <w:p>
      <w:pPr>
        <w:spacing w:after="0" w:line="357"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855" w:right="893"/>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7"/>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宋体" w:hAnsi="宋体" w:cs="宋体" w:eastAsia="宋体" w:hint="default"/>
                <w:sz w:val="18"/>
                <w:szCs w:val="18"/>
              </w:rPr>
              <w:t>03010059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肖丽娟、叶丽萍</w:t>
            </w:r>
          </w:p>
        </w:tc>
      </w:tr>
    </w:tbl>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940"/>
        </w:sectPr>
      </w:pPr>
    </w:p>
    <w:p>
      <w:pPr>
        <w:spacing w:line="240" w:lineRule="auto" w:before="0"/>
        <w:rPr>
          <w:rFonts w:ascii="宋体" w:hAnsi="宋体" w:cs="宋体" w:eastAsia="宋体" w:hint="default"/>
          <w:b/>
          <w:bCs/>
          <w:sz w:val="20"/>
          <w:szCs w:val="20"/>
        </w:rPr>
      </w:pPr>
    </w:p>
    <w:p>
      <w:pPr>
        <w:pStyle w:val="Heading3"/>
        <w:spacing w:line="240" w:lineRule="auto" w:before="139"/>
        <w:ind w:left="514" w:right="0"/>
        <w:jc w:val="left"/>
        <w:rPr>
          <w:b w:val="0"/>
          <w:bCs w:val="0"/>
        </w:rPr>
      </w:pPr>
      <w:r>
        <w:rPr>
          <w:w w:val="95"/>
        </w:rPr>
        <w:t>东华软件股份公司全体股东：</w:t>
      </w:r>
      <w:r>
        <w:rPr>
          <w:b w:val="0"/>
          <w:bCs w:val="0"/>
        </w:rPr>
      </w:r>
    </w:p>
    <w:p>
      <w:pPr>
        <w:pStyle w:val="Heading2"/>
        <w:spacing w:line="240" w:lineRule="auto" w:before="26"/>
        <w:ind w:left="513"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980" w:right="940"/>
          <w:cols w:num="2" w:equalWidth="0">
            <w:col w:w="3253" w:space="483"/>
            <w:col w:w="6254"/>
          </w:cols>
        </w:sectPr>
      </w:pPr>
    </w:p>
    <w:p>
      <w:pPr>
        <w:spacing w:line="240" w:lineRule="auto" w:before="7"/>
        <w:rPr>
          <w:rFonts w:ascii="宋体" w:hAnsi="宋体" w:cs="宋体" w:eastAsia="宋体" w:hint="default"/>
          <w:b/>
          <w:bCs/>
          <w:sz w:val="10"/>
          <w:szCs w:val="10"/>
        </w:rPr>
      </w:pPr>
    </w:p>
    <w:p>
      <w:pPr>
        <w:pStyle w:val="BodyText"/>
        <w:spacing w:line="316" w:lineRule="auto" w:before="44"/>
        <w:ind w:right="92" w:firstLine="360"/>
        <w:jc w:val="left"/>
      </w:pPr>
      <w:r>
        <w:rPr>
          <w:spacing w:val="-2"/>
        </w:rPr>
        <w:t>我们审计了后附的东华软件股份公司（以下简称东华软件公司）财务报表，包括</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w:t>
      </w:r>
      <w:r>
        <w:rPr/>
        <w:t> 债表，</w:t>
      </w:r>
      <w:r>
        <w:rPr>
          <w:rFonts w:ascii="宋体" w:hAnsi="宋体" w:cs="宋体" w:eastAsia="宋体" w:hint="default"/>
        </w:rPr>
        <w:t>2014</w:t>
      </w:r>
      <w:r>
        <w:rPr/>
        <w:t>年度的合并及母公司利润表、合并及母公司现金流量表、合并及母公司所有者权益变动表，以及财务报表附注。</w:t>
      </w:r>
    </w:p>
    <w:p>
      <w:pPr>
        <w:pStyle w:val="Heading3"/>
        <w:spacing w:line="240" w:lineRule="auto" w:before="113"/>
        <w:ind w:left="514" w:right="87"/>
        <w:jc w:val="left"/>
        <w:rPr>
          <w:b w:val="0"/>
          <w:bCs w:val="0"/>
        </w:rPr>
      </w:pPr>
      <w:r>
        <w:rPr/>
        <w:t>一、管理层对财务报表的责任</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87" w:firstLine="360"/>
        <w:jc w:val="left"/>
      </w:pPr>
      <w:r>
        <w:rPr>
          <w:spacing w:val="-2"/>
        </w:rPr>
        <w:t>编制和公允列报财务报表是东华软件公司管理层的责任，这种责任包括：（</w:t>
      </w:r>
      <w:r>
        <w:rPr>
          <w:rFonts w:ascii="宋体" w:hAnsi="宋体" w:cs="宋体" w:eastAsia="宋体" w:hint="default"/>
          <w:spacing w:val="-2"/>
        </w:rPr>
        <w:t>1</w:t>
      </w:r>
      <w:r>
        <w:rPr>
          <w:spacing w:val="-2"/>
        </w:rPr>
        <w:t>）按照企业会计准则的规定编制财务报表，</w:t>
      </w:r>
      <w:r>
        <w:rPr/>
        <w:t> 并使其实现公允反映；（</w:t>
      </w:r>
      <w:r>
        <w:rPr>
          <w:rFonts w:ascii="宋体" w:hAnsi="宋体" w:cs="宋体" w:eastAsia="宋体" w:hint="default"/>
        </w:rPr>
        <w:t>2</w:t>
      </w:r>
      <w:r>
        <w:rPr/>
        <w:t>）设计、执行和维护必要的内部控制，以使财务报表不存在由于舞弊或错误导致的重大错报。</w:t>
      </w:r>
    </w:p>
    <w:p>
      <w:pPr>
        <w:pStyle w:val="Heading3"/>
        <w:spacing w:line="240" w:lineRule="auto" w:before="114"/>
        <w:ind w:left="514" w:right="87"/>
        <w:jc w:val="left"/>
        <w:rPr>
          <w:b w:val="0"/>
          <w:bCs w:val="0"/>
        </w:rPr>
      </w:pPr>
      <w:r>
        <w:rPr/>
        <w:t>二、注册会计师的责任</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1"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39"/>
        <w:ind w:right="92"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39"/>
        <w:ind w:left="514" w:right="87"/>
        <w:jc w:val="left"/>
      </w:pPr>
      <w:r>
        <w:rPr/>
        <w:t>我们相信，我们获取的审计证据是充分、适当的，为发表审计意见提供了基础。</w:t>
      </w:r>
    </w:p>
    <w:p>
      <w:pPr>
        <w:spacing w:line="240" w:lineRule="auto" w:before="1"/>
        <w:rPr>
          <w:rFonts w:ascii="宋体" w:hAnsi="宋体" w:cs="宋体" w:eastAsia="宋体" w:hint="default"/>
          <w:sz w:val="13"/>
          <w:szCs w:val="13"/>
        </w:rPr>
      </w:pPr>
    </w:p>
    <w:p>
      <w:pPr>
        <w:pStyle w:val="Heading3"/>
        <w:spacing w:line="240" w:lineRule="auto"/>
        <w:ind w:left="514" w:right="87"/>
        <w:jc w:val="left"/>
        <w:rPr>
          <w:b w:val="0"/>
          <w:bCs w:val="0"/>
        </w:rPr>
      </w:pPr>
      <w:r>
        <w:rPr/>
        <w:t>三、审计意见</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87" w:firstLine="360"/>
        <w:jc w:val="left"/>
      </w:pPr>
      <w:r>
        <w:rPr/>
        <w:t>我们认为，东华软件公司财务报表在所有重大方面按照企业会计准则的规定编制，公允反映了东华软件公司</w:t>
      </w:r>
      <w:r>
        <w:rPr>
          <w:rFonts w:ascii="宋体" w:hAnsi="宋体" w:cs="宋体" w:eastAsia="宋体" w:hint="default"/>
        </w:rPr>
        <w:t>2014</w:t>
      </w:r>
      <w:r>
        <w:rPr/>
        <w:t>年</w:t>
      </w:r>
      <w:r>
        <w:rPr>
          <w:rFonts w:ascii="宋体" w:hAnsi="宋体" w:cs="宋体" w:eastAsia="宋体" w:hint="default"/>
        </w:rPr>
        <w:t>12 </w:t>
      </w:r>
      <w:r>
        <w:rPr/>
        <w:t>月</w:t>
      </w:r>
      <w:r>
        <w:rPr>
          <w:rFonts w:ascii="宋体" w:hAnsi="宋体" w:cs="宋体" w:eastAsia="宋体" w:hint="default"/>
        </w:rPr>
        <w:t>31</w:t>
      </w:r>
      <w:r>
        <w:rPr/>
        <w:t>日的合并及母公司财务状况以及</w:t>
      </w:r>
      <w:r>
        <w:rPr>
          <w:rFonts w:ascii="宋体" w:hAnsi="宋体" w:cs="宋体" w:eastAsia="宋体" w:hint="default"/>
        </w:rPr>
        <w:t>2014</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tabs>
          <w:tab w:pos="7265" w:val="left" w:leader="none"/>
        </w:tabs>
        <w:spacing w:line="360" w:lineRule="auto"/>
        <w:ind w:left="1054" w:right="649" w:hanging="631"/>
        <w:jc w:val="left"/>
      </w:pPr>
      <w:r>
        <w:rPr/>
        <w:t>北京兴华会计师事务所（特殊普通合伙）</w:t>
        <w:tab/>
        <w:t>中国注册会计师： 肖丽娟 中国</w:t>
      </w:r>
      <w:r>
        <w:rPr>
          <w:rFonts w:ascii="宋体" w:hAnsi="宋体" w:cs="宋体" w:eastAsia="宋体" w:hint="default"/>
          <w:b/>
          <w:bCs/>
        </w:rPr>
        <w:t>·</w:t>
      </w:r>
      <w:r>
        <w:rPr/>
        <w:t>北京</w:t>
      </w:r>
    </w:p>
    <w:p>
      <w:pPr>
        <w:pStyle w:val="BodyText"/>
        <w:spacing w:line="717" w:lineRule="auto" w:before="26"/>
        <w:ind w:left="7625" w:right="451" w:hanging="360"/>
        <w:jc w:val="left"/>
      </w:pPr>
      <w:r>
        <w:rPr/>
        <w:t>中国注册会计师： 叶丽萍 二</w:t>
      </w:r>
      <w:r>
        <w:rPr>
          <w:rFonts w:ascii="宋体" w:hAnsi="宋体" w:cs="宋体" w:eastAsia="宋体" w:hint="default"/>
        </w:rPr>
        <w:t>0</w:t>
      </w:r>
      <w:r>
        <w:rPr/>
        <w:t>一五年四月二十七日</w:t>
      </w:r>
    </w:p>
    <w:p>
      <w:pPr>
        <w:spacing w:after="0" w:line="717" w:lineRule="auto"/>
        <w:jc w:val="left"/>
        <w:sectPr>
          <w:type w:val="continuous"/>
          <w:pgSz w:w="11910" w:h="16840"/>
          <w:pgMar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980"/>
        </w:sectPr>
      </w:pPr>
    </w:p>
    <w:p>
      <w:pPr>
        <w:pStyle w:val="BodyText"/>
        <w:spacing w:line="240" w:lineRule="auto" w:before="44"/>
        <w:ind w:right="-20"/>
        <w:jc w:val="left"/>
      </w:pPr>
      <w:r>
        <w:rPr/>
        <w:t>编制单位：东华软件股份公司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980"/>
          <w:cols w:num="3" w:equalWidth="0">
            <w:col w:w="2495" w:space="1583"/>
            <w:col w:w="1639" w:space="3203"/>
            <w:col w:w="103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1,096,415,088.85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1,301,601,381.71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51,327,190.65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23,450,531.00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2,952,086,558.85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1,817,558,354.68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194,413,333.24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220,184,232.52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235,377,312.94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205,314,688.52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1,189,712,797.66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1,260,627,760.89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102,185,625.01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64,332,898.76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5,821,517,907.20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4,893,069,848.08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380,150,598.35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38,941,539.78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531,706,339.22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501,663,159.47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22,110,496.83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21,575,893.87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170,039,301.57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68,453,586.11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7,322,827.17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944,168,058.86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474,828,463.00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1,835,902.25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2,423,257.97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17,210,330.05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8,667,971.42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2,102,443,854.30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1,116,553,871.62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7,923,961,761.50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6,009,623,719.70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292,027,009.15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209,800,000.00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136,883,863.90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214,574,077.68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371,571,994.98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296,874,951.48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375,853,151.28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494,903,234.51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3,790,926.67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2,406,721.83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80,444,341.90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100,840,230.19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275,201.33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2,083,333.33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134,834,877.16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72,498,765.20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40,414,442.50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67,874,314.59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1,436,095,808.87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1,461,855,628.81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68,096,555.50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765,753,662.33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84,070,870.13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67,569,629.63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40,703,471.92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192,870,897.55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833,323,427.77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1,628,966,706.42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2,295,179,056.58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1,514,806,948.00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694,303,610.00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1,486,530,026.32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934,721,149.91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309,472,715.86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-39,236.56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293,876,664.93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211,226,935.74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2,683,209,472.04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1,874,213,461.86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6,287,895,827.15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3,714,425,920.95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7,099,227.93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18,742.17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6,294,995,055.08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3,714,444,663.12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7,923,961,761.50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6,009,623,719.70</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249"/>
        <w:jc w:val="right"/>
      </w:pPr>
      <w:r>
        <w:rPr/>
        <w:t>法定代表人：薛向东</w:t>
        <w:tab/>
        <w:t>主管会计工作负责人：叶莉</w:t>
        <w:tab/>
        <w:t>会计机构负责人：初美伶</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679,912,624.92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876,834,465.28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31,877,190.65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11,010,531.00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2,238,460,289.59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1,417,047,663.53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120,228,552.29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110,351,893.46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275,599,819.56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225,085,920.98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773,512,603.31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836,609,874.14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85,243,137.99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54,556,788.88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4,204,834,218.31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3,531,497,137.27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370,283,598.35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29,074,539.78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2,005,474,849.04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1,199,274,849.04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12,940,588.14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13,878,156.18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445,800,355.00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417,854,283.73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95,025,756.82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29,467,796.58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11,160,230.68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5,915,293.43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2,968,585,378.03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1,695,464,918.74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7,173,419,596.34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5,226,962,056.01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187,027,009.15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56,303,863.90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119,594,541.30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183,075,586.02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180,854,402.77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221,736,332.18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257,794,302.71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227,799.79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50,180,352.61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60,898,898.14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275,201.33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2,083,333.33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134,834,877.16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72,498,765.20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882,180,648.29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659,437,870.30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1,715,841,670.43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1,483,162,113.75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68,096,555.50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765,753,662.33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82,300,870.13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66,569,629.63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34,390,261.79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184,787,687.42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832,323,291.96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1,900,629,357.85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2,315,485,405.71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1,514,806,948.00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694,303,610.00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1,486,528,804.00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934,719,927.59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309,512,356.10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292,498,722.42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209,848,993.23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1,669,443,407.97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1,072,604,119.48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5,272,790,238.49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2,911,476,650.30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7,173,419,596.34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5,226,962,056.01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5,171,048,660.00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4,422,914,442.35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5,171,048,660.00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4,422,914,442.35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4,101,003,064.73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3,623,876,002.33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3,346,333,644.90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2,920,373,312.09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12,308,243.11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12,935,777.97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195,292,367.87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170,424,839.44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500,132,149.65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443,369,995.19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7,702,874.65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37,735,740.53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39,233,784.55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39,036,337.11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11,282,432.53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1,081,328,027.80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799,038,440.02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44,707,697.19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54,895,669.98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28,992.58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182,797.12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1,197,299.63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193,240.42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77,259.42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四、利润总额（亏损总额以“－”号填</w:t>
            </w:r>
            <w:r>
              <w:rPr>
                <w:rFonts w:ascii="宋体" w:hAnsi="宋体" w:cs="宋体" w:eastAsia="宋体" w:hint="default"/>
                <w:sz w:val="18"/>
                <w:szCs w:val="18"/>
              </w:rPr>
              <w:t> 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1,124,838,425.36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853,740,869.58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86,218,926.03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82,903,807.21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1,038,619,499.33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770,837,062.37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1,038,654,013.57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770,870,494.95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-34,514.24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-33,432.58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309,511,952.42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-10,078.31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309,511,952.42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-10,078.31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36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309,511,952.42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-10,078.31</w:t>
            </w: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309,512,356.10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-10,078.31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1,348,131,451.75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770,826,984.06</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1,348,165,965.99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770,860,416.64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-34,514.24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-33,432.58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0.7013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0.5583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0.6981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0.5571</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249"/>
        <w:jc w:val="right"/>
      </w:pPr>
      <w:r>
        <w:rPr/>
        <w:t>法定代表人：薛向东</w:t>
        <w:tab/>
        <w:t>主管会计工作负责人：叶莉</w:t>
        <w:tab/>
        <w:t>会计机构负责人：初美伶</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、母公司利润表</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3,064,451,121.38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2,817,256,761.66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1,825,174,422.08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1,842,839,656.68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5,578,077.08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5,231,052.16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99,257,560.94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100,467,377.42</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248,187,466.06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257,532,488.42</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2.160004pt;margin-top:219.799988pt;width:197.7pt;height:19.650pt;mso-position-horizontal-relative:page;mso-position-vertical-relative:page;z-index:-903664"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shape style="position:absolute;margin-left:172.160004pt;margin-top:376.099976pt;width:197.7pt;height:19.650pt;mso-position-horizontal-relative:page;mso-position-vertical-relative:page;z-index:-903640" type="#_x0000_t202" filled="false" stroked="false">
            <v:textbox inset="0,0,0,0">
              <w:txbxContent>
                <w:p>
                  <w:pPr>
                    <w:pStyle w:val="BodyText"/>
                    <w:spacing w:line="240" w:lineRule="auto" w:before="51"/>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1037"/>
        <w:gridCol w:w="2264"/>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2,931,340.56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32,432,078.65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32,135,357.84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34,959,982.68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10,748,777.56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二、营业利润（亏损以“－”</w:t>
            </w:r>
          </w:p>
        </w:tc>
        <w:tc>
          <w:tcPr>
            <w:tcW w:w="1037" w:type="dxa"/>
            <w:tcBorders>
              <w:top w:val="single" w:sz="4" w:space="0" w:color="000000"/>
              <w:left w:val="single" w:sz="9" w:space="0" w:color="FFFFFF"/>
              <w:bottom w:val="single" w:sz="4" w:space="0" w:color="000000"/>
              <w:right w:val="nil" w:sz="6" w:space="0" w:color="auto"/>
            </w:tcBorders>
          </w:tcPr>
          <w:p>
            <w:pPr/>
          </w:p>
        </w:tc>
        <w:tc>
          <w:tcPr>
            <w:tcW w:w="2264"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861,935,674.38</w:t>
            </w:r>
          </w:p>
        </w:tc>
        <w:tc>
          <w:tcPr>
            <w:tcW w:w="33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543,794,125.65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23,961,928.48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30,490,599.71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198,778.04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885,698,824.82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574,184,725.36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59,201,532.94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47,844,140.42</w:t>
            </w:r>
          </w:p>
        </w:tc>
      </w:tr>
      <w:tr>
        <w:trPr>
          <w:trHeight w:val="402" w:hRule="exact"/>
        </w:trPr>
        <w:tc>
          <w:tcPr>
            <w:tcW w:w="296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四、净利润（净亏损以“－”</w:t>
            </w:r>
          </w:p>
        </w:tc>
        <w:tc>
          <w:tcPr>
            <w:tcW w:w="1037" w:type="dxa"/>
            <w:tcBorders>
              <w:top w:val="single" w:sz="4" w:space="0" w:color="000000"/>
              <w:left w:val="single" w:sz="9" w:space="0" w:color="FFFFFF"/>
              <w:bottom w:val="single" w:sz="4" w:space="0" w:color="000000"/>
              <w:right w:val="nil" w:sz="6" w:space="0" w:color="auto"/>
            </w:tcBorders>
          </w:tcPr>
          <w:p>
            <w:pPr/>
          </w:p>
        </w:tc>
        <w:tc>
          <w:tcPr>
            <w:tcW w:w="2264"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826,497,291.88</w:t>
            </w:r>
          </w:p>
        </w:tc>
        <w:tc>
          <w:tcPr>
            <w:tcW w:w="33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526,340,584.94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7" w:right="0"/>
              <w:jc w:val="left"/>
              <w:rPr>
                <w:rFonts w:ascii="宋体" w:hAnsi="宋体" w:cs="宋体" w:eastAsia="宋体" w:hint="default"/>
                <w:sz w:val="18"/>
                <w:szCs w:val="18"/>
              </w:rPr>
            </w:pPr>
            <w:r>
              <w:rPr>
                <w:rFonts w:ascii="宋体"/>
                <w:sz w:val="18"/>
              </w:rPr>
              <w:t>309,512,356.10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 净负债或净资产的变动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309,512,356.10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07" w:right="0"/>
              <w:jc w:val="left"/>
              <w:rPr>
                <w:rFonts w:ascii="宋体" w:hAnsi="宋体" w:cs="宋体" w:eastAsia="宋体" w:hint="default"/>
                <w:sz w:val="18"/>
                <w:szCs w:val="18"/>
              </w:rPr>
            </w:pPr>
            <w:r>
              <w:rPr>
                <w:rFonts w:ascii="宋体"/>
                <w:sz w:val="18"/>
              </w:rPr>
              <w:t>309,512,356.10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6" w:right="0"/>
              <w:jc w:val="left"/>
              <w:rPr>
                <w:rFonts w:ascii="宋体" w:hAnsi="宋体" w:cs="宋体" w:eastAsia="宋体" w:hint="default"/>
                <w:sz w:val="18"/>
                <w:szCs w:val="18"/>
              </w:rPr>
            </w:pPr>
            <w:r>
              <w:rPr>
                <w:rFonts w:ascii="宋体"/>
                <w:sz w:val="18"/>
              </w:rPr>
              <w:t>1,136,009,647.98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8" w:right="0"/>
              <w:jc w:val="left"/>
              <w:rPr>
                <w:rFonts w:ascii="宋体" w:hAnsi="宋体" w:cs="宋体" w:eastAsia="宋体" w:hint="default"/>
                <w:sz w:val="18"/>
                <w:szCs w:val="18"/>
              </w:rPr>
            </w:pPr>
            <w:r>
              <w:rPr>
                <w:rFonts w:ascii="宋体"/>
                <w:sz w:val="18"/>
              </w:rPr>
              <w:t>526,340,584.94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宋体" w:hAnsi="宋体" w:cs="宋体" w:eastAsia="宋体" w:hint="default"/>
        </w:rPr>
        <w:t>5</w:t>
      </w:r>
      <w:r>
        <w:rPr/>
        <w:t>、合并现金流量表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4,494,541,299.93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4,173,703,667.37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33,550,144.25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45,236,532.78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146,990,033.31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168,690,862.73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4,675,081,477.49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4,387,631,062.88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3,460,302,130.58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3,097,787,187.20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2"/>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572,602,749.41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449,251,112.81</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209,662,953.74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149,785,056.85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447,657,717.88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389,471,292.97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4,690,225,551.61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4,086,294,649.83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-15,144,074.12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301,336,413.05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76,438,837.58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427,111.24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1,725,695.53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76,865,948.82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1,725,695.53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233,815,355.13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384,846,762.06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112,848,609.00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157,800,170.13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504,464,134.26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384,846,762.06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-427,598,185.44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-383,121,066.53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258,685,592.20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70,466,662.50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7,115,000.00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584,978,049.15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676,600,000.00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843,663,641.35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1,747,066,662.50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502,751,040.00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703,087,601.76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97,509,173.17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124,897,401.70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602,330,213.17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851,585,003.46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241,333,428.18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895,481,659.04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18,339.17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-59,104.07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-201,390,492.21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813,637,901.49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1,289,111,539.44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475,622,002.92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1,087,721,047.23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1,289,259,904.41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2,497,186,289.88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2,352,952,252.91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12,627,341.29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26,152,974.68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463,093,050.56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446,945,261.35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2,972,906,681.73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2,826,050,488.94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2,007,191,597.21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1,969,689,420.11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203,355,000.46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194,352,615.86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104,151,201.83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82,004,721.84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422,924,403.40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283,653,191.80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2,737,622,202.90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2,529,699,949.61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235,284,478.83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296,350,539.33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14,952,293.85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14,952,293.85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207,300,806.10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347,655,071.69</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453,408,609.00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183,980,000.00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660,709,415.10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531,635,071.69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-645,757,121.25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-531,635,071.69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251,570,592.20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70,466,662.50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419,527,009.15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517,000,000.00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671,097,601.35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1,587,466,662.50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563,387,601.76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92,832,144.51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119,710,185.43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457,402,144.51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706,697,787.19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213,695,456.84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880,768,875.31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592.42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-1,995.61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-196,776,593.16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645,482,347.34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876,130,642.48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230,648,295.14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679,354,049.32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876,130,642.48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7</w:t>
      </w:r>
      <w:r>
        <w:rPr/>
        <w:t>、合并所有者权益变动表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403"/>
        <w:gridCol w:w="532"/>
        <w:gridCol w:w="481"/>
        <w:gridCol w:w="714"/>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8"/>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63" w:right="81"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90" w:type="dxa"/>
            <w:vMerge/>
            <w:tcBorders>
              <w:left w:val="single" w:sz="4" w:space="0" w:color="000000"/>
              <w:bottom w:val="single" w:sz="4" w:space="0" w:color="000000"/>
              <w:right w:val="single" w:sz="4" w:space="0" w:color="000000"/>
            </w:tcBorders>
            <w:shd w:val="clear" w:color="auto" w:fill="D2D2D2"/>
          </w:tcPr>
          <w:p>
            <w:pPr/>
          </w:p>
        </w:tc>
        <w:tc>
          <w:tcPr>
            <w:tcW w:w="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6" w:right="104"/>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694,303</w:t>
            </w:r>
          </w:p>
          <w:p>
            <w:pPr>
              <w:pStyle w:val="TableParagraph"/>
              <w:spacing w:line="240" w:lineRule="auto" w:before="77"/>
              <w:ind w:left="26" w:right="0"/>
              <w:jc w:val="left"/>
              <w:rPr>
                <w:rFonts w:ascii="宋体" w:hAnsi="宋体" w:cs="宋体" w:eastAsia="宋体" w:hint="default"/>
                <w:sz w:val="18"/>
                <w:szCs w:val="18"/>
              </w:rPr>
            </w:pPr>
            <w:r>
              <w:rPr>
                <w:rFonts w:ascii="宋体"/>
                <w:sz w:val="18"/>
              </w:rPr>
              <w:t>,610.00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sz w:val="18"/>
              </w:rPr>
              <w:t>934,721</w:t>
            </w:r>
          </w:p>
          <w:p>
            <w:pPr>
              <w:pStyle w:val="TableParagraph"/>
              <w:spacing w:line="240" w:lineRule="auto" w:before="77"/>
              <w:ind w:left="51" w:right="0"/>
              <w:jc w:val="left"/>
              <w:rPr>
                <w:rFonts w:ascii="宋体" w:hAnsi="宋体" w:cs="宋体" w:eastAsia="宋体" w:hint="default"/>
                <w:sz w:val="18"/>
                <w:szCs w:val="18"/>
              </w:rPr>
            </w:pPr>
            <w:r>
              <w:rPr>
                <w:rFonts w:ascii="宋体"/>
                <w:sz w:val="18"/>
              </w:rPr>
              <w:t>,149.91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-39,23</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6.56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211,22</w:t>
            </w:r>
          </w:p>
          <w:p>
            <w:pPr>
              <w:pStyle w:val="TableParagraph"/>
              <w:spacing w:line="240" w:lineRule="auto" w:before="76"/>
              <w:ind w:right="20"/>
              <w:jc w:val="right"/>
              <w:rPr>
                <w:rFonts w:ascii="宋体" w:hAnsi="宋体" w:cs="宋体" w:eastAsia="宋体" w:hint="default"/>
                <w:sz w:val="18"/>
                <w:szCs w:val="18"/>
              </w:rPr>
            </w:pPr>
            <w:r>
              <w:rPr>
                <w:rFonts w:ascii="宋体"/>
                <w:sz w:val="18"/>
              </w:rPr>
              <w:t>6,935.</w:t>
            </w:r>
          </w:p>
          <w:p>
            <w:pPr>
              <w:pStyle w:val="TableParagraph"/>
              <w:spacing w:line="240" w:lineRule="auto" w:before="77"/>
              <w:ind w:right="20"/>
              <w:jc w:val="right"/>
              <w:rPr>
                <w:rFonts w:ascii="宋体" w:hAnsi="宋体" w:cs="宋体" w:eastAsia="宋体" w:hint="default"/>
                <w:sz w:val="18"/>
                <w:szCs w:val="18"/>
              </w:rPr>
            </w:pPr>
            <w:r>
              <w:rPr>
                <w:rFonts w:ascii="宋体"/>
                <w:sz w:val="18"/>
              </w:rPr>
              <w:t>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1,874,</w:t>
            </w:r>
          </w:p>
          <w:p>
            <w:pPr>
              <w:pStyle w:val="TableParagraph"/>
              <w:spacing w:line="240" w:lineRule="auto" w:before="76"/>
              <w:ind w:left="67" w:right="0"/>
              <w:jc w:val="center"/>
              <w:rPr>
                <w:rFonts w:ascii="宋体" w:hAnsi="宋体" w:cs="宋体" w:eastAsia="宋体" w:hint="default"/>
                <w:sz w:val="18"/>
                <w:szCs w:val="18"/>
              </w:rPr>
            </w:pPr>
            <w:r>
              <w:rPr>
                <w:rFonts w:ascii="宋体"/>
                <w:sz w:val="18"/>
              </w:rPr>
              <w:t>213,46</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1.86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18,742</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3,714,</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444,66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3.12</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403"/>
        <w:gridCol w:w="532"/>
        <w:gridCol w:w="481"/>
        <w:gridCol w:w="714"/>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694,303</w:t>
            </w:r>
          </w:p>
          <w:p>
            <w:pPr>
              <w:pStyle w:val="TableParagraph"/>
              <w:spacing w:line="240" w:lineRule="auto" w:before="77"/>
              <w:ind w:left="26" w:right="0"/>
              <w:jc w:val="left"/>
              <w:rPr>
                <w:rFonts w:ascii="宋体" w:hAnsi="宋体" w:cs="宋体" w:eastAsia="宋体" w:hint="default"/>
                <w:sz w:val="18"/>
                <w:szCs w:val="18"/>
              </w:rPr>
            </w:pPr>
            <w:r>
              <w:rPr>
                <w:rFonts w:ascii="宋体"/>
                <w:sz w:val="18"/>
              </w:rPr>
              <w:t>,610.00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1" w:right="0"/>
              <w:jc w:val="left"/>
              <w:rPr>
                <w:rFonts w:ascii="宋体" w:hAnsi="宋体" w:cs="宋体" w:eastAsia="宋体" w:hint="default"/>
                <w:sz w:val="18"/>
                <w:szCs w:val="18"/>
              </w:rPr>
            </w:pPr>
            <w:r>
              <w:rPr>
                <w:rFonts w:ascii="宋体"/>
                <w:sz w:val="18"/>
              </w:rPr>
              <w:t>934,721</w:t>
            </w:r>
          </w:p>
          <w:p>
            <w:pPr>
              <w:pStyle w:val="TableParagraph"/>
              <w:spacing w:line="240" w:lineRule="auto" w:before="77"/>
              <w:ind w:left="51" w:right="0"/>
              <w:jc w:val="left"/>
              <w:rPr>
                <w:rFonts w:ascii="宋体" w:hAnsi="宋体" w:cs="宋体" w:eastAsia="宋体" w:hint="default"/>
                <w:sz w:val="18"/>
                <w:szCs w:val="18"/>
              </w:rPr>
            </w:pPr>
            <w:r>
              <w:rPr>
                <w:rFonts w:ascii="宋体"/>
                <w:sz w:val="18"/>
              </w:rPr>
              <w:t>,149.91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-39,23</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6.56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211,22</w:t>
            </w:r>
          </w:p>
          <w:p>
            <w:pPr>
              <w:pStyle w:val="TableParagraph"/>
              <w:spacing w:line="240" w:lineRule="auto" w:before="76"/>
              <w:ind w:right="20"/>
              <w:jc w:val="right"/>
              <w:rPr>
                <w:rFonts w:ascii="宋体" w:hAnsi="宋体" w:cs="宋体" w:eastAsia="宋体" w:hint="default"/>
                <w:sz w:val="18"/>
                <w:szCs w:val="18"/>
              </w:rPr>
            </w:pPr>
            <w:r>
              <w:rPr>
                <w:rFonts w:ascii="宋体"/>
                <w:sz w:val="18"/>
              </w:rPr>
              <w:t>6,935.</w:t>
            </w:r>
          </w:p>
          <w:p>
            <w:pPr>
              <w:pStyle w:val="TableParagraph"/>
              <w:spacing w:line="240" w:lineRule="auto" w:before="77"/>
              <w:ind w:right="20"/>
              <w:jc w:val="right"/>
              <w:rPr>
                <w:rFonts w:ascii="宋体" w:hAnsi="宋体" w:cs="宋体" w:eastAsia="宋体" w:hint="default"/>
                <w:sz w:val="18"/>
                <w:szCs w:val="18"/>
              </w:rPr>
            </w:pPr>
            <w:r>
              <w:rPr>
                <w:rFonts w:ascii="宋体"/>
                <w:sz w:val="18"/>
              </w:rPr>
              <w:t>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1,874,</w:t>
            </w:r>
          </w:p>
          <w:p>
            <w:pPr>
              <w:pStyle w:val="TableParagraph"/>
              <w:spacing w:line="240" w:lineRule="auto" w:before="76"/>
              <w:ind w:left="67" w:right="0"/>
              <w:jc w:val="center"/>
              <w:rPr>
                <w:rFonts w:ascii="宋体" w:hAnsi="宋体" w:cs="宋体" w:eastAsia="宋体" w:hint="default"/>
                <w:sz w:val="18"/>
                <w:szCs w:val="18"/>
              </w:rPr>
            </w:pPr>
            <w:r>
              <w:rPr>
                <w:rFonts w:ascii="宋体"/>
                <w:sz w:val="18"/>
              </w:rPr>
              <w:t>213,46</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1.86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18,742</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3,714,</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444,66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3.12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金额（减少以 “－”号填列）</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820,503</w:t>
            </w:r>
          </w:p>
          <w:p>
            <w:pPr>
              <w:pStyle w:val="TableParagraph"/>
              <w:spacing w:line="240" w:lineRule="auto" w:before="77"/>
              <w:ind w:left="26" w:right="0"/>
              <w:jc w:val="left"/>
              <w:rPr>
                <w:rFonts w:ascii="宋体" w:hAnsi="宋体" w:cs="宋体" w:eastAsia="宋体" w:hint="default"/>
                <w:sz w:val="18"/>
                <w:szCs w:val="18"/>
              </w:rPr>
            </w:pPr>
            <w:r>
              <w:rPr>
                <w:rFonts w:ascii="宋体"/>
                <w:sz w:val="18"/>
              </w:rPr>
              <w:t>,338.00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1" w:right="0"/>
              <w:jc w:val="left"/>
              <w:rPr>
                <w:rFonts w:ascii="宋体" w:hAnsi="宋体" w:cs="宋体" w:eastAsia="宋体" w:hint="default"/>
                <w:sz w:val="18"/>
                <w:szCs w:val="18"/>
              </w:rPr>
            </w:pPr>
            <w:r>
              <w:rPr>
                <w:rFonts w:ascii="宋体"/>
                <w:sz w:val="18"/>
              </w:rPr>
              <w:t>551,808</w:t>
            </w:r>
          </w:p>
          <w:p>
            <w:pPr>
              <w:pStyle w:val="TableParagraph"/>
              <w:spacing w:line="240" w:lineRule="auto" w:before="77"/>
              <w:ind w:left="51" w:right="0"/>
              <w:jc w:val="left"/>
              <w:rPr>
                <w:rFonts w:ascii="宋体" w:hAnsi="宋体" w:cs="宋体" w:eastAsia="宋体" w:hint="default"/>
                <w:sz w:val="18"/>
                <w:szCs w:val="18"/>
              </w:rPr>
            </w:pPr>
            <w:r>
              <w:rPr>
                <w:rFonts w:ascii="宋体"/>
                <w:sz w:val="18"/>
              </w:rPr>
              <w:t>,876.41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309,51</w:t>
            </w:r>
          </w:p>
          <w:p>
            <w:pPr>
              <w:pStyle w:val="TableParagraph"/>
              <w:spacing w:line="240" w:lineRule="auto" w:before="76"/>
              <w:ind w:right="23"/>
              <w:jc w:val="right"/>
              <w:rPr>
                <w:rFonts w:ascii="宋体" w:hAnsi="宋体" w:cs="宋体" w:eastAsia="宋体" w:hint="default"/>
                <w:sz w:val="18"/>
                <w:szCs w:val="18"/>
              </w:rPr>
            </w:pPr>
            <w:r>
              <w:rPr>
                <w:rFonts w:ascii="宋体"/>
                <w:sz w:val="18"/>
              </w:rPr>
              <w:t>1,952.</w:t>
            </w:r>
          </w:p>
          <w:p>
            <w:pPr>
              <w:pStyle w:val="TableParagraph"/>
              <w:spacing w:line="240" w:lineRule="auto" w:before="77"/>
              <w:ind w:right="23"/>
              <w:jc w:val="right"/>
              <w:rPr>
                <w:rFonts w:ascii="宋体" w:hAnsi="宋体" w:cs="宋体" w:eastAsia="宋体" w:hint="default"/>
                <w:sz w:val="18"/>
                <w:szCs w:val="18"/>
              </w:rPr>
            </w:pPr>
            <w:r>
              <w:rPr>
                <w:rFonts w:ascii="宋体"/>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82,649</w:t>
            </w:r>
          </w:p>
          <w:p>
            <w:pPr>
              <w:pStyle w:val="TableParagraph"/>
              <w:spacing w:line="240" w:lineRule="auto" w:before="76"/>
              <w:ind w:right="20"/>
              <w:jc w:val="right"/>
              <w:rPr>
                <w:rFonts w:ascii="宋体" w:hAnsi="宋体" w:cs="宋体" w:eastAsia="宋体" w:hint="default"/>
                <w:sz w:val="18"/>
                <w:szCs w:val="18"/>
              </w:rPr>
            </w:pPr>
            <w:r>
              <w:rPr>
                <w:rFonts w:ascii="宋体"/>
                <w:sz w:val="18"/>
              </w:rPr>
              <w:t>,729.1</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808,99</w:t>
            </w:r>
          </w:p>
          <w:p>
            <w:pPr>
              <w:pStyle w:val="TableParagraph"/>
              <w:spacing w:line="240" w:lineRule="auto" w:before="76"/>
              <w:ind w:right="23"/>
              <w:jc w:val="right"/>
              <w:rPr>
                <w:rFonts w:ascii="宋体" w:hAnsi="宋体" w:cs="宋体" w:eastAsia="宋体" w:hint="default"/>
                <w:sz w:val="18"/>
                <w:szCs w:val="18"/>
              </w:rPr>
            </w:pPr>
            <w:r>
              <w:rPr>
                <w:rFonts w:ascii="宋体"/>
                <w:sz w:val="18"/>
              </w:rPr>
              <w:t>6,010.</w:t>
            </w:r>
          </w:p>
          <w:p>
            <w:pPr>
              <w:pStyle w:val="TableParagraph"/>
              <w:spacing w:line="240" w:lineRule="auto" w:before="77"/>
              <w:ind w:right="23"/>
              <w:jc w:val="right"/>
              <w:rPr>
                <w:rFonts w:ascii="宋体" w:hAnsi="宋体" w:cs="宋体" w:eastAsia="宋体" w:hint="default"/>
                <w:sz w:val="18"/>
                <w:szCs w:val="18"/>
              </w:rPr>
            </w:pPr>
            <w:r>
              <w:rPr>
                <w:rFonts w:ascii="宋体"/>
                <w:sz w:val="18"/>
              </w:rPr>
              <w:t>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7,080,</w:t>
            </w:r>
          </w:p>
          <w:p>
            <w:pPr>
              <w:pStyle w:val="TableParagraph"/>
              <w:spacing w:line="240" w:lineRule="auto" w:before="77"/>
              <w:ind w:left="91" w:right="0"/>
              <w:jc w:val="left"/>
              <w:rPr>
                <w:rFonts w:ascii="宋体" w:hAnsi="宋体" w:cs="宋体" w:eastAsia="宋体" w:hint="default"/>
                <w:sz w:val="18"/>
                <w:szCs w:val="18"/>
              </w:rPr>
            </w:pPr>
            <w:r>
              <w:rPr>
                <w:rFonts w:ascii="宋体"/>
                <w:sz w:val="18"/>
              </w:rPr>
              <w:t>485.76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2,580,</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550,39</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1.96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309,51</w:t>
            </w:r>
          </w:p>
          <w:p>
            <w:pPr>
              <w:pStyle w:val="TableParagraph"/>
              <w:spacing w:line="240" w:lineRule="auto" w:before="76"/>
              <w:ind w:right="23"/>
              <w:jc w:val="right"/>
              <w:rPr>
                <w:rFonts w:ascii="宋体" w:hAnsi="宋体" w:cs="宋体" w:eastAsia="宋体" w:hint="default"/>
                <w:sz w:val="18"/>
                <w:szCs w:val="18"/>
              </w:rPr>
            </w:pPr>
            <w:r>
              <w:rPr>
                <w:rFonts w:ascii="宋体"/>
                <w:sz w:val="18"/>
              </w:rPr>
              <w:t>1,952.</w:t>
            </w:r>
          </w:p>
          <w:p>
            <w:pPr>
              <w:pStyle w:val="TableParagraph"/>
              <w:spacing w:line="240" w:lineRule="auto" w:before="77"/>
              <w:ind w:right="23"/>
              <w:jc w:val="right"/>
              <w:rPr>
                <w:rFonts w:ascii="宋体" w:hAnsi="宋体" w:cs="宋体" w:eastAsia="宋体" w:hint="default"/>
                <w:sz w:val="18"/>
                <w:szCs w:val="18"/>
              </w:rPr>
            </w:pPr>
            <w:r>
              <w:rPr>
                <w:rFonts w:ascii="宋体"/>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1,038,</w:t>
            </w:r>
          </w:p>
          <w:p>
            <w:pPr>
              <w:pStyle w:val="TableParagraph"/>
              <w:spacing w:line="240" w:lineRule="auto" w:before="76"/>
              <w:ind w:left="67" w:right="0"/>
              <w:jc w:val="center"/>
              <w:rPr>
                <w:rFonts w:ascii="宋体" w:hAnsi="宋体" w:cs="宋体" w:eastAsia="宋体" w:hint="default"/>
                <w:sz w:val="18"/>
                <w:szCs w:val="18"/>
              </w:rPr>
            </w:pPr>
            <w:r>
              <w:rPr>
                <w:rFonts w:ascii="宋体"/>
                <w:sz w:val="18"/>
              </w:rPr>
              <w:t>654,01</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3.57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-34,51</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4.24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1,348,</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131,45</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1.75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85,461,</w:t>
            </w:r>
          </w:p>
          <w:p>
            <w:pPr>
              <w:pStyle w:val="TableParagraph"/>
              <w:spacing w:line="240" w:lineRule="auto" w:before="77"/>
              <w:ind w:left="116" w:right="0"/>
              <w:jc w:val="left"/>
              <w:rPr>
                <w:rFonts w:ascii="宋体" w:hAnsi="宋体" w:cs="宋体" w:eastAsia="宋体" w:hint="default"/>
                <w:sz w:val="18"/>
                <w:szCs w:val="18"/>
              </w:rPr>
            </w:pPr>
            <w:r>
              <w:rPr>
                <w:rFonts w:ascii="宋体"/>
                <w:sz w:val="18"/>
              </w:rPr>
              <w:t>967.00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1,286,8</w:t>
            </w:r>
          </w:p>
          <w:p>
            <w:pPr>
              <w:pStyle w:val="TableParagraph"/>
              <w:spacing w:line="240" w:lineRule="auto" w:before="76"/>
              <w:ind w:right="21"/>
              <w:jc w:val="right"/>
              <w:rPr>
                <w:rFonts w:ascii="宋体" w:hAnsi="宋体" w:cs="宋体" w:eastAsia="宋体" w:hint="default"/>
                <w:sz w:val="18"/>
                <w:szCs w:val="18"/>
              </w:rPr>
            </w:pPr>
            <w:r>
              <w:rPr>
                <w:rFonts w:ascii="宋体"/>
                <w:sz w:val="18"/>
              </w:rPr>
              <w:t>50,247.</w:t>
            </w:r>
          </w:p>
          <w:p>
            <w:pPr>
              <w:pStyle w:val="TableParagraph"/>
              <w:spacing w:line="240" w:lineRule="auto" w:before="77"/>
              <w:ind w:right="20"/>
              <w:jc w:val="right"/>
              <w:rPr>
                <w:rFonts w:ascii="宋体" w:hAnsi="宋体" w:cs="宋体" w:eastAsia="宋体" w:hint="default"/>
                <w:sz w:val="18"/>
                <w:szCs w:val="18"/>
              </w:rPr>
            </w:pPr>
            <w:r>
              <w:rPr>
                <w:rFonts w:ascii="宋体"/>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7,115,</w:t>
            </w:r>
          </w:p>
          <w:p>
            <w:pPr>
              <w:pStyle w:val="TableParagraph"/>
              <w:spacing w:line="240" w:lineRule="auto" w:before="77"/>
              <w:ind w:left="91" w:right="0"/>
              <w:jc w:val="left"/>
              <w:rPr>
                <w:rFonts w:ascii="宋体" w:hAnsi="宋体" w:cs="宋体" w:eastAsia="宋体" w:hint="default"/>
                <w:sz w:val="18"/>
                <w:szCs w:val="18"/>
              </w:rPr>
            </w:pPr>
            <w:r>
              <w:rPr>
                <w:rFonts w:ascii="宋体"/>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1,379,</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427,21</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4.41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44,220,</w:t>
            </w:r>
          </w:p>
          <w:p>
            <w:pPr>
              <w:pStyle w:val="TableParagraph"/>
              <w:spacing w:line="240" w:lineRule="auto" w:before="77"/>
              <w:ind w:left="116" w:right="0"/>
              <w:jc w:val="left"/>
              <w:rPr>
                <w:rFonts w:ascii="宋体" w:hAnsi="宋体" w:cs="宋体" w:eastAsia="宋体" w:hint="default"/>
                <w:sz w:val="18"/>
                <w:szCs w:val="18"/>
              </w:rPr>
            </w:pPr>
            <w:r>
              <w:rPr>
                <w:rFonts w:ascii="宋体"/>
                <w:sz w:val="18"/>
              </w:rPr>
              <w:t>841.00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1" w:right="0"/>
              <w:jc w:val="left"/>
              <w:rPr>
                <w:rFonts w:ascii="宋体" w:hAnsi="宋体" w:cs="宋体" w:eastAsia="宋体" w:hint="default"/>
                <w:sz w:val="18"/>
                <w:szCs w:val="18"/>
              </w:rPr>
            </w:pPr>
            <w:r>
              <w:rPr>
                <w:rFonts w:ascii="宋体"/>
                <w:sz w:val="18"/>
              </w:rPr>
              <w:t>614,790</w:t>
            </w:r>
          </w:p>
          <w:p>
            <w:pPr>
              <w:pStyle w:val="TableParagraph"/>
              <w:spacing w:line="240" w:lineRule="auto" w:before="77"/>
              <w:ind w:left="51" w:right="0"/>
              <w:jc w:val="left"/>
              <w:rPr>
                <w:rFonts w:ascii="宋体" w:hAnsi="宋体" w:cs="宋体" w:eastAsia="宋体" w:hint="default"/>
                <w:sz w:val="18"/>
                <w:szCs w:val="18"/>
              </w:rPr>
            </w:pPr>
            <w:r>
              <w:rPr>
                <w:rFonts w:ascii="宋体"/>
                <w:sz w:val="18"/>
              </w:rPr>
              <w:t>,376.46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7,115,</w:t>
            </w:r>
          </w:p>
          <w:p>
            <w:pPr>
              <w:pStyle w:val="TableParagraph"/>
              <w:spacing w:line="240" w:lineRule="auto" w:before="77"/>
              <w:ind w:left="91" w:right="0"/>
              <w:jc w:val="left"/>
              <w:rPr>
                <w:rFonts w:ascii="宋体" w:hAnsi="宋体" w:cs="宋体" w:eastAsia="宋体" w:hint="default"/>
                <w:sz w:val="18"/>
                <w:szCs w:val="18"/>
              </w:rPr>
            </w:pPr>
            <w:r>
              <w:rPr>
                <w:rFonts w:ascii="宋体"/>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666,12</w:t>
            </w:r>
          </w:p>
          <w:p>
            <w:pPr>
              <w:pStyle w:val="TableParagraph"/>
              <w:spacing w:line="240" w:lineRule="auto" w:before="77"/>
              <w:ind w:right="23"/>
              <w:jc w:val="right"/>
              <w:rPr>
                <w:rFonts w:ascii="宋体" w:hAnsi="宋体" w:cs="宋体" w:eastAsia="宋体" w:hint="default"/>
                <w:sz w:val="18"/>
                <w:szCs w:val="18"/>
              </w:rPr>
            </w:pPr>
            <w:r>
              <w:rPr>
                <w:rFonts w:ascii="宋体"/>
                <w:sz w:val="18"/>
              </w:rPr>
              <w:t>6,217.</w:t>
            </w:r>
          </w:p>
          <w:p>
            <w:pPr>
              <w:pStyle w:val="TableParagraph"/>
              <w:spacing w:line="240" w:lineRule="auto" w:before="77"/>
              <w:ind w:right="23"/>
              <w:jc w:val="right"/>
              <w:rPr>
                <w:rFonts w:ascii="宋体" w:hAnsi="宋体" w:cs="宋体" w:eastAsia="宋体" w:hint="default"/>
                <w:sz w:val="18"/>
                <w:szCs w:val="18"/>
              </w:rPr>
            </w:pPr>
            <w:r>
              <w:rPr>
                <w:rFonts w:ascii="宋体"/>
                <w:sz w:val="18"/>
              </w:rPr>
              <w:t>46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41,241,</w:t>
            </w:r>
          </w:p>
          <w:p>
            <w:pPr>
              <w:pStyle w:val="TableParagraph"/>
              <w:spacing w:line="240" w:lineRule="auto" w:before="77"/>
              <w:ind w:left="116" w:right="0"/>
              <w:jc w:val="left"/>
              <w:rPr>
                <w:rFonts w:ascii="宋体" w:hAnsi="宋体" w:cs="宋体" w:eastAsia="宋体" w:hint="default"/>
                <w:sz w:val="18"/>
                <w:szCs w:val="18"/>
              </w:rPr>
            </w:pPr>
            <w:r>
              <w:rPr>
                <w:rFonts w:ascii="宋体"/>
                <w:sz w:val="18"/>
              </w:rPr>
              <w:t>126.00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1" w:right="0"/>
              <w:jc w:val="left"/>
              <w:rPr>
                <w:rFonts w:ascii="宋体" w:hAnsi="宋体" w:cs="宋体" w:eastAsia="宋体" w:hint="default"/>
                <w:sz w:val="18"/>
                <w:szCs w:val="18"/>
              </w:rPr>
            </w:pPr>
            <w:r>
              <w:rPr>
                <w:rFonts w:ascii="宋体"/>
                <w:sz w:val="18"/>
              </w:rPr>
              <w:t>662,839</w:t>
            </w:r>
          </w:p>
          <w:p>
            <w:pPr>
              <w:pStyle w:val="TableParagraph"/>
              <w:spacing w:line="240" w:lineRule="auto" w:before="77"/>
              <w:ind w:left="51" w:right="0"/>
              <w:jc w:val="left"/>
              <w:rPr>
                <w:rFonts w:ascii="宋体" w:hAnsi="宋体" w:cs="宋体" w:eastAsia="宋体" w:hint="default"/>
                <w:sz w:val="18"/>
                <w:szCs w:val="18"/>
              </w:rPr>
            </w:pPr>
            <w:r>
              <w:rPr>
                <w:rFonts w:ascii="宋体"/>
                <w:sz w:val="18"/>
              </w:rPr>
              <w:t>,387.95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704,08</w:t>
            </w:r>
          </w:p>
          <w:p>
            <w:pPr>
              <w:pStyle w:val="TableParagraph"/>
              <w:spacing w:line="240" w:lineRule="auto" w:before="76"/>
              <w:ind w:right="23"/>
              <w:jc w:val="right"/>
              <w:rPr>
                <w:rFonts w:ascii="宋体" w:hAnsi="宋体" w:cs="宋体" w:eastAsia="宋体" w:hint="default"/>
                <w:sz w:val="18"/>
                <w:szCs w:val="18"/>
              </w:rPr>
            </w:pPr>
            <w:r>
              <w:rPr>
                <w:rFonts w:ascii="宋体"/>
                <w:sz w:val="18"/>
              </w:rPr>
              <w:t>0,513.</w:t>
            </w:r>
          </w:p>
          <w:p>
            <w:pPr>
              <w:pStyle w:val="TableParagraph"/>
              <w:spacing w:line="240" w:lineRule="auto" w:before="77"/>
              <w:ind w:right="23"/>
              <w:jc w:val="right"/>
              <w:rPr>
                <w:rFonts w:ascii="宋体" w:hAnsi="宋体" w:cs="宋体" w:eastAsia="宋体" w:hint="default"/>
                <w:sz w:val="18"/>
                <w:szCs w:val="18"/>
              </w:rPr>
            </w:pPr>
            <w:r>
              <w:rPr>
                <w:rFonts w:ascii="宋体"/>
                <w:sz w:val="18"/>
              </w:rPr>
              <w:t>95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center"/>
              <w:rPr>
                <w:rFonts w:ascii="宋体" w:hAnsi="宋体" w:cs="宋体" w:eastAsia="宋体" w:hint="default"/>
                <w:sz w:val="18"/>
                <w:szCs w:val="18"/>
              </w:rPr>
            </w:pPr>
            <w:r>
              <w:rPr>
                <w:rFonts w:ascii="宋体"/>
                <w:sz w:val="18"/>
              </w:rPr>
              <w:t>9,220,4</w:t>
            </w:r>
          </w:p>
          <w:p>
            <w:pPr>
              <w:pStyle w:val="TableParagraph"/>
              <w:spacing w:line="240" w:lineRule="auto" w:before="77"/>
              <w:ind w:left="209" w:right="0"/>
              <w:jc w:val="center"/>
              <w:rPr>
                <w:rFonts w:ascii="宋体" w:hAnsi="宋体" w:cs="宋体" w:eastAsia="宋体" w:hint="default"/>
                <w:sz w:val="18"/>
                <w:szCs w:val="18"/>
              </w:rPr>
            </w:pPr>
            <w:r>
              <w:rPr>
                <w:rFonts w:ascii="宋体"/>
                <w:sz w:val="18"/>
              </w:rPr>
              <w:t>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sz w:val="18"/>
              </w:rPr>
              <w:t>9,220,</w:t>
            </w:r>
          </w:p>
          <w:p>
            <w:pPr>
              <w:pStyle w:val="TableParagraph"/>
              <w:spacing w:line="240" w:lineRule="auto" w:before="77"/>
              <w:ind w:left="85" w:right="0"/>
              <w:jc w:val="left"/>
              <w:rPr>
                <w:rFonts w:ascii="宋体" w:hAnsi="宋体" w:cs="宋体" w:eastAsia="宋体" w:hint="default"/>
                <w:sz w:val="18"/>
                <w:szCs w:val="18"/>
              </w:rPr>
            </w:pPr>
            <w:r>
              <w:rPr>
                <w:rFonts w:ascii="宋体"/>
                <w:sz w:val="18"/>
              </w:rPr>
              <w:t>483.00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82,649</w:t>
            </w:r>
          </w:p>
          <w:p>
            <w:pPr>
              <w:pStyle w:val="TableParagraph"/>
              <w:spacing w:line="240" w:lineRule="auto" w:before="76"/>
              <w:ind w:right="20"/>
              <w:jc w:val="right"/>
              <w:rPr>
                <w:rFonts w:ascii="宋体" w:hAnsi="宋体" w:cs="宋体" w:eastAsia="宋体" w:hint="default"/>
                <w:sz w:val="18"/>
                <w:szCs w:val="18"/>
              </w:rPr>
            </w:pPr>
            <w:r>
              <w:rPr>
                <w:rFonts w:ascii="宋体"/>
                <w:sz w:val="18"/>
              </w:rPr>
              <w:t>,729.1</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-229,6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58,003</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-147,0</w:t>
            </w:r>
          </w:p>
          <w:p>
            <w:pPr>
              <w:pStyle w:val="TableParagraph"/>
              <w:spacing w:line="240" w:lineRule="auto" w:before="76"/>
              <w:ind w:left="85" w:right="0"/>
              <w:jc w:val="left"/>
              <w:rPr>
                <w:rFonts w:ascii="宋体" w:hAnsi="宋体" w:cs="宋体" w:eastAsia="宋体" w:hint="default"/>
                <w:sz w:val="18"/>
                <w:szCs w:val="18"/>
              </w:rPr>
            </w:pPr>
            <w:r>
              <w:rPr>
                <w:rFonts w:ascii="宋体"/>
                <w:sz w:val="18"/>
              </w:rPr>
              <w:t>08,274</w:t>
            </w:r>
          </w:p>
          <w:p>
            <w:pPr>
              <w:pStyle w:val="TableParagraph"/>
              <w:spacing w:line="240" w:lineRule="auto" w:before="77"/>
              <w:ind w:left="355" w:right="0"/>
              <w:jc w:val="left"/>
              <w:rPr>
                <w:rFonts w:ascii="宋体" w:hAnsi="宋体" w:cs="宋体" w:eastAsia="宋体" w:hint="default"/>
                <w:sz w:val="18"/>
                <w:szCs w:val="18"/>
              </w:rPr>
            </w:pPr>
            <w:r>
              <w:rPr>
                <w:rFonts w:ascii="宋体"/>
                <w:sz w:val="18"/>
              </w:rPr>
              <w:t>.20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82,649</w:t>
            </w:r>
          </w:p>
          <w:p>
            <w:pPr>
              <w:pStyle w:val="TableParagraph"/>
              <w:spacing w:line="240" w:lineRule="auto" w:before="76"/>
              <w:ind w:right="20"/>
              <w:jc w:val="right"/>
              <w:rPr>
                <w:rFonts w:ascii="宋体" w:hAnsi="宋体" w:cs="宋体" w:eastAsia="宋体" w:hint="default"/>
                <w:sz w:val="18"/>
                <w:szCs w:val="18"/>
              </w:rPr>
            </w:pPr>
            <w:r>
              <w:rPr>
                <w:rFonts w:ascii="宋体"/>
                <w:sz w:val="18"/>
              </w:rPr>
              <w:t>,729.1</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-82,64</w:t>
            </w:r>
          </w:p>
          <w:p>
            <w:pPr>
              <w:pStyle w:val="TableParagraph"/>
              <w:spacing w:line="240" w:lineRule="auto" w:before="76"/>
              <w:ind w:right="23"/>
              <w:jc w:val="right"/>
              <w:rPr>
                <w:rFonts w:ascii="宋体" w:hAnsi="宋体" w:cs="宋体" w:eastAsia="宋体" w:hint="default"/>
                <w:sz w:val="18"/>
                <w:szCs w:val="18"/>
              </w:rPr>
            </w:pPr>
            <w:r>
              <w:rPr>
                <w:rFonts w:ascii="宋体"/>
                <w:sz w:val="18"/>
              </w:rPr>
              <w:t>9,729.</w:t>
            </w:r>
          </w:p>
          <w:p>
            <w:pPr>
              <w:pStyle w:val="TableParagraph"/>
              <w:spacing w:line="240" w:lineRule="auto" w:before="77"/>
              <w:ind w:right="23"/>
              <w:jc w:val="right"/>
              <w:rPr>
                <w:rFonts w:ascii="宋体" w:hAnsi="宋体" w:cs="宋体" w:eastAsia="宋体" w:hint="default"/>
                <w:sz w:val="18"/>
                <w:szCs w:val="18"/>
              </w:rPr>
            </w:pPr>
            <w:r>
              <w:rPr>
                <w:rFonts w:ascii="宋体"/>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-147,0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08,274</w:t>
            </w:r>
          </w:p>
          <w:p>
            <w:pPr>
              <w:pStyle w:val="TableParagraph"/>
              <w:spacing w:line="240" w:lineRule="auto" w:before="77"/>
              <w:ind w:left="361" w:right="0"/>
              <w:jc w:val="left"/>
              <w:rPr>
                <w:rFonts w:ascii="宋体" w:hAnsi="宋体" w:cs="宋体" w:eastAsia="宋体" w:hint="default"/>
                <w:sz w:val="18"/>
                <w:szCs w:val="18"/>
              </w:rPr>
            </w:pPr>
            <w:r>
              <w:rPr>
                <w:rFonts w:ascii="宋体"/>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-147,0</w:t>
            </w:r>
          </w:p>
          <w:p>
            <w:pPr>
              <w:pStyle w:val="TableParagraph"/>
              <w:spacing w:line="240" w:lineRule="auto" w:before="76"/>
              <w:ind w:left="85" w:right="0"/>
              <w:jc w:val="left"/>
              <w:rPr>
                <w:rFonts w:ascii="宋体" w:hAnsi="宋体" w:cs="宋体" w:eastAsia="宋体" w:hint="default"/>
                <w:sz w:val="18"/>
                <w:szCs w:val="18"/>
              </w:rPr>
            </w:pPr>
            <w:r>
              <w:rPr>
                <w:rFonts w:ascii="宋体"/>
                <w:sz w:val="18"/>
              </w:rPr>
              <w:t>08,274</w:t>
            </w:r>
          </w:p>
          <w:p>
            <w:pPr>
              <w:pStyle w:val="TableParagraph"/>
              <w:spacing w:line="240" w:lineRule="auto" w:before="77"/>
              <w:ind w:left="355" w:right="0"/>
              <w:jc w:val="left"/>
              <w:rPr>
                <w:rFonts w:ascii="宋体" w:hAnsi="宋体" w:cs="宋体" w:eastAsia="宋体" w:hint="default"/>
                <w:sz w:val="18"/>
                <w:szCs w:val="18"/>
              </w:rPr>
            </w:pPr>
            <w:r>
              <w:rPr>
                <w:rFonts w:ascii="宋体"/>
                <w:sz w:val="18"/>
              </w:rPr>
              <w:t>.20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403"/>
        <w:gridCol w:w="532"/>
        <w:gridCol w:w="481"/>
        <w:gridCol w:w="714"/>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735,041</w:t>
            </w:r>
          </w:p>
          <w:p>
            <w:pPr>
              <w:pStyle w:val="TableParagraph"/>
              <w:spacing w:line="240" w:lineRule="auto" w:before="77"/>
              <w:ind w:left="26" w:right="0"/>
              <w:jc w:val="left"/>
              <w:rPr>
                <w:rFonts w:ascii="宋体" w:hAnsi="宋体" w:cs="宋体" w:eastAsia="宋体" w:hint="default"/>
                <w:sz w:val="18"/>
                <w:szCs w:val="18"/>
              </w:rPr>
            </w:pPr>
            <w:r>
              <w:rPr>
                <w:rFonts w:ascii="宋体"/>
                <w:sz w:val="18"/>
              </w:rPr>
              <w:t>,371.00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-735,04</w:t>
            </w:r>
          </w:p>
          <w:p>
            <w:pPr>
              <w:pStyle w:val="TableParagraph"/>
              <w:spacing w:line="240" w:lineRule="auto" w:before="76"/>
              <w:ind w:right="21"/>
              <w:jc w:val="right"/>
              <w:rPr>
                <w:rFonts w:ascii="宋体" w:hAnsi="宋体" w:cs="宋体" w:eastAsia="宋体" w:hint="default"/>
                <w:sz w:val="18"/>
                <w:szCs w:val="18"/>
              </w:rPr>
            </w:pPr>
            <w:r>
              <w:rPr>
                <w:rFonts w:ascii="宋体"/>
                <w:sz w:val="18"/>
              </w:rPr>
              <w:t>1,371.0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735,041</w:t>
            </w:r>
          </w:p>
          <w:p>
            <w:pPr>
              <w:pStyle w:val="TableParagraph"/>
              <w:spacing w:line="240" w:lineRule="auto" w:before="77"/>
              <w:ind w:left="26" w:right="0"/>
              <w:jc w:val="left"/>
              <w:rPr>
                <w:rFonts w:ascii="宋体" w:hAnsi="宋体" w:cs="宋体" w:eastAsia="宋体" w:hint="default"/>
                <w:sz w:val="18"/>
                <w:szCs w:val="18"/>
              </w:rPr>
            </w:pPr>
            <w:r>
              <w:rPr>
                <w:rFonts w:ascii="宋体"/>
                <w:sz w:val="18"/>
              </w:rPr>
              <w:t>,371.00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-735,04</w:t>
            </w:r>
          </w:p>
          <w:p>
            <w:pPr>
              <w:pStyle w:val="TableParagraph"/>
              <w:spacing w:line="240" w:lineRule="auto" w:before="76"/>
              <w:ind w:right="21"/>
              <w:jc w:val="right"/>
              <w:rPr>
                <w:rFonts w:ascii="宋体" w:hAnsi="宋体" w:cs="宋体" w:eastAsia="宋体" w:hint="default"/>
                <w:sz w:val="18"/>
                <w:szCs w:val="18"/>
              </w:rPr>
            </w:pPr>
            <w:r>
              <w:rPr>
                <w:rFonts w:ascii="宋体"/>
                <w:sz w:val="18"/>
              </w:rPr>
              <w:t>1,371.0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1,514,8</w:t>
            </w:r>
          </w:p>
          <w:p>
            <w:pPr>
              <w:pStyle w:val="TableParagraph"/>
              <w:spacing w:line="240" w:lineRule="auto" w:before="76"/>
              <w:ind w:right="23"/>
              <w:jc w:val="right"/>
              <w:rPr>
                <w:rFonts w:ascii="宋体" w:hAnsi="宋体" w:cs="宋体" w:eastAsia="宋体" w:hint="default"/>
                <w:sz w:val="18"/>
                <w:szCs w:val="18"/>
              </w:rPr>
            </w:pPr>
            <w:r>
              <w:rPr>
                <w:rFonts w:ascii="宋体"/>
                <w:sz w:val="18"/>
              </w:rPr>
              <w:t>06,948.</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403"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1,486,5</w:t>
            </w:r>
          </w:p>
          <w:p>
            <w:pPr>
              <w:pStyle w:val="TableParagraph"/>
              <w:spacing w:line="240" w:lineRule="auto" w:before="76"/>
              <w:ind w:right="21"/>
              <w:jc w:val="right"/>
              <w:rPr>
                <w:rFonts w:ascii="宋体" w:hAnsi="宋体" w:cs="宋体" w:eastAsia="宋体" w:hint="default"/>
                <w:sz w:val="18"/>
                <w:szCs w:val="18"/>
              </w:rPr>
            </w:pPr>
            <w:r>
              <w:rPr>
                <w:rFonts w:ascii="宋体"/>
                <w:sz w:val="18"/>
              </w:rPr>
              <w:t>30,026.</w:t>
            </w:r>
          </w:p>
          <w:p>
            <w:pPr>
              <w:pStyle w:val="TableParagraph"/>
              <w:spacing w:line="240" w:lineRule="auto" w:before="77"/>
              <w:ind w:right="20"/>
              <w:jc w:val="right"/>
              <w:rPr>
                <w:rFonts w:ascii="宋体" w:hAnsi="宋体" w:cs="宋体" w:eastAsia="宋体" w:hint="default"/>
                <w:sz w:val="18"/>
                <w:szCs w:val="18"/>
              </w:rPr>
            </w:pPr>
            <w:r>
              <w:rPr>
                <w:rFonts w:ascii="宋体"/>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309,47</w:t>
            </w:r>
          </w:p>
          <w:p>
            <w:pPr>
              <w:pStyle w:val="TableParagraph"/>
              <w:spacing w:line="240" w:lineRule="auto" w:before="76"/>
              <w:ind w:right="23"/>
              <w:jc w:val="right"/>
              <w:rPr>
                <w:rFonts w:ascii="宋体" w:hAnsi="宋体" w:cs="宋体" w:eastAsia="宋体" w:hint="default"/>
                <w:sz w:val="18"/>
                <w:szCs w:val="18"/>
              </w:rPr>
            </w:pPr>
            <w:r>
              <w:rPr>
                <w:rFonts w:ascii="宋体"/>
                <w:sz w:val="18"/>
              </w:rPr>
              <w:t>2,715.</w:t>
            </w:r>
          </w:p>
          <w:p>
            <w:pPr>
              <w:pStyle w:val="TableParagraph"/>
              <w:spacing w:line="240" w:lineRule="auto" w:before="77"/>
              <w:ind w:right="23"/>
              <w:jc w:val="right"/>
              <w:rPr>
                <w:rFonts w:ascii="宋体" w:hAnsi="宋体" w:cs="宋体" w:eastAsia="宋体" w:hint="default"/>
                <w:sz w:val="18"/>
                <w:szCs w:val="18"/>
              </w:rPr>
            </w:pPr>
            <w:r>
              <w:rPr>
                <w:rFonts w:ascii="宋体"/>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293,87</w:t>
            </w:r>
          </w:p>
          <w:p>
            <w:pPr>
              <w:pStyle w:val="TableParagraph"/>
              <w:spacing w:line="240" w:lineRule="auto" w:before="76"/>
              <w:ind w:right="20"/>
              <w:jc w:val="right"/>
              <w:rPr>
                <w:rFonts w:ascii="宋体" w:hAnsi="宋体" w:cs="宋体" w:eastAsia="宋体" w:hint="default"/>
                <w:sz w:val="18"/>
                <w:szCs w:val="18"/>
              </w:rPr>
            </w:pPr>
            <w:r>
              <w:rPr>
                <w:rFonts w:ascii="宋体"/>
                <w:sz w:val="18"/>
              </w:rPr>
              <w:t>6,664.</w:t>
            </w:r>
          </w:p>
          <w:p>
            <w:pPr>
              <w:pStyle w:val="TableParagraph"/>
              <w:spacing w:line="240" w:lineRule="auto" w:before="77"/>
              <w:ind w:right="20"/>
              <w:jc w:val="right"/>
              <w:rPr>
                <w:rFonts w:ascii="宋体" w:hAnsi="宋体" w:cs="宋体" w:eastAsia="宋体" w:hint="default"/>
                <w:sz w:val="18"/>
                <w:szCs w:val="18"/>
              </w:rPr>
            </w:pPr>
            <w:r>
              <w:rPr>
                <w:rFonts w:ascii="宋体"/>
                <w:sz w:val="18"/>
              </w:rPr>
              <w:t>93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7" w:right="0"/>
              <w:jc w:val="center"/>
              <w:rPr>
                <w:rFonts w:ascii="宋体" w:hAnsi="宋体" w:cs="宋体" w:eastAsia="宋体" w:hint="default"/>
                <w:sz w:val="18"/>
                <w:szCs w:val="18"/>
              </w:rPr>
            </w:pPr>
            <w:r>
              <w:rPr>
                <w:rFonts w:ascii="宋体"/>
                <w:sz w:val="18"/>
              </w:rPr>
              <w:t>2,683,</w:t>
            </w:r>
          </w:p>
          <w:p>
            <w:pPr>
              <w:pStyle w:val="TableParagraph"/>
              <w:spacing w:line="240" w:lineRule="auto" w:before="76"/>
              <w:ind w:left="67" w:right="0"/>
              <w:jc w:val="center"/>
              <w:rPr>
                <w:rFonts w:ascii="宋体" w:hAnsi="宋体" w:cs="宋体" w:eastAsia="宋体" w:hint="default"/>
                <w:sz w:val="18"/>
                <w:szCs w:val="18"/>
              </w:rPr>
            </w:pPr>
            <w:r>
              <w:rPr>
                <w:rFonts w:ascii="宋体"/>
                <w:sz w:val="18"/>
              </w:rPr>
              <w:t>209,47</w:t>
            </w:r>
          </w:p>
          <w:p>
            <w:pPr>
              <w:pStyle w:val="TableParagraph"/>
              <w:spacing w:line="240" w:lineRule="auto" w:before="77"/>
              <w:ind w:left="247" w:right="0"/>
              <w:jc w:val="center"/>
              <w:rPr>
                <w:rFonts w:ascii="宋体" w:hAnsi="宋体" w:cs="宋体" w:eastAsia="宋体" w:hint="default"/>
                <w:sz w:val="18"/>
                <w:szCs w:val="18"/>
              </w:rPr>
            </w:pPr>
            <w:r>
              <w:rPr>
                <w:rFonts w:ascii="宋体"/>
                <w:sz w:val="18"/>
              </w:rPr>
              <w:t>2.04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7,099,</w:t>
            </w:r>
          </w:p>
          <w:p>
            <w:pPr>
              <w:pStyle w:val="TableParagraph"/>
              <w:spacing w:line="240" w:lineRule="auto" w:before="77"/>
              <w:ind w:left="91" w:right="0"/>
              <w:jc w:val="left"/>
              <w:rPr>
                <w:rFonts w:ascii="宋体" w:hAnsi="宋体" w:cs="宋体" w:eastAsia="宋体" w:hint="default"/>
                <w:sz w:val="18"/>
                <w:szCs w:val="18"/>
              </w:rPr>
            </w:pPr>
            <w:r>
              <w:rPr>
                <w:rFonts w:ascii="宋体"/>
                <w:sz w:val="18"/>
              </w:rPr>
              <w:t>227.93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6,294,</w:t>
            </w:r>
          </w:p>
          <w:p>
            <w:pPr>
              <w:pStyle w:val="TableParagraph"/>
              <w:spacing w:line="240" w:lineRule="auto" w:before="76"/>
              <w:ind w:left="61" w:right="0"/>
              <w:jc w:val="center"/>
              <w:rPr>
                <w:rFonts w:ascii="宋体" w:hAnsi="宋体" w:cs="宋体" w:eastAsia="宋体" w:hint="default"/>
                <w:sz w:val="18"/>
                <w:szCs w:val="18"/>
              </w:rPr>
            </w:pPr>
            <w:r>
              <w:rPr>
                <w:rFonts w:ascii="宋体"/>
                <w:sz w:val="18"/>
              </w:rPr>
              <w:t>995,05</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5.08</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sz w:val="18"/>
              </w:rPr>
              <w:t>689,9</w:t>
            </w:r>
          </w:p>
          <w:p>
            <w:pPr>
              <w:pStyle w:val="TableParagraph"/>
              <w:spacing w:line="240" w:lineRule="auto" w:before="75"/>
              <w:ind w:left="79" w:right="0"/>
              <w:jc w:val="left"/>
              <w:rPr>
                <w:rFonts w:ascii="宋体" w:hAnsi="宋体" w:cs="宋体" w:eastAsia="宋体" w:hint="default"/>
                <w:sz w:val="18"/>
                <w:szCs w:val="18"/>
              </w:rPr>
            </w:pPr>
            <w:r>
              <w:rPr>
                <w:rFonts w:ascii="宋体"/>
                <w:sz w:val="18"/>
              </w:rPr>
              <w:t>67,20</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623,40</w:t>
            </w:r>
          </w:p>
          <w:p>
            <w:pPr>
              <w:pStyle w:val="TableParagraph"/>
              <w:spacing w:line="240" w:lineRule="auto" w:before="75"/>
              <w:ind w:right="21"/>
              <w:jc w:val="right"/>
              <w:rPr>
                <w:rFonts w:ascii="宋体" w:hAnsi="宋体" w:cs="宋体" w:eastAsia="宋体" w:hint="default"/>
                <w:sz w:val="18"/>
                <w:szCs w:val="18"/>
              </w:rPr>
            </w:pPr>
            <w:r>
              <w:rPr>
                <w:rFonts w:ascii="宋体"/>
                <w:sz w:val="18"/>
              </w:rPr>
              <w:t>7,728.</w:t>
            </w:r>
          </w:p>
          <w:p>
            <w:pPr>
              <w:pStyle w:val="TableParagraph"/>
              <w:spacing w:line="240" w:lineRule="auto" w:before="77"/>
              <w:ind w:right="20"/>
              <w:jc w:val="right"/>
              <w:rPr>
                <w:rFonts w:ascii="宋体" w:hAnsi="宋体" w:cs="宋体" w:eastAsia="宋体" w:hint="default"/>
                <w:sz w:val="18"/>
                <w:szCs w:val="18"/>
              </w:rPr>
            </w:pPr>
            <w:r>
              <w:rPr>
                <w:rFonts w:ascii="宋体"/>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-29,15</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8.25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158,59</w:t>
            </w:r>
          </w:p>
          <w:p>
            <w:pPr>
              <w:pStyle w:val="TableParagraph"/>
              <w:spacing w:line="240" w:lineRule="auto" w:before="75"/>
              <w:ind w:right="23"/>
              <w:jc w:val="right"/>
              <w:rPr>
                <w:rFonts w:ascii="宋体" w:hAnsi="宋体" w:cs="宋体" w:eastAsia="宋体" w:hint="default"/>
                <w:sz w:val="18"/>
                <w:szCs w:val="18"/>
              </w:rPr>
            </w:pPr>
            <w:r>
              <w:rPr>
                <w:rFonts w:ascii="宋体"/>
                <w:sz w:val="18"/>
              </w:rPr>
              <w:t>2,877.</w:t>
            </w:r>
          </w:p>
          <w:p>
            <w:pPr>
              <w:pStyle w:val="TableParagraph"/>
              <w:spacing w:line="240" w:lineRule="auto" w:before="77"/>
              <w:ind w:right="23"/>
              <w:jc w:val="right"/>
              <w:rPr>
                <w:rFonts w:ascii="宋体" w:hAnsi="宋体" w:cs="宋体" w:eastAsia="宋体" w:hint="default"/>
                <w:sz w:val="18"/>
                <w:szCs w:val="18"/>
              </w:rPr>
            </w:pPr>
            <w:r>
              <w:rPr>
                <w:rFonts w:ascii="宋体"/>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 w:right="0"/>
              <w:jc w:val="center"/>
              <w:rPr>
                <w:rFonts w:ascii="宋体" w:hAnsi="宋体" w:cs="宋体" w:eastAsia="宋体" w:hint="default"/>
                <w:sz w:val="18"/>
                <w:szCs w:val="18"/>
              </w:rPr>
            </w:pPr>
            <w:r>
              <w:rPr>
                <w:rFonts w:ascii="宋体"/>
                <w:sz w:val="18"/>
              </w:rPr>
              <w:t>1,293,</w:t>
            </w:r>
          </w:p>
          <w:p>
            <w:pPr>
              <w:pStyle w:val="TableParagraph"/>
              <w:spacing w:line="240" w:lineRule="auto" w:before="75"/>
              <w:ind w:left="80" w:right="0"/>
              <w:jc w:val="center"/>
              <w:rPr>
                <w:rFonts w:ascii="宋体" w:hAnsi="宋体" w:cs="宋体" w:eastAsia="宋体" w:hint="default"/>
                <w:sz w:val="18"/>
                <w:szCs w:val="18"/>
              </w:rPr>
            </w:pPr>
            <w:r>
              <w:rPr>
                <w:rFonts w:ascii="宋体"/>
                <w:sz w:val="18"/>
              </w:rPr>
              <w:t>970,46</w:t>
            </w:r>
          </w:p>
          <w:p>
            <w:pPr>
              <w:pStyle w:val="TableParagraph"/>
              <w:spacing w:line="240" w:lineRule="auto" w:before="77"/>
              <w:ind w:left="260" w:right="0"/>
              <w:jc w:val="center"/>
              <w:rPr>
                <w:rFonts w:ascii="宋体" w:hAnsi="宋体" w:cs="宋体" w:eastAsia="宋体" w:hint="default"/>
                <w:sz w:val="18"/>
                <w:szCs w:val="18"/>
              </w:rPr>
            </w:pPr>
            <w:r>
              <w:rPr>
                <w:rFonts w:ascii="宋体"/>
                <w:sz w:val="18"/>
              </w:rPr>
              <w:t>5.40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52,174</w:t>
            </w:r>
          </w:p>
          <w:p>
            <w:pPr>
              <w:pStyle w:val="TableParagraph"/>
              <w:spacing w:line="240" w:lineRule="auto" w:before="76"/>
              <w:ind w:left="349" w:right="0"/>
              <w:jc w:val="left"/>
              <w:rPr>
                <w:rFonts w:ascii="宋体" w:hAnsi="宋体" w:cs="宋体" w:eastAsia="宋体" w:hint="default"/>
                <w:sz w:val="18"/>
                <w:szCs w:val="18"/>
              </w:rPr>
            </w:pPr>
            <w:r>
              <w:rPr>
                <w:rFonts w:ascii="宋体"/>
                <w:sz w:val="18"/>
              </w:rPr>
              <w:t>.75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 w:right="0"/>
              <w:jc w:val="center"/>
              <w:rPr>
                <w:rFonts w:ascii="宋体" w:hAnsi="宋体" w:cs="宋体" w:eastAsia="宋体" w:hint="default"/>
                <w:sz w:val="18"/>
                <w:szCs w:val="18"/>
              </w:rPr>
            </w:pPr>
            <w:r>
              <w:rPr>
                <w:rFonts w:ascii="宋体"/>
                <w:sz w:val="18"/>
              </w:rPr>
              <w:t>2,765,</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961,28</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7.56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9" w:right="0"/>
              <w:jc w:val="left"/>
              <w:rPr>
                <w:rFonts w:ascii="宋体" w:hAnsi="宋体" w:cs="宋体" w:eastAsia="宋体" w:hint="default"/>
                <w:sz w:val="18"/>
                <w:szCs w:val="18"/>
              </w:rPr>
            </w:pPr>
            <w:r>
              <w:rPr>
                <w:rFonts w:ascii="宋体"/>
                <w:sz w:val="18"/>
              </w:rPr>
              <w:t>689,9</w:t>
            </w:r>
          </w:p>
          <w:p>
            <w:pPr>
              <w:pStyle w:val="TableParagraph"/>
              <w:spacing w:line="240" w:lineRule="auto" w:before="76"/>
              <w:ind w:left="79" w:right="0"/>
              <w:jc w:val="left"/>
              <w:rPr>
                <w:rFonts w:ascii="宋体" w:hAnsi="宋体" w:cs="宋体" w:eastAsia="宋体" w:hint="default"/>
                <w:sz w:val="18"/>
                <w:szCs w:val="18"/>
              </w:rPr>
            </w:pPr>
            <w:r>
              <w:rPr>
                <w:rFonts w:ascii="宋体"/>
                <w:sz w:val="18"/>
              </w:rPr>
              <w:t>67,20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2" w:right="0"/>
              <w:jc w:val="left"/>
              <w:rPr>
                <w:rFonts w:ascii="宋体" w:hAnsi="宋体" w:cs="宋体" w:eastAsia="宋体" w:hint="default"/>
                <w:sz w:val="18"/>
                <w:szCs w:val="18"/>
              </w:rPr>
            </w:pPr>
            <w:r>
              <w:rPr>
                <w:rFonts w:ascii="宋体"/>
                <w:sz w:val="18"/>
              </w:rPr>
              <w:t>623,40</w:t>
            </w:r>
          </w:p>
          <w:p>
            <w:pPr>
              <w:pStyle w:val="TableParagraph"/>
              <w:spacing w:line="240" w:lineRule="auto" w:before="76"/>
              <w:ind w:left="92" w:right="0"/>
              <w:jc w:val="left"/>
              <w:rPr>
                <w:rFonts w:ascii="宋体" w:hAnsi="宋体" w:cs="宋体" w:eastAsia="宋体" w:hint="default"/>
                <w:sz w:val="18"/>
                <w:szCs w:val="18"/>
              </w:rPr>
            </w:pPr>
            <w:r>
              <w:rPr>
                <w:rFonts w:ascii="宋体"/>
                <w:sz w:val="18"/>
              </w:rPr>
              <w:t>7,728.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7" w:right="0"/>
              <w:jc w:val="center"/>
              <w:rPr>
                <w:rFonts w:ascii="宋体" w:hAnsi="宋体" w:cs="宋体" w:eastAsia="宋体" w:hint="default"/>
                <w:sz w:val="18"/>
                <w:szCs w:val="18"/>
              </w:rPr>
            </w:pPr>
            <w:r>
              <w:rPr>
                <w:rFonts w:ascii="宋体"/>
                <w:sz w:val="18"/>
              </w:rPr>
              <w:t>-29,15</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8.25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158,59</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2,877.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18"/>
                <w:szCs w:val="18"/>
              </w:rPr>
            </w:pPr>
            <w:r>
              <w:rPr>
                <w:rFonts w:ascii="宋体"/>
                <w:sz w:val="18"/>
              </w:rPr>
              <w:t>1,293,</w:t>
            </w:r>
          </w:p>
          <w:p>
            <w:pPr>
              <w:pStyle w:val="TableParagraph"/>
              <w:spacing w:line="240" w:lineRule="auto" w:before="76"/>
              <w:ind w:left="104" w:right="0"/>
              <w:jc w:val="left"/>
              <w:rPr>
                <w:rFonts w:ascii="宋体" w:hAnsi="宋体" w:cs="宋体" w:eastAsia="宋体" w:hint="default"/>
                <w:sz w:val="18"/>
                <w:szCs w:val="18"/>
              </w:rPr>
            </w:pPr>
            <w:r>
              <w:rPr>
                <w:rFonts w:ascii="宋体"/>
                <w:sz w:val="18"/>
              </w:rPr>
              <w:t>970,46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left"/>
              <w:rPr>
                <w:rFonts w:ascii="宋体" w:hAnsi="宋体" w:cs="宋体" w:eastAsia="宋体" w:hint="default"/>
                <w:sz w:val="18"/>
                <w:szCs w:val="18"/>
              </w:rPr>
            </w:pPr>
            <w:r>
              <w:rPr>
                <w:rFonts w:ascii="宋体"/>
                <w:sz w:val="18"/>
              </w:rPr>
              <w:t>52,174</w:t>
            </w:r>
          </w:p>
          <w:p>
            <w:pPr>
              <w:pStyle w:val="TableParagraph"/>
              <w:spacing w:line="240" w:lineRule="auto" w:before="76"/>
              <w:ind w:left="349" w:right="0"/>
              <w:jc w:val="left"/>
              <w:rPr>
                <w:rFonts w:ascii="宋体" w:hAnsi="宋体" w:cs="宋体" w:eastAsia="宋体" w:hint="default"/>
                <w:sz w:val="18"/>
                <w:szCs w:val="18"/>
              </w:rPr>
            </w:pPr>
            <w:r>
              <w:rPr>
                <w:rFonts w:ascii="宋体"/>
                <w:sz w:val="18"/>
              </w:rPr>
              <w:t>.75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5" w:right="0"/>
              <w:jc w:val="left"/>
              <w:rPr>
                <w:rFonts w:ascii="宋体" w:hAnsi="宋体" w:cs="宋体" w:eastAsia="宋体" w:hint="default"/>
                <w:sz w:val="18"/>
                <w:szCs w:val="18"/>
              </w:rPr>
            </w:pPr>
            <w:r>
              <w:rPr>
                <w:rFonts w:ascii="宋体"/>
                <w:sz w:val="18"/>
              </w:rPr>
              <w:t>2,765,</w:t>
            </w:r>
          </w:p>
          <w:p>
            <w:pPr>
              <w:pStyle w:val="TableParagraph"/>
              <w:spacing w:line="240" w:lineRule="auto" w:before="76"/>
              <w:ind w:left="85" w:right="0"/>
              <w:jc w:val="left"/>
              <w:rPr>
                <w:rFonts w:ascii="宋体" w:hAnsi="宋体" w:cs="宋体" w:eastAsia="宋体" w:hint="default"/>
                <w:sz w:val="18"/>
                <w:szCs w:val="18"/>
              </w:rPr>
            </w:pPr>
            <w:r>
              <w:rPr>
                <w:rFonts w:ascii="宋体"/>
                <w:sz w:val="18"/>
              </w:rPr>
              <w:t>961,28</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4" w:right="0"/>
              <w:jc w:val="left"/>
              <w:rPr>
                <w:rFonts w:ascii="宋体" w:hAnsi="宋体" w:cs="宋体" w:eastAsia="宋体" w:hint="default"/>
                <w:sz w:val="18"/>
                <w:szCs w:val="18"/>
              </w:rPr>
            </w:pPr>
            <w:r>
              <w:rPr>
                <w:rFonts w:ascii="宋体"/>
                <w:sz w:val="18"/>
              </w:rPr>
              <w:t>5.40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5" w:right="0"/>
              <w:jc w:val="left"/>
              <w:rPr>
                <w:rFonts w:ascii="宋体" w:hAnsi="宋体" w:cs="宋体" w:eastAsia="宋体" w:hint="default"/>
                <w:sz w:val="18"/>
                <w:szCs w:val="18"/>
              </w:rPr>
            </w:pPr>
            <w:r>
              <w:rPr>
                <w:rFonts w:ascii="宋体"/>
                <w:sz w:val="18"/>
              </w:rPr>
              <w:t>7.56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金额（减少以 “－”号填列）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4,336</w:t>
            </w:r>
          </w:p>
          <w:p>
            <w:pPr>
              <w:pStyle w:val="TableParagraph"/>
              <w:spacing w:line="240" w:lineRule="auto" w:before="75"/>
              <w:ind w:left="79" w:right="0"/>
              <w:jc w:val="left"/>
              <w:rPr>
                <w:rFonts w:ascii="宋体" w:hAnsi="宋体" w:cs="宋体" w:eastAsia="宋体" w:hint="default"/>
                <w:sz w:val="18"/>
                <w:szCs w:val="18"/>
              </w:rPr>
            </w:pPr>
            <w:r>
              <w:rPr>
                <w:rFonts w:ascii="宋体"/>
                <w:sz w:val="18"/>
              </w:rPr>
              <w:t>,410.</w:t>
            </w:r>
          </w:p>
          <w:p>
            <w:pPr>
              <w:pStyle w:val="TableParagraph"/>
              <w:spacing w:line="240" w:lineRule="auto" w:before="77"/>
              <w:ind w:left="349" w:right="0"/>
              <w:jc w:val="left"/>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311,31</w:t>
            </w:r>
          </w:p>
          <w:p>
            <w:pPr>
              <w:pStyle w:val="TableParagraph"/>
              <w:spacing w:line="240" w:lineRule="auto" w:before="75"/>
              <w:ind w:right="21"/>
              <w:jc w:val="right"/>
              <w:rPr>
                <w:rFonts w:ascii="宋体" w:hAnsi="宋体" w:cs="宋体" w:eastAsia="宋体" w:hint="default"/>
                <w:sz w:val="18"/>
                <w:szCs w:val="18"/>
              </w:rPr>
            </w:pPr>
            <w:r>
              <w:rPr>
                <w:rFonts w:ascii="宋体"/>
                <w:sz w:val="18"/>
              </w:rPr>
              <w:t>3,421.</w:t>
            </w:r>
          </w:p>
          <w:p>
            <w:pPr>
              <w:pStyle w:val="TableParagraph"/>
              <w:spacing w:line="240" w:lineRule="auto" w:before="77"/>
              <w:ind w:right="20"/>
              <w:jc w:val="right"/>
              <w:rPr>
                <w:rFonts w:ascii="宋体" w:hAnsi="宋体" w:cs="宋体" w:eastAsia="宋体" w:hint="default"/>
                <w:sz w:val="18"/>
                <w:szCs w:val="18"/>
              </w:rPr>
            </w:pPr>
            <w:r>
              <w:rPr>
                <w:rFonts w:ascii="宋体"/>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-10,07</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52,634</w:t>
            </w:r>
          </w:p>
          <w:p>
            <w:pPr>
              <w:pStyle w:val="TableParagraph"/>
              <w:spacing w:line="240" w:lineRule="auto" w:before="75"/>
              <w:ind w:right="23"/>
              <w:jc w:val="right"/>
              <w:rPr>
                <w:rFonts w:ascii="宋体" w:hAnsi="宋体" w:cs="宋体" w:eastAsia="宋体" w:hint="default"/>
                <w:sz w:val="18"/>
                <w:szCs w:val="18"/>
              </w:rPr>
            </w:pPr>
            <w:r>
              <w:rPr>
                <w:rFonts w:ascii="宋体"/>
                <w:sz w:val="18"/>
              </w:rPr>
              <w:t>,058.4</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580,24</w:t>
            </w:r>
          </w:p>
          <w:p>
            <w:pPr>
              <w:pStyle w:val="TableParagraph"/>
              <w:spacing w:line="240" w:lineRule="auto" w:before="75"/>
              <w:ind w:right="23"/>
              <w:jc w:val="right"/>
              <w:rPr>
                <w:rFonts w:ascii="宋体" w:hAnsi="宋体" w:cs="宋体" w:eastAsia="宋体" w:hint="default"/>
                <w:sz w:val="18"/>
                <w:szCs w:val="18"/>
              </w:rPr>
            </w:pPr>
            <w:r>
              <w:rPr>
                <w:rFonts w:ascii="宋体"/>
                <w:sz w:val="18"/>
              </w:rPr>
              <w:t>2,996.</w:t>
            </w:r>
          </w:p>
          <w:p>
            <w:pPr>
              <w:pStyle w:val="TableParagraph"/>
              <w:spacing w:line="240" w:lineRule="auto" w:before="77"/>
              <w:ind w:right="23"/>
              <w:jc w:val="right"/>
              <w:rPr>
                <w:rFonts w:ascii="宋体" w:hAnsi="宋体" w:cs="宋体" w:eastAsia="宋体" w:hint="default"/>
                <w:sz w:val="18"/>
                <w:szCs w:val="18"/>
              </w:rPr>
            </w:pPr>
            <w:r>
              <w:rPr>
                <w:rFonts w:ascii="宋体"/>
                <w:sz w:val="18"/>
              </w:rPr>
              <w:t>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 w:right="0"/>
              <w:jc w:val="center"/>
              <w:rPr>
                <w:rFonts w:ascii="宋体" w:hAnsi="宋体" w:cs="宋体" w:eastAsia="宋体" w:hint="default"/>
                <w:sz w:val="18"/>
                <w:szCs w:val="18"/>
              </w:rPr>
            </w:pPr>
            <w:r>
              <w:rPr>
                <w:rFonts w:ascii="宋体"/>
                <w:sz w:val="18"/>
              </w:rPr>
              <w:t>-33,43</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2.58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948,48</w:t>
            </w:r>
          </w:p>
          <w:p>
            <w:pPr>
              <w:pStyle w:val="TableParagraph"/>
              <w:spacing w:line="240" w:lineRule="auto" w:before="75"/>
              <w:ind w:right="23"/>
              <w:jc w:val="right"/>
              <w:rPr>
                <w:rFonts w:ascii="宋体" w:hAnsi="宋体" w:cs="宋体" w:eastAsia="宋体" w:hint="default"/>
                <w:sz w:val="18"/>
                <w:szCs w:val="18"/>
              </w:rPr>
            </w:pPr>
            <w:r>
              <w:rPr>
                <w:rFonts w:ascii="宋体"/>
                <w:sz w:val="18"/>
              </w:rPr>
              <w:t>3,375.</w:t>
            </w:r>
          </w:p>
          <w:p>
            <w:pPr>
              <w:pStyle w:val="TableParagraph"/>
              <w:spacing w:line="240" w:lineRule="auto" w:before="77"/>
              <w:ind w:right="23"/>
              <w:jc w:val="right"/>
              <w:rPr>
                <w:rFonts w:ascii="宋体" w:hAnsi="宋体" w:cs="宋体" w:eastAsia="宋体" w:hint="default"/>
                <w:sz w:val="18"/>
                <w:szCs w:val="18"/>
              </w:rPr>
            </w:pPr>
            <w:r>
              <w:rPr>
                <w:rFonts w:ascii="宋体"/>
                <w:sz w:val="18"/>
              </w:rPr>
              <w:t>56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-10,07</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770,87</w:t>
            </w:r>
          </w:p>
          <w:p>
            <w:pPr>
              <w:pStyle w:val="TableParagraph"/>
              <w:spacing w:line="240" w:lineRule="auto" w:before="75"/>
              <w:ind w:right="23"/>
              <w:jc w:val="right"/>
              <w:rPr>
                <w:rFonts w:ascii="宋体" w:hAnsi="宋体" w:cs="宋体" w:eastAsia="宋体" w:hint="default"/>
                <w:sz w:val="18"/>
                <w:szCs w:val="18"/>
              </w:rPr>
            </w:pPr>
            <w:r>
              <w:rPr>
                <w:rFonts w:ascii="宋体"/>
                <w:sz w:val="18"/>
              </w:rPr>
              <w:t>0,494.</w:t>
            </w:r>
          </w:p>
          <w:p>
            <w:pPr>
              <w:pStyle w:val="TableParagraph"/>
              <w:spacing w:line="240" w:lineRule="auto" w:before="77"/>
              <w:ind w:right="23"/>
              <w:jc w:val="right"/>
              <w:rPr>
                <w:rFonts w:ascii="宋体" w:hAnsi="宋体" w:cs="宋体" w:eastAsia="宋体" w:hint="default"/>
                <w:sz w:val="18"/>
                <w:szCs w:val="18"/>
              </w:rPr>
            </w:pPr>
            <w:r>
              <w:rPr>
                <w:rFonts w:ascii="宋体"/>
                <w:sz w:val="18"/>
              </w:rPr>
              <w:t>95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 w:right="0"/>
              <w:jc w:val="center"/>
              <w:rPr>
                <w:rFonts w:ascii="宋体" w:hAnsi="宋体" w:cs="宋体" w:eastAsia="宋体" w:hint="default"/>
                <w:sz w:val="18"/>
                <w:szCs w:val="18"/>
              </w:rPr>
            </w:pPr>
            <w:r>
              <w:rPr>
                <w:rFonts w:ascii="宋体"/>
                <w:sz w:val="18"/>
              </w:rPr>
              <w:t>-33,43</w:t>
            </w:r>
          </w:p>
          <w:p>
            <w:pPr>
              <w:pStyle w:val="TableParagraph"/>
              <w:spacing w:line="240" w:lineRule="auto" w:before="76"/>
              <w:ind w:left="236" w:right="0"/>
              <w:jc w:val="center"/>
              <w:rPr>
                <w:rFonts w:ascii="宋体" w:hAnsi="宋体" w:cs="宋体" w:eastAsia="宋体" w:hint="default"/>
                <w:sz w:val="18"/>
                <w:szCs w:val="18"/>
              </w:rPr>
            </w:pPr>
            <w:r>
              <w:rPr>
                <w:rFonts w:ascii="宋体"/>
                <w:sz w:val="18"/>
              </w:rPr>
              <w:t>2.58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770,82</w:t>
            </w:r>
          </w:p>
          <w:p>
            <w:pPr>
              <w:pStyle w:val="TableParagraph"/>
              <w:spacing w:line="240" w:lineRule="auto" w:before="75"/>
              <w:ind w:right="23"/>
              <w:jc w:val="right"/>
              <w:rPr>
                <w:rFonts w:ascii="宋体" w:hAnsi="宋体" w:cs="宋体" w:eastAsia="宋体" w:hint="default"/>
                <w:sz w:val="18"/>
                <w:szCs w:val="18"/>
              </w:rPr>
            </w:pPr>
            <w:r>
              <w:rPr>
                <w:rFonts w:ascii="宋体"/>
                <w:sz w:val="18"/>
              </w:rPr>
              <w:t>6,984.</w:t>
            </w:r>
          </w:p>
          <w:p>
            <w:pPr>
              <w:pStyle w:val="TableParagraph"/>
              <w:spacing w:line="240" w:lineRule="auto" w:before="77"/>
              <w:ind w:right="23"/>
              <w:jc w:val="right"/>
              <w:rPr>
                <w:rFonts w:ascii="宋体" w:hAnsi="宋体" w:cs="宋体" w:eastAsia="宋体" w:hint="default"/>
                <w:sz w:val="18"/>
                <w:szCs w:val="18"/>
              </w:rPr>
            </w:pPr>
            <w:r>
              <w:rPr>
                <w:rFonts w:ascii="宋体"/>
                <w:sz w:val="18"/>
              </w:rPr>
              <w:t>06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4,336</w:t>
            </w:r>
          </w:p>
          <w:p>
            <w:pPr>
              <w:pStyle w:val="TableParagraph"/>
              <w:spacing w:line="240" w:lineRule="auto" w:before="75"/>
              <w:ind w:left="79" w:right="0"/>
              <w:jc w:val="left"/>
              <w:rPr>
                <w:rFonts w:ascii="宋体" w:hAnsi="宋体" w:cs="宋体" w:eastAsia="宋体" w:hint="default"/>
                <w:sz w:val="18"/>
                <w:szCs w:val="18"/>
              </w:rPr>
            </w:pPr>
            <w:r>
              <w:rPr>
                <w:rFonts w:ascii="宋体"/>
                <w:sz w:val="18"/>
              </w:rPr>
              <w:t>,410.</w:t>
            </w:r>
          </w:p>
          <w:p>
            <w:pPr>
              <w:pStyle w:val="TableParagraph"/>
              <w:spacing w:line="240" w:lineRule="auto" w:before="77"/>
              <w:ind w:left="349" w:right="0"/>
              <w:jc w:val="left"/>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311,31</w:t>
            </w:r>
          </w:p>
          <w:p>
            <w:pPr>
              <w:pStyle w:val="TableParagraph"/>
              <w:spacing w:line="240" w:lineRule="auto" w:before="75"/>
              <w:ind w:right="21"/>
              <w:jc w:val="right"/>
              <w:rPr>
                <w:rFonts w:ascii="宋体" w:hAnsi="宋体" w:cs="宋体" w:eastAsia="宋体" w:hint="default"/>
                <w:sz w:val="18"/>
                <w:szCs w:val="18"/>
              </w:rPr>
            </w:pPr>
            <w:r>
              <w:rPr>
                <w:rFonts w:ascii="宋体"/>
                <w:sz w:val="18"/>
              </w:rPr>
              <w:t>3,421.</w:t>
            </w:r>
          </w:p>
          <w:p>
            <w:pPr>
              <w:pStyle w:val="TableParagraph"/>
              <w:spacing w:line="240" w:lineRule="auto" w:before="77"/>
              <w:ind w:right="20"/>
              <w:jc w:val="right"/>
              <w:rPr>
                <w:rFonts w:ascii="宋体" w:hAnsi="宋体" w:cs="宋体" w:eastAsia="宋体" w:hint="default"/>
                <w:sz w:val="18"/>
                <w:szCs w:val="18"/>
              </w:rPr>
            </w:pPr>
            <w:r>
              <w:rPr>
                <w:rFonts w:ascii="宋体"/>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315,64</w:t>
            </w:r>
          </w:p>
          <w:p>
            <w:pPr>
              <w:pStyle w:val="TableParagraph"/>
              <w:spacing w:line="240" w:lineRule="auto" w:before="75"/>
              <w:ind w:right="23"/>
              <w:jc w:val="right"/>
              <w:rPr>
                <w:rFonts w:ascii="宋体" w:hAnsi="宋体" w:cs="宋体" w:eastAsia="宋体" w:hint="default"/>
                <w:sz w:val="18"/>
                <w:szCs w:val="18"/>
              </w:rPr>
            </w:pPr>
            <w:r>
              <w:rPr>
                <w:rFonts w:ascii="宋体"/>
                <w:sz w:val="18"/>
              </w:rPr>
              <w:t>9,831.</w:t>
            </w:r>
          </w:p>
          <w:p>
            <w:pPr>
              <w:pStyle w:val="TableParagraph"/>
              <w:spacing w:line="240" w:lineRule="auto" w:before="77"/>
              <w:ind w:right="23"/>
              <w:jc w:val="right"/>
              <w:rPr>
                <w:rFonts w:ascii="宋体" w:hAnsi="宋体" w:cs="宋体" w:eastAsia="宋体" w:hint="default"/>
                <w:sz w:val="18"/>
                <w:szCs w:val="18"/>
              </w:rPr>
            </w:pPr>
            <w:r>
              <w:rPr>
                <w:rFonts w:ascii="宋体"/>
                <w:sz w:val="18"/>
              </w:rPr>
              <w:t>50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4,336</w:t>
            </w:r>
          </w:p>
          <w:p>
            <w:pPr>
              <w:pStyle w:val="TableParagraph"/>
              <w:spacing w:line="240" w:lineRule="auto" w:before="75"/>
              <w:ind w:left="79" w:right="0"/>
              <w:jc w:val="left"/>
              <w:rPr>
                <w:rFonts w:ascii="宋体" w:hAnsi="宋体" w:cs="宋体" w:eastAsia="宋体" w:hint="default"/>
                <w:sz w:val="18"/>
                <w:szCs w:val="18"/>
              </w:rPr>
            </w:pPr>
            <w:r>
              <w:rPr>
                <w:rFonts w:ascii="宋体"/>
                <w:sz w:val="18"/>
              </w:rPr>
              <w:t>,410.</w:t>
            </w:r>
          </w:p>
          <w:p>
            <w:pPr>
              <w:pStyle w:val="TableParagraph"/>
              <w:spacing w:line="240" w:lineRule="auto" w:before="77"/>
              <w:ind w:left="349" w:right="0"/>
              <w:jc w:val="left"/>
              <w:rPr>
                <w:rFonts w:ascii="宋体" w:hAnsi="宋体" w:cs="宋体" w:eastAsia="宋体" w:hint="default"/>
                <w:sz w:val="18"/>
                <w:szCs w:val="18"/>
              </w:rPr>
            </w:pPr>
            <w:r>
              <w:rPr>
                <w:rFonts w:ascii="宋体"/>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66,130</w:t>
            </w:r>
          </w:p>
          <w:p>
            <w:pPr>
              <w:pStyle w:val="TableParagraph"/>
              <w:spacing w:line="240" w:lineRule="auto" w:before="75"/>
              <w:ind w:right="21"/>
              <w:jc w:val="right"/>
              <w:rPr>
                <w:rFonts w:ascii="宋体" w:hAnsi="宋体" w:cs="宋体" w:eastAsia="宋体" w:hint="default"/>
                <w:sz w:val="18"/>
                <w:szCs w:val="18"/>
              </w:rPr>
            </w:pPr>
            <w:r>
              <w:rPr>
                <w:rFonts w:ascii="宋体"/>
                <w:sz w:val="18"/>
              </w:rPr>
              <w:t>,252.5</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70,466</w:t>
            </w:r>
          </w:p>
          <w:p>
            <w:pPr>
              <w:pStyle w:val="TableParagraph"/>
              <w:spacing w:line="240" w:lineRule="auto" w:before="75"/>
              <w:ind w:right="23"/>
              <w:jc w:val="right"/>
              <w:rPr>
                <w:rFonts w:ascii="宋体" w:hAnsi="宋体" w:cs="宋体" w:eastAsia="宋体" w:hint="default"/>
                <w:sz w:val="18"/>
                <w:szCs w:val="18"/>
              </w:rPr>
            </w:pPr>
            <w:r>
              <w:rPr>
                <w:rFonts w:ascii="宋体"/>
                <w:sz w:val="18"/>
              </w:rPr>
              <w:t>,662.5</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227,45</w:t>
            </w:r>
          </w:p>
          <w:p>
            <w:pPr>
              <w:pStyle w:val="TableParagraph"/>
              <w:spacing w:line="240" w:lineRule="auto" w:before="75"/>
              <w:ind w:right="21"/>
              <w:jc w:val="right"/>
              <w:rPr>
                <w:rFonts w:ascii="宋体" w:hAnsi="宋体" w:cs="宋体" w:eastAsia="宋体" w:hint="default"/>
                <w:sz w:val="18"/>
                <w:szCs w:val="18"/>
              </w:rPr>
            </w:pPr>
            <w:r>
              <w:rPr>
                <w:rFonts w:ascii="宋体"/>
                <w:sz w:val="18"/>
              </w:rPr>
              <w:t>4,868.</w:t>
            </w:r>
          </w:p>
          <w:p>
            <w:pPr>
              <w:pStyle w:val="TableParagraph"/>
              <w:spacing w:line="240" w:lineRule="auto" w:before="77"/>
              <w:ind w:right="20"/>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227,45</w:t>
            </w:r>
          </w:p>
          <w:p>
            <w:pPr>
              <w:pStyle w:val="TableParagraph"/>
              <w:spacing w:line="240" w:lineRule="auto" w:before="75"/>
              <w:ind w:right="23"/>
              <w:jc w:val="right"/>
              <w:rPr>
                <w:rFonts w:ascii="宋体" w:hAnsi="宋体" w:cs="宋体" w:eastAsia="宋体" w:hint="default"/>
                <w:sz w:val="18"/>
                <w:szCs w:val="18"/>
              </w:rPr>
            </w:pPr>
            <w:r>
              <w:rPr>
                <w:rFonts w:ascii="宋体"/>
                <w:sz w:val="18"/>
              </w:rPr>
              <w:t>4,868.</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17,728</w:t>
            </w:r>
          </w:p>
          <w:p>
            <w:pPr>
              <w:pStyle w:val="TableParagraph"/>
              <w:spacing w:line="240" w:lineRule="auto" w:before="75"/>
              <w:ind w:right="21"/>
              <w:jc w:val="right"/>
              <w:rPr>
                <w:rFonts w:ascii="宋体" w:hAnsi="宋体" w:cs="宋体" w:eastAsia="宋体" w:hint="default"/>
                <w:sz w:val="18"/>
                <w:szCs w:val="18"/>
              </w:rPr>
            </w:pPr>
            <w:r>
              <w:rPr>
                <w:rFonts w:ascii="宋体"/>
                <w:sz w:val="18"/>
              </w:rPr>
              <w:t>,301.0</w:t>
            </w:r>
          </w:p>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17,728</w:t>
            </w:r>
          </w:p>
          <w:p>
            <w:pPr>
              <w:pStyle w:val="TableParagraph"/>
              <w:spacing w:line="240" w:lineRule="auto" w:before="75"/>
              <w:ind w:right="23"/>
              <w:jc w:val="right"/>
              <w:rPr>
                <w:rFonts w:ascii="宋体" w:hAnsi="宋体" w:cs="宋体" w:eastAsia="宋体" w:hint="default"/>
                <w:sz w:val="18"/>
                <w:szCs w:val="18"/>
              </w:rPr>
            </w:pPr>
            <w:r>
              <w:rPr>
                <w:rFonts w:ascii="宋体"/>
                <w:sz w:val="18"/>
              </w:rPr>
              <w:t>,301.0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52,634</w:t>
            </w:r>
          </w:p>
          <w:p>
            <w:pPr>
              <w:pStyle w:val="TableParagraph"/>
              <w:spacing w:line="240" w:lineRule="auto" w:before="75"/>
              <w:ind w:right="23"/>
              <w:jc w:val="right"/>
              <w:rPr>
                <w:rFonts w:ascii="宋体" w:hAnsi="宋体" w:cs="宋体" w:eastAsia="宋体" w:hint="default"/>
                <w:sz w:val="18"/>
                <w:szCs w:val="18"/>
              </w:rPr>
            </w:pPr>
            <w:r>
              <w:rPr>
                <w:rFonts w:ascii="宋体"/>
                <w:sz w:val="18"/>
              </w:rPr>
              <w:t>,058.4</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sz w:val="18"/>
              </w:rPr>
              <w:t>-190,6</w:t>
            </w:r>
          </w:p>
          <w:p>
            <w:pPr>
              <w:pStyle w:val="TableParagraph"/>
              <w:spacing w:line="240" w:lineRule="auto" w:before="75"/>
              <w:ind w:left="104" w:right="0"/>
              <w:jc w:val="left"/>
              <w:rPr>
                <w:rFonts w:ascii="宋体" w:hAnsi="宋体" w:cs="宋体" w:eastAsia="宋体" w:hint="default"/>
                <w:sz w:val="18"/>
                <w:szCs w:val="18"/>
              </w:rPr>
            </w:pPr>
            <w:r>
              <w:rPr>
                <w:rFonts w:ascii="宋体"/>
                <w:sz w:val="18"/>
              </w:rPr>
              <w:t>27,498</w:t>
            </w:r>
          </w:p>
          <w:p>
            <w:pPr>
              <w:pStyle w:val="TableParagraph"/>
              <w:spacing w:line="240" w:lineRule="auto" w:before="77"/>
              <w:ind w:left="374" w:right="0"/>
              <w:jc w:val="left"/>
              <w:rPr>
                <w:rFonts w:ascii="宋体" w:hAnsi="宋体" w:cs="宋体" w:eastAsia="宋体" w:hint="default"/>
                <w:sz w:val="18"/>
                <w:szCs w:val="18"/>
              </w:rPr>
            </w:pPr>
            <w:r>
              <w:rPr>
                <w:rFonts w:ascii="宋体"/>
                <w:sz w:val="18"/>
              </w:rPr>
              <w:t>.49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-137,9</w:t>
            </w:r>
          </w:p>
          <w:p>
            <w:pPr>
              <w:pStyle w:val="TableParagraph"/>
              <w:spacing w:line="240" w:lineRule="auto" w:before="75"/>
              <w:ind w:left="85" w:right="0"/>
              <w:jc w:val="left"/>
              <w:rPr>
                <w:rFonts w:ascii="宋体" w:hAnsi="宋体" w:cs="宋体" w:eastAsia="宋体" w:hint="default"/>
                <w:sz w:val="18"/>
                <w:szCs w:val="18"/>
              </w:rPr>
            </w:pPr>
            <w:r>
              <w:rPr>
                <w:rFonts w:ascii="宋体"/>
                <w:sz w:val="18"/>
              </w:rPr>
              <w:t>93,440</w:t>
            </w:r>
          </w:p>
          <w:p>
            <w:pPr>
              <w:pStyle w:val="TableParagraph"/>
              <w:spacing w:line="240" w:lineRule="auto" w:before="77"/>
              <w:ind w:left="355" w:right="0"/>
              <w:jc w:val="left"/>
              <w:rPr>
                <w:rFonts w:ascii="宋体" w:hAnsi="宋体" w:cs="宋体" w:eastAsia="宋体" w:hint="default"/>
                <w:sz w:val="18"/>
                <w:szCs w:val="18"/>
              </w:rPr>
            </w:pPr>
            <w:r>
              <w:rPr>
                <w:rFonts w:ascii="宋体"/>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52,634</w:t>
            </w:r>
          </w:p>
          <w:p>
            <w:pPr>
              <w:pStyle w:val="TableParagraph"/>
              <w:spacing w:line="240" w:lineRule="auto" w:before="75"/>
              <w:ind w:right="23"/>
              <w:jc w:val="right"/>
              <w:rPr>
                <w:rFonts w:ascii="宋体" w:hAnsi="宋体" w:cs="宋体" w:eastAsia="宋体" w:hint="default"/>
                <w:sz w:val="18"/>
                <w:szCs w:val="18"/>
              </w:rPr>
            </w:pPr>
            <w:r>
              <w:rPr>
                <w:rFonts w:ascii="宋体"/>
                <w:sz w:val="18"/>
              </w:rPr>
              <w:t>,058.4</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-52,63</w:t>
            </w:r>
          </w:p>
          <w:p>
            <w:pPr>
              <w:pStyle w:val="TableParagraph"/>
              <w:spacing w:line="240" w:lineRule="auto" w:before="75"/>
              <w:ind w:right="23"/>
              <w:jc w:val="right"/>
              <w:rPr>
                <w:rFonts w:ascii="宋体" w:hAnsi="宋体" w:cs="宋体" w:eastAsia="宋体" w:hint="default"/>
                <w:sz w:val="18"/>
                <w:szCs w:val="18"/>
              </w:rPr>
            </w:pPr>
            <w:r>
              <w:rPr>
                <w:rFonts w:ascii="宋体"/>
                <w:sz w:val="18"/>
              </w:rPr>
              <w:t>4,058.</w:t>
            </w:r>
          </w:p>
          <w:p>
            <w:pPr>
              <w:pStyle w:val="TableParagraph"/>
              <w:spacing w:line="240" w:lineRule="auto" w:before="77"/>
              <w:ind w:right="23"/>
              <w:jc w:val="right"/>
              <w:rPr>
                <w:rFonts w:ascii="宋体" w:hAnsi="宋体" w:cs="宋体" w:eastAsia="宋体" w:hint="default"/>
                <w:sz w:val="18"/>
                <w:szCs w:val="18"/>
              </w:rPr>
            </w:pPr>
            <w:r>
              <w:rPr>
                <w:rFonts w:ascii="宋体"/>
                <w:sz w:val="18"/>
              </w:rPr>
              <w:t>49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sz w:val="18"/>
              </w:rPr>
              <w:t>-137,9</w:t>
            </w:r>
          </w:p>
          <w:p>
            <w:pPr>
              <w:pStyle w:val="TableParagraph"/>
              <w:spacing w:line="240" w:lineRule="auto" w:before="75"/>
              <w:ind w:left="104" w:right="0"/>
              <w:jc w:val="left"/>
              <w:rPr>
                <w:rFonts w:ascii="宋体" w:hAnsi="宋体" w:cs="宋体" w:eastAsia="宋体" w:hint="default"/>
                <w:sz w:val="18"/>
                <w:szCs w:val="18"/>
              </w:rPr>
            </w:pPr>
            <w:r>
              <w:rPr>
                <w:rFonts w:ascii="宋体"/>
                <w:sz w:val="18"/>
              </w:rPr>
              <w:t>93,440</w:t>
            </w:r>
          </w:p>
          <w:p>
            <w:pPr>
              <w:pStyle w:val="TableParagraph"/>
              <w:spacing w:line="240" w:lineRule="auto" w:before="77"/>
              <w:ind w:left="374" w:right="0"/>
              <w:jc w:val="left"/>
              <w:rPr>
                <w:rFonts w:ascii="宋体" w:hAnsi="宋体" w:cs="宋体" w:eastAsia="宋体" w:hint="default"/>
                <w:sz w:val="18"/>
                <w:szCs w:val="18"/>
              </w:rPr>
            </w:pPr>
            <w:r>
              <w:rPr>
                <w:rFonts w:ascii="宋体"/>
                <w:sz w:val="18"/>
              </w:rPr>
              <w:t>.00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-137,9</w:t>
            </w:r>
          </w:p>
          <w:p>
            <w:pPr>
              <w:pStyle w:val="TableParagraph"/>
              <w:spacing w:line="240" w:lineRule="auto" w:before="75"/>
              <w:ind w:left="85" w:right="0"/>
              <w:jc w:val="left"/>
              <w:rPr>
                <w:rFonts w:ascii="宋体" w:hAnsi="宋体" w:cs="宋体" w:eastAsia="宋体" w:hint="default"/>
                <w:sz w:val="18"/>
                <w:szCs w:val="18"/>
              </w:rPr>
            </w:pPr>
            <w:r>
              <w:rPr>
                <w:rFonts w:ascii="宋体"/>
                <w:sz w:val="18"/>
              </w:rPr>
              <w:t>93,440</w:t>
            </w:r>
          </w:p>
          <w:p>
            <w:pPr>
              <w:pStyle w:val="TableParagraph"/>
              <w:spacing w:line="240" w:lineRule="auto" w:before="77"/>
              <w:ind w:left="355" w:right="0"/>
              <w:jc w:val="left"/>
              <w:rPr>
                <w:rFonts w:ascii="宋体" w:hAnsi="宋体" w:cs="宋体" w:eastAsia="宋体" w:hint="default"/>
                <w:sz w:val="18"/>
                <w:szCs w:val="18"/>
              </w:rPr>
            </w:pPr>
            <w:r>
              <w:rPr>
                <w:rFonts w:ascii="宋体"/>
                <w:sz w:val="18"/>
              </w:rPr>
              <w:t>.00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宋体"/>
                <w:sz w:val="18"/>
              </w:rPr>
              <w:t>694,3</w:t>
            </w:r>
          </w:p>
          <w:p>
            <w:pPr>
              <w:pStyle w:val="TableParagraph"/>
              <w:spacing w:line="240" w:lineRule="auto" w:before="75"/>
              <w:ind w:left="79" w:right="0"/>
              <w:jc w:val="left"/>
              <w:rPr>
                <w:rFonts w:ascii="宋体" w:hAnsi="宋体" w:cs="宋体" w:eastAsia="宋体" w:hint="default"/>
                <w:sz w:val="18"/>
                <w:szCs w:val="18"/>
              </w:rPr>
            </w:pPr>
            <w:r>
              <w:rPr>
                <w:rFonts w:ascii="宋体"/>
                <w:sz w:val="18"/>
              </w:rPr>
              <w:t>03,61</w:t>
            </w:r>
          </w:p>
          <w:p>
            <w:pPr>
              <w:pStyle w:val="TableParagraph"/>
              <w:spacing w:line="240" w:lineRule="auto" w:before="77"/>
              <w:ind w:left="169" w:right="0"/>
              <w:jc w:val="left"/>
              <w:rPr>
                <w:rFonts w:ascii="宋体" w:hAnsi="宋体" w:cs="宋体" w:eastAsia="宋体" w:hint="default"/>
                <w:sz w:val="18"/>
                <w:szCs w:val="18"/>
              </w:rPr>
            </w:pPr>
            <w:r>
              <w:rPr>
                <w:rFonts w:ascii="宋体"/>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934,72</w:t>
            </w:r>
          </w:p>
          <w:p>
            <w:pPr>
              <w:pStyle w:val="TableParagraph"/>
              <w:spacing w:line="240" w:lineRule="auto" w:before="75"/>
              <w:ind w:right="21"/>
              <w:jc w:val="right"/>
              <w:rPr>
                <w:rFonts w:ascii="宋体" w:hAnsi="宋体" w:cs="宋体" w:eastAsia="宋体" w:hint="default"/>
                <w:sz w:val="18"/>
                <w:szCs w:val="18"/>
              </w:rPr>
            </w:pPr>
            <w:r>
              <w:rPr>
                <w:rFonts w:ascii="宋体"/>
                <w:sz w:val="18"/>
              </w:rPr>
              <w:t>1,149.</w:t>
            </w:r>
          </w:p>
          <w:p>
            <w:pPr>
              <w:pStyle w:val="TableParagraph"/>
              <w:spacing w:line="240" w:lineRule="auto" w:before="77"/>
              <w:ind w:right="20"/>
              <w:jc w:val="right"/>
              <w:rPr>
                <w:rFonts w:ascii="宋体" w:hAnsi="宋体" w:cs="宋体" w:eastAsia="宋体" w:hint="default"/>
                <w:sz w:val="18"/>
                <w:szCs w:val="18"/>
              </w:rPr>
            </w:pPr>
            <w:r>
              <w:rPr>
                <w:rFonts w:ascii="宋体"/>
                <w:sz w:val="18"/>
              </w:rPr>
              <w:t>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-39,23</w:t>
            </w:r>
          </w:p>
          <w:p>
            <w:pPr>
              <w:pStyle w:val="TableParagraph"/>
              <w:spacing w:line="240" w:lineRule="auto" w:before="76"/>
              <w:ind w:left="247" w:right="0"/>
              <w:jc w:val="center"/>
              <w:rPr>
                <w:rFonts w:ascii="宋体" w:hAnsi="宋体" w:cs="宋体" w:eastAsia="宋体" w:hint="default"/>
                <w:sz w:val="18"/>
                <w:szCs w:val="18"/>
              </w:rPr>
            </w:pPr>
            <w:r>
              <w:rPr>
                <w:rFonts w:ascii="宋体"/>
                <w:sz w:val="18"/>
              </w:rPr>
              <w:t>6.56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211,22</w:t>
            </w:r>
          </w:p>
          <w:p>
            <w:pPr>
              <w:pStyle w:val="TableParagraph"/>
              <w:spacing w:line="240" w:lineRule="auto" w:before="75"/>
              <w:ind w:right="23"/>
              <w:jc w:val="right"/>
              <w:rPr>
                <w:rFonts w:ascii="宋体" w:hAnsi="宋体" w:cs="宋体" w:eastAsia="宋体" w:hint="default"/>
                <w:sz w:val="18"/>
                <w:szCs w:val="18"/>
              </w:rPr>
            </w:pPr>
            <w:r>
              <w:rPr>
                <w:rFonts w:ascii="宋体"/>
                <w:sz w:val="18"/>
              </w:rPr>
              <w:t>6,935.</w:t>
            </w:r>
          </w:p>
          <w:p>
            <w:pPr>
              <w:pStyle w:val="TableParagraph"/>
              <w:spacing w:line="240" w:lineRule="auto" w:before="77"/>
              <w:ind w:right="23"/>
              <w:jc w:val="right"/>
              <w:rPr>
                <w:rFonts w:ascii="宋体" w:hAnsi="宋体" w:cs="宋体" w:eastAsia="宋体" w:hint="default"/>
                <w:sz w:val="18"/>
                <w:szCs w:val="18"/>
              </w:rPr>
            </w:pPr>
            <w:r>
              <w:rPr>
                <w:rFonts w:ascii="宋体"/>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center"/>
              <w:rPr>
                <w:rFonts w:ascii="宋体" w:hAnsi="宋体" w:cs="宋体" w:eastAsia="宋体" w:hint="default"/>
                <w:sz w:val="18"/>
                <w:szCs w:val="18"/>
              </w:rPr>
            </w:pPr>
            <w:r>
              <w:rPr>
                <w:rFonts w:ascii="宋体"/>
                <w:sz w:val="18"/>
              </w:rPr>
              <w:t>1,874,</w:t>
            </w:r>
          </w:p>
          <w:p>
            <w:pPr>
              <w:pStyle w:val="TableParagraph"/>
              <w:spacing w:line="240" w:lineRule="auto" w:before="75"/>
              <w:ind w:left="80" w:right="0"/>
              <w:jc w:val="center"/>
              <w:rPr>
                <w:rFonts w:ascii="宋体" w:hAnsi="宋体" w:cs="宋体" w:eastAsia="宋体" w:hint="default"/>
                <w:sz w:val="18"/>
                <w:szCs w:val="18"/>
              </w:rPr>
            </w:pPr>
            <w:r>
              <w:rPr>
                <w:rFonts w:ascii="宋体"/>
                <w:sz w:val="18"/>
              </w:rPr>
              <w:t>213,46</w:t>
            </w:r>
          </w:p>
          <w:p>
            <w:pPr>
              <w:pStyle w:val="TableParagraph"/>
              <w:spacing w:line="240" w:lineRule="auto" w:before="77"/>
              <w:ind w:left="260" w:right="0"/>
              <w:jc w:val="center"/>
              <w:rPr>
                <w:rFonts w:ascii="宋体" w:hAnsi="宋体" w:cs="宋体" w:eastAsia="宋体" w:hint="default"/>
                <w:sz w:val="18"/>
                <w:szCs w:val="18"/>
              </w:rPr>
            </w:pPr>
            <w:r>
              <w:rPr>
                <w:rFonts w:ascii="宋体"/>
                <w:sz w:val="18"/>
              </w:rPr>
              <w:t>1.86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18,742</w:t>
            </w:r>
          </w:p>
          <w:p>
            <w:pPr>
              <w:pStyle w:val="TableParagraph"/>
              <w:spacing w:line="240" w:lineRule="auto" w:before="76"/>
              <w:ind w:left="349" w:right="0"/>
              <w:jc w:val="left"/>
              <w:rPr>
                <w:rFonts w:ascii="宋体" w:hAnsi="宋体" w:cs="宋体" w:eastAsia="宋体" w:hint="default"/>
                <w:sz w:val="18"/>
                <w:szCs w:val="18"/>
              </w:rPr>
            </w:pPr>
            <w:r>
              <w:rPr>
                <w:rFonts w:ascii="宋体"/>
                <w:sz w:val="18"/>
              </w:rPr>
              <w:t>.17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3,714,</w:t>
            </w:r>
          </w:p>
          <w:p>
            <w:pPr>
              <w:pStyle w:val="TableParagraph"/>
              <w:spacing w:line="240" w:lineRule="auto" w:before="75"/>
              <w:ind w:left="61" w:right="0"/>
              <w:jc w:val="center"/>
              <w:rPr>
                <w:rFonts w:ascii="宋体" w:hAnsi="宋体" w:cs="宋体" w:eastAsia="宋体" w:hint="default"/>
                <w:sz w:val="18"/>
                <w:szCs w:val="18"/>
              </w:rPr>
            </w:pPr>
            <w:r>
              <w:rPr>
                <w:rFonts w:ascii="宋体"/>
                <w:sz w:val="18"/>
              </w:rPr>
              <w:t>444,66</w:t>
            </w:r>
          </w:p>
          <w:p>
            <w:pPr>
              <w:pStyle w:val="TableParagraph"/>
              <w:spacing w:line="240" w:lineRule="auto" w:before="77"/>
              <w:ind w:left="241" w:right="0"/>
              <w:jc w:val="center"/>
              <w:rPr>
                <w:rFonts w:ascii="宋体" w:hAnsi="宋体" w:cs="宋体" w:eastAsia="宋体" w:hint="default"/>
                <w:sz w:val="18"/>
                <w:szCs w:val="18"/>
              </w:rPr>
            </w:pPr>
            <w:r>
              <w:rPr>
                <w:rFonts w:ascii="宋体"/>
                <w:sz w:val="18"/>
              </w:rPr>
              <w:t>3.12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宋体" w:hAnsi="宋体" w:cs="宋体" w:eastAsia="宋体" w:hint="default"/>
        </w:rPr>
        <w:t>8</w:t>
      </w:r>
      <w:r>
        <w:rPr/>
        <w:t>、母公司所有者权益变动表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本期金额</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694,303</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934,719,</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927.59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209,848,</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993.23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center"/>
              <w:rPr>
                <w:rFonts w:ascii="宋体" w:hAnsi="宋体" w:cs="宋体" w:eastAsia="宋体" w:hint="default"/>
                <w:sz w:val="18"/>
                <w:szCs w:val="18"/>
              </w:rPr>
            </w:pPr>
            <w:r>
              <w:rPr>
                <w:rFonts w:ascii="宋体"/>
                <w:sz w:val="18"/>
              </w:rPr>
              <w:t>1,072,</w:t>
            </w:r>
          </w:p>
          <w:p>
            <w:pPr>
              <w:pStyle w:val="TableParagraph"/>
              <w:spacing w:line="240" w:lineRule="auto" w:before="75"/>
              <w:ind w:left="80" w:right="0"/>
              <w:jc w:val="center"/>
              <w:rPr>
                <w:rFonts w:ascii="宋体" w:hAnsi="宋体" w:cs="宋体" w:eastAsia="宋体" w:hint="default"/>
                <w:sz w:val="18"/>
                <w:szCs w:val="18"/>
              </w:rPr>
            </w:pPr>
            <w:r>
              <w:rPr>
                <w:rFonts w:ascii="宋体"/>
                <w:sz w:val="18"/>
              </w:rPr>
              <w:t>604,11</w:t>
            </w:r>
          </w:p>
          <w:p>
            <w:pPr>
              <w:pStyle w:val="TableParagraph"/>
              <w:spacing w:line="240" w:lineRule="auto" w:before="78"/>
              <w:ind w:left="260" w:right="0"/>
              <w:jc w:val="center"/>
              <w:rPr>
                <w:rFonts w:ascii="宋体" w:hAnsi="宋体" w:cs="宋体" w:eastAsia="宋体" w:hint="default"/>
                <w:sz w:val="18"/>
                <w:szCs w:val="18"/>
              </w:rPr>
            </w:pPr>
            <w:r>
              <w:rPr>
                <w:rFonts w:ascii="宋体"/>
                <w:sz w:val="18"/>
              </w:rPr>
              <w:t>9.48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2,911,47</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6,650.30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694,303</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934,719,</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927.59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209,848,</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993.23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center"/>
              <w:rPr>
                <w:rFonts w:ascii="宋体" w:hAnsi="宋体" w:cs="宋体" w:eastAsia="宋体" w:hint="default"/>
                <w:sz w:val="18"/>
                <w:szCs w:val="18"/>
              </w:rPr>
            </w:pPr>
            <w:r>
              <w:rPr>
                <w:rFonts w:ascii="宋体"/>
                <w:sz w:val="18"/>
              </w:rPr>
              <w:t>1,072,</w:t>
            </w:r>
          </w:p>
          <w:p>
            <w:pPr>
              <w:pStyle w:val="TableParagraph"/>
              <w:spacing w:line="240" w:lineRule="auto" w:before="75"/>
              <w:ind w:left="80" w:right="0"/>
              <w:jc w:val="center"/>
              <w:rPr>
                <w:rFonts w:ascii="宋体" w:hAnsi="宋体" w:cs="宋体" w:eastAsia="宋体" w:hint="default"/>
                <w:sz w:val="18"/>
                <w:szCs w:val="18"/>
              </w:rPr>
            </w:pPr>
            <w:r>
              <w:rPr>
                <w:rFonts w:ascii="宋体"/>
                <w:sz w:val="18"/>
              </w:rPr>
              <w:t>604,11</w:t>
            </w:r>
          </w:p>
          <w:p>
            <w:pPr>
              <w:pStyle w:val="TableParagraph"/>
              <w:spacing w:line="240" w:lineRule="auto" w:before="77"/>
              <w:ind w:left="260" w:right="0"/>
              <w:jc w:val="center"/>
              <w:rPr>
                <w:rFonts w:ascii="宋体" w:hAnsi="宋体" w:cs="宋体" w:eastAsia="宋体" w:hint="default"/>
                <w:sz w:val="18"/>
                <w:szCs w:val="18"/>
              </w:rPr>
            </w:pPr>
            <w:r>
              <w:rPr>
                <w:rFonts w:ascii="宋体"/>
                <w:sz w:val="18"/>
              </w:rPr>
              <w:t>9.48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2,911,47</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6,650.30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820,503</w:t>
            </w:r>
          </w:p>
          <w:p>
            <w:pPr>
              <w:pStyle w:val="TableParagraph"/>
              <w:spacing w:line="240" w:lineRule="auto" w:before="76"/>
              <w:ind w:left="27" w:right="0"/>
              <w:jc w:val="left"/>
              <w:rPr>
                <w:rFonts w:ascii="宋体" w:hAnsi="宋体" w:cs="宋体" w:eastAsia="宋体" w:hint="default"/>
                <w:sz w:val="18"/>
                <w:szCs w:val="18"/>
              </w:rPr>
            </w:pPr>
            <w:r>
              <w:rPr>
                <w:rFonts w:ascii="宋体"/>
                <w:sz w:val="18"/>
              </w:rPr>
              <w:t>,338.00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551,808,</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876.41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309,512,</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356.10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82,649,7</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29.19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596,83</w:t>
            </w:r>
          </w:p>
          <w:p>
            <w:pPr>
              <w:pStyle w:val="TableParagraph"/>
              <w:spacing w:line="240" w:lineRule="auto" w:before="75"/>
              <w:ind w:right="20"/>
              <w:jc w:val="right"/>
              <w:rPr>
                <w:rFonts w:ascii="宋体" w:hAnsi="宋体" w:cs="宋体" w:eastAsia="宋体" w:hint="default"/>
                <w:sz w:val="18"/>
                <w:szCs w:val="18"/>
              </w:rPr>
            </w:pPr>
            <w:r>
              <w:rPr>
                <w:rFonts w:ascii="宋体"/>
                <w:sz w:val="18"/>
              </w:rPr>
              <w:t>9,288.</w:t>
            </w:r>
          </w:p>
          <w:p>
            <w:pPr>
              <w:pStyle w:val="TableParagraph"/>
              <w:spacing w:line="240" w:lineRule="auto" w:before="77"/>
              <w:ind w:right="20"/>
              <w:jc w:val="right"/>
              <w:rPr>
                <w:rFonts w:ascii="宋体" w:hAnsi="宋体" w:cs="宋体" w:eastAsia="宋体" w:hint="default"/>
                <w:sz w:val="18"/>
                <w:szCs w:val="18"/>
              </w:rPr>
            </w:pPr>
            <w:r>
              <w:rPr>
                <w:rFonts w:ascii="宋体"/>
                <w:sz w:val="18"/>
              </w:rPr>
              <w:t>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2,361,31</w:t>
            </w:r>
          </w:p>
          <w:p>
            <w:pPr>
              <w:pStyle w:val="TableParagraph"/>
              <w:spacing w:line="240" w:lineRule="auto" w:before="76"/>
              <w:ind w:left="27" w:right="0"/>
              <w:jc w:val="left"/>
              <w:rPr>
                <w:rFonts w:ascii="宋体" w:hAnsi="宋体" w:cs="宋体" w:eastAsia="宋体" w:hint="default"/>
                <w:sz w:val="18"/>
                <w:szCs w:val="18"/>
              </w:rPr>
            </w:pPr>
            <w:r>
              <w:rPr>
                <w:rFonts w:ascii="宋体"/>
                <w:sz w:val="18"/>
              </w:rPr>
              <w:t>3,588.19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309,512,</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356.10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826,49</w:t>
            </w:r>
          </w:p>
          <w:p>
            <w:pPr>
              <w:pStyle w:val="TableParagraph"/>
              <w:spacing w:line="240" w:lineRule="auto" w:before="75"/>
              <w:ind w:right="20"/>
              <w:jc w:val="right"/>
              <w:rPr>
                <w:rFonts w:ascii="宋体" w:hAnsi="宋体" w:cs="宋体" w:eastAsia="宋体" w:hint="default"/>
                <w:sz w:val="18"/>
                <w:szCs w:val="18"/>
              </w:rPr>
            </w:pPr>
            <w:r>
              <w:rPr>
                <w:rFonts w:ascii="宋体"/>
                <w:sz w:val="18"/>
              </w:rPr>
              <w:t>7,291.</w:t>
            </w:r>
          </w:p>
          <w:p>
            <w:pPr>
              <w:pStyle w:val="TableParagraph"/>
              <w:spacing w:line="240" w:lineRule="auto" w:before="77"/>
              <w:ind w:right="20"/>
              <w:jc w:val="right"/>
              <w:rPr>
                <w:rFonts w:ascii="宋体" w:hAnsi="宋体" w:cs="宋体" w:eastAsia="宋体" w:hint="default"/>
                <w:sz w:val="18"/>
                <w:szCs w:val="18"/>
              </w:rPr>
            </w:pPr>
            <w:r>
              <w:rPr>
                <w:rFonts w:ascii="宋体"/>
                <w:sz w:val="18"/>
              </w:rPr>
              <w:t>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1,136,00</w:t>
            </w:r>
          </w:p>
          <w:p>
            <w:pPr>
              <w:pStyle w:val="TableParagraph"/>
              <w:spacing w:line="240" w:lineRule="auto" w:before="76"/>
              <w:ind w:left="27" w:right="0"/>
              <w:jc w:val="left"/>
              <w:rPr>
                <w:rFonts w:ascii="宋体" w:hAnsi="宋体" w:cs="宋体" w:eastAsia="宋体" w:hint="default"/>
                <w:sz w:val="18"/>
                <w:szCs w:val="18"/>
              </w:rPr>
            </w:pPr>
            <w:r>
              <w:rPr>
                <w:rFonts w:ascii="宋体"/>
                <w:sz w:val="18"/>
              </w:rPr>
              <w:t>9,647.98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85,461,</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967.00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1,286,85</w:t>
            </w:r>
          </w:p>
          <w:p>
            <w:pPr>
              <w:pStyle w:val="TableParagraph"/>
              <w:spacing w:line="240" w:lineRule="auto" w:before="77"/>
              <w:ind w:left="44" w:right="0"/>
              <w:jc w:val="left"/>
              <w:rPr>
                <w:rFonts w:ascii="宋体" w:hAnsi="宋体" w:cs="宋体" w:eastAsia="宋体" w:hint="default"/>
                <w:sz w:val="18"/>
                <w:szCs w:val="18"/>
              </w:rPr>
            </w:pPr>
            <w:r>
              <w:rPr>
                <w:rFonts w:ascii="宋体"/>
                <w:sz w:val="18"/>
              </w:rPr>
              <w:t>0,247.41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1,372,31</w:t>
            </w:r>
          </w:p>
          <w:p>
            <w:pPr>
              <w:pStyle w:val="TableParagraph"/>
              <w:spacing w:line="240" w:lineRule="auto" w:before="77"/>
              <w:ind w:left="27" w:right="0"/>
              <w:jc w:val="left"/>
              <w:rPr>
                <w:rFonts w:ascii="宋体" w:hAnsi="宋体" w:cs="宋体" w:eastAsia="宋体" w:hint="default"/>
                <w:sz w:val="18"/>
                <w:szCs w:val="18"/>
              </w:rPr>
            </w:pPr>
            <w:r>
              <w:rPr>
                <w:rFonts w:ascii="宋体"/>
                <w:sz w:val="18"/>
              </w:rPr>
              <w:t>2,214.41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44,220,</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841.00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614,790,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376.46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659,011,</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217.46</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41,241,</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126.00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662,839,</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387.95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704,080,</w:t>
            </w:r>
          </w:p>
          <w:p>
            <w:pPr>
              <w:pStyle w:val="TableParagraph"/>
              <w:spacing w:line="240" w:lineRule="auto" w:before="77"/>
              <w:ind w:left="183" w:right="0"/>
              <w:jc w:val="center"/>
              <w:rPr>
                <w:rFonts w:ascii="宋体" w:hAnsi="宋体" w:cs="宋体" w:eastAsia="宋体" w:hint="default"/>
                <w:sz w:val="18"/>
                <w:szCs w:val="18"/>
              </w:rPr>
            </w:pPr>
            <w:r>
              <w:rPr>
                <w:rFonts w:ascii="宋体"/>
                <w:sz w:val="18"/>
              </w:rPr>
              <w:t>513.95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9,220,48</w:t>
            </w:r>
          </w:p>
          <w:p>
            <w:pPr>
              <w:pStyle w:val="TableParagraph"/>
              <w:spacing w:line="240" w:lineRule="auto" w:before="78"/>
              <w:ind w:left="404" w:right="0"/>
              <w:jc w:val="left"/>
              <w:rPr>
                <w:rFonts w:ascii="宋体" w:hAnsi="宋体" w:cs="宋体" w:eastAsia="宋体" w:hint="default"/>
                <w:sz w:val="18"/>
                <w:szCs w:val="18"/>
              </w:rPr>
            </w:pPr>
            <w:r>
              <w:rPr>
                <w:rFonts w:ascii="宋体"/>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9,220,48</w:t>
            </w:r>
          </w:p>
          <w:p>
            <w:pPr>
              <w:pStyle w:val="TableParagraph"/>
              <w:spacing w:line="240" w:lineRule="auto" w:before="78"/>
              <w:ind w:left="387" w:right="0"/>
              <w:jc w:val="left"/>
              <w:rPr>
                <w:rFonts w:ascii="宋体" w:hAnsi="宋体" w:cs="宋体" w:eastAsia="宋体" w:hint="default"/>
                <w:sz w:val="18"/>
                <w:szCs w:val="18"/>
              </w:rPr>
            </w:pPr>
            <w:r>
              <w:rPr>
                <w:rFonts w:ascii="宋体"/>
                <w:sz w:val="18"/>
              </w:rPr>
              <w:t>3.00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82,649,7</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29.19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-229,6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58,003</w:t>
            </w:r>
          </w:p>
          <w:p>
            <w:pPr>
              <w:pStyle w:val="TableParagraph"/>
              <w:spacing w:line="240" w:lineRule="auto" w:before="77"/>
              <w:ind w:left="373" w:right="0"/>
              <w:jc w:val="left"/>
              <w:rPr>
                <w:rFonts w:ascii="宋体" w:hAnsi="宋体" w:cs="宋体" w:eastAsia="宋体" w:hint="default"/>
                <w:sz w:val="18"/>
                <w:szCs w:val="18"/>
              </w:rPr>
            </w:pPr>
            <w:r>
              <w:rPr>
                <w:rFonts w:ascii="宋体"/>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-147,008</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,274.20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82,649,7</w:t>
            </w:r>
          </w:p>
          <w:p>
            <w:pPr>
              <w:pStyle w:val="TableParagraph"/>
              <w:spacing w:line="240" w:lineRule="auto" w:before="77"/>
              <w:ind w:left="314" w:right="0"/>
              <w:jc w:val="left"/>
              <w:rPr>
                <w:rFonts w:ascii="宋体" w:hAnsi="宋体" w:cs="宋体" w:eastAsia="宋体" w:hint="default"/>
                <w:sz w:val="18"/>
                <w:szCs w:val="18"/>
              </w:rPr>
            </w:pPr>
            <w:r>
              <w:rPr>
                <w:rFonts w:ascii="宋体"/>
                <w:sz w:val="18"/>
              </w:rPr>
              <w:t>29.19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-82,64</w:t>
            </w:r>
          </w:p>
          <w:p>
            <w:pPr>
              <w:pStyle w:val="TableParagraph"/>
              <w:spacing w:line="240" w:lineRule="auto" w:before="76"/>
              <w:ind w:right="20"/>
              <w:jc w:val="right"/>
              <w:rPr>
                <w:rFonts w:ascii="宋体" w:hAnsi="宋体" w:cs="宋体" w:eastAsia="宋体" w:hint="default"/>
                <w:sz w:val="18"/>
                <w:szCs w:val="18"/>
              </w:rPr>
            </w:pPr>
            <w:r>
              <w:rPr>
                <w:rFonts w:ascii="宋体"/>
                <w:sz w:val="18"/>
              </w:rPr>
              <w:t>9,729.</w:t>
            </w:r>
          </w:p>
          <w:p>
            <w:pPr>
              <w:pStyle w:val="TableParagraph"/>
              <w:spacing w:line="240" w:lineRule="auto" w:before="77"/>
              <w:ind w:right="20"/>
              <w:jc w:val="right"/>
              <w:rPr>
                <w:rFonts w:ascii="宋体" w:hAnsi="宋体" w:cs="宋体" w:eastAsia="宋体" w:hint="default"/>
                <w:sz w:val="18"/>
                <w:szCs w:val="18"/>
              </w:rPr>
            </w:pPr>
            <w:r>
              <w:rPr>
                <w:rFonts w:ascii="宋体"/>
                <w:sz w:val="18"/>
              </w:rPr>
              <w:t>19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-147,0</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08,274</w:t>
            </w:r>
          </w:p>
          <w:p>
            <w:pPr>
              <w:pStyle w:val="TableParagraph"/>
              <w:spacing w:line="240" w:lineRule="auto" w:before="77"/>
              <w:ind w:left="373" w:right="0"/>
              <w:jc w:val="left"/>
              <w:rPr>
                <w:rFonts w:ascii="宋体" w:hAnsi="宋体" w:cs="宋体" w:eastAsia="宋体" w:hint="default"/>
                <w:sz w:val="18"/>
                <w:szCs w:val="18"/>
              </w:rPr>
            </w:pPr>
            <w:r>
              <w:rPr>
                <w:rFonts w:ascii="宋体"/>
                <w:sz w:val="18"/>
              </w:rPr>
              <w:t>.20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-147,008</w:t>
            </w:r>
          </w:p>
          <w:p>
            <w:pPr>
              <w:pStyle w:val="TableParagraph"/>
              <w:spacing w:line="240" w:lineRule="auto" w:before="77"/>
              <w:ind w:left="117" w:right="0"/>
              <w:jc w:val="left"/>
              <w:rPr>
                <w:rFonts w:ascii="宋体" w:hAnsi="宋体" w:cs="宋体" w:eastAsia="宋体" w:hint="default"/>
                <w:sz w:val="18"/>
                <w:szCs w:val="18"/>
              </w:rPr>
            </w:pPr>
            <w:r>
              <w:rPr>
                <w:rFonts w:ascii="宋体"/>
                <w:sz w:val="18"/>
              </w:rPr>
              <w:t>,274.20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735,041</w:t>
            </w:r>
          </w:p>
          <w:p>
            <w:pPr>
              <w:pStyle w:val="TableParagraph"/>
              <w:spacing w:line="240" w:lineRule="auto" w:before="77"/>
              <w:ind w:left="27" w:right="0"/>
              <w:jc w:val="left"/>
              <w:rPr>
                <w:rFonts w:ascii="宋体" w:hAnsi="宋体" w:cs="宋体" w:eastAsia="宋体" w:hint="default"/>
                <w:sz w:val="18"/>
                <w:szCs w:val="18"/>
              </w:rPr>
            </w:pPr>
            <w:r>
              <w:rPr>
                <w:rFonts w:ascii="宋体"/>
                <w:sz w:val="18"/>
              </w:rPr>
              <w:t>,371.00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-735,041</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,371.00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735,041</w:t>
            </w:r>
          </w:p>
          <w:p>
            <w:pPr>
              <w:pStyle w:val="TableParagraph"/>
              <w:spacing w:line="240" w:lineRule="auto" w:before="77"/>
              <w:ind w:left="27" w:right="0"/>
              <w:jc w:val="left"/>
              <w:rPr>
                <w:rFonts w:ascii="宋体" w:hAnsi="宋体" w:cs="宋体" w:eastAsia="宋体" w:hint="default"/>
                <w:sz w:val="18"/>
                <w:szCs w:val="18"/>
              </w:rPr>
            </w:pPr>
            <w:r>
              <w:rPr>
                <w:rFonts w:ascii="宋体"/>
                <w:sz w:val="18"/>
              </w:rPr>
              <w:t>,371.00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-735,041</w:t>
            </w:r>
          </w:p>
          <w:p>
            <w:pPr>
              <w:pStyle w:val="TableParagraph"/>
              <w:spacing w:line="240" w:lineRule="auto" w:before="77"/>
              <w:ind w:left="134" w:right="0"/>
              <w:jc w:val="left"/>
              <w:rPr>
                <w:rFonts w:ascii="宋体" w:hAnsi="宋体" w:cs="宋体" w:eastAsia="宋体" w:hint="default"/>
                <w:sz w:val="18"/>
                <w:szCs w:val="18"/>
              </w:rPr>
            </w:pPr>
            <w:r>
              <w:rPr>
                <w:rFonts w:ascii="宋体"/>
                <w:sz w:val="18"/>
              </w:rPr>
              <w:t>,371.00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1,514,8</w:t>
            </w:r>
          </w:p>
          <w:p>
            <w:pPr>
              <w:pStyle w:val="TableParagraph"/>
              <w:spacing w:line="240" w:lineRule="auto" w:before="76"/>
              <w:ind w:right="23"/>
              <w:jc w:val="right"/>
              <w:rPr>
                <w:rFonts w:ascii="宋体" w:hAnsi="宋体" w:cs="宋体" w:eastAsia="宋体" w:hint="default"/>
                <w:sz w:val="18"/>
                <w:szCs w:val="18"/>
              </w:rPr>
            </w:pPr>
            <w:r>
              <w:rPr>
                <w:rFonts w:ascii="宋体"/>
                <w:sz w:val="18"/>
              </w:rPr>
              <w:t>06,948.</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1,486,52</w:t>
            </w:r>
          </w:p>
          <w:p>
            <w:pPr>
              <w:pStyle w:val="TableParagraph"/>
              <w:spacing w:line="240" w:lineRule="auto" w:before="77"/>
              <w:ind w:left="44" w:right="0"/>
              <w:jc w:val="left"/>
              <w:rPr>
                <w:rFonts w:ascii="宋体" w:hAnsi="宋体" w:cs="宋体" w:eastAsia="宋体" w:hint="default"/>
                <w:sz w:val="18"/>
                <w:szCs w:val="18"/>
              </w:rPr>
            </w:pPr>
            <w:r>
              <w:rPr>
                <w:rFonts w:ascii="宋体"/>
                <w:sz w:val="18"/>
              </w:rPr>
              <w:t>8,804.00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center"/>
              <w:rPr>
                <w:rFonts w:ascii="宋体" w:hAnsi="宋体" w:cs="宋体" w:eastAsia="宋体" w:hint="default"/>
                <w:sz w:val="18"/>
                <w:szCs w:val="18"/>
              </w:rPr>
            </w:pPr>
            <w:r>
              <w:rPr>
                <w:rFonts w:ascii="宋体"/>
                <w:sz w:val="18"/>
              </w:rPr>
              <w:t>309,512,</w:t>
            </w:r>
          </w:p>
          <w:p>
            <w:pPr>
              <w:pStyle w:val="TableParagraph"/>
              <w:spacing w:line="240" w:lineRule="auto" w:before="77"/>
              <w:ind w:left="202" w:right="0"/>
              <w:jc w:val="center"/>
              <w:rPr>
                <w:rFonts w:ascii="宋体" w:hAnsi="宋体" w:cs="宋体" w:eastAsia="宋体" w:hint="default"/>
                <w:sz w:val="18"/>
                <w:szCs w:val="18"/>
              </w:rPr>
            </w:pPr>
            <w:r>
              <w:rPr>
                <w:rFonts w:ascii="宋体"/>
                <w:sz w:val="18"/>
              </w:rPr>
              <w:t>356.10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292,498,</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722.42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center"/>
              <w:rPr>
                <w:rFonts w:ascii="宋体" w:hAnsi="宋体" w:cs="宋体" w:eastAsia="宋体" w:hint="default"/>
                <w:sz w:val="18"/>
                <w:szCs w:val="18"/>
              </w:rPr>
            </w:pPr>
            <w:r>
              <w:rPr>
                <w:rFonts w:ascii="宋体"/>
                <w:sz w:val="18"/>
              </w:rPr>
              <w:t>1,669,</w:t>
            </w:r>
          </w:p>
          <w:p>
            <w:pPr>
              <w:pStyle w:val="TableParagraph"/>
              <w:spacing w:line="240" w:lineRule="auto" w:before="76"/>
              <w:ind w:left="80" w:right="0"/>
              <w:jc w:val="center"/>
              <w:rPr>
                <w:rFonts w:ascii="宋体" w:hAnsi="宋体" w:cs="宋体" w:eastAsia="宋体" w:hint="default"/>
                <w:sz w:val="18"/>
                <w:szCs w:val="18"/>
              </w:rPr>
            </w:pPr>
            <w:r>
              <w:rPr>
                <w:rFonts w:ascii="宋体"/>
                <w:sz w:val="18"/>
              </w:rPr>
              <w:t>443,40</w:t>
            </w:r>
          </w:p>
          <w:p>
            <w:pPr>
              <w:pStyle w:val="TableParagraph"/>
              <w:spacing w:line="240" w:lineRule="auto" w:before="77"/>
              <w:ind w:left="260" w:right="0"/>
              <w:jc w:val="center"/>
              <w:rPr>
                <w:rFonts w:ascii="宋体" w:hAnsi="宋体" w:cs="宋体" w:eastAsia="宋体" w:hint="default"/>
                <w:sz w:val="18"/>
                <w:szCs w:val="18"/>
              </w:rPr>
            </w:pPr>
            <w:r>
              <w:rPr>
                <w:rFonts w:ascii="宋体"/>
                <w:sz w:val="18"/>
              </w:rPr>
              <w:t>7.97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sz w:val="18"/>
              </w:rPr>
              <w:t>5,272,79</w:t>
            </w:r>
          </w:p>
          <w:p>
            <w:pPr>
              <w:pStyle w:val="TableParagraph"/>
              <w:spacing w:line="240" w:lineRule="auto" w:before="77"/>
              <w:ind w:left="27" w:right="0"/>
              <w:jc w:val="left"/>
              <w:rPr>
                <w:rFonts w:ascii="宋体" w:hAnsi="宋体" w:cs="宋体" w:eastAsia="宋体" w:hint="default"/>
                <w:sz w:val="18"/>
                <w:szCs w:val="18"/>
              </w:rPr>
            </w:pPr>
            <w:r>
              <w:rPr>
                <w:rFonts w:ascii="宋体"/>
                <w:sz w:val="18"/>
              </w:rPr>
              <w:t>0,238.49</w:t>
            </w:r>
          </w:p>
        </w:tc>
      </w:tr>
    </w:tbl>
    <w:p>
      <w:pPr>
        <w:pStyle w:val="BodyText"/>
        <w:spacing w:line="240" w:lineRule="auto" w:before="51"/>
        <w:ind w:right="0"/>
        <w:jc w:val="left"/>
      </w:pPr>
      <w:r>
        <w:rPr/>
        <w:t>上期金额</w:t>
      </w:r>
    </w:p>
    <w:p>
      <w:pPr>
        <w:pStyle w:val="BodyText"/>
        <w:spacing w:line="240" w:lineRule="auto" w:before="117"/>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宋体"/>
                <w:sz w:val="18"/>
              </w:rPr>
              <w:t>689,967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 w:right="0"/>
              <w:jc w:val="left"/>
              <w:rPr>
                <w:rFonts w:ascii="宋体" w:hAnsi="宋体" w:cs="宋体" w:eastAsia="宋体" w:hint="default"/>
                <w:sz w:val="18"/>
                <w:szCs w:val="18"/>
              </w:rPr>
            </w:pPr>
            <w:r>
              <w:rPr>
                <w:rFonts w:ascii="宋体"/>
                <w:sz w:val="18"/>
              </w:rPr>
              <w:t>623,406,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 w:right="0"/>
              <w:jc w:val="left"/>
              <w:rPr>
                <w:rFonts w:ascii="宋体" w:hAnsi="宋体" w:cs="宋体" w:eastAsia="宋体" w:hint="default"/>
                <w:sz w:val="18"/>
                <w:szCs w:val="18"/>
              </w:rPr>
            </w:pPr>
            <w:r>
              <w:rPr>
                <w:rFonts w:ascii="宋体"/>
                <w:sz w:val="18"/>
              </w:rPr>
              <w:t>157,214,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736,89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 w:right="0"/>
              <w:jc w:val="left"/>
              <w:rPr>
                <w:rFonts w:ascii="宋体" w:hAnsi="宋体" w:cs="宋体" w:eastAsia="宋体" w:hint="default"/>
                <w:sz w:val="18"/>
                <w:szCs w:val="18"/>
              </w:rPr>
            </w:pPr>
            <w:r>
              <w:rPr>
                <w:rFonts w:ascii="宋体"/>
                <w:sz w:val="18"/>
              </w:rPr>
              <w:t>2,207,47</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4" w:right="0"/>
              <w:jc w:val="left"/>
              <w:rPr>
                <w:rFonts w:ascii="宋体" w:hAnsi="宋体" w:cs="宋体" w:eastAsia="宋体" w:hint="default"/>
                <w:sz w:val="18"/>
                <w:szCs w:val="18"/>
              </w:rPr>
            </w:pPr>
            <w:r>
              <w:rPr>
                <w:rFonts w:ascii="宋体"/>
                <w:sz w:val="18"/>
              </w:rPr>
              <w:t>506.09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4" w:right="0"/>
              <w:jc w:val="left"/>
              <w:rPr>
                <w:rFonts w:ascii="宋体" w:hAnsi="宋体" w:cs="宋体" w:eastAsia="宋体" w:hint="default"/>
                <w:sz w:val="18"/>
                <w:szCs w:val="18"/>
              </w:rPr>
            </w:pPr>
            <w:r>
              <w:rPr>
                <w:rFonts w:ascii="宋体"/>
                <w:sz w:val="18"/>
              </w:rPr>
              <w:t>934.74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1,033.</w:t>
            </w:r>
          </w:p>
          <w:p>
            <w:pPr>
              <w:pStyle w:val="TableParagraph"/>
              <w:spacing w:line="240" w:lineRule="auto" w:before="77"/>
              <w:ind w:right="20"/>
              <w:jc w:val="right"/>
              <w:rPr>
                <w:rFonts w:ascii="宋体" w:hAnsi="宋体" w:cs="宋体" w:eastAsia="宋体" w:hint="default"/>
                <w:sz w:val="18"/>
                <w:szCs w:val="18"/>
              </w:rPr>
            </w:pPr>
            <w:r>
              <w:rPr>
                <w:rFonts w:ascii="宋体"/>
                <w:sz w:val="18"/>
              </w:rPr>
              <w:t>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sz w:val="18"/>
              </w:rPr>
              <w:t>9,673.86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689,967</w:t>
            </w:r>
          </w:p>
          <w:p>
            <w:pPr>
              <w:pStyle w:val="TableParagraph"/>
              <w:spacing w:line="240" w:lineRule="auto" w:before="76"/>
              <w:ind w:left="27" w:right="0"/>
              <w:jc w:val="left"/>
              <w:rPr>
                <w:rFonts w:ascii="宋体" w:hAnsi="宋体" w:cs="宋体" w:eastAsia="宋体" w:hint="default"/>
                <w:sz w:val="18"/>
                <w:szCs w:val="18"/>
              </w:rPr>
            </w:pPr>
            <w:r>
              <w:rPr>
                <w:rFonts w:ascii="宋体"/>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623,406,</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506.09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157,214,</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934.74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736,89</w:t>
            </w:r>
          </w:p>
          <w:p>
            <w:pPr>
              <w:pStyle w:val="TableParagraph"/>
              <w:spacing w:line="240" w:lineRule="auto" w:before="75"/>
              <w:ind w:right="20"/>
              <w:jc w:val="right"/>
              <w:rPr>
                <w:rFonts w:ascii="宋体" w:hAnsi="宋体" w:cs="宋体" w:eastAsia="宋体" w:hint="default"/>
                <w:sz w:val="18"/>
                <w:szCs w:val="18"/>
              </w:rPr>
            </w:pPr>
            <w:r>
              <w:rPr>
                <w:rFonts w:ascii="宋体"/>
                <w:sz w:val="18"/>
              </w:rPr>
              <w:t>1,033.</w:t>
            </w:r>
          </w:p>
          <w:p>
            <w:pPr>
              <w:pStyle w:val="TableParagraph"/>
              <w:spacing w:line="240" w:lineRule="auto" w:before="77"/>
              <w:ind w:right="20"/>
              <w:jc w:val="right"/>
              <w:rPr>
                <w:rFonts w:ascii="宋体" w:hAnsi="宋体" w:cs="宋体" w:eastAsia="宋体" w:hint="default"/>
                <w:sz w:val="18"/>
                <w:szCs w:val="18"/>
              </w:rPr>
            </w:pPr>
            <w:r>
              <w:rPr>
                <w:rFonts w:ascii="宋体"/>
                <w:sz w:val="18"/>
              </w:rPr>
              <w:t>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2,207,47</w:t>
            </w:r>
          </w:p>
          <w:p>
            <w:pPr>
              <w:pStyle w:val="TableParagraph"/>
              <w:spacing w:line="240" w:lineRule="auto" w:before="76"/>
              <w:ind w:left="27" w:right="0"/>
              <w:jc w:val="left"/>
              <w:rPr>
                <w:rFonts w:ascii="宋体" w:hAnsi="宋体" w:cs="宋体" w:eastAsia="宋体" w:hint="default"/>
                <w:sz w:val="18"/>
                <w:szCs w:val="18"/>
              </w:rPr>
            </w:pPr>
            <w:r>
              <w:rPr>
                <w:rFonts w:ascii="宋体"/>
                <w:sz w:val="18"/>
              </w:rPr>
              <w:t>9,673.86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金额（减少以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4,336,4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311,313,</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421.50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52,634,0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58.49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335,71</w:t>
            </w:r>
          </w:p>
          <w:p>
            <w:pPr>
              <w:pStyle w:val="TableParagraph"/>
              <w:spacing w:line="240" w:lineRule="auto" w:before="75"/>
              <w:ind w:right="20"/>
              <w:jc w:val="right"/>
              <w:rPr>
                <w:rFonts w:ascii="宋体" w:hAnsi="宋体" w:cs="宋体" w:eastAsia="宋体" w:hint="default"/>
                <w:sz w:val="18"/>
                <w:szCs w:val="18"/>
              </w:rPr>
            </w:pPr>
            <w:r>
              <w:rPr>
                <w:rFonts w:ascii="宋体"/>
                <w:sz w:val="18"/>
              </w:rPr>
              <w:t>3,086.</w:t>
            </w:r>
          </w:p>
          <w:p>
            <w:pPr>
              <w:pStyle w:val="TableParagraph"/>
              <w:spacing w:line="240" w:lineRule="auto" w:before="77"/>
              <w:ind w:right="20"/>
              <w:jc w:val="right"/>
              <w:rPr>
                <w:rFonts w:ascii="宋体" w:hAnsi="宋体" w:cs="宋体" w:eastAsia="宋体" w:hint="default"/>
                <w:sz w:val="18"/>
                <w:szCs w:val="18"/>
              </w:rPr>
            </w:pPr>
            <w:r>
              <w:rPr>
                <w:rFonts w:ascii="宋体"/>
                <w:sz w:val="18"/>
              </w:rPr>
              <w:t>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703,996,</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976.44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526,34</w:t>
            </w:r>
          </w:p>
          <w:p>
            <w:pPr>
              <w:pStyle w:val="TableParagraph"/>
              <w:spacing w:line="240" w:lineRule="auto" w:before="75"/>
              <w:ind w:right="20"/>
              <w:jc w:val="right"/>
              <w:rPr>
                <w:rFonts w:ascii="宋体" w:hAnsi="宋体" w:cs="宋体" w:eastAsia="宋体" w:hint="default"/>
                <w:sz w:val="18"/>
                <w:szCs w:val="18"/>
              </w:rPr>
            </w:pPr>
            <w:r>
              <w:rPr>
                <w:rFonts w:ascii="宋体"/>
                <w:sz w:val="18"/>
              </w:rPr>
              <w:t>0,584.</w:t>
            </w:r>
          </w:p>
          <w:p>
            <w:pPr>
              <w:pStyle w:val="TableParagraph"/>
              <w:spacing w:line="240" w:lineRule="auto" w:before="77"/>
              <w:ind w:right="20"/>
              <w:jc w:val="right"/>
              <w:rPr>
                <w:rFonts w:ascii="宋体" w:hAnsi="宋体" w:cs="宋体" w:eastAsia="宋体" w:hint="default"/>
                <w:sz w:val="18"/>
                <w:szCs w:val="18"/>
              </w:rPr>
            </w:pPr>
            <w:r>
              <w:rPr>
                <w:rFonts w:ascii="宋体"/>
                <w:sz w:val="18"/>
              </w:rPr>
              <w:t>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526,340,</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584.94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4,336,4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311,313,</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421.50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315,649,</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831.50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4,336,4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66,130,2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sz w:val="18"/>
              </w:rPr>
              <w:t>70,466,6</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62.50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227,454,</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868.00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227,454,</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868.00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17,728,3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17,728,3</w:t>
            </w:r>
          </w:p>
          <w:p>
            <w:pPr>
              <w:pStyle w:val="TableParagraph"/>
              <w:spacing w:line="240" w:lineRule="auto" w:before="76"/>
              <w:ind w:left="297" w:right="0"/>
              <w:jc w:val="left"/>
              <w:rPr>
                <w:rFonts w:ascii="宋体" w:hAnsi="宋体" w:cs="宋体" w:eastAsia="宋体" w:hint="default"/>
                <w:sz w:val="18"/>
                <w:szCs w:val="18"/>
              </w:rPr>
            </w:pPr>
            <w:r>
              <w:rPr>
                <w:rFonts w:ascii="宋体"/>
                <w:sz w:val="18"/>
              </w:rPr>
              <w:t>01.00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52,634,0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58.49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-190,6</w:t>
            </w:r>
          </w:p>
          <w:p>
            <w:pPr>
              <w:pStyle w:val="TableParagraph"/>
              <w:spacing w:line="240" w:lineRule="auto" w:before="75"/>
              <w:ind w:left="103" w:right="0"/>
              <w:jc w:val="left"/>
              <w:rPr>
                <w:rFonts w:ascii="宋体" w:hAnsi="宋体" w:cs="宋体" w:eastAsia="宋体" w:hint="default"/>
                <w:sz w:val="18"/>
                <w:szCs w:val="18"/>
              </w:rPr>
            </w:pPr>
            <w:r>
              <w:rPr>
                <w:rFonts w:ascii="宋体"/>
                <w:sz w:val="18"/>
              </w:rPr>
              <w:t>27,498</w:t>
            </w:r>
          </w:p>
          <w:p>
            <w:pPr>
              <w:pStyle w:val="TableParagraph"/>
              <w:spacing w:line="240" w:lineRule="auto" w:before="77"/>
              <w:ind w:left="373" w:right="0"/>
              <w:jc w:val="left"/>
              <w:rPr>
                <w:rFonts w:ascii="宋体" w:hAnsi="宋体" w:cs="宋体" w:eastAsia="宋体" w:hint="default"/>
                <w:sz w:val="18"/>
                <w:szCs w:val="18"/>
              </w:rPr>
            </w:pPr>
            <w:r>
              <w:rPr>
                <w:rFonts w:ascii="宋体"/>
                <w:sz w:val="18"/>
              </w:rPr>
              <w:t>.49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-137,993</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,440.00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52,634,0</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58.49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-52,63</w:t>
            </w:r>
          </w:p>
          <w:p>
            <w:pPr>
              <w:pStyle w:val="TableParagraph"/>
              <w:spacing w:line="240" w:lineRule="auto" w:before="75"/>
              <w:ind w:right="20"/>
              <w:jc w:val="right"/>
              <w:rPr>
                <w:rFonts w:ascii="宋体" w:hAnsi="宋体" w:cs="宋体" w:eastAsia="宋体" w:hint="default"/>
                <w:sz w:val="18"/>
                <w:szCs w:val="18"/>
              </w:rPr>
            </w:pPr>
            <w:r>
              <w:rPr>
                <w:rFonts w:ascii="宋体"/>
                <w:sz w:val="18"/>
              </w:rPr>
              <w:t>4,058.</w:t>
            </w:r>
          </w:p>
          <w:p>
            <w:pPr>
              <w:pStyle w:val="TableParagraph"/>
              <w:spacing w:line="240" w:lineRule="auto" w:before="77"/>
              <w:ind w:right="20"/>
              <w:jc w:val="right"/>
              <w:rPr>
                <w:rFonts w:ascii="宋体" w:hAnsi="宋体" w:cs="宋体" w:eastAsia="宋体" w:hint="default"/>
                <w:sz w:val="18"/>
                <w:szCs w:val="18"/>
              </w:rPr>
            </w:pPr>
            <w:r>
              <w:rPr>
                <w:rFonts w:ascii="宋体"/>
                <w:sz w:val="18"/>
              </w:rPr>
              <w:t>49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-137,9</w:t>
            </w:r>
          </w:p>
          <w:p>
            <w:pPr>
              <w:pStyle w:val="TableParagraph"/>
              <w:spacing w:line="240" w:lineRule="auto" w:before="75"/>
              <w:ind w:left="103" w:right="0"/>
              <w:jc w:val="left"/>
              <w:rPr>
                <w:rFonts w:ascii="宋体" w:hAnsi="宋体" w:cs="宋体" w:eastAsia="宋体" w:hint="default"/>
                <w:sz w:val="18"/>
                <w:szCs w:val="18"/>
              </w:rPr>
            </w:pPr>
            <w:r>
              <w:rPr>
                <w:rFonts w:ascii="宋体"/>
                <w:sz w:val="18"/>
              </w:rPr>
              <w:t>93,440</w:t>
            </w:r>
          </w:p>
          <w:p>
            <w:pPr>
              <w:pStyle w:val="TableParagraph"/>
              <w:spacing w:line="240" w:lineRule="auto" w:before="77"/>
              <w:ind w:left="373" w:right="0"/>
              <w:jc w:val="left"/>
              <w:rPr>
                <w:rFonts w:ascii="宋体" w:hAnsi="宋体" w:cs="宋体" w:eastAsia="宋体" w:hint="default"/>
                <w:sz w:val="18"/>
                <w:szCs w:val="18"/>
              </w:rPr>
            </w:pPr>
            <w:r>
              <w:rPr>
                <w:rFonts w:ascii="宋体"/>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-137,993</w:t>
            </w:r>
          </w:p>
          <w:p>
            <w:pPr>
              <w:pStyle w:val="TableParagraph"/>
              <w:spacing w:line="240" w:lineRule="auto" w:before="76"/>
              <w:ind w:left="117" w:right="0"/>
              <w:jc w:val="left"/>
              <w:rPr>
                <w:rFonts w:ascii="宋体" w:hAnsi="宋体" w:cs="宋体" w:eastAsia="宋体" w:hint="default"/>
                <w:sz w:val="18"/>
                <w:szCs w:val="18"/>
              </w:rPr>
            </w:pPr>
            <w:r>
              <w:rPr>
                <w:rFonts w:ascii="宋体"/>
                <w:sz w:val="18"/>
              </w:rPr>
              <w:t>,440.00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694,303</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934,719,</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927.59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209,848,</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993.23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center"/>
              <w:rPr>
                <w:rFonts w:ascii="宋体" w:hAnsi="宋体" w:cs="宋体" w:eastAsia="宋体" w:hint="default"/>
                <w:sz w:val="18"/>
                <w:szCs w:val="18"/>
              </w:rPr>
            </w:pPr>
            <w:r>
              <w:rPr>
                <w:rFonts w:ascii="宋体"/>
                <w:sz w:val="18"/>
              </w:rPr>
              <w:t>1,072,</w:t>
            </w:r>
          </w:p>
          <w:p>
            <w:pPr>
              <w:pStyle w:val="TableParagraph"/>
              <w:spacing w:line="240" w:lineRule="auto" w:before="75"/>
              <w:ind w:left="80" w:right="0"/>
              <w:jc w:val="center"/>
              <w:rPr>
                <w:rFonts w:ascii="宋体" w:hAnsi="宋体" w:cs="宋体" w:eastAsia="宋体" w:hint="default"/>
                <w:sz w:val="18"/>
                <w:szCs w:val="18"/>
              </w:rPr>
            </w:pPr>
            <w:r>
              <w:rPr>
                <w:rFonts w:ascii="宋体"/>
                <w:sz w:val="18"/>
              </w:rPr>
              <w:t>604,11</w:t>
            </w:r>
          </w:p>
          <w:p>
            <w:pPr>
              <w:pStyle w:val="TableParagraph"/>
              <w:spacing w:line="240" w:lineRule="auto" w:before="77"/>
              <w:ind w:left="260" w:right="0"/>
              <w:jc w:val="center"/>
              <w:rPr>
                <w:rFonts w:ascii="宋体" w:hAnsi="宋体" w:cs="宋体" w:eastAsia="宋体" w:hint="default"/>
                <w:sz w:val="18"/>
                <w:szCs w:val="18"/>
              </w:rPr>
            </w:pPr>
            <w:r>
              <w:rPr>
                <w:rFonts w:ascii="宋体"/>
                <w:sz w:val="18"/>
              </w:rPr>
              <w:t>9.48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2,911,47</w:t>
            </w:r>
          </w:p>
          <w:p>
            <w:pPr>
              <w:pStyle w:val="TableParagraph"/>
              <w:spacing w:line="240" w:lineRule="auto" w:before="76"/>
              <w:ind w:left="27" w:right="0"/>
              <w:jc w:val="left"/>
              <w:rPr>
                <w:rFonts w:ascii="宋体" w:hAnsi="宋体" w:cs="宋体" w:eastAsia="宋体" w:hint="default"/>
                <w:sz w:val="18"/>
                <w:szCs w:val="18"/>
              </w:rPr>
            </w:pPr>
            <w:r>
              <w:rPr>
                <w:rFonts w:ascii="宋体"/>
                <w:sz w:val="18"/>
              </w:rPr>
              <w:t>6,650.30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1" w:firstLine="360"/>
        <w:jc w:val="both"/>
      </w:pPr>
      <w:r>
        <w:rPr>
          <w:spacing w:val="-2"/>
        </w:rPr>
        <w:t>东华软件股份公司（原“北京东华合创数码科技股份有限公司”，以下简称“本公司”或“公司”）是由北京东华诚信</w:t>
      </w:r>
      <w:r>
        <w:rPr/>
        <w:t> </w:t>
      </w:r>
      <w:r>
        <w:rPr>
          <w:spacing w:val="-2"/>
        </w:rPr>
        <w:t>电脑科技发展有限公司（原北京东华诚信电脑科技发展公司）、北京东华诚信工业设备有限公司、北京合创电商投资顾问有</w:t>
      </w:r>
      <w:r>
        <w:rPr>
          <w:spacing w:val="-66"/>
        </w:rPr>
        <w:t> </w:t>
      </w:r>
      <w:r>
        <w:rPr>
          <w:spacing w:val="-66"/>
        </w:rPr>
      </w:r>
      <w:r>
        <w:rPr/>
        <w:t>限公司等</w:t>
      </w:r>
      <w:r>
        <w:rPr>
          <w:rFonts w:ascii="宋体" w:hAnsi="宋体" w:cs="宋体" w:eastAsia="宋体" w:hint="default"/>
        </w:rPr>
        <w:t>3</w:t>
      </w:r>
      <w:r>
        <w:rPr/>
        <w:t>家法人企业及薛向东等 </w:t>
      </w:r>
      <w:r>
        <w:rPr>
          <w:rFonts w:ascii="宋体" w:hAnsi="宋体" w:cs="宋体" w:eastAsia="宋体" w:hint="default"/>
        </w:rPr>
        <w:t>12</w:t>
      </w:r>
      <w:r>
        <w:rPr>
          <w:rFonts w:ascii="宋体" w:hAnsi="宋体" w:cs="宋体" w:eastAsia="宋体" w:hint="default"/>
          <w:spacing w:val="7"/>
        </w:rPr>
        <w:t> </w:t>
      </w:r>
      <w:r>
        <w:rPr/>
        <w:t>个自然人共同发起，在原北京东华合创数码科技有限公司的基础上，依法改制设立的 </w:t>
      </w:r>
      <w:r>
        <w:rPr>
          <w:spacing w:val="-2"/>
        </w:rPr>
        <w:t>股份有限公司。公司的注册资本为人民币</w:t>
      </w:r>
      <w:r>
        <w:rPr>
          <w:rFonts w:ascii="宋体" w:hAnsi="宋体" w:cs="宋体" w:eastAsia="宋体" w:hint="default"/>
          <w:spacing w:val="-2"/>
        </w:rPr>
        <w:t>1,514,806,948</w:t>
      </w:r>
      <w:r>
        <w:rPr>
          <w:spacing w:val="-2"/>
        </w:rPr>
        <w:t>元，注册地址位于北京市海淀区紫金数码园</w:t>
      </w:r>
      <w:r>
        <w:rPr>
          <w:rFonts w:ascii="宋体" w:hAnsi="宋体" w:cs="宋体" w:eastAsia="宋体" w:hint="default"/>
          <w:spacing w:val="-2"/>
        </w:rPr>
        <w:t>3</w:t>
      </w:r>
      <w:r>
        <w:rPr>
          <w:spacing w:val="-2"/>
        </w:rPr>
        <w:t>号楼</w:t>
      </w:r>
      <w:r>
        <w:rPr>
          <w:rFonts w:ascii="宋体" w:hAnsi="宋体" w:cs="宋体" w:eastAsia="宋体" w:hint="default"/>
          <w:spacing w:val="-2"/>
        </w:rPr>
        <w:t>15</w:t>
      </w:r>
      <w:r>
        <w:rPr>
          <w:spacing w:val="-2"/>
        </w:rPr>
        <w:t>层</w:t>
      </w:r>
      <w:r>
        <w:rPr>
          <w:rFonts w:ascii="宋体" w:hAnsi="宋体" w:cs="宋体" w:eastAsia="宋体" w:hint="default"/>
          <w:spacing w:val="-2"/>
        </w:rPr>
        <w:t>1501</w:t>
      </w:r>
      <w:r>
        <w:rPr>
          <w:spacing w:val="-2"/>
        </w:rPr>
        <w:t>室，法定</w:t>
      </w:r>
      <w:r>
        <w:rPr>
          <w:spacing w:val="-47"/>
        </w:rPr>
        <w:t> </w:t>
      </w:r>
      <w:r>
        <w:rPr>
          <w:spacing w:val="-47"/>
        </w:rPr>
      </w:r>
      <w:r>
        <w:rPr/>
        <w:t>代表人：薛向东，企业法人营业执照为“第</w:t>
      </w:r>
      <w:r>
        <w:rPr>
          <w:rFonts w:ascii="宋体" w:hAnsi="宋体" w:cs="宋体" w:eastAsia="宋体" w:hint="default"/>
        </w:rPr>
        <w:t>110000001930643</w:t>
      </w:r>
      <w:r>
        <w:rPr/>
        <w:t>号”。</w:t>
      </w:r>
    </w:p>
    <w:p>
      <w:pPr>
        <w:pStyle w:val="BodyText"/>
        <w:spacing w:line="316" w:lineRule="auto" w:before="137"/>
        <w:ind w:right="150" w:firstLine="360"/>
        <w:jc w:val="both"/>
      </w:pPr>
      <w:r>
        <w:rPr>
          <w:spacing w:val="-2"/>
        </w:rPr>
        <w:t>公司的前身北京东华合创数码科技有限公司，成立于</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月，注册资本为人民币</w:t>
      </w:r>
      <w:r>
        <w:rPr>
          <w:rFonts w:ascii="宋体" w:hAnsi="宋体" w:cs="宋体" w:eastAsia="宋体" w:hint="default"/>
          <w:spacing w:val="-2"/>
        </w:rPr>
        <w:t>3,700</w:t>
      </w:r>
      <w:r>
        <w:rPr>
          <w:spacing w:val="-2"/>
        </w:rPr>
        <w:t>万元。</w:t>
      </w: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日，经北</w:t>
      </w:r>
      <w:r>
        <w:rPr/>
        <w:t> </w:t>
      </w:r>
      <w:r>
        <w:rPr>
          <w:spacing w:val="-2"/>
        </w:rPr>
        <w:t>京市人民政府经济体制改革办公室以“京政体改股函</w:t>
      </w:r>
      <w:r>
        <w:rPr>
          <w:rFonts w:ascii="宋体" w:hAnsi="宋体" w:cs="宋体" w:eastAsia="宋体" w:hint="default"/>
          <w:spacing w:val="-2"/>
        </w:rPr>
        <w:t>[2001]69</w:t>
      </w:r>
      <w:r>
        <w:rPr>
          <w:spacing w:val="-2"/>
        </w:rPr>
        <w:t>号”文《关于同意北京东华合创数码科技有限公司变更为北京</w:t>
      </w:r>
      <w:r>
        <w:rPr>
          <w:spacing w:val="-56"/>
        </w:rPr>
        <w:t> </w:t>
      </w:r>
      <w:r>
        <w:rPr>
          <w:spacing w:val="-56"/>
        </w:rPr>
      </w:r>
      <w:r>
        <w:rPr>
          <w:spacing w:val="-2"/>
        </w:rPr>
        <w:t>东华合创数码科技股份有限公司的通知》批复，北京东华合创数码科技有限公司依法改制设立为股份有限公司，注册资本为</w:t>
      </w:r>
      <w:r>
        <w:rPr>
          <w:spacing w:val="-66"/>
        </w:rPr>
        <w:t> </w:t>
      </w:r>
      <w:r>
        <w:rPr>
          <w:spacing w:val="-66"/>
        </w:rPr>
      </w:r>
      <w:r>
        <w:rPr/>
        <w:t>人民币</w:t>
      </w:r>
      <w:r>
        <w:rPr>
          <w:rFonts w:ascii="宋体" w:hAnsi="宋体" w:cs="宋体" w:eastAsia="宋体" w:hint="default"/>
        </w:rPr>
        <w:t>4,856.25</w:t>
      </w:r>
      <w:r>
        <w:rPr/>
        <w:t>万元。</w:t>
      </w:r>
    </w:p>
    <w:p>
      <w:pPr>
        <w:pStyle w:val="BodyText"/>
        <w:spacing w:line="316" w:lineRule="auto" w:before="139"/>
        <w:ind w:right="149" w:firstLine="360"/>
        <w:jc w:val="both"/>
      </w:pPr>
      <w:r>
        <w:rPr/>
        <w:t>经公司于</w:t>
      </w:r>
      <w:r>
        <w:rPr>
          <w:rFonts w:ascii="宋体" w:hAnsi="宋体" w:cs="宋体" w:eastAsia="宋体" w:hint="default"/>
        </w:rPr>
        <w:t>2003</w:t>
      </w:r>
      <w:r>
        <w:rPr/>
        <w:t>年</w:t>
      </w:r>
      <w:r>
        <w:rPr>
          <w:rFonts w:ascii="宋体" w:hAnsi="宋体" w:cs="宋体" w:eastAsia="宋体" w:hint="default"/>
        </w:rPr>
        <w:t>3</w:t>
      </w:r>
      <w:r>
        <w:rPr/>
        <w:t>月召开的</w:t>
      </w:r>
      <w:r>
        <w:rPr>
          <w:rFonts w:ascii="宋体" w:hAnsi="宋体" w:cs="宋体" w:eastAsia="宋体" w:hint="default"/>
        </w:rPr>
        <w:t>2002</w:t>
      </w:r>
      <w:r>
        <w:rPr/>
        <w:t>年度股东大会表决通过，公司按照</w:t>
      </w: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4,856.25</w:t>
      </w:r>
      <w:r>
        <w:rPr/>
        <w:t>万元为基数，按 </w:t>
      </w:r>
      <w:r>
        <w:rPr>
          <w:rFonts w:ascii="宋体" w:hAnsi="宋体" w:cs="宋体" w:eastAsia="宋体" w:hint="default"/>
          <w:spacing w:val="-3"/>
        </w:rPr>
        <w:t>10</w:t>
      </w:r>
      <w:r>
        <w:rPr>
          <w:spacing w:val="-3"/>
        </w:rPr>
        <w:t>比</w:t>
      </w:r>
      <w:r>
        <w:rPr>
          <w:rFonts w:ascii="宋体" w:hAnsi="宋体" w:cs="宋体" w:eastAsia="宋体" w:hint="default"/>
          <w:spacing w:val="-3"/>
        </w:rPr>
        <w:t>1</w:t>
      </w:r>
      <w:r>
        <w:rPr>
          <w:spacing w:val="-3"/>
        </w:rPr>
        <w:t>的比例向公司的全体股东派送红股，共增加股本</w:t>
      </w:r>
      <w:r>
        <w:rPr>
          <w:rFonts w:ascii="宋体" w:hAnsi="宋体" w:cs="宋体" w:eastAsia="宋体" w:hint="default"/>
          <w:spacing w:val="-3"/>
        </w:rPr>
        <w:t>485.625</w:t>
      </w:r>
      <w:r>
        <w:rPr>
          <w:spacing w:val="-3"/>
        </w:rPr>
        <w:t>万元。该增资事项完成后，公司的股本增加为人民币</w:t>
      </w:r>
      <w:r>
        <w:rPr>
          <w:rFonts w:ascii="宋体" w:hAnsi="宋体" w:cs="宋体" w:eastAsia="宋体" w:hint="default"/>
          <w:spacing w:val="-3"/>
        </w:rPr>
        <w:t>5,341.875</w:t>
      </w:r>
      <w:r>
        <w:rPr>
          <w:rFonts w:ascii="宋体" w:hAnsi="宋体" w:cs="宋体" w:eastAsia="宋体" w:hint="default"/>
          <w:spacing w:val="-72"/>
        </w:rPr>
        <w:t> </w:t>
      </w:r>
      <w:r>
        <w:rPr/>
        <w:t>万元。</w:t>
      </w:r>
    </w:p>
    <w:p>
      <w:pPr>
        <w:pStyle w:val="BodyText"/>
        <w:spacing w:line="316" w:lineRule="auto" w:before="139"/>
        <w:ind w:right="150" w:firstLine="360"/>
        <w:jc w:val="both"/>
      </w:pPr>
      <w:r>
        <w:rPr>
          <w:spacing w:val="-2"/>
        </w:rPr>
        <w:t>经公司于</w:t>
      </w:r>
      <w:r>
        <w:rPr>
          <w:rFonts w:ascii="宋体" w:hAnsi="宋体" w:cs="宋体" w:eastAsia="宋体" w:hint="default"/>
          <w:spacing w:val="-2"/>
        </w:rPr>
        <w:t>2005</w:t>
      </w:r>
      <w:r>
        <w:rPr>
          <w:spacing w:val="-2"/>
        </w:rPr>
        <w:t>年</w:t>
      </w:r>
      <w:r>
        <w:rPr>
          <w:rFonts w:ascii="宋体" w:hAnsi="宋体" w:cs="宋体" w:eastAsia="宋体" w:hint="default"/>
          <w:spacing w:val="-2"/>
        </w:rPr>
        <w:t>3</w:t>
      </w:r>
      <w:r>
        <w:rPr>
          <w:spacing w:val="-2"/>
        </w:rPr>
        <w:t>月召开的</w:t>
      </w:r>
      <w:r>
        <w:rPr>
          <w:rFonts w:ascii="宋体" w:hAnsi="宋体" w:cs="宋体" w:eastAsia="宋体" w:hint="default"/>
          <w:spacing w:val="-2"/>
        </w:rPr>
        <w:t>2004</w:t>
      </w:r>
      <w:r>
        <w:rPr>
          <w:spacing w:val="-2"/>
        </w:rPr>
        <w:t>年度股东大会表决通过，公司按照</w:t>
      </w:r>
      <w:r>
        <w:rPr>
          <w:rFonts w:ascii="宋体" w:hAnsi="宋体" w:cs="宋体" w:eastAsia="宋体" w:hint="default"/>
          <w:spacing w:val="-2"/>
        </w:rPr>
        <w:t>2004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日的股本总额</w:t>
      </w:r>
      <w:r>
        <w:rPr>
          <w:rFonts w:ascii="宋体" w:hAnsi="宋体" w:cs="宋体" w:eastAsia="宋体" w:hint="default"/>
          <w:spacing w:val="-2"/>
        </w:rPr>
        <w:t>5,341.875</w:t>
      </w:r>
      <w:r>
        <w:rPr>
          <w:spacing w:val="-2"/>
        </w:rPr>
        <w:t>万元为基数，按</w:t>
      </w:r>
      <w:r>
        <w:rPr/>
        <w:t> </w:t>
      </w:r>
      <w:r>
        <w:rPr>
          <w:rFonts w:ascii="宋体" w:hAnsi="宋体" w:cs="宋体" w:eastAsia="宋体" w:hint="default"/>
          <w:spacing w:val="9"/>
        </w:rPr>
        <w:t>10</w:t>
      </w:r>
      <w:r>
        <w:rPr>
          <w:spacing w:val="9"/>
        </w:rPr>
        <w:t>比</w:t>
      </w:r>
      <w:r>
        <w:rPr>
          <w:rFonts w:ascii="宋体" w:hAnsi="宋体" w:cs="宋体" w:eastAsia="宋体" w:hint="default"/>
          <w:spacing w:val="9"/>
        </w:rPr>
        <w:t>1</w:t>
      </w:r>
      <w:r>
        <w:rPr>
          <w:spacing w:val="9"/>
        </w:rPr>
        <w:t>的比例向公司的全体股东派送红股，共增加股本</w:t>
      </w:r>
      <w:r>
        <w:rPr>
          <w:rFonts w:ascii="宋体" w:hAnsi="宋体" w:cs="宋体" w:eastAsia="宋体" w:hint="default"/>
          <w:spacing w:val="9"/>
        </w:rPr>
        <w:t>534.1875</w:t>
      </w:r>
      <w:r>
        <w:rPr>
          <w:spacing w:val="9"/>
        </w:rPr>
        <w:t>万元。该增资事项完成后，公司的股本增加为人民币</w:t>
      </w:r>
    </w:p>
    <w:p>
      <w:pPr>
        <w:pStyle w:val="BodyText"/>
        <w:spacing w:line="240" w:lineRule="auto" w:before="19"/>
        <w:ind w:right="0"/>
        <w:jc w:val="left"/>
      </w:pPr>
      <w:r>
        <w:rPr>
          <w:rFonts w:ascii="宋体" w:hAnsi="宋体" w:cs="宋体" w:eastAsia="宋体" w:hint="default"/>
        </w:rPr>
        <w:t>5,876.0625</w:t>
      </w:r>
      <w:r>
        <w:rPr/>
        <w:t>万元。</w:t>
      </w:r>
    </w:p>
    <w:p>
      <w:pPr>
        <w:spacing w:line="240" w:lineRule="auto" w:before="0"/>
        <w:rPr>
          <w:rFonts w:ascii="宋体" w:hAnsi="宋体" w:cs="宋体" w:eastAsia="宋体" w:hint="default"/>
          <w:sz w:val="15"/>
          <w:szCs w:val="15"/>
        </w:rPr>
      </w:pPr>
    </w:p>
    <w:p>
      <w:pPr>
        <w:pStyle w:val="BodyText"/>
        <w:spacing w:line="316" w:lineRule="auto"/>
        <w:ind w:right="149" w:firstLine="360"/>
        <w:jc w:val="both"/>
      </w:pPr>
      <w:r>
        <w:rPr/>
        <w:t>经公司于</w:t>
      </w:r>
      <w:r>
        <w:rPr>
          <w:rFonts w:ascii="宋体" w:hAnsi="宋体" w:cs="宋体" w:eastAsia="宋体" w:hint="default"/>
        </w:rPr>
        <w:t>2006</w:t>
      </w:r>
      <w:r>
        <w:rPr/>
        <w:t>年</w:t>
      </w:r>
      <w:r>
        <w:rPr>
          <w:rFonts w:ascii="宋体" w:hAnsi="宋体" w:cs="宋体" w:eastAsia="宋体" w:hint="default"/>
        </w:rPr>
        <w:t>5</w:t>
      </w:r>
      <w:r>
        <w:rPr/>
        <w:t>月召开的</w:t>
      </w:r>
      <w:r>
        <w:rPr>
          <w:rFonts w:ascii="宋体" w:hAnsi="宋体" w:cs="宋体" w:eastAsia="宋体" w:hint="default"/>
        </w:rPr>
        <w:t>2005</w:t>
      </w:r>
      <w:r>
        <w:rPr/>
        <w:t>年度股东大会表决通过，公司按照</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5,876.0625</w:t>
      </w:r>
      <w:r>
        <w:rPr/>
        <w:t>万元为基数， </w:t>
      </w:r>
      <w:r>
        <w:rPr>
          <w:spacing w:val="6"/>
        </w:rPr>
        <w:t>按</w:t>
      </w:r>
      <w:r>
        <w:rPr>
          <w:rFonts w:ascii="宋体" w:hAnsi="宋体" w:cs="宋体" w:eastAsia="宋体" w:hint="default"/>
          <w:spacing w:val="6"/>
        </w:rPr>
        <w:t>10</w:t>
      </w:r>
      <w:r>
        <w:rPr>
          <w:spacing w:val="6"/>
        </w:rPr>
        <w:t>比</w:t>
      </w:r>
      <w:r>
        <w:rPr>
          <w:rFonts w:ascii="宋体" w:hAnsi="宋体" w:cs="宋体" w:eastAsia="宋体" w:hint="default"/>
          <w:spacing w:val="6"/>
        </w:rPr>
        <w:t>1</w:t>
      </w:r>
      <w:r>
        <w:rPr>
          <w:spacing w:val="6"/>
        </w:rPr>
        <w:t>的比例向公司的全体股东派送红股，共增加股本</w:t>
      </w:r>
      <w:r>
        <w:rPr>
          <w:rFonts w:ascii="宋体" w:hAnsi="宋体" w:cs="宋体" w:eastAsia="宋体" w:hint="default"/>
          <w:spacing w:val="6"/>
        </w:rPr>
        <w:t>587.6062</w:t>
      </w:r>
      <w:r>
        <w:rPr>
          <w:spacing w:val="6"/>
        </w:rPr>
        <w:t>万元。该增资事项完成后，公司的股本增加为人民币</w:t>
      </w:r>
      <w:r>
        <w:rPr>
          <w:spacing w:val="-76"/>
        </w:rPr>
        <w:t> </w:t>
      </w:r>
      <w:r>
        <w:rPr>
          <w:spacing w:val="-76"/>
        </w:rPr>
      </w:r>
      <w:r>
        <w:rPr>
          <w:rFonts w:ascii="宋体" w:hAnsi="宋体" w:cs="宋体" w:eastAsia="宋体" w:hint="default"/>
        </w:rPr>
        <w:t>6,463.6687</w:t>
      </w:r>
      <w:r>
        <w:rPr/>
        <w:t>万元。</w:t>
      </w:r>
    </w:p>
    <w:p>
      <w:pPr>
        <w:pStyle w:val="BodyText"/>
        <w:spacing w:line="319" w:lineRule="auto" w:before="139"/>
        <w:ind w:right="151" w:firstLine="360"/>
        <w:jc w:val="both"/>
      </w:pPr>
      <w:r>
        <w:rPr>
          <w:rFonts w:ascii="宋体" w:hAnsi="宋体" w:cs="宋体" w:eastAsia="宋体" w:hint="default"/>
          <w:spacing w:val="-2"/>
        </w:rPr>
        <w:t>2006</w:t>
      </w:r>
      <w:r>
        <w:rPr>
          <w:spacing w:val="-2"/>
        </w:rPr>
        <w:t>年</w:t>
      </w:r>
      <w:r>
        <w:rPr>
          <w:rFonts w:ascii="宋体" w:hAnsi="宋体" w:cs="宋体" w:eastAsia="宋体" w:hint="default"/>
          <w:spacing w:val="-2"/>
        </w:rPr>
        <w:t>8</w:t>
      </w:r>
      <w:r>
        <w:rPr>
          <w:spacing w:val="-2"/>
        </w:rPr>
        <w:t>月，根据中国证券监督管理委员会于</w:t>
      </w:r>
      <w:r>
        <w:rPr>
          <w:rFonts w:ascii="宋体" w:hAnsi="宋体" w:cs="宋体" w:eastAsia="宋体" w:hint="default"/>
          <w:spacing w:val="-2"/>
        </w:rPr>
        <w:t>2006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25</w:t>
      </w:r>
      <w:r>
        <w:rPr>
          <w:spacing w:val="-2"/>
        </w:rPr>
        <w:t>日下发的《关于核准北京东华合创数码科技股份有限公司首次</w:t>
      </w:r>
      <w:r>
        <w:rPr/>
        <w:t> 公开发行股票的通知》（文号为“证监发行字</w:t>
      </w:r>
      <w:r>
        <w:rPr>
          <w:rFonts w:ascii="宋体" w:hAnsi="宋体" w:cs="宋体" w:eastAsia="宋体" w:hint="default"/>
        </w:rPr>
        <w:t>[2006]55</w:t>
      </w:r>
      <w:r>
        <w:rPr/>
        <w:t>号”）的规定，公司于</w:t>
      </w:r>
      <w:r>
        <w:rPr>
          <w:rFonts w:ascii="宋体" w:hAnsi="宋体" w:cs="宋体" w:eastAsia="宋体" w:hint="default"/>
        </w:rPr>
        <w:t>2006</w:t>
      </w:r>
      <w:r>
        <w:rPr/>
        <w:t>年</w:t>
      </w:r>
      <w:r>
        <w:rPr>
          <w:rFonts w:ascii="宋体" w:hAnsi="宋体" w:cs="宋体" w:eastAsia="宋体" w:hint="default"/>
        </w:rPr>
        <w:t>8</w:t>
      </w:r>
      <w:r>
        <w:rPr/>
        <w:t>月</w:t>
      </w:r>
      <w:r>
        <w:rPr>
          <w:rFonts w:ascii="宋体" w:hAnsi="宋体" w:cs="宋体" w:eastAsia="宋体" w:hint="default"/>
        </w:rPr>
        <w:t>16</w:t>
      </w:r>
      <w:r>
        <w:rPr/>
        <w:t>日前完成了向境内投资者首次公</w:t>
      </w:r>
      <w:r>
        <w:rPr>
          <w:spacing w:val="-84"/>
        </w:rPr>
        <w:t> </w:t>
      </w:r>
      <w:r>
        <w:rPr>
          <w:spacing w:val="-84"/>
        </w:rPr>
      </w:r>
      <w:r>
        <w:rPr/>
        <w:t>开发行</w:t>
      </w:r>
      <w:r>
        <w:rPr>
          <w:rFonts w:ascii="宋体" w:hAnsi="宋体" w:cs="宋体" w:eastAsia="宋体" w:hint="default"/>
        </w:rPr>
        <w:t>21,600,000</w:t>
      </w:r>
      <w:r>
        <w:rPr/>
        <w:t>人民币普通股</w:t>
      </w:r>
      <w:r>
        <w:rPr>
          <w:rFonts w:ascii="宋体" w:hAnsi="宋体" w:cs="宋体" w:eastAsia="宋体" w:hint="default"/>
        </w:rPr>
        <w:t>[A</w:t>
      </w:r>
      <w:r>
        <w:rPr/>
        <w:t>股</w:t>
      </w:r>
      <w:r>
        <w:rPr>
          <w:rFonts w:ascii="宋体" w:hAnsi="宋体" w:cs="宋体" w:eastAsia="宋体" w:hint="default"/>
        </w:rPr>
        <w:t>]</w:t>
      </w:r>
      <w:r>
        <w:rPr/>
        <w:t>股票的工作（发行价格为</w:t>
      </w:r>
      <w:r>
        <w:rPr>
          <w:rFonts w:ascii="宋体" w:hAnsi="宋体" w:cs="宋体" w:eastAsia="宋体" w:hint="default"/>
        </w:rPr>
        <w:t>14.50</w:t>
      </w:r>
      <w:r>
        <w:rPr/>
        <w:t>元</w:t>
      </w:r>
      <w:r>
        <w:rPr>
          <w:rFonts w:ascii="宋体" w:hAnsi="宋体" w:cs="宋体" w:eastAsia="宋体" w:hint="default"/>
        </w:rPr>
        <w:t>/</w:t>
      </w:r>
      <w:r>
        <w:rPr/>
        <w:t>股）。经过上述股份变更事项后，公司股本为人民</w:t>
      </w:r>
      <w:r>
        <w:rPr>
          <w:spacing w:val="-84"/>
        </w:rPr>
        <w:t> </w:t>
      </w:r>
      <w:r>
        <w:rPr>
          <w:spacing w:val="-84"/>
        </w:rPr>
      </w:r>
      <w:r>
        <w:rPr/>
        <w:t>币</w:t>
      </w:r>
      <w:r>
        <w:rPr>
          <w:rFonts w:ascii="宋体" w:hAnsi="宋体" w:cs="宋体" w:eastAsia="宋体" w:hint="default"/>
        </w:rPr>
        <w:t>8,623.6687</w:t>
      </w:r>
      <w:r>
        <w:rPr/>
        <w:t>万元。</w:t>
      </w:r>
    </w:p>
    <w:p>
      <w:pPr>
        <w:pStyle w:val="BodyText"/>
        <w:spacing w:line="316" w:lineRule="auto" w:before="137"/>
        <w:ind w:right="149" w:firstLine="360"/>
        <w:jc w:val="both"/>
        <w:rPr>
          <w:rFonts w:ascii="宋体" w:hAnsi="宋体" w:cs="宋体" w:eastAsia="宋体" w:hint="default"/>
        </w:rPr>
      </w:pPr>
      <w:r>
        <w:rPr/>
        <w:t>经公司于</w:t>
      </w:r>
      <w:r>
        <w:rPr>
          <w:rFonts w:ascii="宋体" w:hAnsi="宋体" w:cs="宋体" w:eastAsia="宋体" w:hint="default"/>
        </w:rPr>
        <w:t>2007</w:t>
      </w:r>
      <w:r>
        <w:rPr/>
        <w:t>年</w:t>
      </w:r>
      <w:r>
        <w:rPr>
          <w:rFonts w:ascii="宋体" w:hAnsi="宋体" w:cs="宋体" w:eastAsia="宋体" w:hint="default"/>
        </w:rPr>
        <w:t>5</w:t>
      </w:r>
      <w:r>
        <w:rPr/>
        <w:t>月召开的</w:t>
      </w:r>
      <w:r>
        <w:rPr>
          <w:rFonts w:ascii="宋体" w:hAnsi="宋体" w:cs="宋体" w:eastAsia="宋体" w:hint="default"/>
        </w:rPr>
        <w:t>2006</w:t>
      </w:r>
      <w:r>
        <w:rPr/>
        <w:t>年度股东大会表决通过，公司按照</w:t>
      </w:r>
      <w:r>
        <w:rPr>
          <w:rFonts w:ascii="宋体" w:hAnsi="宋体" w:cs="宋体" w:eastAsia="宋体" w:hint="default"/>
        </w:rPr>
        <w:t>2006</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8,623.6687</w:t>
      </w:r>
      <w:r>
        <w:rPr/>
        <w:t>万元为基数， </w:t>
      </w:r>
      <w:r>
        <w:rPr>
          <w:spacing w:val="-3"/>
        </w:rPr>
        <w:t>按</w:t>
      </w:r>
      <w:r>
        <w:rPr>
          <w:rFonts w:ascii="宋体" w:hAnsi="宋体" w:cs="宋体" w:eastAsia="宋体" w:hint="default"/>
          <w:spacing w:val="-3"/>
        </w:rPr>
        <w:t>10</w:t>
      </w:r>
      <w:r>
        <w:rPr>
          <w:spacing w:val="-3"/>
        </w:rPr>
        <w:t>比</w:t>
      </w:r>
      <w:r>
        <w:rPr>
          <w:rFonts w:ascii="宋体" w:hAnsi="宋体" w:cs="宋体" w:eastAsia="宋体" w:hint="default"/>
          <w:spacing w:val="-3"/>
        </w:rPr>
        <w:t>5</w:t>
      </w:r>
      <w:r>
        <w:rPr>
          <w:spacing w:val="-3"/>
        </w:rPr>
        <w:t>的比例以资本公积转增股本，共增加股本</w:t>
      </w:r>
      <w:r>
        <w:rPr>
          <w:rFonts w:ascii="宋体" w:hAnsi="宋体" w:cs="宋体" w:eastAsia="宋体" w:hint="default"/>
          <w:spacing w:val="-3"/>
        </w:rPr>
        <w:t>4,311.8343</w:t>
      </w:r>
      <w:r>
        <w:rPr>
          <w:spacing w:val="-3"/>
        </w:rPr>
        <w:t>万元。该增资事项完成后，公司的股本增加为人民币</w:t>
      </w:r>
      <w:r>
        <w:rPr>
          <w:rFonts w:ascii="宋体" w:hAnsi="宋体" w:cs="宋体" w:eastAsia="宋体" w:hint="default"/>
          <w:spacing w:val="-3"/>
        </w:rPr>
        <w:t>12,935.503</w:t>
      </w:r>
    </w:p>
    <w:p>
      <w:pPr>
        <w:spacing w:after="0" w:line="316" w:lineRule="auto"/>
        <w:jc w:val="both"/>
        <w:rPr>
          <w:rFonts w:ascii="宋体" w:hAnsi="宋体" w:cs="宋体" w:eastAsia="宋体" w:hint="default"/>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万元。</w:t>
      </w:r>
    </w:p>
    <w:p>
      <w:pPr>
        <w:spacing w:line="240" w:lineRule="auto" w:before="0"/>
        <w:rPr>
          <w:rFonts w:ascii="宋体" w:hAnsi="宋体" w:cs="宋体" w:eastAsia="宋体" w:hint="default"/>
          <w:sz w:val="15"/>
          <w:szCs w:val="15"/>
        </w:rPr>
      </w:pPr>
    </w:p>
    <w:p>
      <w:pPr>
        <w:pStyle w:val="BodyText"/>
        <w:spacing w:line="316" w:lineRule="auto"/>
        <w:ind w:right="189" w:firstLine="360"/>
        <w:jc w:val="both"/>
      </w:pPr>
      <w:r>
        <w:rPr>
          <w:rFonts w:ascii="宋体" w:hAnsi="宋体" w:cs="宋体" w:eastAsia="宋体" w:hint="default"/>
          <w:spacing w:val="-2"/>
        </w:rPr>
        <w:t>2008</w:t>
      </w:r>
      <w:r>
        <w:rPr>
          <w:spacing w:val="-2"/>
        </w:rPr>
        <w:t>年</w:t>
      </w:r>
      <w:r>
        <w:rPr>
          <w:rFonts w:ascii="宋体" w:hAnsi="宋体" w:cs="宋体" w:eastAsia="宋体" w:hint="default"/>
          <w:spacing w:val="-2"/>
        </w:rPr>
        <w:t>2</w:t>
      </w:r>
      <w:r>
        <w:rPr>
          <w:spacing w:val="-2"/>
        </w:rPr>
        <w:t>月，根据公司</w:t>
      </w:r>
      <w:r>
        <w:rPr>
          <w:rFonts w:ascii="宋体" w:hAnsi="宋体" w:cs="宋体" w:eastAsia="宋体" w:hint="default"/>
          <w:spacing w:val="-2"/>
        </w:rPr>
        <w:t>2007</w:t>
      </w:r>
      <w:r>
        <w:rPr>
          <w:spacing w:val="-2"/>
        </w:rPr>
        <w:t>年第一次临时股东大会决议和修改后章程以及中国证券监督管理委员会于</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日下发</w:t>
      </w:r>
      <w:r>
        <w:rPr/>
        <w:t> 的《关于核准北京东华合创数码科技股份有限公司向秦劳、翟曙春、柏红、胡明炜、谢坤等</w:t>
      </w:r>
      <w:r>
        <w:rPr>
          <w:rFonts w:ascii="宋体" w:hAnsi="宋体" w:cs="宋体" w:eastAsia="宋体" w:hint="default"/>
        </w:rPr>
        <w:t>5</w:t>
      </w:r>
      <w:r>
        <w:rPr/>
        <w:t>人发行新股购买资产的批复》</w:t>
      </w:r>
    </w:p>
    <w:p>
      <w:pPr>
        <w:pStyle w:val="BodyText"/>
        <w:spacing w:line="319" w:lineRule="auto" w:before="19"/>
        <w:ind w:right="190"/>
        <w:jc w:val="both"/>
      </w:pPr>
      <w:r>
        <w:rPr>
          <w:spacing w:val="-5"/>
        </w:rPr>
        <w:t>（文号为“证监许可</w:t>
      </w:r>
      <w:r>
        <w:rPr>
          <w:rFonts w:ascii="宋体" w:hAnsi="宋体" w:cs="宋体" w:eastAsia="宋体" w:hint="default"/>
          <w:spacing w:val="-5"/>
        </w:rPr>
        <w:t>[2008]78</w:t>
      </w:r>
      <w:r>
        <w:rPr>
          <w:spacing w:val="-5"/>
        </w:rPr>
        <w:t>号”）的规定，公司申请增加注册资本人民币</w:t>
      </w:r>
      <w:r>
        <w:rPr>
          <w:spacing w:val="26"/>
        </w:rPr>
        <w:t> </w:t>
      </w:r>
      <w:r>
        <w:rPr>
          <w:rFonts w:ascii="宋体" w:hAnsi="宋体" w:cs="宋体" w:eastAsia="宋体" w:hint="default"/>
          <w:spacing w:val="-4"/>
        </w:rPr>
        <w:t>1,264</w:t>
      </w:r>
      <w:r>
        <w:rPr>
          <w:spacing w:val="-4"/>
        </w:rPr>
        <w:t>万元，划分为每股人民币</w:t>
      </w:r>
      <w:r>
        <w:rPr>
          <w:rFonts w:ascii="宋体" w:hAnsi="宋体" w:cs="宋体" w:eastAsia="宋体" w:hint="default"/>
          <w:spacing w:val="-4"/>
        </w:rPr>
        <w:t>1</w:t>
      </w:r>
      <w:r>
        <w:rPr>
          <w:spacing w:val="-4"/>
        </w:rPr>
        <w:t>元的普通股</w:t>
      </w:r>
      <w:r>
        <w:rPr>
          <w:rFonts w:ascii="宋体" w:hAnsi="宋体" w:cs="宋体" w:eastAsia="宋体" w:hint="default"/>
          <w:spacing w:val="-4"/>
        </w:rPr>
        <w:t>1,264</w:t>
      </w:r>
      <w:r>
        <w:rPr>
          <w:rFonts w:ascii="宋体" w:hAnsi="宋体" w:cs="宋体" w:eastAsia="宋体" w:hint="default"/>
          <w:spacing w:val="-88"/>
        </w:rPr>
        <w:t> </w:t>
      </w:r>
      <w:r>
        <w:rPr>
          <w:spacing w:val="-2"/>
        </w:rPr>
        <w:t>万股，由自然人秦劳、翟曙春、柏红、胡明炜、谢坤等五人以所持有的北京联银通科技有限公司的股权认购，变更后的注册</w:t>
      </w:r>
      <w:r>
        <w:rPr>
          <w:spacing w:val="-68"/>
        </w:rPr>
        <w:t> </w:t>
      </w:r>
      <w:r>
        <w:rPr>
          <w:spacing w:val="-68"/>
        </w:rPr>
      </w:r>
      <w:r>
        <w:rPr/>
        <w:t>资本为人民币</w:t>
      </w:r>
      <w:r>
        <w:rPr>
          <w:rFonts w:ascii="宋体" w:hAnsi="宋体" w:cs="宋体" w:eastAsia="宋体" w:hint="default"/>
        </w:rPr>
        <w:t>14,199.503</w:t>
      </w:r>
      <w:r>
        <w:rPr/>
        <w:t>万元。经过上述股份变更事项后，公司股本为人民币</w:t>
      </w:r>
      <w:r>
        <w:rPr>
          <w:rFonts w:ascii="宋体" w:hAnsi="宋体" w:cs="宋体" w:eastAsia="宋体" w:hint="default"/>
        </w:rPr>
        <w:t>14,199.503</w:t>
      </w:r>
      <w:r>
        <w:rPr/>
        <w:t>万元。</w:t>
      </w:r>
    </w:p>
    <w:p>
      <w:pPr>
        <w:pStyle w:val="BodyText"/>
        <w:spacing w:line="316" w:lineRule="auto" w:before="137"/>
        <w:ind w:right="190" w:firstLine="360"/>
        <w:jc w:val="both"/>
      </w:pPr>
      <w:r>
        <w:rPr>
          <w:spacing w:val="-2"/>
        </w:rPr>
        <w:t>经公司于</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月召开的</w:t>
      </w:r>
      <w:r>
        <w:rPr>
          <w:rFonts w:ascii="宋体" w:hAnsi="宋体" w:cs="宋体" w:eastAsia="宋体" w:hint="default"/>
          <w:spacing w:val="-2"/>
        </w:rPr>
        <w:t>2007</w:t>
      </w:r>
      <w:r>
        <w:rPr>
          <w:spacing w:val="-2"/>
        </w:rPr>
        <w:t>年度股东大会表决通过，公司按照</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日的股份总额</w:t>
      </w:r>
      <w:r>
        <w:rPr>
          <w:spacing w:val="14"/>
        </w:rPr>
        <w:t> </w:t>
      </w:r>
      <w:r>
        <w:rPr>
          <w:rFonts w:ascii="宋体" w:hAnsi="宋体" w:cs="宋体" w:eastAsia="宋体" w:hint="default"/>
        </w:rPr>
        <w:t>12,935.503</w:t>
      </w:r>
      <w:r>
        <w:rPr/>
        <w:t>万股及向自然 </w:t>
      </w:r>
      <w:r>
        <w:rPr>
          <w:spacing w:val="-2"/>
        </w:rPr>
        <w:t>人秦劳、翟曙春、柏红、胡明炜、谢坤等五人定向增发</w:t>
      </w:r>
      <w:r>
        <w:rPr>
          <w:rFonts w:ascii="宋体" w:hAnsi="宋体" w:cs="宋体" w:eastAsia="宋体" w:hint="default"/>
          <w:spacing w:val="-2"/>
        </w:rPr>
        <w:t>1,264</w:t>
      </w:r>
      <w:r>
        <w:rPr>
          <w:spacing w:val="-2"/>
        </w:rPr>
        <w:t>万股共计</w:t>
      </w:r>
      <w:r>
        <w:rPr>
          <w:rFonts w:ascii="宋体" w:hAnsi="宋体" w:cs="宋体" w:eastAsia="宋体" w:hint="default"/>
          <w:spacing w:val="-2"/>
        </w:rPr>
        <w:t>14,199.503</w:t>
      </w:r>
      <w:r>
        <w:rPr>
          <w:spacing w:val="-2"/>
        </w:rPr>
        <w:t>万股为基数，以资本公积按</w:t>
      </w:r>
      <w:r>
        <w:rPr>
          <w:rFonts w:ascii="宋体" w:hAnsi="宋体" w:cs="宋体" w:eastAsia="宋体" w:hint="default"/>
          <w:spacing w:val="-2"/>
        </w:rPr>
        <w:t>10:10</w:t>
      </w:r>
      <w:r>
        <w:rPr>
          <w:spacing w:val="-2"/>
        </w:rPr>
        <w:t>的比例向</w:t>
      </w:r>
      <w:r>
        <w:rPr>
          <w:spacing w:val="-46"/>
        </w:rPr>
        <w:t> </w:t>
      </w:r>
      <w:r>
        <w:rPr/>
        <w:t>全体股东转增股本，共增加股本</w:t>
      </w:r>
      <w:r>
        <w:rPr>
          <w:rFonts w:ascii="宋体" w:hAnsi="宋体" w:cs="宋体" w:eastAsia="宋体" w:hint="default"/>
        </w:rPr>
        <w:t>14,199.503</w:t>
      </w:r>
      <w:r>
        <w:rPr/>
        <w:t>万元。该增资事项完成后，公司的股本增加为人民币 </w:t>
      </w:r>
      <w:r>
        <w:rPr>
          <w:rFonts w:ascii="宋体" w:hAnsi="宋体" w:cs="宋体" w:eastAsia="宋体" w:hint="default"/>
        </w:rPr>
        <w:t>28,399.006</w:t>
      </w:r>
      <w:r>
        <w:rPr/>
        <w:t>万元。</w:t>
      </w:r>
    </w:p>
    <w:p>
      <w:pPr>
        <w:pStyle w:val="BodyText"/>
        <w:spacing w:line="316" w:lineRule="auto" w:before="139"/>
        <w:ind w:right="189" w:firstLine="360"/>
        <w:jc w:val="both"/>
      </w:pPr>
      <w:r>
        <w:rPr/>
        <w:t>经公司于</w:t>
      </w:r>
      <w:r>
        <w:rPr>
          <w:rFonts w:ascii="宋体" w:hAnsi="宋体" w:cs="宋体" w:eastAsia="宋体" w:hint="default"/>
        </w:rPr>
        <w:t>2009</w:t>
      </w:r>
      <w:r>
        <w:rPr/>
        <w:t>年</w:t>
      </w:r>
      <w:r>
        <w:rPr>
          <w:rFonts w:ascii="宋体" w:hAnsi="宋体" w:cs="宋体" w:eastAsia="宋体" w:hint="default"/>
        </w:rPr>
        <w:t>5</w:t>
      </w:r>
      <w:r>
        <w:rPr/>
        <w:t>月召开的</w:t>
      </w:r>
      <w:r>
        <w:rPr>
          <w:rFonts w:ascii="宋体" w:hAnsi="宋体" w:cs="宋体" w:eastAsia="宋体" w:hint="default"/>
        </w:rPr>
        <w:t>2008</w:t>
      </w:r>
      <w:r>
        <w:rPr/>
        <w:t>年度股东大会表决通过，公司按照</w:t>
      </w:r>
      <w:r>
        <w:rPr>
          <w:rFonts w:ascii="宋体" w:hAnsi="宋体" w:cs="宋体" w:eastAsia="宋体" w:hint="default"/>
        </w:rPr>
        <w:t>2008</w:t>
      </w:r>
      <w:r>
        <w:rPr/>
        <w:t>年</w:t>
      </w:r>
      <w:r>
        <w:rPr>
          <w:rFonts w:ascii="宋体" w:hAnsi="宋体" w:cs="宋体" w:eastAsia="宋体" w:hint="default"/>
        </w:rPr>
        <w:t>12</w:t>
      </w:r>
      <w:r>
        <w:rPr/>
        <w:t>月</w:t>
      </w:r>
      <w:r>
        <w:rPr>
          <w:rFonts w:ascii="宋体" w:hAnsi="宋体" w:cs="宋体" w:eastAsia="宋体" w:hint="default"/>
        </w:rPr>
        <w:t>31</w:t>
      </w:r>
      <w:r>
        <w:rPr/>
        <w:t>日的股本总额</w:t>
      </w:r>
      <w:r>
        <w:rPr>
          <w:rFonts w:ascii="宋体" w:hAnsi="宋体" w:cs="宋体" w:eastAsia="宋体" w:hint="default"/>
        </w:rPr>
        <w:t>28,399.006</w:t>
      </w:r>
      <w:r>
        <w:rPr/>
        <w:t>万元为基数， </w:t>
      </w:r>
      <w:r>
        <w:rPr>
          <w:spacing w:val="-2"/>
        </w:rPr>
        <w:t>按</w:t>
      </w:r>
      <w:r>
        <w:rPr>
          <w:rFonts w:ascii="宋体" w:hAnsi="宋体" w:cs="宋体" w:eastAsia="宋体" w:hint="default"/>
          <w:spacing w:val="-2"/>
        </w:rPr>
        <w:t>10</w:t>
      </w:r>
      <w:r>
        <w:rPr>
          <w:spacing w:val="-2"/>
        </w:rPr>
        <w:t>比</w:t>
      </w:r>
      <w:r>
        <w:rPr>
          <w:rFonts w:ascii="宋体" w:hAnsi="宋体" w:cs="宋体" w:eastAsia="宋体" w:hint="default"/>
          <w:spacing w:val="-2"/>
        </w:rPr>
        <w:t>3</w:t>
      </w:r>
      <w:r>
        <w:rPr>
          <w:spacing w:val="-2"/>
        </w:rPr>
        <w:t>的比例以资本公积转增股本，按</w:t>
      </w:r>
      <w:r>
        <w:rPr>
          <w:rFonts w:ascii="宋体" w:hAnsi="宋体" w:cs="宋体" w:eastAsia="宋体" w:hint="default"/>
          <w:spacing w:val="-2"/>
        </w:rPr>
        <w:t>10</w:t>
      </w:r>
      <w:r>
        <w:rPr>
          <w:spacing w:val="-2"/>
        </w:rPr>
        <w:t>比</w:t>
      </w:r>
      <w:r>
        <w:rPr>
          <w:rFonts w:ascii="宋体" w:hAnsi="宋体" w:cs="宋体" w:eastAsia="宋体" w:hint="default"/>
          <w:spacing w:val="-2"/>
        </w:rPr>
        <w:t>2</w:t>
      </w:r>
      <w:r>
        <w:rPr>
          <w:spacing w:val="-2"/>
        </w:rPr>
        <w:t>的比例向公司的全体股东派送红股，共增加股本</w:t>
      </w:r>
      <w:r>
        <w:rPr>
          <w:rFonts w:ascii="宋体" w:hAnsi="宋体" w:cs="宋体" w:eastAsia="宋体" w:hint="default"/>
          <w:spacing w:val="-2"/>
        </w:rPr>
        <w:t>14,199.503</w:t>
      </w:r>
      <w:r>
        <w:rPr>
          <w:spacing w:val="-2"/>
        </w:rPr>
        <w:t>万元。该增资事项</w:t>
      </w:r>
      <w:r>
        <w:rPr>
          <w:spacing w:val="-51"/>
        </w:rPr>
        <w:t> </w:t>
      </w:r>
      <w:r>
        <w:rPr>
          <w:spacing w:val="-51"/>
        </w:rPr>
      </w:r>
      <w:r>
        <w:rPr/>
        <w:t>完成后，公司的股本增加为人民币</w:t>
      </w:r>
      <w:r>
        <w:rPr>
          <w:rFonts w:ascii="宋体" w:hAnsi="宋体" w:cs="宋体" w:eastAsia="宋体" w:hint="default"/>
        </w:rPr>
        <w:t>42,598.509</w:t>
      </w:r>
      <w:r>
        <w:rPr/>
        <w:t>万元。</w:t>
      </w:r>
    </w:p>
    <w:p>
      <w:pPr>
        <w:pStyle w:val="BodyText"/>
        <w:spacing w:line="316" w:lineRule="auto" w:before="139"/>
        <w:ind w:right="189" w:firstLine="360"/>
        <w:jc w:val="both"/>
      </w:pP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12</w:t>
      </w:r>
      <w:r>
        <w:rPr/>
        <w:t>日，经北京市工商行政管理局核准变更登记，公司名称由“北京东华合创数码科技股份有限公司”变更为 “东华软件股份公司”。</w:t>
      </w:r>
    </w:p>
    <w:p>
      <w:pPr>
        <w:pStyle w:val="BodyText"/>
        <w:spacing w:line="316" w:lineRule="auto" w:before="139"/>
        <w:ind w:right="87" w:firstLine="360"/>
        <w:jc w:val="left"/>
      </w:pPr>
      <w:r>
        <w:rPr>
          <w:spacing w:val="-2"/>
        </w:rPr>
        <w:t>根据中国证券监督管理委员会于</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日下发的《关于核准东华软件股份公司发行股份购买资产的批复》（文号：</w:t>
      </w:r>
      <w:r>
        <w:rPr/>
        <w:t> </w:t>
      </w:r>
      <w:r>
        <w:rPr>
          <w:spacing w:val="-2"/>
        </w:rPr>
        <w:t>“证监许可</w:t>
      </w:r>
      <w:r>
        <w:rPr>
          <w:rFonts w:ascii="宋体" w:hAnsi="宋体" w:cs="宋体" w:eastAsia="宋体" w:hint="default"/>
          <w:spacing w:val="-2"/>
        </w:rPr>
        <w:t>[2011]96</w:t>
      </w:r>
      <w:r>
        <w:rPr>
          <w:spacing w:val="-2"/>
        </w:rPr>
        <w:t>号”）的规定，按照公司与北京神州新桥科技有限公司自然人股东张秀珍、张建华、江海标、王佺、吕</w:t>
      </w:r>
      <w:r>
        <w:rPr>
          <w:spacing w:val="-58"/>
        </w:rPr>
        <w:t> </w:t>
      </w:r>
      <w:r>
        <w:rPr>
          <w:spacing w:val="-58"/>
        </w:rPr>
      </w:r>
      <w:r>
        <w:rPr>
          <w:spacing w:val="-2"/>
        </w:rPr>
        <w:t>兴海五人确定的交易价格</w:t>
      </w:r>
      <w:r>
        <w:rPr>
          <w:rFonts w:ascii="宋体" w:hAnsi="宋体" w:cs="宋体" w:eastAsia="宋体" w:hint="default"/>
          <w:spacing w:val="-2"/>
        </w:rPr>
        <w:t>32,000</w:t>
      </w:r>
      <w:r>
        <w:rPr>
          <w:spacing w:val="-2"/>
        </w:rPr>
        <w:t>万元，公司以</w:t>
      </w:r>
      <w:r>
        <w:rPr>
          <w:rFonts w:ascii="宋体" w:hAnsi="宋体" w:cs="宋体" w:eastAsia="宋体" w:hint="default"/>
          <w:spacing w:val="-2"/>
        </w:rPr>
        <w:t>19.63</w:t>
      </w:r>
      <w:r>
        <w:rPr>
          <w:spacing w:val="-2"/>
        </w:rPr>
        <w:t>元</w:t>
      </w:r>
      <w:r>
        <w:rPr>
          <w:rFonts w:ascii="宋体" w:hAnsi="宋体" w:cs="宋体" w:eastAsia="宋体" w:hint="default"/>
          <w:spacing w:val="-2"/>
        </w:rPr>
        <w:t>/</w:t>
      </w:r>
      <w:r>
        <w:rPr>
          <w:spacing w:val="-2"/>
        </w:rPr>
        <w:t>股的价格向张秀珍、张建华、江海标、王佺、吕兴海五人合计发行股</w:t>
      </w:r>
      <w:r>
        <w:rPr>
          <w:spacing w:val="-54"/>
        </w:rPr>
        <w:t> </w:t>
      </w:r>
      <w:r>
        <w:rPr>
          <w:spacing w:val="-54"/>
        </w:rPr>
      </w:r>
      <w:r>
        <w:rPr>
          <w:spacing w:val="-2"/>
        </w:rPr>
        <w:t>份</w:t>
      </w:r>
      <w:r>
        <w:rPr>
          <w:rFonts w:ascii="宋体" w:hAnsi="宋体" w:cs="宋体" w:eastAsia="宋体" w:hint="default"/>
          <w:spacing w:val="-2"/>
        </w:rPr>
        <w:t>16,301,577</w:t>
      </w:r>
      <w:r>
        <w:rPr>
          <w:spacing w:val="-2"/>
        </w:rPr>
        <w:t>股，作为公司收购北京神州新桥科技有限公司</w:t>
      </w:r>
      <w:r>
        <w:rPr>
          <w:rFonts w:ascii="宋体" w:hAnsi="宋体" w:cs="宋体" w:eastAsia="宋体" w:hint="default"/>
          <w:spacing w:val="-2"/>
        </w:rPr>
        <w:t>100%</w:t>
      </w:r>
      <w:r>
        <w:rPr>
          <w:spacing w:val="-2"/>
        </w:rPr>
        <w:t>股权的支付对价。根据中登深圳分公司出具的《证券登记确</w:t>
      </w:r>
      <w:r>
        <w:rPr>
          <w:spacing w:val="-52"/>
        </w:rPr>
        <w:t> </w:t>
      </w:r>
      <w:r>
        <w:rPr>
          <w:spacing w:val="-52"/>
        </w:rPr>
      </w:r>
      <w:r>
        <w:rPr>
          <w:spacing w:val="-5"/>
        </w:rPr>
        <w:t>认书》，公司于</w:t>
      </w:r>
      <w:r>
        <w:rPr>
          <w:rFonts w:ascii="宋体" w:hAnsi="宋体" w:cs="宋体" w:eastAsia="宋体" w:hint="default"/>
          <w:spacing w:val="-5"/>
        </w:rPr>
        <w:t>2011</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17</w:t>
      </w:r>
      <w:r>
        <w:rPr>
          <w:spacing w:val="-5"/>
        </w:rPr>
        <w:t>日办理完毕本次发行股份的证券登记。经过上述股份变更事项后，公司股本为人民币</w:t>
      </w:r>
      <w:r>
        <w:rPr>
          <w:rFonts w:ascii="宋体" w:hAnsi="宋体" w:cs="宋体" w:eastAsia="宋体" w:hint="default"/>
          <w:spacing w:val="-5"/>
        </w:rPr>
        <w:t>44,228.6667</w:t>
      </w:r>
      <w:r>
        <w:rPr>
          <w:rFonts w:ascii="宋体" w:hAnsi="宋体" w:cs="宋体" w:eastAsia="宋体" w:hint="default"/>
          <w:spacing w:val="-37"/>
        </w:rPr>
        <w:t> </w:t>
      </w:r>
      <w:r>
        <w:rPr/>
        <w:t>万元。</w:t>
      </w:r>
    </w:p>
    <w:p>
      <w:pPr>
        <w:pStyle w:val="BodyText"/>
        <w:spacing w:line="316" w:lineRule="auto" w:before="139"/>
        <w:ind w:right="190" w:firstLine="360"/>
        <w:jc w:val="both"/>
      </w:pPr>
      <w:r>
        <w:rPr/>
        <w:t>经公司于</w:t>
      </w:r>
      <w:r>
        <w:rPr>
          <w:rFonts w:ascii="宋体" w:hAnsi="宋体" w:cs="宋体" w:eastAsia="宋体" w:hint="default"/>
        </w:rPr>
        <w:t>2011</w:t>
      </w:r>
      <w:r>
        <w:rPr/>
        <w:t>年</w:t>
      </w:r>
      <w:r>
        <w:rPr>
          <w:rFonts w:ascii="宋体" w:hAnsi="宋体" w:cs="宋体" w:eastAsia="宋体" w:hint="default"/>
        </w:rPr>
        <w:t>05</w:t>
      </w:r>
      <w:r>
        <w:rPr/>
        <w:t>月</w:t>
      </w:r>
      <w:r>
        <w:rPr>
          <w:rFonts w:ascii="宋体" w:hAnsi="宋体" w:cs="宋体" w:eastAsia="宋体" w:hint="default"/>
        </w:rPr>
        <w:t>18</w:t>
      </w:r>
      <w:r>
        <w:rPr/>
        <w:t>日召开的公司</w:t>
      </w:r>
      <w:r>
        <w:rPr>
          <w:rFonts w:ascii="宋体" w:hAnsi="宋体" w:cs="宋体" w:eastAsia="宋体" w:hint="default"/>
        </w:rPr>
        <w:t>2010</w:t>
      </w:r>
      <w:r>
        <w:rPr/>
        <w:t>年度股东大会表决通过，以公司总股本</w:t>
      </w:r>
      <w:r>
        <w:rPr>
          <w:rFonts w:ascii="宋体" w:hAnsi="宋体" w:cs="宋体" w:eastAsia="宋体" w:hint="default"/>
        </w:rPr>
        <w:t>442,286,667</w:t>
      </w:r>
      <w:r>
        <w:rPr/>
        <w:t>股为基数，向全体股东每 </w:t>
      </w:r>
      <w:r>
        <w:rPr>
          <w:rFonts w:ascii="宋体" w:hAnsi="宋体" w:cs="宋体" w:eastAsia="宋体" w:hint="default"/>
        </w:rPr>
        <w:t>10</w:t>
      </w:r>
      <w:r>
        <w:rPr/>
        <w:t>股送</w:t>
      </w:r>
      <w:r>
        <w:rPr>
          <w:rFonts w:ascii="宋体" w:hAnsi="宋体" w:cs="宋体" w:eastAsia="宋体" w:hint="default"/>
        </w:rPr>
        <w:t>2</w:t>
      </w:r>
      <w:r>
        <w:rPr/>
        <w:t>股红股，共增加股本</w:t>
      </w:r>
      <w:r>
        <w:rPr>
          <w:rFonts w:ascii="宋体" w:hAnsi="宋体" w:cs="宋体" w:eastAsia="宋体" w:hint="default"/>
        </w:rPr>
        <w:t>8,845.7333</w:t>
      </w:r>
      <w:r>
        <w:rPr/>
        <w:t>万元，变更后公司股本为人民币</w:t>
      </w:r>
      <w:r>
        <w:rPr>
          <w:rFonts w:ascii="宋体" w:hAnsi="宋体" w:cs="宋体" w:eastAsia="宋体" w:hint="default"/>
        </w:rPr>
        <w:t>53,074.4</w:t>
      </w:r>
      <w:r>
        <w:rPr/>
        <w:t>万元。</w:t>
      </w:r>
    </w:p>
    <w:p>
      <w:pPr>
        <w:pStyle w:val="BodyText"/>
        <w:spacing w:line="316" w:lineRule="auto" w:before="139"/>
        <w:ind w:right="190" w:firstLine="360"/>
        <w:jc w:val="both"/>
      </w:pPr>
      <w:r>
        <w:rPr>
          <w:spacing w:val="-2"/>
        </w:rPr>
        <w:t>经公司于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日召开的公司</w:t>
      </w:r>
      <w:r>
        <w:rPr>
          <w:rFonts w:ascii="宋体" w:hAnsi="宋体" w:cs="宋体" w:eastAsia="宋体" w:hint="default"/>
          <w:spacing w:val="-2"/>
        </w:rPr>
        <w:t>2011</w:t>
      </w:r>
      <w:r>
        <w:rPr>
          <w:spacing w:val="-2"/>
        </w:rPr>
        <w:t>年度股东大会表决通过，以公司总股本</w:t>
      </w:r>
      <w:r>
        <w:rPr>
          <w:rFonts w:ascii="宋体" w:hAnsi="宋体" w:cs="宋体" w:eastAsia="宋体" w:hint="default"/>
          <w:spacing w:val="-2"/>
        </w:rPr>
        <w:t>530,744,000</w:t>
      </w:r>
      <w:r>
        <w:rPr>
          <w:spacing w:val="-2"/>
        </w:rPr>
        <w:t>股为基数，向全体股东每</w:t>
      </w:r>
      <w:r>
        <w:rPr>
          <w:rFonts w:ascii="宋体" w:hAnsi="宋体" w:cs="宋体" w:eastAsia="宋体" w:hint="default"/>
          <w:spacing w:val="-2"/>
        </w:rPr>
        <w:t>10</w:t>
      </w:r>
      <w:r>
        <w:rPr>
          <w:rFonts w:ascii="宋体" w:hAnsi="宋体" w:cs="宋体" w:eastAsia="宋体" w:hint="default"/>
        </w:rPr>
        <w:t> </w:t>
      </w:r>
      <w:r>
        <w:rPr/>
        <w:t>股送</w:t>
      </w:r>
      <w:r>
        <w:rPr>
          <w:rFonts w:ascii="宋体" w:hAnsi="宋体" w:cs="宋体" w:eastAsia="宋体" w:hint="default"/>
        </w:rPr>
        <w:t>3</w:t>
      </w:r>
      <w:r>
        <w:rPr/>
        <w:t>股红股，共增加股本</w:t>
      </w:r>
      <w:r>
        <w:rPr>
          <w:rFonts w:ascii="宋体" w:hAnsi="宋体" w:cs="宋体" w:eastAsia="宋体" w:hint="default"/>
        </w:rPr>
        <w:t>15,922.32</w:t>
      </w:r>
      <w:r>
        <w:rPr/>
        <w:t>万元，变更后公司股本为人民币</w:t>
      </w:r>
      <w:r>
        <w:rPr>
          <w:rFonts w:ascii="宋体" w:hAnsi="宋体" w:cs="宋体" w:eastAsia="宋体" w:hint="default"/>
        </w:rPr>
        <w:t>68,996.72</w:t>
      </w:r>
      <w:r>
        <w:rPr/>
        <w:t>万元。</w:t>
      </w:r>
    </w:p>
    <w:p>
      <w:pPr>
        <w:pStyle w:val="BodyText"/>
        <w:spacing w:line="316" w:lineRule="auto" w:before="139"/>
        <w:ind w:right="189" w:firstLine="360"/>
        <w:jc w:val="both"/>
      </w:pPr>
      <w:r>
        <w:rPr/>
        <w:t>根据公司股票期权激励计划的规定，</w:t>
      </w:r>
      <w:r>
        <w:rPr>
          <w:rFonts w:ascii="宋体" w:hAnsi="宋体" w:cs="宋体" w:eastAsia="宋体" w:hint="default"/>
        </w:rPr>
        <w:t>2013</w:t>
      </w:r>
      <w:r>
        <w:rPr/>
        <w:t>年</w:t>
      </w:r>
      <w:r>
        <w:rPr>
          <w:rFonts w:ascii="宋体" w:hAnsi="宋体" w:cs="宋体" w:eastAsia="宋体" w:hint="default"/>
        </w:rPr>
        <w:t>11</w:t>
      </w:r>
      <w:r>
        <w:rPr/>
        <w:t>月公司股票期权激励计划第一期行权的</w:t>
      </w:r>
      <w:r>
        <w:rPr>
          <w:rFonts w:ascii="宋体" w:hAnsi="宋体" w:cs="宋体" w:eastAsia="宋体" w:hint="default"/>
        </w:rPr>
        <w:t>432</w:t>
      </w:r>
      <w:r>
        <w:rPr/>
        <w:t>名激励对象缴纳出资增加注册 资本</w:t>
      </w:r>
      <w:r>
        <w:rPr>
          <w:rFonts w:ascii="宋体" w:hAnsi="宋体" w:cs="宋体" w:eastAsia="宋体" w:hint="default"/>
        </w:rPr>
        <w:t>4,336,410.00</w:t>
      </w:r>
      <w:r>
        <w:rPr/>
        <w:t>元，变更后公司股本为人民币</w:t>
      </w:r>
      <w:r>
        <w:rPr>
          <w:rFonts w:ascii="宋体" w:hAnsi="宋体" w:cs="宋体" w:eastAsia="宋体" w:hint="default"/>
        </w:rPr>
        <w:t>694,303,610</w:t>
      </w:r>
      <w:r>
        <w:rPr/>
        <w:t>元。</w:t>
      </w:r>
    </w:p>
    <w:p>
      <w:pPr>
        <w:pStyle w:val="BodyText"/>
        <w:spacing w:line="316" w:lineRule="auto" w:before="139"/>
        <w:ind w:right="189" w:firstLine="360"/>
        <w:jc w:val="both"/>
      </w:pPr>
      <w:r>
        <w:rPr/>
        <w:t>根据公司股票期权激励计划的规定，</w:t>
      </w:r>
      <w:r>
        <w:rPr>
          <w:rFonts w:ascii="宋体" w:hAnsi="宋体" w:cs="宋体" w:eastAsia="宋体" w:hint="default"/>
        </w:rPr>
        <w:t>2014</w:t>
      </w:r>
      <w:r>
        <w:rPr/>
        <w:t>年</w:t>
      </w:r>
      <w:r>
        <w:rPr>
          <w:rFonts w:ascii="宋体" w:hAnsi="宋体" w:cs="宋体" w:eastAsia="宋体" w:hint="default"/>
        </w:rPr>
        <w:t>1</w:t>
      </w:r>
      <w:r>
        <w:rPr/>
        <w:t>月股票期权激励计划第一期行权的</w:t>
      </w:r>
      <w:r>
        <w:rPr>
          <w:rFonts w:ascii="宋体" w:hAnsi="宋体" w:cs="宋体" w:eastAsia="宋体" w:hint="default"/>
        </w:rPr>
        <w:t>1</w:t>
      </w:r>
      <w:r>
        <w:rPr/>
        <w:t>名激励对象和第二期行权的</w:t>
      </w:r>
      <w:r>
        <w:rPr>
          <w:rFonts w:ascii="宋体" w:hAnsi="宋体" w:cs="宋体" w:eastAsia="宋体" w:hint="default"/>
        </w:rPr>
        <w:t>339</w:t>
      </w:r>
      <w:r>
        <w:rPr/>
        <w:t>名激励 对象出资增加注册资本 </w:t>
      </w:r>
      <w:r>
        <w:rPr>
          <w:rFonts w:ascii="宋体" w:hAnsi="宋体" w:cs="宋体" w:eastAsia="宋体" w:hint="default"/>
        </w:rPr>
        <w:t>4,295,460.00</w:t>
      </w:r>
      <w:r>
        <w:rPr/>
        <w:t>元，变更后公司股本为人民币 </w:t>
      </w:r>
      <w:r>
        <w:rPr>
          <w:rFonts w:ascii="宋体" w:hAnsi="宋体" w:cs="宋体" w:eastAsia="宋体" w:hint="default"/>
        </w:rPr>
        <w:t>698,599,070</w:t>
      </w:r>
      <w:r>
        <w:rPr/>
        <w:t>元。</w:t>
      </w:r>
    </w:p>
    <w:p>
      <w:pPr>
        <w:pStyle w:val="BodyText"/>
        <w:spacing w:line="240" w:lineRule="auto" w:before="139"/>
        <w:ind w:left="514" w:right="87"/>
        <w:jc w:val="left"/>
      </w:pPr>
      <w:r>
        <w:rPr/>
        <w:t>经中国证券监督管理委员会证监许可</w:t>
      </w:r>
      <w:r>
        <w:rPr>
          <w:rFonts w:ascii="宋体" w:hAnsi="宋体" w:cs="宋体" w:eastAsia="宋体" w:hint="default"/>
        </w:rPr>
        <w:t>[2013]845</w:t>
      </w:r>
      <w:r>
        <w:rPr/>
        <w:t>号文核准，公司于 </w:t>
      </w:r>
      <w:r>
        <w:rPr>
          <w:rFonts w:ascii="宋体" w:hAnsi="宋体" w:cs="宋体" w:eastAsia="宋体" w:hint="default"/>
        </w:rPr>
        <w:t>2013 </w:t>
      </w:r>
      <w:r>
        <w:rPr/>
        <w:t>年 </w:t>
      </w:r>
      <w:r>
        <w:rPr>
          <w:rFonts w:ascii="宋体" w:hAnsi="宋体" w:cs="宋体" w:eastAsia="宋体" w:hint="default"/>
        </w:rPr>
        <w:t>7 </w:t>
      </w:r>
      <w:r>
        <w:rPr/>
        <w:t>月 </w:t>
      </w:r>
      <w:r>
        <w:rPr>
          <w:rFonts w:ascii="宋体" w:hAnsi="宋体" w:cs="宋体" w:eastAsia="宋体" w:hint="default"/>
        </w:rPr>
        <w:t>26 </w:t>
      </w:r>
      <w:r>
        <w:rPr/>
        <w:t>日公开发行了 </w:t>
      </w:r>
      <w:r>
        <w:rPr>
          <w:rFonts w:ascii="宋体" w:hAnsi="宋体" w:cs="宋体" w:eastAsia="宋体" w:hint="default"/>
        </w:rPr>
        <w:t>1,000</w:t>
      </w:r>
      <w:r>
        <w:rPr>
          <w:rFonts w:ascii="宋体" w:hAnsi="宋体" w:cs="宋体" w:eastAsia="宋体" w:hint="default"/>
          <w:spacing w:val="7"/>
        </w:rPr>
        <w:t> </w:t>
      </w:r>
      <w:r>
        <w:rPr/>
        <w:t>万张可转换</w:t>
      </w:r>
    </w:p>
    <w:p>
      <w:pPr>
        <w:pStyle w:val="BodyText"/>
        <w:spacing w:line="316" w:lineRule="auto" w:before="76"/>
        <w:ind w:right="192"/>
        <w:jc w:val="both"/>
      </w:pPr>
      <w:r>
        <w:rPr>
          <w:spacing w:val="-4"/>
        </w:rPr>
        <w:t>公司债券，每张面值 </w:t>
      </w:r>
      <w:r>
        <w:rPr>
          <w:rFonts w:ascii="宋体" w:hAnsi="宋体" w:cs="宋体" w:eastAsia="宋体" w:hint="default"/>
        </w:rPr>
        <w:t>100 </w:t>
      </w:r>
      <w:r>
        <w:rPr>
          <w:spacing w:val="-6"/>
        </w:rPr>
        <w:t>元，发行总额 </w:t>
      </w:r>
      <w:r>
        <w:rPr>
          <w:rFonts w:ascii="宋体" w:hAnsi="宋体" w:cs="宋体" w:eastAsia="宋体" w:hint="default"/>
          <w:spacing w:val="-4"/>
        </w:rPr>
        <w:t>100,000</w:t>
      </w:r>
      <w:r>
        <w:rPr>
          <w:spacing w:val="-4"/>
        </w:rPr>
        <w:t>万元。转股起止日：</w:t>
      </w:r>
      <w:r>
        <w:rPr>
          <w:rFonts w:ascii="宋体" w:hAnsi="宋体" w:cs="宋体" w:eastAsia="宋体" w:hint="default"/>
          <w:spacing w:val="-4"/>
        </w:rPr>
        <w:t>2014 </w:t>
      </w:r>
      <w:r>
        <w:rPr/>
        <w:t>年 </w:t>
      </w:r>
      <w:r>
        <w:rPr>
          <w:rFonts w:ascii="宋体" w:hAnsi="宋体" w:cs="宋体" w:eastAsia="宋体" w:hint="default"/>
        </w:rPr>
        <w:t>2 </w:t>
      </w:r>
      <w:r>
        <w:rPr/>
        <w:t>月 </w:t>
      </w:r>
      <w:r>
        <w:rPr>
          <w:rFonts w:ascii="宋体" w:hAnsi="宋体" w:cs="宋体" w:eastAsia="宋体" w:hint="default"/>
        </w:rPr>
        <w:t>7 </w:t>
      </w:r>
      <w:r>
        <w:rPr/>
        <w:t>日至 </w:t>
      </w:r>
      <w:r>
        <w:rPr>
          <w:rFonts w:ascii="宋体" w:hAnsi="宋体" w:cs="宋体" w:eastAsia="宋体" w:hint="default"/>
        </w:rPr>
        <w:t>2019 </w:t>
      </w:r>
      <w:r>
        <w:rPr/>
        <w:t>年 </w:t>
      </w:r>
      <w:r>
        <w:rPr>
          <w:rFonts w:ascii="宋体" w:hAnsi="宋体" w:cs="宋体" w:eastAsia="宋体" w:hint="default"/>
        </w:rPr>
        <w:t>7 </w:t>
      </w:r>
      <w:r>
        <w:rPr/>
        <w:t>月 </w:t>
      </w:r>
      <w:r>
        <w:rPr>
          <w:rFonts w:ascii="宋体" w:hAnsi="宋体" w:cs="宋体" w:eastAsia="宋体" w:hint="default"/>
        </w:rPr>
        <w:t>25</w:t>
      </w:r>
      <w:r>
        <w:rPr>
          <w:rFonts w:ascii="宋体" w:hAnsi="宋体" w:cs="宋体" w:eastAsia="宋体" w:hint="default"/>
          <w:spacing w:val="29"/>
        </w:rPr>
        <w:t> </w:t>
      </w:r>
      <w:r>
        <w:rPr>
          <w:spacing w:val="-5"/>
        </w:rPr>
        <w:t>日。截止</w:t>
      </w:r>
      <w:r>
        <w:rPr>
          <w:rFonts w:ascii="宋体" w:hAnsi="宋体" w:cs="宋体" w:eastAsia="宋体" w:hint="default"/>
          <w:spacing w:val="-5"/>
        </w:rPr>
        <w:t>2014</w:t>
      </w:r>
      <w:r>
        <w:rPr>
          <w:rFonts w:ascii="宋体" w:hAnsi="宋体" w:cs="宋体" w:eastAsia="宋体" w:hint="default"/>
        </w:rPr>
        <w:t> </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30</w:t>
      </w:r>
      <w:r>
        <w:rPr>
          <w:spacing w:val="-4"/>
        </w:rPr>
        <w:t>日，可转换公司债券已转股</w:t>
      </w:r>
      <w:r>
        <w:rPr>
          <w:rFonts w:ascii="宋体" w:hAnsi="宋体" w:cs="宋体" w:eastAsia="宋体" w:hint="default"/>
          <w:spacing w:val="-4"/>
        </w:rPr>
        <w:t>36,442,301</w:t>
      </w:r>
      <w:r>
        <w:rPr>
          <w:spacing w:val="-4"/>
        </w:rPr>
        <w:t>股，转股后公司总股本为</w:t>
      </w:r>
      <w:r>
        <w:rPr>
          <w:rFonts w:ascii="宋体" w:hAnsi="宋体" w:cs="宋体" w:eastAsia="宋体" w:hint="default"/>
          <w:spacing w:val="-4"/>
        </w:rPr>
        <w:t>735,041,371</w:t>
      </w:r>
      <w:r>
        <w:rPr>
          <w:spacing w:val="-4"/>
        </w:rPr>
        <w:t>股。根据公司于</w:t>
      </w:r>
      <w:r>
        <w:rPr>
          <w:rFonts w:ascii="宋体" w:hAnsi="宋体" w:cs="宋体" w:eastAsia="宋体" w:hint="default"/>
          <w:spacing w:val="-4"/>
        </w:rPr>
        <w:t>2014</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5</w:t>
      </w:r>
      <w:r>
        <w:rPr>
          <w:spacing w:val="-4"/>
        </w:rPr>
        <w:t>日召开的</w:t>
      </w:r>
      <w:r>
        <w:rPr>
          <w:rFonts w:ascii="宋体" w:hAnsi="宋体" w:cs="宋体" w:eastAsia="宋体" w:hint="default"/>
          <w:spacing w:val="-4"/>
        </w:rPr>
        <w:t>2013</w:t>
      </w:r>
      <w:r>
        <w:rPr>
          <w:rFonts w:ascii="宋体" w:hAnsi="宋体" w:cs="宋体" w:eastAsia="宋体" w:hint="default"/>
          <w:spacing w:val="-66"/>
        </w:rPr>
        <w:t> </w:t>
      </w:r>
      <w:r>
        <w:rPr/>
        <w:t>年度股东大会决议，截止股权登记日</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30</w:t>
      </w:r>
      <w:r>
        <w:rPr/>
        <w:t>日，公司总股本</w:t>
      </w:r>
      <w:r>
        <w:rPr>
          <w:spacing w:val="-41"/>
        </w:rPr>
        <w:t> </w:t>
      </w:r>
      <w:r>
        <w:rPr>
          <w:rFonts w:ascii="宋体" w:hAnsi="宋体" w:cs="宋体" w:eastAsia="宋体" w:hint="default"/>
        </w:rPr>
        <w:t>735,041,371</w:t>
      </w:r>
      <w:r>
        <w:rPr/>
        <w:t>股，以资本公积金向全体股东每</w:t>
      </w:r>
      <w:r>
        <w:rPr>
          <w:spacing w:val="-41"/>
        </w:rPr>
        <w:t> </w:t>
      </w:r>
      <w:r>
        <w:rPr>
          <w:rFonts w:ascii="宋体" w:hAnsi="宋体" w:cs="宋体" w:eastAsia="宋体" w:hint="default"/>
        </w:rPr>
        <w:t>10</w:t>
      </w:r>
      <w:r>
        <w:rPr/>
        <w:t>股转增</w:t>
      </w:r>
      <w:r>
        <w:rPr>
          <w:rFonts w:ascii="宋体" w:hAnsi="宋体" w:cs="宋体" w:eastAsia="宋体" w:hint="default"/>
        </w:rPr>
        <w:t>10 </w:t>
      </w:r>
      <w:r>
        <w:rPr/>
        <w:t>股，共计转增</w:t>
      </w:r>
      <w:r>
        <w:rPr>
          <w:rFonts w:ascii="宋体" w:hAnsi="宋体" w:cs="宋体" w:eastAsia="宋体" w:hint="default"/>
        </w:rPr>
        <w:t>735,041,371 </w:t>
      </w:r>
      <w:r>
        <w:rPr/>
        <w:t>股。变更后股本为人民币</w:t>
      </w:r>
      <w:r>
        <w:rPr>
          <w:rFonts w:ascii="宋体" w:hAnsi="宋体" w:cs="宋体" w:eastAsia="宋体" w:hint="default"/>
        </w:rPr>
        <w:t>1,470,082,742</w:t>
      </w:r>
      <w:r>
        <w:rPr/>
        <w:t>元。</w:t>
      </w:r>
    </w:p>
    <w:p>
      <w:pPr>
        <w:pStyle w:val="BodyText"/>
        <w:spacing w:line="319" w:lineRule="auto" w:before="139"/>
        <w:ind w:right="187" w:firstLine="360"/>
        <w:jc w:val="both"/>
      </w:pPr>
      <w:r>
        <w:rPr>
          <w:rFonts w:ascii="宋体" w:hAnsi="宋体" w:cs="宋体" w:eastAsia="宋体" w:hint="default"/>
        </w:rPr>
        <w:t>2014</w:t>
      </w:r>
      <w:r>
        <w:rPr/>
        <w:t>年</w:t>
      </w:r>
      <w:r>
        <w:rPr>
          <w:rFonts w:ascii="宋体" w:hAnsi="宋体" w:cs="宋体" w:eastAsia="宋体" w:hint="default"/>
        </w:rPr>
        <w:t>6</w:t>
      </w:r>
      <w:r>
        <w:rPr/>
        <w:t>月，根据贵公司</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6</w:t>
      </w:r>
      <w:r>
        <w:rPr/>
        <w:t>日召开的</w:t>
      </w:r>
      <w:r>
        <w:rPr>
          <w:rFonts w:ascii="宋体" w:hAnsi="宋体" w:cs="宋体" w:eastAsia="宋体" w:hint="default"/>
        </w:rPr>
        <w:t>2013</w:t>
      </w:r>
      <w:r>
        <w:rPr/>
        <w:t>年第一次临时股东大会决议，经中国证券监督管理委员会证监许可 </w:t>
      </w:r>
      <w:r>
        <w:rPr>
          <w:rFonts w:ascii="宋体" w:hAnsi="宋体" w:cs="宋体" w:eastAsia="宋体" w:hint="default"/>
        </w:rPr>
        <w:t>[2014]</w:t>
      </w:r>
      <w:r>
        <w:rPr>
          <w:rFonts w:ascii="宋体" w:hAnsi="宋体" w:cs="宋体" w:eastAsia="宋体" w:hint="default"/>
          <w:spacing w:val="-37"/>
        </w:rPr>
        <w:t> </w:t>
      </w:r>
      <w:r>
        <w:rPr>
          <w:rFonts w:ascii="宋体" w:hAnsi="宋体" w:cs="宋体" w:eastAsia="宋体" w:hint="default"/>
          <w:spacing w:val="-1"/>
        </w:rPr>
        <w:t>343</w:t>
      </w:r>
      <w:r>
        <w:rPr>
          <w:spacing w:val="-1"/>
        </w:rPr>
        <w:t>号《关于核准东华软件股份公司向黄麟雏等发行股份购买资产并募集配套资金的批复》核准，公司获准向北京威</w:t>
      </w:r>
      <w:r>
        <w:rPr>
          <w:spacing w:val="-88"/>
        </w:rPr>
        <w:t> </w:t>
      </w:r>
      <w:r>
        <w:rPr>
          <w:spacing w:val="-88"/>
        </w:rPr>
      </w:r>
      <w:r>
        <w:rPr/>
        <w:t>锐达测控系统有限公司股东黄麟雏等</w:t>
      </w:r>
      <w:r>
        <w:rPr>
          <w:rFonts w:ascii="宋体" w:hAnsi="宋体" w:cs="宋体" w:eastAsia="宋体" w:hint="default"/>
        </w:rPr>
        <w:t>18</w:t>
      </w:r>
      <w:r>
        <w:rPr/>
        <w:t>名自然人发行人民币普通股（</w:t>
      </w:r>
      <w:r>
        <w:rPr>
          <w:rFonts w:ascii="宋体" w:hAnsi="宋体" w:cs="宋体" w:eastAsia="宋体" w:hint="default"/>
        </w:rPr>
        <w:t>A </w:t>
      </w:r>
      <w:r>
        <w:rPr>
          <w:spacing w:val="-3"/>
        </w:rPr>
        <w:t>股）</w:t>
      </w:r>
      <w:r>
        <w:rPr>
          <w:rFonts w:ascii="宋体" w:hAnsi="宋体" w:cs="宋体" w:eastAsia="宋体" w:hint="default"/>
          <w:spacing w:val="-3"/>
        </w:rPr>
        <w:t>29,212,592</w:t>
      </w:r>
      <w:r>
        <w:rPr>
          <w:spacing w:val="-3"/>
        </w:rPr>
        <w:t>股，以及配融资支付现金，购买黄麟</w:t>
      </w:r>
      <w:r>
        <w:rPr/>
        <w:t> 雏等</w:t>
      </w:r>
      <w:r>
        <w:rPr>
          <w:rFonts w:ascii="宋体" w:hAnsi="宋体" w:cs="宋体" w:eastAsia="宋体" w:hint="default"/>
        </w:rPr>
        <w:t>18</w:t>
      </w:r>
      <w:r>
        <w:rPr/>
        <w:t>名自然人持有的北京威锐达测控系统有限公司</w:t>
      </w:r>
      <w:r>
        <w:rPr>
          <w:rFonts w:ascii="宋体" w:hAnsi="宋体" w:cs="宋体" w:eastAsia="宋体" w:hint="default"/>
        </w:rPr>
        <w:t>100%</w:t>
      </w:r>
      <w:r>
        <w:rPr/>
        <w:t>的股权。公司募集配套资金增加注册资本人民币</w:t>
      </w:r>
      <w:r>
        <w:rPr>
          <w:rFonts w:ascii="宋体" w:hAnsi="宋体" w:cs="宋体" w:eastAsia="宋体" w:hint="default"/>
        </w:rPr>
        <w:t>10,712,789</w:t>
      </w:r>
      <w:r>
        <w:rPr/>
        <w:t>元。 </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日，公司发行的可转换公司债券共计转股</w:t>
      </w:r>
      <w:r>
        <w:rPr>
          <w:rFonts w:ascii="宋体" w:hAnsi="宋体" w:cs="宋体" w:eastAsia="宋体" w:hint="default"/>
        </w:rPr>
        <w:t>4,798,825</w:t>
      </w:r>
      <w:r>
        <w:rPr/>
        <w:t>股。经过上述变更后，公司的股本总额为人民币</w:t>
      </w:r>
    </w:p>
    <w:p>
      <w:pPr>
        <w:pStyle w:val="BodyText"/>
        <w:spacing w:line="240" w:lineRule="auto" w:before="17"/>
        <w:ind w:right="0"/>
        <w:jc w:val="both"/>
      </w:pPr>
      <w:r>
        <w:rPr>
          <w:rFonts w:ascii="宋体" w:hAnsi="宋体" w:cs="宋体" w:eastAsia="宋体" w:hint="default"/>
        </w:rPr>
        <w:t>1,514,806,948</w:t>
      </w:r>
      <w:r>
        <w:rPr/>
        <w:t>元。</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t>公司所属的行业性质为软件和信息技术服务业。</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53" w:firstLine="360"/>
        <w:jc w:val="both"/>
      </w:pPr>
      <w:r>
        <w:rPr>
          <w:spacing w:val="-2"/>
        </w:rPr>
        <w:t>公司的经营范围包括：技术开发、技术咨询、技术服务、技术推广、技术转让；计算机系统服务；数据处理；基础软件</w:t>
      </w:r>
      <w:r>
        <w:rPr/>
        <w:t> </w:t>
      </w:r>
      <w:r>
        <w:rPr>
          <w:spacing w:val="-2"/>
        </w:rPr>
        <w:t>服务、应用软件服务、公共软件服务；销售计算机软、硬件及外围设备、通讯设备；承接工业控制与自动化系统工程、计算</w:t>
      </w:r>
      <w:r>
        <w:rPr>
          <w:spacing w:val="-72"/>
        </w:rPr>
        <w:t> </w:t>
      </w:r>
      <w:r>
        <w:rPr>
          <w:spacing w:val="-72"/>
        </w:rPr>
      </w:r>
      <w:r>
        <w:rPr/>
        <w:t>机通讯工程、智能楼宇及数据中心计算机系统工程；货物进出口、技术进出口、代理进出口。</w:t>
      </w:r>
    </w:p>
    <w:p>
      <w:pPr>
        <w:pStyle w:val="BodyText"/>
        <w:spacing w:line="439" w:lineRule="auto" w:before="139"/>
        <w:ind w:left="514" w:right="0"/>
        <w:jc w:val="left"/>
      </w:pPr>
      <w:r>
        <w:rPr/>
        <w:t>公司的主要产品为行业应用软件开发、计算机信息系统集成及相关服务业务等。 公司的母公司为北京东华诚信电脑科技发展有限公司，公司的实际控制人为薛向东先生。 本财务报表业经公司第五届第二十次董事会全体董事于</w:t>
      </w:r>
      <w:r>
        <w:rPr>
          <w:rFonts w:ascii="宋体" w:hAnsi="宋体" w:cs="宋体" w:eastAsia="宋体" w:hint="default"/>
        </w:rPr>
        <w:t>2015</w:t>
      </w:r>
      <w:r>
        <w:rPr/>
        <w:t>年 </w:t>
      </w:r>
      <w:r>
        <w:rPr>
          <w:rFonts w:ascii="宋体" w:hAnsi="宋体" w:cs="宋体" w:eastAsia="宋体" w:hint="default"/>
        </w:rPr>
        <w:t>4 </w:t>
      </w:r>
      <w:r>
        <w:rPr/>
        <w:t>月 </w:t>
      </w:r>
      <w:r>
        <w:rPr>
          <w:rFonts w:ascii="宋体" w:hAnsi="宋体" w:cs="宋体" w:eastAsia="宋体" w:hint="default"/>
        </w:rPr>
        <w:t>27 </w:t>
      </w:r>
      <w:r>
        <w:rPr/>
        <w:t>日批准报出。</w:t>
      </w:r>
    </w:p>
    <w:p>
      <w:pPr>
        <w:pStyle w:val="BodyText"/>
        <w:spacing w:line="316" w:lineRule="auto" w:before="47"/>
        <w:ind w:right="149" w:firstLine="360"/>
        <w:jc w:val="both"/>
      </w:pPr>
      <w:r>
        <w:rPr/>
        <w:t>本期纳入合并范围的子公司包括</w:t>
      </w:r>
      <w:r>
        <w:rPr>
          <w:rFonts w:ascii="宋体" w:hAnsi="宋体" w:cs="宋体" w:eastAsia="宋体" w:hint="default"/>
        </w:rPr>
        <w:t>29</w:t>
      </w:r>
      <w:r>
        <w:rPr/>
        <w:t>家，新增</w:t>
      </w:r>
      <w:r>
        <w:rPr>
          <w:rFonts w:ascii="宋体" w:hAnsi="宋体" w:cs="宋体" w:eastAsia="宋体" w:hint="default"/>
        </w:rPr>
        <w:t>5</w:t>
      </w:r>
      <w:r>
        <w:rPr/>
        <w:t>家子公司，包括北京光明数据信息技术有限公司、健康乐软件有限公司、 东华智慧城市股份有限公司、兰州东华软件有限公司、北京威锐达测控系统有限公司；新增</w:t>
      </w:r>
      <w:r>
        <w:rPr>
          <w:rFonts w:ascii="宋体" w:hAnsi="宋体" w:cs="宋体" w:eastAsia="宋体" w:hint="default"/>
        </w:rPr>
        <w:t>1</w:t>
      </w:r>
      <w:r>
        <w:rPr/>
        <w:t>家孙公司西安锐益达风电技术</w:t>
      </w:r>
      <w:r>
        <w:rPr>
          <w:spacing w:val="-82"/>
        </w:rPr>
        <w:t> </w:t>
      </w:r>
      <w:r>
        <w:rPr>
          <w:spacing w:val="-82"/>
        </w:rPr>
      </w:r>
      <w:r>
        <w:rPr/>
        <w:t>有限公司，为北京威锐达测控系统有限公司的全资子公司。因处置不再包括</w:t>
      </w:r>
      <w:r>
        <w:rPr>
          <w:rFonts w:ascii="宋体" w:hAnsi="宋体" w:cs="宋体" w:eastAsia="宋体" w:hint="default"/>
        </w:rPr>
        <w:t>1</w:t>
      </w:r>
      <w:r>
        <w:rPr/>
        <w:t>家子公司北京东华软件开发有限公司。具体见</w:t>
      </w:r>
      <w:r>
        <w:rPr>
          <w:spacing w:val="-82"/>
        </w:rPr>
        <w:t> </w:t>
      </w:r>
      <w:r>
        <w:rPr>
          <w:spacing w:val="-82"/>
        </w:rPr>
      </w:r>
      <w:r>
        <w:rPr/>
        <w:t>审计报告附注“八、在其他主体中的权益”。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、编制基础</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50" w:firstLine="360"/>
        <w:jc w:val="both"/>
      </w:pPr>
      <w:r>
        <w:rPr>
          <w:spacing w:val="-2"/>
        </w:rPr>
        <w:t>公司以持续经营为基础，根据实际发生的交易和事项，按照财政部发布的《企业会计准则—基本准则》、</w:t>
      </w:r>
      <w:r>
        <w:rPr>
          <w:rFonts w:ascii="宋体" w:hAnsi="宋体" w:cs="宋体" w:eastAsia="宋体" w:hint="default"/>
          <w:spacing w:val="-2"/>
        </w:rPr>
        <w:t>41</w:t>
      </w:r>
      <w:r>
        <w:rPr>
          <w:spacing w:val="-2"/>
        </w:rPr>
        <w:t>项具体会计</w:t>
      </w:r>
      <w:r>
        <w:rPr/>
        <w:t> </w:t>
      </w:r>
      <w:r>
        <w:rPr>
          <w:spacing w:val="-2"/>
        </w:rPr>
        <w:t>准则、企业会计准则应用指南、企业会计准则解释及其他相关规定（以下简称“企业会计准则”）以及中国证券监督管理委</w:t>
      </w:r>
      <w:r>
        <w:rPr>
          <w:spacing w:val="-66"/>
        </w:rPr>
        <w:t> </w:t>
      </w:r>
      <w:r>
        <w:rPr>
          <w:spacing w:val="-66"/>
        </w:rPr>
      </w:r>
      <w:r>
        <w:rPr/>
        <w:t>员会《公开发行证券的公司信息披露编报规则第</w:t>
      </w:r>
      <w:r>
        <w:rPr>
          <w:rFonts w:ascii="宋体" w:hAnsi="宋体" w:cs="宋体" w:eastAsia="宋体" w:hint="default"/>
        </w:rPr>
        <w:t>15 </w:t>
      </w:r>
      <w:r>
        <w:rPr/>
        <w:t>号——财务报告的一般规定》</w:t>
      </w:r>
      <w:r>
        <w:rPr>
          <w:rFonts w:ascii="宋体" w:hAnsi="宋体" w:cs="宋体" w:eastAsia="宋体" w:hint="default"/>
        </w:rPr>
        <w:t>(2014</w:t>
      </w:r>
      <w:r>
        <w:rPr/>
        <w:t>年修订</w:t>
      </w:r>
      <w:r>
        <w:rPr>
          <w:rFonts w:ascii="宋体" w:hAnsi="宋体" w:cs="宋体" w:eastAsia="宋体" w:hint="default"/>
        </w:rPr>
        <w:t>)</w:t>
      </w:r>
      <w:r>
        <w:rPr/>
        <w:t>的披露规定编制财务报表。</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w:t>
      </w:r>
      <w:r>
        <w:rPr/>
        <w:t>、持续经营</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574" w:right="0"/>
        <w:jc w:val="left"/>
      </w:pPr>
      <w:r>
        <w:rPr/>
        <w:t>公司自本报告期末起至少</w:t>
      </w:r>
      <w:r>
        <w:rPr>
          <w:rFonts w:ascii="宋体" w:hAnsi="宋体" w:cs="宋体" w:eastAsia="宋体" w:hint="default"/>
        </w:rPr>
        <w:t>12</w:t>
      </w:r>
      <w:r>
        <w:rPr/>
        <w:t>个月内具备持续经营能力。</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五、重要会计政策及会计估计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、遵循企业会计准则的声明</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50" w:firstLine="420"/>
        <w:jc w:val="both"/>
      </w:pPr>
      <w:r>
        <w:rPr/>
        <w:t>本公司所编制的财务报表符合企业会计准则的要求，真实、完整地反映了报告期公司的财务状况、经营成果、现金流 量等有关信息。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w:t>
      </w:r>
      <w:r>
        <w:rPr/>
        <w:t>、会计期间</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74"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w:t>
      </w:r>
      <w:r>
        <w:rPr/>
        <w:t>、营业周期</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574" w:right="0"/>
        <w:jc w:val="left"/>
      </w:pPr>
      <w:r>
        <w:rPr/>
        <w:t>本公司以</w:t>
      </w:r>
      <w:r>
        <w:rPr>
          <w:rFonts w:ascii="宋体" w:hAnsi="宋体" w:cs="宋体" w:eastAsia="宋体" w:hint="default"/>
        </w:rPr>
        <w:t>12</w:t>
      </w:r>
      <w:r>
        <w:rPr/>
        <w:t>个月作为一个营业周期，并以营业周期作为资产和负债的流动性划分标准。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、记账本位币</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right="153" w:firstLine="420"/>
        <w:jc w:val="both"/>
      </w:pPr>
      <w:r>
        <w:rPr/>
        <w:t>本公司的记账本位币为人民币，编制财务报表采用的货币为人民币。本公司及子公司选定记账本位币的依据是主要业 务收支的计价和结算币种。</w:t>
      </w:r>
    </w:p>
    <w:p>
      <w:pPr>
        <w:spacing w:after="0" w:line="316"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87"/>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87"/>
        <w:jc w:val="left"/>
        <w:rPr>
          <w:b w:val="0"/>
          <w:bCs w:val="0"/>
        </w:rPr>
      </w:pPr>
      <w:r>
        <w:rPr>
          <w:rFonts w:ascii="宋体" w:hAnsi="宋体" w:cs="宋体" w:eastAsia="宋体" w:hint="default"/>
        </w:rPr>
        <w:t>5.1</w:t>
      </w:r>
      <w:r>
        <w:rPr>
          <w:rFonts w:ascii="宋体" w:hAnsi="宋体" w:cs="宋体" w:eastAsia="宋体" w:hint="default"/>
          <w:spacing w:val="-4"/>
        </w:rPr>
        <w:t> </w:t>
      </w:r>
      <w:r>
        <w:rPr/>
        <w:t>同一控制下企业合并</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91" w:firstLine="360"/>
        <w:jc w:val="both"/>
      </w:pPr>
      <w:r>
        <w:rPr>
          <w:spacing w:val="-2"/>
        </w:rPr>
        <w:t>参与合并的企业在合并前后均受同一方或相同的多方最终控制且该控制并非暂时性的，为同一控制下的企业合并。合并</w:t>
      </w:r>
      <w:r>
        <w:rPr/>
        <w:t> 日为合并方实际取得对被合并方控制权的日期。</w:t>
      </w:r>
    </w:p>
    <w:p>
      <w:pPr>
        <w:pStyle w:val="BodyText"/>
        <w:spacing w:line="316" w:lineRule="auto" w:before="137"/>
        <w:ind w:right="192" w:firstLine="360"/>
        <w:jc w:val="both"/>
      </w:pPr>
      <w:r>
        <w:rPr>
          <w:spacing w:val="-2"/>
        </w:rPr>
        <w:t>在企业合并中取得的资产和负债，按照合并日被合并方在最终控制方合并财务报表中的账面价值计量。被合并各方采用</w:t>
      </w:r>
      <w:r>
        <w:rPr/>
        <w:t> 的会计政策与本公司不一致的，合并方在合并日按照本公司会计政策进行调整，在此基础上按照调整后的账面价值确认。</w:t>
      </w:r>
    </w:p>
    <w:p>
      <w:pPr>
        <w:pStyle w:val="BodyText"/>
        <w:spacing w:line="316" w:lineRule="auto" w:before="139"/>
        <w:ind w:right="193" w:firstLine="360"/>
        <w:jc w:val="both"/>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39"/>
        <w:ind w:right="191" w:firstLine="360"/>
        <w:jc w:val="both"/>
      </w:pPr>
      <w:r>
        <w:rPr>
          <w:spacing w:val="-2"/>
        </w:rPr>
        <w:t>为进行企业合并而发生的各项直接相关费用，包括为进行合并而支付的审计费用、评估费用、法律服务费等，于发生时</w:t>
      </w:r>
      <w:r>
        <w:rPr/>
        <w:t> 计入当期损益。</w:t>
      </w:r>
    </w:p>
    <w:p>
      <w:pPr>
        <w:pStyle w:val="BodyText"/>
        <w:spacing w:line="432" w:lineRule="exact" w:before="3"/>
        <w:ind w:left="514" w:right="92"/>
        <w:jc w:val="left"/>
      </w:pPr>
      <w:r>
        <w:rPr/>
        <w:t>企业合并中发行权益性证券发生的手续费、佣金等，抵减权益性证券溢价收入，溢价收入不足冲减的，冲减留存收益。 </w:t>
      </w:r>
      <w:r>
        <w:rPr>
          <w:spacing w:val="-2"/>
        </w:rPr>
        <w:t>通过多次交易分步实现的同一控制下企业合并，属于“一揽子交易”的，本公司将各项交易作为一项取得控制权的交易</w:t>
      </w:r>
    </w:p>
    <w:p>
      <w:pPr>
        <w:pStyle w:val="BodyText"/>
        <w:spacing w:line="240" w:lineRule="auto" w:before="15"/>
        <w:ind w:right="87"/>
        <w:jc w:val="left"/>
      </w:pPr>
      <w:r>
        <w:rPr/>
        <w:t>进行会计处理。不属于“一揽子交易”的，取得控制权日，按照下列步骤进行会计处理：</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t>（</w:t>
      </w:r>
      <w:r>
        <w:rPr>
          <w:rFonts w:ascii="宋体" w:hAnsi="宋体" w:cs="宋体" w:eastAsia="宋体"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16" w:lineRule="auto" w:before="139"/>
        <w:ind w:right="191" w:firstLine="360"/>
        <w:jc w:val="both"/>
      </w:pPr>
      <w:r>
        <w:rPr/>
        <w:t>（</w:t>
      </w:r>
      <w:r>
        <w:rPr>
          <w:rFonts w:ascii="宋体" w:hAnsi="宋体" w:cs="宋体" w:eastAsia="宋体"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316" w:lineRule="auto" w:before="139"/>
        <w:ind w:right="190" w:firstLine="360"/>
        <w:jc w:val="both"/>
      </w:pPr>
      <w:r>
        <w:rPr/>
        <w:t>（</w:t>
      </w:r>
      <w:r>
        <w:rPr>
          <w:rFonts w:ascii="宋体" w:hAnsi="宋体" w:cs="宋体" w:eastAsia="宋体"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3"/>
        </w:rPr>
        <w:t> </w:t>
      </w:r>
      <w:r>
        <w:rPr>
          <w:spacing w:val="-63"/>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6"/>
        </w:rPr>
        <w:t> </w:t>
      </w:r>
      <w:r>
        <w:rPr>
          <w:spacing w:val="-66"/>
        </w:rPr>
      </w:r>
      <w:r>
        <w:rPr/>
        <w:t>例结转，处置后的剩余股权改按金融工具确认和计量准则进行会计处理的，其他综合收益和其他所有者权益应全部结转。</w:t>
      </w:r>
    </w:p>
    <w:p>
      <w:pPr>
        <w:pStyle w:val="BodyText"/>
        <w:spacing w:line="240" w:lineRule="auto" w:before="139"/>
        <w:ind w:left="514" w:right="87"/>
        <w:jc w:val="left"/>
      </w:pPr>
      <w:r>
        <w:rPr/>
        <w:t>（</w:t>
      </w:r>
      <w:r>
        <w:rPr>
          <w:rFonts w:ascii="宋体" w:hAnsi="宋体" w:cs="宋体" w:eastAsia="宋体" w:hint="default"/>
        </w:rPr>
        <w:t>4</w:t>
      </w:r>
      <w:r>
        <w:rPr/>
        <w:t>）在合并财务报表中的会计处理见审计附注四、（六）。</w:t>
      </w:r>
    </w:p>
    <w:p>
      <w:pPr>
        <w:spacing w:line="240" w:lineRule="auto" w:before="1"/>
        <w:rPr>
          <w:rFonts w:ascii="宋体" w:hAnsi="宋体" w:cs="宋体" w:eastAsia="宋体" w:hint="default"/>
          <w:sz w:val="13"/>
          <w:szCs w:val="13"/>
        </w:rPr>
      </w:pPr>
    </w:p>
    <w:p>
      <w:pPr>
        <w:pStyle w:val="Heading3"/>
        <w:spacing w:line="240" w:lineRule="auto"/>
        <w:ind w:right="87"/>
        <w:jc w:val="left"/>
        <w:rPr>
          <w:b w:val="0"/>
          <w:bCs w:val="0"/>
        </w:rPr>
      </w:pPr>
      <w:r>
        <w:rPr>
          <w:rFonts w:ascii="宋体" w:hAnsi="宋体" w:cs="宋体" w:eastAsia="宋体" w:hint="default"/>
        </w:rPr>
        <w:t>5.2</w:t>
      </w:r>
      <w:r>
        <w:rPr>
          <w:rFonts w:ascii="宋体" w:hAnsi="宋体" w:cs="宋体" w:eastAsia="宋体" w:hint="default"/>
          <w:spacing w:val="-4"/>
        </w:rPr>
        <w:t> </w:t>
      </w:r>
      <w:r>
        <w:rPr/>
        <w:t>非同一控制下企业合并</w:t>
      </w:r>
      <w:r>
        <w:rPr>
          <w:b w:val="0"/>
          <w:bCs w:val="0"/>
        </w:rPr>
      </w:r>
    </w:p>
    <w:p>
      <w:pPr>
        <w:pStyle w:val="BodyText"/>
        <w:spacing w:line="432" w:lineRule="exact" w:before="47"/>
        <w:ind w:left="514" w:right="87"/>
        <w:jc w:val="left"/>
      </w:pPr>
      <w:r>
        <w:rPr/>
        <w:t>参与合并的各方在合并前后不受同一方或相同的多方最终控制的，为非同一控制下的企业合并。 </w:t>
      </w:r>
      <w:r>
        <w:rPr>
          <w:spacing w:val="-4"/>
        </w:rPr>
        <w:t>购买方在购买日对作为企业合并对价付出的资产、发生或承担的负债按照公允价值计量。公允价值与其账面价值的差额，</w:t>
      </w:r>
    </w:p>
    <w:p>
      <w:pPr>
        <w:pStyle w:val="BodyText"/>
        <w:spacing w:line="240" w:lineRule="auto" w:before="15"/>
        <w:ind w:right="87"/>
        <w:jc w:val="left"/>
      </w:pPr>
      <w:r>
        <w:rPr/>
        <w:t>计入当期损益。</w:t>
      </w:r>
    </w:p>
    <w:p>
      <w:pPr>
        <w:pStyle w:val="BodyText"/>
        <w:spacing w:line="430" w:lineRule="atLeast" w:before="2"/>
        <w:ind w:left="514" w:right="87"/>
        <w:jc w:val="left"/>
      </w:pPr>
      <w:r>
        <w:rPr/>
        <w:t>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240" w:lineRule="auto" w:before="76"/>
        <w:ind w:right="87"/>
        <w:jc w:val="left"/>
      </w:pPr>
      <w:r>
        <w:rPr/>
        <w:t>得的被购买方可辨认净资产公允价值份额的差额，经复核后，计入当期损益。</w:t>
      </w:r>
    </w:p>
    <w:p>
      <w:pPr>
        <w:spacing w:line="240" w:lineRule="auto" w:before="0"/>
        <w:rPr>
          <w:rFonts w:ascii="宋体" w:hAnsi="宋体" w:cs="宋体" w:eastAsia="宋体" w:hint="default"/>
          <w:sz w:val="15"/>
          <w:szCs w:val="15"/>
        </w:rPr>
      </w:pPr>
    </w:p>
    <w:p>
      <w:pPr>
        <w:pStyle w:val="BodyText"/>
        <w:spacing w:line="319" w:lineRule="auto"/>
        <w:ind w:right="191" w:firstLine="360"/>
        <w:jc w:val="both"/>
      </w:pPr>
      <w:r>
        <w:rPr>
          <w:spacing w:val="-2"/>
        </w:rPr>
        <w:t>企业合并中取得的被购买方除无形资产外的其他各项资产（不仅限于被购买方原已确认的资产），其所带来的经济利益</w:t>
      </w:r>
      <w:r>
        <w:rPr/>
        <w:t> </w:t>
      </w:r>
      <w:r>
        <w:rPr>
          <w:spacing w:val="-2"/>
        </w:rPr>
        <w:t>很可能流入本公司且公允价值能够可靠计量的，单独确认并按公允价值计量；公允价值能够可靠计量的无形资产，单独确认</w:t>
      </w:r>
      <w:r>
        <w:rPr>
          <w:spacing w:val="-66"/>
        </w:rPr>
        <w:t> </w:t>
      </w:r>
      <w:r>
        <w:rPr>
          <w:spacing w:val="-66"/>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6"/>
        </w:rPr>
        <w:t> </w:t>
      </w:r>
      <w:r>
        <w:rPr>
          <w:spacing w:val="-66"/>
        </w:rPr>
      </w:r>
      <w:r>
        <w:rPr/>
        <w:t>独确认为负债并按照公允价值计量。</w:t>
      </w:r>
    </w:p>
    <w:p>
      <w:pPr>
        <w:pStyle w:val="BodyText"/>
        <w:spacing w:line="240" w:lineRule="auto" w:before="137"/>
        <w:ind w:left="514" w:right="87"/>
        <w:jc w:val="left"/>
      </w:pPr>
      <w:r>
        <w:rPr/>
        <w:t>对合并中取得的被购买方资产进行初始确认时</w:t>
      </w:r>
      <w:r>
        <w:rPr>
          <w:spacing w:val="-82"/>
        </w:rPr>
        <w:t>，</w:t>
      </w:r>
      <w:r>
        <w:rPr/>
        <w:t>对被购买方拥有的但在其财务报表中未确认的无形资产进行充分辨认和</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87"/>
        <w:jc w:val="left"/>
      </w:pPr>
      <w:r>
        <w:rPr>
          <w:spacing w:val="-2"/>
        </w:rPr>
        <w:t>合理判断，满足以下条件之一的，应确认为无形资产：（</w:t>
      </w:r>
      <w:r>
        <w:rPr>
          <w:rFonts w:ascii="宋体" w:hAnsi="宋体" w:cs="宋体" w:eastAsia="宋体" w:hint="default"/>
          <w:spacing w:val="-2"/>
        </w:rPr>
        <w:t>1</w:t>
      </w:r>
      <w:r>
        <w:rPr>
          <w:spacing w:val="-2"/>
        </w:rPr>
        <w:t>）源于合同性权利或其他法定权利；（</w:t>
      </w:r>
      <w:r>
        <w:rPr>
          <w:rFonts w:ascii="宋体" w:hAnsi="宋体" w:cs="宋体" w:eastAsia="宋体" w:hint="default"/>
          <w:spacing w:val="-2"/>
        </w:rPr>
        <w:t>2</w:t>
      </w:r>
      <w:r>
        <w:rPr>
          <w:spacing w:val="-2"/>
        </w:rPr>
        <w:t>）能够从被购买方中分离</w:t>
      </w:r>
      <w:r>
        <w:rPr>
          <w:spacing w:val="-65"/>
        </w:rPr>
        <w:t> </w:t>
      </w:r>
      <w:r>
        <w:rPr>
          <w:spacing w:val="-65"/>
        </w:rPr>
      </w:r>
      <w:r>
        <w:rPr/>
        <w:t>或者划分出来，并能单独或与相关合同、资产和负债一起，用于出售、转移、授予许可、租赁或交换。</w:t>
      </w:r>
    </w:p>
    <w:p>
      <w:pPr>
        <w:pStyle w:val="BodyText"/>
        <w:spacing w:line="319" w:lineRule="auto" w:before="139"/>
        <w:ind w:right="92" w:firstLine="360"/>
        <w:jc w:val="left"/>
      </w:pPr>
      <w:r>
        <w:rPr/>
        <w:t>购买方在企业合并中取得的被购买方的可抵扣暂时性差异，在购买日不符合递延所得税资产确认条件的，不予以确认。 </w:t>
      </w:r>
      <w:r>
        <w:rPr>
          <w:spacing w:val="-2"/>
        </w:rPr>
        <w:t>购买日后</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316" w:lineRule="auto" w:before="137"/>
        <w:ind w:right="191" w:firstLine="360"/>
        <w:jc w:val="both"/>
      </w:pPr>
      <w:r>
        <w:rPr>
          <w:spacing w:val="-2"/>
        </w:rPr>
        <w:t>非同一控制下企业合并，购买方为企业合并发生的审计、法律服务、评估咨询等中介费用以及其他相关管理费用，于发</w:t>
      </w:r>
      <w:r>
        <w:rPr/>
        <w:t> </w:t>
      </w:r>
      <w:r>
        <w:rPr>
          <w:spacing w:val="-2"/>
        </w:rPr>
        <w:t>生时计入当期损益；购买方作为合并对价发行的权益性证券或债务性证券的交易费用，计入权益性证券或债务性证券的初始</w:t>
      </w:r>
      <w:r>
        <w:rPr>
          <w:spacing w:val="-64"/>
        </w:rPr>
        <w:t> </w:t>
      </w:r>
      <w:r>
        <w:rPr>
          <w:spacing w:val="-64"/>
        </w:rPr>
      </w:r>
      <w:r>
        <w:rPr/>
        <w:t>确认金额。</w:t>
      </w:r>
    </w:p>
    <w:p>
      <w:pPr>
        <w:pStyle w:val="BodyText"/>
        <w:spacing w:line="316" w:lineRule="auto" w:before="139"/>
        <w:ind w:right="191" w:firstLine="360"/>
        <w:jc w:val="both"/>
      </w:pPr>
      <w:r>
        <w:rPr>
          <w:spacing w:val="-2"/>
        </w:rPr>
        <w:t>购买方通过多次交易分步实现非同一控制下企业合并的，属于“一揽子交易”的，本公司将各项交易作为一项取得控制</w:t>
      </w:r>
      <w:r>
        <w:rPr/>
        <w:t> </w:t>
      </w:r>
      <w:r>
        <w:rPr>
          <w:spacing w:val="-2"/>
        </w:rPr>
        <w:t>权的交易进行会计处理。不属于“一揽子交易”的，在个别财务报表中，以购买日之前所持被购买方的股权投资的账面价值</w:t>
      </w:r>
      <w:r>
        <w:rPr>
          <w:spacing w:val="-66"/>
        </w:rPr>
        <w:t> </w:t>
      </w:r>
      <w:r>
        <w:rPr>
          <w:spacing w:val="-66"/>
        </w:rPr>
      </w:r>
      <w:r>
        <w:rPr>
          <w:spacing w:val="-2"/>
        </w:rPr>
        <w:t>与购买日新增投资成本之和，作为改按成本法核算的初始投资成本；购买日之前持有的被购买方的股权投资因采用权益法核</w:t>
      </w:r>
      <w:r>
        <w:rPr>
          <w:spacing w:val="-64"/>
        </w:rPr>
        <w:t> </w:t>
      </w:r>
      <w:r>
        <w:rPr>
          <w:spacing w:val="-64"/>
        </w:rPr>
      </w:r>
      <w:r>
        <w:rPr>
          <w:spacing w:val="-2"/>
        </w:rPr>
        <w:t>算而确认的其他综合收益，在处置该项投资时采用与被投资单位直接处置相关资产或负债相同的基础进行会计处理，因被投</w:t>
      </w:r>
      <w:r>
        <w:rPr>
          <w:spacing w:val="-64"/>
        </w:rPr>
        <w:t> </w:t>
      </w:r>
      <w:r>
        <w:rPr>
          <w:spacing w:val="-64"/>
        </w:rPr>
      </w:r>
      <w:r>
        <w:rPr>
          <w:spacing w:val="-2"/>
        </w:rPr>
        <w:t>资方除净损益、其他综合收益和利润分配以外的其他所有者权益变动而确认的所有者权益，在处置该项投资时转入处置期间</w:t>
      </w:r>
      <w:r>
        <w:rPr>
          <w:spacing w:val="-64"/>
        </w:rPr>
        <w:t> </w:t>
      </w:r>
      <w:r>
        <w:rPr>
          <w:spacing w:val="-64"/>
        </w:rPr>
      </w:r>
      <w:r>
        <w:rPr>
          <w:spacing w:val="-2"/>
        </w:rPr>
        <w:t>的当期损益。。其中，处置后的剩余股权根据长期股权投资准则采用成本法或权益法核算的，其他综合收益和其他所有者权</w:t>
      </w:r>
      <w:r>
        <w:rPr>
          <w:spacing w:val="-66"/>
        </w:rPr>
        <w:t> </w:t>
      </w:r>
      <w:r>
        <w:rPr>
          <w:spacing w:val="-66"/>
        </w:rPr>
      </w:r>
      <w:r>
        <w:rPr>
          <w:spacing w:val="-2"/>
        </w:rPr>
        <w:t>益应按比例结转，处置后的剩余股权改按金融工具确认和计量准则进行会计处理的，其他综合收益和其他所有者权益应全部</w:t>
      </w:r>
      <w:r>
        <w:rPr>
          <w:spacing w:val="-64"/>
        </w:rPr>
        <w:t> </w:t>
      </w:r>
      <w:r>
        <w:rPr>
          <w:spacing w:val="-64"/>
        </w:rPr>
      </w:r>
      <w:r>
        <w:rPr/>
        <w:t>结转。在合并财务报表中的会计处理见审计报告附注四、（六）。</w:t>
      </w:r>
    </w:p>
    <w:p>
      <w:pPr>
        <w:pStyle w:val="BodyText"/>
        <w:spacing w:line="316" w:lineRule="auto" w:before="139"/>
        <w:ind w:right="192" w:firstLine="360"/>
        <w:jc w:val="both"/>
      </w:pPr>
      <w:r>
        <w:rPr>
          <w:spacing w:val="-2"/>
        </w:rPr>
        <w:t>购买日之前持有的股权投资，采用金融工具确认和计量准则进行会计处理的，将该股权投资的公允价值加上新增投资成</w:t>
      </w:r>
      <w:r>
        <w:rPr/>
        <w:t> </w:t>
      </w:r>
      <w:r>
        <w:rPr>
          <w:spacing w:val="-2"/>
        </w:rPr>
        <w:t>本之和，作为改按成本法核算的初始投资成本，原持有股权的公允价值与账面价值的差额与原计入其他综合收益的累计公允</w:t>
      </w:r>
      <w:r>
        <w:rPr>
          <w:spacing w:val="-64"/>
        </w:rPr>
        <w:t> </w:t>
      </w:r>
      <w:r>
        <w:rPr>
          <w:spacing w:val="-64"/>
        </w:rPr>
      </w:r>
      <w:r>
        <w:rPr/>
        <w:t>价值变动全部转入改按成本法核算的当期投资损益。</w:t>
      </w:r>
    </w:p>
    <w:p>
      <w:pPr>
        <w:pStyle w:val="Heading3"/>
        <w:spacing w:line="240" w:lineRule="auto" w:before="114"/>
        <w:ind w:right="87"/>
        <w:jc w:val="left"/>
        <w:rPr>
          <w:b w:val="0"/>
          <w:bCs w:val="0"/>
        </w:rPr>
      </w:pPr>
      <w:r>
        <w:rPr>
          <w:rFonts w:ascii="宋体" w:hAnsi="宋体" w:cs="宋体" w:eastAsia="宋体" w:hint="default"/>
        </w:rPr>
        <w:t>5.3</w:t>
      </w:r>
      <w:r>
        <w:rPr>
          <w:rFonts w:ascii="宋体" w:hAnsi="宋体" w:cs="宋体" w:eastAsia="宋体" w:hint="default"/>
          <w:spacing w:val="-6"/>
        </w:rPr>
        <w:t> </w:t>
      </w:r>
      <w:r>
        <w:rPr/>
        <w:t>将多次交易事项判断为一揽子交易的判断标准</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4" w:right="87"/>
        <w:jc w:val="left"/>
      </w:pPr>
      <w:r>
        <w:rPr/>
        <w:t>本公司将多次交易事项判断为一揽子交易的判断标准如下：</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t>（</w:t>
      </w:r>
      <w:r>
        <w:rPr>
          <w:rFonts w:ascii="宋体" w:hAnsi="宋体" w:cs="宋体" w:eastAsia="宋体" w:hint="default"/>
        </w:rPr>
        <w:t>1</w:t>
      </w:r>
      <w:r>
        <w:rPr/>
        <w:t>）这些交易是同时或者在考虑了彼此影响的情况下订立的；</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t>（</w:t>
      </w:r>
      <w:r>
        <w:rPr>
          <w:rFonts w:ascii="宋体" w:hAnsi="宋体" w:cs="宋体" w:eastAsia="宋体" w:hint="default"/>
        </w:rPr>
        <w:t>2</w:t>
      </w:r>
      <w:r>
        <w:rPr/>
        <w:t>）这些交易整体才能达成一项完整的商业结果；</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t>（</w:t>
      </w:r>
      <w:r>
        <w:rPr>
          <w:rFonts w:ascii="宋体" w:hAnsi="宋体" w:cs="宋体" w:eastAsia="宋体" w:hint="default"/>
        </w:rPr>
        <w:t>3</w:t>
      </w:r>
      <w:r>
        <w:rPr/>
        <w:t>）一项交易的发生取决于其他至少一项交易的发生；</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t>（</w:t>
      </w:r>
      <w:r>
        <w:rPr>
          <w:rFonts w:ascii="宋体" w:hAnsi="宋体" w:cs="宋体" w:eastAsia="宋体" w:hint="default"/>
        </w:rPr>
        <w:t>4</w:t>
      </w:r>
      <w:r>
        <w:rPr/>
        <w:t>）一项交易单独考虑时是不经济的，但是和其他交易一并考虑时是经济的。</w:t>
      </w:r>
    </w:p>
    <w:p>
      <w:pPr>
        <w:spacing w:line="240" w:lineRule="auto" w:before="12"/>
        <w:rPr>
          <w:rFonts w:ascii="宋体" w:hAnsi="宋体" w:cs="宋体" w:eastAsia="宋体" w:hint="default"/>
          <w:sz w:val="26"/>
          <w:szCs w:val="26"/>
        </w:rPr>
      </w:pPr>
    </w:p>
    <w:p>
      <w:pPr>
        <w:pStyle w:val="Heading3"/>
        <w:spacing w:line="240" w:lineRule="auto"/>
        <w:ind w:right="87"/>
        <w:jc w:val="left"/>
        <w:rPr>
          <w:b w:val="0"/>
          <w:bCs w:val="0"/>
        </w:rPr>
      </w:pPr>
      <w:r>
        <w:rPr>
          <w:rFonts w:ascii="宋体" w:hAnsi="宋体" w:cs="宋体" w:eastAsia="宋体" w:hint="default"/>
        </w:rPr>
        <w:t>6</w:t>
      </w:r>
      <w:r>
        <w:rPr/>
        <w:t>、合并财务报表的编制方法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92"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316" w:lineRule="auto" w:before="139"/>
        <w:ind w:right="103" w:firstLine="360"/>
        <w:jc w:val="both"/>
      </w:pPr>
      <w:r>
        <w:rPr>
          <w:spacing w:val="-4"/>
        </w:rPr>
        <w:t>被投资方的相关活动根据具体情况进行判断，通常包括商品或劳务的销售和购买、金融资产的管理、资产的购买和处置、</w:t>
      </w:r>
      <w:r>
        <w:rPr/>
        <w:t> 研究与开发活动以及融资活动等。</w:t>
      </w:r>
    </w:p>
    <w:p>
      <w:pPr>
        <w:pStyle w:val="BodyText"/>
        <w:spacing w:line="319" w:lineRule="auto" w:before="139"/>
        <w:ind w:right="191" w:firstLine="360"/>
        <w:jc w:val="both"/>
      </w:pPr>
      <w:r>
        <w:rPr>
          <w:spacing w:val="-2"/>
        </w:rPr>
        <w:t>在综合考虑被投资方的设立目的、被投资方的相关活动以及如何对相关活动作出决策、本公司享有的权利是否使其目前</w:t>
      </w:r>
      <w:r>
        <w:rPr/>
        <w:t> </w:t>
      </w:r>
      <w:r>
        <w:rPr>
          <w:spacing w:val="-2"/>
        </w:rPr>
        <w:t>有能力主导被投资方的相关活动、是否通过参与被投资方的相关活动而享有可变回报、是否有能力运用对被投资方的权力影</w:t>
      </w:r>
      <w:r>
        <w:rPr>
          <w:spacing w:val="-64"/>
        </w:rPr>
        <w:t> </w:t>
      </w:r>
      <w:r>
        <w:rPr>
          <w:spacing w:val="-64"/>
        </w:rPr>
      </w:r>
      <w:r>
        <w:rPr>
          <w:spacing w:val="-2"/>
        </w:rPr>
        <w:t>响其回报金额以及与其他方的关系等基础上对是否控制被投资方进行判断。一旦相关事实和情况的变化导致控制所涉及的相</w:t>
      </w:r>
      <w:r>
        <w:rPr>
          <w:spacing w:val="-64"/>
        </w:rPr>
        <w:t> </w:t>
      </w:r>
      <w:r>
        <w:rPr>
          <w:spacing w:val="-64"/>
        </w:rPr>
      </w:r>
      <w:r>
        <w:rPr/>
        <w:t>关要素发生变化的，将进行重新评估。</w:t>
      </w:r>
    </w:p>
    <w:p>
      <w:pPr>
        <w:pStyle w:val="BodyText"/>
        <w:spacing w:line="240" w:lineRule="auto" w:before="137"/>
        <w:ind w:left="514" w:right="0"/>
        <w:jc w:val="left"/>
      </w:pPr>
      <w:r>
        <w:rPr/>
        <w:t>在判断是否拥有对被投资方的权力时，仅考虑与被投资方相关的实质性权利，包括自身所享有的实质性权利以及其他方</w:t>
      </w:r>
    </w:p>
    <w:p>
      <w:pPr>
        <w:spacing w:after="0" w:line="240" w:lineRule="auto"/>
        <w:jc w:val="left"/>
        <w:sectPr>
          <w:footerReference w:type="default" r:id="rId31"/>
          <w:pgSz w:w="11910" w:h="16840"/>
          <w:pgMar w:footer="979" w:header="747"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所享有的实质性权利。</w:t>
      </w:r>
    </w:p>
    <w:p>
      <w:pPr>
        <w:spacing w:line="240" w:lineRule="auto" w:before="0"/>
        <w:rPr>
          <w:rFonts w:ascii="宋体" w:hAnsi="宋体" w:cs="宋体" w:eastAsia="宋体" w:hint="default"/>
          <w:sz w:val="15"/>
          <w:szCs w:val="15"/>
        </w:rPr>
      </w:pPr>
    </w:p>
    <w:p>
      <w:pPr>
        <w:pStyle w:val="BodyText"/>
        <w:spacing w:line="319" w:lineRule="auto"/>
        <w:ind w:right="19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6"/>
        </w:rPr>
        <w:t> </w:t>
      </w:r>
      <w:r>
        <w:rPr>
          <w:spacing w:val="-66"/>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6"/>
        </w:rPr>
        <w:t> </w:t>
      </w:r>
      <w:r>
        <w:rPr>
          <w:spacing w:val="-66"/>
        </w:rPr>
      </w:r>
      <w:r>
        <w:rPr/>
        <w:t>部交易表明相关资产发生减值损失的，全额确认该部分损失；站在企业集团角度对特殊交易事项予以调整。</w:t>
      </w:r>
    </w:p>
    <w:p>
      <w:pPr>
        <w:pStyle w:val="BodyText"/>
        <w:spacing w:line="316" w:lineRule="auto" w:before="137"/>
        <w:ind w:right="190" w:firstLine="360"/>
        <w:jc w:val="both"/>
      </w:pPr>
      <w:r>
        <w:rPr>
          <w:spacing w:val="-2"/>
        </w:rPr>
        <w:t>子公司所有者权益中不属于母公司的份额，作为少数股东权益，在合并资产负债表中所有者权益项目下以“少数股东权</w:t>
      </w:r>
      <w:r>
        <w:rPr/>
        <w:t> 益”项目列示。</w:t>
      </w:r>
    </w:p>
    <w:p>
      <w:pPr>
        <w:pStyle w:val="BodyText"/>
        <w:spacing w:line="316" w:lineRule="auto" w:before="139"/>
        <w:ind w:right="190" w:firstLine="360"/>
        <w:jc w:val="both"/>
      </w:pPr>
      <w:r>
        <w:rPr>
          <w:spacing w:val="-2"/>
        </w:rPr>
        <w:t>子公司当期净损益中属于少数股东权益的份额，在合并利润表中净利润项目下以“少数股东损益”项目列示。子公司当</w:t>
      </w:r>
      <w:r>
        <w:rPr/>
        <w:t> </w:t>
      </w:r>
      <w:r>
        <w:rPr>
          <w:spacing w:val="-2"/>
        </w:rPr>
        <w:t>期综合收益中属于少数股东权益的份额，在合并利润表中综合收益总额项目下以“归属于少数股东的综合收益总额”项目列</w:t>
      </w:r>
      <w:r>
        <w:rPr>
          <w:spacing w:val="-64"/>
        </w:rPr>
        <w:t> </w:t>
      </w:r>
      <w:r>
        <w:rPr>
          <w:spacing w:val="-64"/>
        </w:rPr>
      </w:r>
      <w:r>
        <w:rPr/>
        <w:t>示。</w:t>
      </w:r>
    </w:p>
    <w:p>
      <w:pPr>
        <w:pStyle w:val="BodyText"/>
        <w:spacing w:line="316" w:lineRule="auto" w:before="139"/>
        <w:ind w:right="191"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16" w:lineRule="auto" w:before="139"/>
        <w:ind w:right="190" w:firstLine="360"/>
        <w:jc w:val="both"/>
      </w:pPr>
      <w:r>
        <w:rPr>
          <w:spacing w:val="-2"/>
        </w:rPr>
        <w:t>向子公司出售资产所发生的未实现内部交易损益，全额抵销“归属于母公司所有者的净利润”。子公司向母公司出售资</w:t>
      </w:r>
      <w:r>
        <w:rPr/>
        <w:t> 产所发生的未实现内部交易损益，按照母公司对该子公司的分配比例在“归属于母公司所有者的净利润”和“少数股东损</w:t>
      </w:r>
      <w:r>
        <w:rPr>
          <w:spacing w:val="-1"/>
        </w:rPr>
        <w:t> </w:t>
      </w:r>
      <w:r>
        <w:rPr>
          <w:spacing w:val="-1"/>
        </w:rPr>
      </w:r>
      <w:r>
        <w:rPr>
          <w:spacing w:val="-2"/>
        </w:rPr>
        <w:t>益”之间分配抵销。子公司之间出售资产所发生的未实现内部交易损益，按照母公司对出售方子公司的分配比例在“归属于</w:t>
      </w:r>
      <w:r>
        <w:rPr>
          <w:spacing w:val="-63"/>
        </w:rPr>
        <w:t> </w:t>
      </w:r>
      <w:r>
        <w:rPr>
          <w:spacing w:val="-63"/>
        </w:rPr>
      </w:r>
      <w:r>
        <w:rPr/>
        <w:t>母公司所有者的净利润”和“少数股东损益”之间分配抵销。</w:t>
      </w:r>
    </w:p>
    <w:p>
      <w:pPr>
        <w:pStyle w:val="BodyText"/>
        <w:spacing w:line="316" w:lineRule="auto" w:before="139"/>
        <w:ind w:right="19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6"/>
        </w:rPr>
        <w:t> </w:t>
      </w:r>
      <w:r>
        <w:rPr>
          <w:spacing w:val="-66"/>
        </w:rPr>
      </w:r>
      <w:r>
        <w:rPr/>
        <w:t>较报表的相关项目进行调整，视同合并后的报告主体自最终控制方开始控制时点起一直存在。</w:t>
      </w:r>
    </w:p>
    <w:p>
      <w:pPr>
        <w:pStyle w:val="BodyText"/>
        <w:spacing w:line="316" w:lineRule="auto" w:before="139"/>
        <w:ind w:right="191"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316" w:lineRule="auto" w:before="139"/>
        <w:ind w:right="193"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6" w:lineRule="auto" w:before="139"/>
        <w:ind w:right="191" w:firstLine="360"/>
        <w:jc w:val="both"/>
      </w:pPr>
      <w:r>
        <w:rPr>
          <w:spacing w:val="-2"/>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持股比例计算应享有子公司自购买日或合并日开始持续计算的净资产份额之间的差额，调整资本公积（资本溢价或股本溢</w:t>
      </w:r>
      <w:r>
        <w:rPr>
          <w:spacing w:val="-9"/>
        </w:rPr>
        <w:t> </w:t>
      </w:r>
      <w:r>
        <w:rPr>
          <w:spacing w:val="-9"/>
        </w:rPr>
      </w:r>
      <w:r>
        <w:rPr/>
        <w:t>价），资本公积不足冲减的，调整留存收益。</w:t>
      </w:r>
    </w:p>
    <w:p>
      <w:pPr>
        <w:pStyle w:val="BodyText"/>
        <w:spacing w:line="316" w:lineRule="auto" w:before="139"/>
        <w:ind w:right="192" w:firstLine="360"/>
        <w:jc w:val="both"/>
      </w:pPr>
      <w:r>
        <w:rPr>
          <w:spacing w:val="-2"/>
        </w:rPr>
        <w:t>通过多次交易分步实现的同一控制下企业合并，不属于“一揽子交易”的，取得控制权日，合并方在达到合并之前持有</w:t>
      </w:r>
      <w:r>
        <w:rPr/>
        <w:t> </w:t>
      </w:r>
      <w:r>
        <w:rPr>
          <w:spacing w:val="-2"/>
        </w:rPr>
        <w:t>的长期股权投资，在取得日与合并方与被合并方同处于同一方最终控制之日熟晚日与合并日之间已确认有关损益、其他综合</w:t>
      </w:r>
      <w:r>
        <w:rPr>
          <w:spacing w:val="-64"/>
        </w:rPr>
        <w:t> </w:t>
      </w:r>
      <w:r>
        <w:rPr>
          <w:spacing w:val="-64"/>
        </w:rPr>
      </w:r>
      <w:r>
        <w:rPr/>
        <w:t>收益和其他所有者权益变动，分别冲减比较报表期间的期初留存收益或当期损益。</w:t>
      </w:r>
    </w:p>
    <w:p>
      <w:pPr>
        <w:pStyle w:val="BodyText"/>
        <w:spacing w:line="316" w:lineRule="auto" w:before="139"/>
        <w:ind w:right="92" w:firstLine="360"/>
        <w:jc w:val="left"/>
      </w:pPr>
      <w:r>
        <w:rPr>
          <w:spacing w:val="-2"/>
        </w:rPr>
        <w:t>通过多次交易分步实现非同一控制下企业合并，不属于“一揽子交易”的，在合并财务报表中，对于购买日之前持有的</w:t>
      </w:r>
      <w:r>
        <w:rPr/>
        <w:t> </w:t>
      </w:r>
      <w:r>
        <w:rPr>
          <w:spacing w:val="-2"/>
        </w:rPr>
        <w:t>被购买方的股权，按照该股权在购买日的公允价值进行重新计量，公允价值与其账面价值的差额计入当期投资收益；购买日</w:t>
      </w:r>
      <w:r>
        <w:rPr>
          <w:spacing w:val="-66"/>
        </w:rPr>
        <w:t> </w:t>
      </w:r>
      <w:r>
        <w:rPr>
          <w:spacing w:val="-66"/>
        </w:rPr>
      </w:r>
      <w:r>
        <w:rPr/>
        <w:t>之前持有的被购买方的股权涉及权益法核算下的其他综合收益等的，与其相关的其他综合收益等转为购买日所属当期收益。 由于被投资方重新计量设定收益计划净负债或资产变动而产生的其他综合收益除外。</w:t>
      </w:r>
    </w:p>
    <w:p>
      <w:pPr>
        <w:pStyle w:val="BodyText"/>
        <w:spacing w:line="316" w:lineRule="auto" w:before="139"/>
        <w:ind w:right="190"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240" w:lineRule="auto" w:before="139"/>
        <w:ind w:left="514" w:right="0"/>
        <w:jc w:val="left"/>
      </w:pPr>
      <w:r>
        <w:rPr/>
        <w:t>因处置部分股权投资等原因丧失了对被投资方的控制权的，在编制合并财务报表时，对于剩余股权，按照其在丧失控制</w:t>
      </w:r>
    </w:p>
    <w:p>
      <w:pPr>
        <w:spacing w:after="0" w:line="240" w:lineRule="auto"/>
        <w:jc w:val="left"/>
        <w:sectPr>
          <w:footerReference w:type="default" r:id="rId32"/>
          <w:pgSz w:w="11910" w:h="16840"/>
          <w:pgMar w:footer="979" w:header="747" w:top="1060" w:bottom="1160" w:left="980" w:right="94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192"/>
        <w:jc w:val="both"/>
      </w:pP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9" w:lineRule="auto" w:before="139"/>
        <w:ind w:right="191"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6"/>
        </w:rPr>
        <w:t> </w:t>
      </w:r>
      <w:r>
        <w:rPr>
          <w:spacing w:val="-66"/>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137"/>
        <w:ind w:left="514" w:right="87"/>
        <w:jc w:val="left"/>
      </w:pPr>
      <w:r>
        <w:rPr/>
        <w:t>合并所有者权益变动表根据合并资产负债表和合并利润表编制。</w:t>
      </w:r>
    </w:p>
    <w:p>
      <w:pPr>
        <w:spacing w:line="240" w:lineRule="auto" w:before="12"/>
        <w:rPr>
          <w:rFonts w:ascii="宋体" w:hAnsi="宋体" w:cs="宋体" w:eastAsia="宋体" w:hint="default"/>
          <w:sz w:val="26"/>
          <w:szCs w:val="26"/>
        </w:rPr>
      </w:pPr>
    </w:p>
    <w:p>
      <w:pPr>
        <w:pStyle w:val="Heading3"/>
        <w:spacing w:line="240" w:lineRule="auto"/>
        <w:ind w:right="87"/>
        <w:jc w:val="left"/>
        <w:rPr>
          <w:b w:val="0"/>
          <w:bCs w:val="0"/>
        </w:rPr>
      </w:pPr>
      <w:r>
        <w:rPr>
          <w:rFonts w:ascii="宋体" w:hAnsi="宋体" w:cs="宋体" w:eastAsia="宋体" w:hint="default"/>
        </w:rPr>
        <w:t>7</w:t>
      </w:r>
      <w:r>
        <w:rPr/>
        <w:t>、合营安排分类及共同经营会计处理方法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92" w:firstLine="360"/>
        <w:jc w:val="left"/>
      </w:pPr>
      <w:r>
        <w:rPr/>
        <w:t>合营安排指一项由两个或两个以上的参与方共同控制的安排。共同控制，是指按照相关约定对某项安排所共有的控制， </w:t>
      </w:r>
      <w:r>
        <w:rPr>
          <w:spacing w:val="-2"/>
        </w:rPr>
        <w:t>并且该安排的相关活动必须经过分享控制权的参与方一致同意后才能决策。在判断是否存在共同控制时，应该首先判断所有</w:t>
      </w:r>
      <w:r>
        <w:rPr>
          <w:spacing w:val="-64"/>
        </w:rPr>
        <w:t> </w:t>
      </w:r>
      <w:r>
        <w:rPr>
          <w:spacing w:val="-64"/>
        </w:rPr>
      </w:r>
      <w:r>
        <w:rPr>
          <w:spacing w:val="-2"/>
        </w:rPr>
        <w:t>参与方或参与方组合是否集体控制该安排，其次判断该安排相关活动的决策是否必须经过这些集体控制该安排的参与方一致</w:t>
      </w:r>
      <w:r>
        <w:rPr>
          <w:spacing w:val="-64"/>
        </w:rPr>
        <w:t> </w:t>
      </w:r>
      <w:r>
        <w:rPr>
          <w:spacing w:val="-64"/>
        </w:rPr>
      </w:r>
      <w:r>
        <w:rPr/>
        <w:t>同意。</w:t>
      </w:r>
    </w:p>
    <w:p>
      <w:pPr>
        <w:pStyle w:val="BodyText"/>
        <w:spacing w:line="432" w:lineRule="exact" w:before="3"/>
        <w:ind w:left="514" w:right="87"/>
        <w:jc w:val="left"/>
      </w:pPr>
      <w:r>
        <w:rPr/>
        <w:t>本公司根据在合营安排中享有的权利和承担的义务确定合营安排的分类。合营安排分为共同经营和合营企业。 </w:t>
      </w:r>
      <w:r>
        <w:rPr>
          <w:spacing w:val="-2"/>
        </w:rPr>
        <w:t>共同经营，是指合营方享有该安排相关资产且承担该安排相关负债的合营安排。本公司确认其与共同经营中利益份额相</w:t>
      </w:r>
    </w:p>
    <w:p>
      <w:pPr>
        <w:pStyle w:val="BodyText"/>
        <w:spacing w:line="439" w:lineRule="auto" w:before="15"/>
        <w:ind w:left="514" w:right="4322" w:hanging="360"/>
        <w:jc w:val="left"/>
      </w:pPr>
      <w:r>
        <w:rPr/>
        <w:t>关的下列项目，并按照相关企业会计准则的规定进行会计处理： </w:t>
      </w:r>
      <w:r>
        <w:rPr>
          <w:rFonts w:ascii="宋体" w:hAnsi="宋体" w:cs="宋体" w:eastAsia="宋体" w:hint="default"/>
        </w:rPr>
        <w:t>(1)</w:t>
      </w:r>
      <w:r>
        <w:rPr/>
        <w:t>确认单独所持有的资产，以及按其份额确认共同持有的资产； </w:t>
      </w:r>
      <w:r>
        <w:rPr>
          <w:rFonts w:ascii="宋体" w:hAnsi="宋体" w:cs="宋体" w:eastAsia="宋体" w:hint="default"/>
        </w:rPr>
        <w:t>(2)</w:t>
      </w:r>
      <w:r>
        <w:rPr/>
        <w:t>确认单独所承担的负债，以及按其份额确认共同承担的负债； </w:t>
      </w:r>
      <w:r>
        <w:rPr>
          <w:rFonts w:ascii="宋体" w:hAnsi="宋体" w:cs="宋体" w:eastAsia="宋体" w:hint="default"/>
        </w:rPr>
        <w:t>(3)</w:t>
      </w:r>
      <w:r>
        <w:rPr/>
        <w:t>确认出售其享有的共同经营产出份额所产生的收入； </w:t>
      </w:r>
      <w:r>
        <w:rPr>
          <w:rFonts w:ascii="宋体" w:hAnsi="宋体" w:cs="宋体" w:eastAsia="宋体" w:hint="default"/>
        </w:rPr>
        <w:t>(4)</w:t>
      </w:r>
      <w:r>
        <w:rPr/>
        <w:t>按其份额确认共同经营因出售产出所产生的收入； 确认单独所发生的费用，以及按其份额确认共同经营发生的费用</w:t>
      </w:r>
    </w:p>
    <w:p>
      <w:pPr>
        <w:spacing w:line="240" w:lineRule="auto" w:before="7"/>
        <w:rPr>
          <w:rFonts w:ascii="宋体" w:hAnsi="宋体" w:cs="宋体" w:eastAsia="宋体" w:hint="default"/>
          <w:sz w:val="15"/>
          <w:szCs w:val="15"/>
        </w:rPr>
      </w:pPr>
    </w:p>
    <w:p>
      <w:pPr>
        <w:pStyle w:val="Heading3"/>
        <w:spacing w:line="240" w:lineRule="auto"/>
        <w:ind w:right="87"/>
        <w:jc w:val="left"/>
        <w:rPr>
          <w:b w:val="0"/>
          <w:bCs w:val="0"/>
        </w:rPr>
      </w:pPr>
      <w:r>
        <w:rPr>
          <w:rFonts w:ascii="宋体" w:hAnsi="宋体" w:cs="宋体" w:eastAsia="宋体" w:hint="default"/>
        </w:rPr>
        <w:t>8</w:t>
      </w:r>
      <w:r>
        <w:rPr/>
        <w:t>、现金及现金等价物的确定标准</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87" w:firstLine="420"/>
        <w:jc w:val="left"/>
      </w:pPr>
      <w:r>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pStyle w:val="Heading3"/>
        <w:spacing w:line="612" w:lineRule="exact" w:before="50"/>
        <w:ind w:right="7176"/>
        <w:jc w:val="left"/>
        <w:rPr>
          <w:b w:val="0"/>
          <w:bCs w:val="0"/>
        </w:rPr>
      </w:pPr>
      <w:r>
        <w:rPr>
          <w:rFonts w:ascii="宋体" w:hAnsi="宋体" w:cs="宋体" w:eastAsia="宋体" w:hint="default"/>
        </w:rPr>
        <w:t>9</w:t>
      </w:r>
      <w:r>
        <w:rPr/>
        <w:t>、外币业务和外币报表折算</w:t>
      </w:r>
      <w:r>
        <w:rPr>
          <w:w w:val="99"/>
        </w:rPr>
        <w:t> </w:t>
      </w:r>
      <w:r>
        <w:rPr>
          <w:rFonts w:ascii="宋体" w:hAnsi="宋体" w:cs="宋体" w:eastAsia="宋体" w:hint="default"/>
        </w:rPr>
        <w:t>(1)</w:t>
      </w:r>
      <w:r>
        <w:rPr>
          <w:rFonts w:ascii="宋体" w:hAnsi="宋体" w:cs="宋体" w:eastAsia="宋体" w:hint="default"/>
          <w:spacing w:val="-3"/>
        </w:rPr>
        <w:t> </w:t>
      </w:r>
      <w:r>
        <w:rPr/>
        <w:t>外币业务折算</w:t>
      </w:r>
      <w:r>
        <w:rPr>
          <w:b w:val="0"/>
          <w:bCs w:val="0"/>
        </w:rPr>
      </w:r>
    </w:p>
    <w:p>
      <w:pPr>
        <w:pStyle w:val="BodyText"/>
        <w:spacing w:line="240" w:lineRule="auto" w:before="89"/>
        <w:ind w:left="514" w:right="87"/>
        <w:jc w:val="left"/>
      </w:pPr>
      <w:r>
        <w:rPr/>
        <w:t>外币业务采用交易发生日的即期汇率作为折算汇率将外币金额折合成人民币记账。</w:t>
      </w:r>
    </w:p>
    <w:p>
      <w:pPr>
        <w:spacing w:line="240" w:lineRule="auto" w:before="0"/>
        <w:rPr>
          <w:rFonts w:ascii="宋体" w:hAnsi="宋体" w:cs="宋体" w:eastAsia="宋体" w:hint="default"/>
          <w:sz w:val="15"/>
          <w:szCs w:val="15"/>
        </w:rPr>
      </w:pPr>
    </w:p>
    <w:p>
      <w:pPr>
        <w:pStyle w:val="BodyText"/>
        <w:spacing w:line="319" w:lineRule="auto"/>
        <w:ind w:right="92"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的即期汇率折算，由此产生的汇兑差额计入当期损益或其他综合收益。</w:t>
      </w:r>
    </w:p>
    <w:p>
      <w:pPr>
        <w:pStyle w:val="Heading3"/>
        <w:spacing w:line="240" w:lineRule="auto" w:before="111"/>
        <w:ind w:right="87"/>
        <w:jc w:val="left"/>
        <w:rPr>
          <w:b w:val="0"/>
          <w:bCs w:val="0"/>
        </w:rPr>
      </w:pPr>
      <w:r>
        <w:rPr>
          <w:rFonts w:ascii="宋体" w:hAnsi="宋体" w:cs="宋体" w:eastAsia="宋体" w:hint="default"/>
        </w:rPr>
        <w:t>(2)</w:t>
      </w:r>
      <w:r>
        <w:rPr>
          <w:rFonts w:ascii="宋体" w:hAnsi="宋体" w:cs="宋体" w:eastAsia="宋体" w:hint="default"/>
          <w:spacing w:val="-3"/>
        </w:rPr>
        <w:t> </w:t>
      </w:r>
      <w:r>
        <w:rPr/>
        <w:t>外币报表折算</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87" w:firstLine="360"/>
        <w:jc w:val="left"/>
      </w:pPr>
      <w:r>
        <w:rPr>
          <w:spacing w:val="-2"/>
        </w:rPr>
        <w:t>资产负债表中的资产和负债项目，采用资产负债表日的即期汇率折算；所有者权益项目除“未分配利润”项目外，其他</w:t>
      </w:r>
      <w:r>
        <w:rPr/>
        <w:t> </w:t>
      </w:r>
      <w:r>
        <w:rPr>
          <w:spacing w:val="-2"/>
        </w:rPr>
        <w:t>项目采用发生时的即期汇率折算。利润表中的收入和费用项目，通常采用年平均汇率折算。按照上述折算产生的外币财务报</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表折算差额，在其他综合收益项目下单独列示“外币报表折算差额”项目。</w:t>
      </w:r>
    </w:p>
    <w:p>
      <w:pPr>
        <w:spacing w:line="240" w:lineRule="auto" w:before="0"/>
        <w:rPr>
          <w:rFonts w:ascii="宋体" w:hAnsi="宋体" w:cs="宋体" w:eastAsia="宋体" w:hint="default"/>
          <w:sz w:val="15"/>
          <w:szCs w:val="15"/>
        </w:rPr>
      </w:pPr>
    </w:p>
    <w:p>
      <w:pPr>
        <w:pStyle w:val="BodyText"/>
        <w:spacing w:line="316" w:lineRule="auto"/>
        <w:ind w:right="193" w:firstLine="360"/>
        <w:jc w:val="both"/>
      </w:pPr>
      <w:r>
        <w:rPr>
          <w:spacing w:val="-2"/>
        </w:rPr>
        <w:t>处置境外经营时，将资产负债表中其他综合收益项目下列示的、与该境外经营相关的外币财务报表折算差额，自其他综</w:t>
      </w:r>
      <w:r>
        <w:rPr/>
        <w:t> </w:t>
      </w: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line="240" w:lineRule="auto" w:before="7"/>
        <w:rPr>
          <w:rFonts w:ascii="宋体" w:hAnsi="宋体" w:cs="宋体" w:eastAsia="宋体" w:hint="default"/>
          <w:sz w:val="22"/>
          <w:szCs w:val="22"/>
        </w:rPr>
      </w:pPr>
    </w:p>
    <w:p>
      <w:pPr>
        <w:pStyle w:val="Heading3"/>
        <w:spacing w:line="240" w:lineRule="auto"/>
        <w:ind w:right="87"/>
        <w:jc w:val="left"/>
        <w:rPr>
          <w:b w:val="0"/>
          <w:bCs w:val="0"/>
        </w:rPr>
      </w:pPr>
      <w:r>
        <w:rPr>
          <w:rFonts w:ascii="宋体" w:hAnsi="宋体" w:cs="宋体" w:eastAsia="宋体" w:hint="default"/>
        </w:rPr>
        <w:t>10</w:t>
      </w:r>
      <w:r>
        <w:rPr/>
        <w:t>、金融工具</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74" w:right="87"/>
        <w:jc w:val="left"/>
      </w:pPr>
      <w:r>
        <w:rPr/>
        <w:t>金融工具包括金融资产、金融负债和权益工具。</w:t>
      </w:r>
    </w:p>
    <w:p>
      <w:pPr>
        <w:spacing w:line="240" w:lineRule="auto" w:before="1"/>
        <w:rPr>
          <w:rFonts w:ascii="宋体" w:hAnsi="宋体" w:cs="宋体" w:eastAsia="宋体" w:hint="default"/>
          <w:sz w:val="13"/>
          <w:szCs w:val="13"/>
        </w:rPr>
      </w:pPr>
    </w:p>
    <w:p>
      <w:pPr>
        <w:pStyle w:val="Heading3"/>
        <w:spacing w:line="240" w:lineRule="auto"/>
        <w:ind w:right="87"/>
        <w:jc w:val="left"/>
        <w:rPr>
          <w:b w:val="0"/>
          <w:bCs w:val="0"/>
        </w:rPr>
      </w:pPr>
      <w:r>
        <w:rPr>
          <w:rFonts w:ascii="宋体" w:hAnsi="宋体" w:cs="宋体" w:eastAsia="宋体" w:hint="default"/>
        </w:rPr>
        <w:t>(1)</w:t>
      </w:r>
      <w:r>
        <w:rPr>
          <w:rFonts w:ascii="宋体" w:hAnsi="宋体" w:cs="宋体" w:eastAsia="宋体" w:hint="default"/>
          <w:spacing w:val="-3"/>
        </w:rPr>
        <w:t> </w:t>
      </w:r>
      <w:r>
        <w:rPr/>
        <w:t>金融工具的分类</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92" w:firstLine="360"/>
        <w:jc w:val="left"/>
      </w:pPr>
      <w:r>
        <w:rPr>
          <w:spacing w:val="-2"/>
        </w:rPr>
        <w:t>管理层按照取得持有金融资产和承担金融负债的目的，将其划分为：以公允价值计量且其变动计入当期损益的金融资产</w:t>
      </w:r>
      <w:r>
        <w:rPr/>
        <w:t> 或金融负债，包括交易性金融资产或金融负债和直接指定为以公允价值计量且其变动计入当期损益的金融资产或金融负债； 持有至到期投资；应收款项；可供出售金融资产；其他金融负债等。</w:t>
      </w:r>
    </w:p>
    <w:p>
      <w:pPr>
        <w:pStyle w:val="Heading3"/>
        <w:spacing w:line="240" w:lineRule="auto" w:before="113"/>
        <w:ind w:right="87"/>
        <w:jc w:val="left"/>
        <w:rPr>
          <w:b w:val="0"/>
          <w:bCs w:val="0"/>
        </w:rPr>
      </w:pPr>
      <w:r>
        <w:rPr>
          <w:rFonts w:ascii="宋体" w:hAnsi="宋体" w:cs="宋体" w:eastAsia="宋体" w:hint="default"/>
        </w:rPr>
        <w:t>(2)</w:t>
      </w:r>
      <w:r>
        <w:rPr>
          <w:rFonts w:ascii="宋体" w:hAnsi="宋体" w:cs="宋体" w:eastAsia="宋体" w:hint="default"/>
          <w:spacing w:val="-5"/>
        </w:rPr>
        <w:t> </w:t>
      </w:r>
      <w:r>
        <w:rPr/>
        <w:t>金融工具的确认依据和计量方法</w:t>
      </w:r>
      <w:r>
        <w:rPr>
          <w:b w:val="0"/>
          <w:bCs w:val="0"/>
        </w:rPr>
      </w:r>
    </w:p>
    <w:p>
      <w:pPr>
        <w:pStyle w:val="Heading3"/>
        <w:spacing w:line="240" w:lineRule="auto" w:before="157"/>
        <w:ind w:right="87"/>
        <w:jc w:val="left"/>
        <w:rPr>
          <w:b w:val="0"/>
          <w:bCs w:val="0"/>
        </w:rPr>
      </w:pPr>
      <w:r>
        <w:rPr/>
        <w:t>①</w:t>
      </w:r>
      <w:r>
        <w:rPr>
          <w:spacing w:val="-7"/>
        </w:rPr>
        <w:t> </w:t>
      </w:r>
      <w:r>
        <w:rPr/>
        <w:t>以公允价值计量且其变动计入当期损益的金融资产（金融负债）</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87" w:firstLine="420"/>
        <w:jc w:val="left"/>
      </w:pPr>
      <w:r>
        <w:rPr/>
        <w:t>取得时以公允价值（扣除已宣告但尚未发放的现金股利或已到付息期但尚未领取的债券利息）作为初始确认金额，相 关的交易费用计入当期损益。</w:t>
      </w:r>
    </w:p>
    <w:p>
      <w:pPr>
        <w:pStyle w:val="BodyText"/>
        <w:spacing w:line="439" w:lineRule="auto" w:before="139"/>
        <w:ind w:left="574" w:right="183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Heading3"/>
        <w:spacing w:line="240" w:lineRule="auto" w:before="21"/>
        <w:ind w:right="87"/>
        <w:jc w:val="left"/>
        <w:rPr>
          <w:b w:val="0"/>
          <w:bCs w:val="0"/>
        </w:rPr>
      </w:pPr>
      <w:r>
        <w:rPr/>
        <w:t>②</w:t>
      </w:r>
      <w:r>
        <w:rPr>
          <w:spacing w:val="-3"/>
        </w:rPr>
        <w:t> </w:t>
      </w:r>
      <w:r>
        <w:rPr/>
        <w:t>持有至到期投资</w:t>
      </w:r>
      <w:r>
        <w:rPr>
          <w:b w:val="0"/>
          <w:bCs w:val="0"/>
        </w:rPr>
      </w:r>
    </w:p>
    <w:p>
      <w:pPr>
        <w:pStyle w:val="BodyText"/>
        <w:spacing w:line="432" w:lineRule="exact" w:before="47"/>
        <w:ind w:left="574" w:right="87"/>
        <w:jc w:val="left"/>
      </w:pPr>
      <w:r>
        <w:rPr/>
        <w:t>取得时按公允价值（扣除已到付息期但尚未领取的债券利息）和相关交易费用之和作为初始确认金额。 持有期间按照摊余成本和实际利率计算确认利息收入，计入投资收益。实际利率在取得时确定，在该预期存续期间或</w:t>
      </w:r>
    </w:p>
    <w:p>
      <w:pPr>
        <w:pStyle w:val="BodyText"/>
        <w:spacing w:line="439" w:lineRule="auto" w:before="15"/>
        <w:ind w:left="574" w:right="3992" w:hanging="420"/>
        <w:jc w:val="left"/>
      </w:pPr>
      <w:r>
        <w:rPr/>
        <w:t>适用的更短期间内保持不变。 处置时，将所取得价款与该投资账面价值之间的差额计入投资收益。</w:t>
      </w:r>
    </w:p>
    <w:p>
      <w:pPr>
        <w:pStyle w:val="Heading3"/>
        <w:spacing w:line="240" w:lineRule="auto" w:before="21"/>
        <w:ind w:right="87"/>
        <w:jc w:val="left"/>
        <w:rPr>
          <w:b w:val="0"/>
          <w:bCs w:val="0"/>
        </w:rPr>
      </w:pPr>
      <w:r>
        <w:rPr/>
        <w:t>③</w:t>
      </w:r>
      <w:r>
        <w:rPr>
          <w:spacing w:val="-3"/>
        </w:rPr>
        <w:t> </w:t>
      </w:r>
      <w:r>
        <w:rPr/>
        <w:t>应收款项</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87" w:firstLine="420"/>
        <w:jc w:val="left"/>
      </w:pPr>
      <w:r>
        <w:rPr/>
        <w:t>对外销售商品或提供劳务形成的应收债权，以及持有的其他企业的不包括在活跃市场上有报价的债务工具的债权，包 </w:t>
      </w:r>
      <w:r>
        <w:rPr>
          <w:spacing w:val="-4"/>
        </w:rPr>
        <w:t>括应收账款、其他应收款、应收票据、预付账款等，以向购货方应收的合同或协议价款作为初始确认金额；具有融资性质的，</w:t>
      </w:r>
      <w:r>
        <w:rPr>
          <w:spacing w:val="-44"/>
        </w:rPr>
        <w:t> </w:t>
      </w:r>
      <w:r>
        <w:rPr>
          <w:spacing w:val="-44"/>
        </w:rPr>
      </w:r>
      <w:r>
        <w:rPr/>
        <w:t>按其现值进行初始确认。</w:t>
      </w:r>
    </w:p>
    <w:p>
      <w:pPr>
        <w:pStyle w:val="BodyText"/>
        <w:spacing w:line="240" w:lineRule="auto" w:before="139"/>
        <w:ind w:left="574" w:right="87"/>
        <w:jc w:val="left"/>
      </w:pPr>
      <w:r>
        <w:rPr/>
        <w:t>收回或处置时，将取得的价款与该应收款项账面价值之间的差额计入当期损益。</w:t>
      </w:r>
    </w:p>
    <w:p>
      <w:pPr>
        <w:spacing w:line="240" w:lineRule="auto" w:before="1"/>
        <w:rPr>
          <w:rFonts w:ascii="宋体" w:hAnsi="宋体" w:cs="宋体" w:eastAsia="宋体" w:hint="default"/>
          <w:sz w:val="13"/>
          <w:szCs w:val="13"/>
        </w:rPr>
      </w:pPr>
    </w:p>
    <w:p>
      <w:pPr>
        <w:pStyle w:val="Heading3"/>
        <w:spacing w:line="240" w:lineRule="auto"/>
        <w:ind w:right="87"/>
        <w:jc w:val="left"/>
        <w:rPr>
          <w:b w:val="0"/>
          <w:bCs w:val="0"/>
        </w:rPr>
      </w:pPr>
      <w:r>
        <w:rPr/>
        <w:t>④</w:t>
      </w:r>
      <w:r>
        <w:rPr>
          <w:spacing w:val="-3"/>
        </w:rPr>
        <w:t> </w:t>
      </w:r>
      <w:r>
        <w:rPr/>
        <w:t>可供出售金融资产</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87" w:firstLine="420"/>
        <w:jc w:val="left"/>
      </w:pPr>
      <w:r>
        <w:rPr/>
        <w:t>取得时按公允价值（扣除已宣告但尚未发放的现金股利或已到付息期但尚未领取的债券利息）和相关交易费用之和作 为初始确认金额。</w:t>
      </w:r>
    </w:p>
    <w:p>
      <w:pPr>
        <w:pStyle w:val="BodyText"/>
        <w:spacing w:line="319" w:lineRule="auto" w:before="139"/>
        <w:ind w:right="191" w:firstLine="420"/>
        <w:jc w:val="both"/>
      </w:pPr>
      <w:r>
        <w:rPr/>
        <w:t>持有期间将取得的利息或现金股利确认为投资收益。期末以公允价值计量且将公允价值变动计入其他综合收益。对被 </w:t>
      </w:r>
      <w:r>
        <w:rPr>
          <w:spacing w:val="-2"/>
        </w:rPr>
        <w:t>投资单位不具有控制、共同控制或重大影响并且在活跃市场中没有报价、公允价值不能可靠计量的股权投资，作为可供出售</w:t>
      </w:r>
      <w:r>
        <w:rPr>
          <w:spacing w:val="-66"/>
        </w:rPr>
        <w:t> </w:t>
      </w:r>
      <w:r>
        <w:rPr>
          <w:spacing w:val="-66"/>
        </w:rPr>
      </w:r>
      <w:r>
        <w:rPr/>
        <w:t>金融资产列报，按成本进行后续计量。</w:t>
      </w:r>
    </w:p>
    <w:p>
      <w:pPr>
        <w:pStyle w:val="BodyText"/>
        <w:spacing w:line="316" w:lineRule="auto" w:before="137"/>
        <w:ind w:right="87" w:firstLine="420"/>
        <w:jc w:val="left"/>
      </w:pPr>
      <w:r>
        <w:rPr/>
        <w:t>处置时，将取得的价款与该金融资产账面价值之间的差额，计入投资损益；同时，将原其他综合收益的公允价值变动 累计额对应处置部分的金额转出，计入投资损益。</w:t>
      </w:r>
    </w:p>
    <w:p>
      <w:pPr>
        <w:pStyle w:val="Heading3"/>
        <w:spacing w:line="240" w:lineRule="auto" w:before="113"/>
        <w:ind w:right="87"/>
        <w:jc w:val="left"/>
        <w:rPr>
          <w:b w:val="0"/>
          <w:bCs w:val="0"/>
        </w:rPr>
      </w:pPr>
      <w:r>
        <w:rPr/>
        <w:t>⑤</w:t>
      </w:r>
      <w:r>
        <w:rPr>
          <w:spacing w:val="-3"/>
        </w:rPr>
        <w:t> </w:t>
      </w:r>
      <w:r>
        <w:rPr/>
        <w:t>其他金融负债</w:t>
      </w:r>
      <w:r>
        <w:rPr>
          <w:b w:val="0"/>
          <w:bCs w:val="0"/>
        </w:rPr>
      </w:r>
    </w:p>
    <w:p>
      <w:pPr>
        <w:spacing w:after="0" w:line="240" w:lineRule="auto"/>
        <w:jc w:val="left"/>
        <w:sectPr>
          <w:footerReference w:type="default" r:id="rId33"/>
          <w:pgSz w:w="11910" w:h="16840"/>
          <w:pgMar w:footer="979" w:header="747" w:top="1060" w:bottom="1160" w:left="980" w:right="940"/>
          <w:pgNumType w:start="103"/>
        </w:sectPr>
      </w:pPr>
    </w:p>
    <w:p>
      <w:pPr>
        <w:spacing w:line="240" w:lineRule="auto" w:before="12"/>
        <w:rPr>
          <w:rFonts w:ascii="宋体" w:hAnsi="宋体" w:cs="宋体" w:eastAsia="宋体" w:hint="default"/>
          <w:b/>
          <w:bCs/>
          <w:sz w:val="25"/>
          <w:szCs w:val="25"/>
        </w:rPr>
      </w:pPr>
    </w:p>
    <w:p>
      <w:pPr>
        <w:pStyle w:val="BodyText"/>
        <w:spacing w:line="240" w:lineRule="auto" w:before="44"/>
        <w:ind w:left="574" w:right="87"/>
        <w:jc w:val="left"/>
      </w:pPr>
      <w:r>
        <w:rPr/>
        <w:t>按其公允价值和相关交易费用之和作为初始确认金额。采用摊余成本进行后续计量。</w:t>
      </w:r>
    </w:p>
    <w:p>
      <w:pPr>
        <w:spacing w:line="240" w:lineRule="auto" w:before="1"/>
        <w:rPr>
          <w:rFonts w:ascii="宋体" w:hAnsi="宋体" w:cs="宋体" w:eastAsia="宋体" w:hint="default"/>
          <w:sz w:val="13"/>
          <w:szCs w:val="13"/>
        </w:rPr>
      </w:pPr>
    </w:p>
    <w:p>
      <w:pPr>
        <w:pStyle w:val="Heading3"/>
        <w:spacing w:line="240" w:lineRule="auto"/>
        <w:ind w:right="87"/>
        <w:jc w:val="left"/>
        <w:rPr>
          <w:b w:val="0"/>
          <w:bCs w:val="0"/>
        </w:rPr>
      </w:pPr>
      <w:r>
        <w:rPr>
          <w:rFonts w:ascii="宋体" w:hAnsi="宋体" w:cs="宋体" w:eastAsia="宋体" w:hint="default"/>
        </w:rPr>
        <w:t>(3)</w:t>
      </w:r>
      <w:r>
        <w:rPr>
          <w:rFonts w:ascii="宋体" w:hAnsi="宋体" w:cs="宋体" w:eastAsia="宋体" w:hint="default"/>
          <w:spacing w:val="-5"/>
        </w:rPr>
        <w:t> </w:t>
      </w:r>
      <w:r>
        <w:rPr/>
        <w:t>金融资产转移的确认依据和计量方法</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87" w:firstLine="420"/>
        <w:jc w:val="left"/>
      </w:pPr>
      <w:r>
        <w:rPr/>
        <w:t>发生金融资产转移时，如已将金融资产所有权上几乎所有的风险和报酬转移给转入方，则终止确认该金融资产；如保 留了金融资产所有权上几乎所有的风险和报酬的，则不终止确认该金融资产。</w:t>
      </w:r>
    </w:p>
    <w:p>
      <w:pPr>
        <w:pStyle w:val="BodyText"/>
        <w:spacing w:line="316" w:lineRule="auto" w:before="137"/>
        <w:ind w:right="87"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39"/>
        <w:ind w:left="577" w:right="87"/>
        <w:jc w:val="left"/>
      </w:pPr>
      <w:r>
        <w:rPr/>
        <w:t>①所转移金融资产的账面价值；</w:t>
      </w:r>
    </w:p>
    <w:p>
      <w:pPr>
        <w:spacing w:line="240" w:lineRule="auto" w:before="0"/>
        <w:rPr>
          <w:rFonts w:ascii="宋体" w:hAnsi="宋体" w:cs="宋体" w:eastAsia="宋体" w:hint="default"/>
          <w:sz w:val="15"/>
          <w:szCs w:val="15"/>
        </w:rPr>
      </w:pPr>
    </w:p>
    <w:p>
      <w:pPr>
        <w:pStyle w:val="BodyText"/>
        <w:spacing w:line="316" w:lineRule="auto"/>
        <w:ind w:right="87" w:firstLine="423"/>
        <w:jc w:val="left"/>
      </w:pPr>
      <w:r>
        <w:rPr/>
        <w:t>②因转移而收到的对价，与原直接计入所有者权益的公允价值变动累计额（涉及转移的金融资产为可供出售金融资产 的情形）之和。</w:t>
      </w:r>
    </w:p>
    <w:p>
      <w:pPr>
        <w:pStyle w:val="BodyText"/>
        <w:spacing w:line="316" w:lineRule="auto" w:before="139"/>
        <w:ind w:right="87"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39"/>
        <w:ind w:left="577" w:right="87"/>
        <w:jc w:val="left"/>
      </w:pPr>
      <w:r>
        <w:rPr/>
        <w:t>①终止确认部分的账面价值；</w:t>
      </w:r>
    </w:p>
    <w:p>
      <w:pPr>
        <w:spacing w:line="240" w:lineRule="auto" w:before="0"/>
        <w:rPr>
          <w:rFonts w:ascii="宋体" w:hAnsi="宋体" w:cs="宋体" w:eastAsia="宋体" w:hint="default"/>
          <w:sz w:val="15"/>
          <w:szCs w:val="15"/>
        </w:rPr>
      </w:pPr>
    </w:p>
    <w:p>
      <w:pPr>
        <w:pStyle w:val="BodyText"/>
        <w:spacing w:line="316" w:lineRule="auto"/>
        <w:ind w:right="87" w:firstLine="423"/>
        <w:jc w:val="left"/>
      </w:pPr>
      <w:r>
        <w:rPr/>
        <w:t>②终止确认部分的对价，与原直接计入所有者权益的公允价值变动累计额中对应终止确认部分的金额（涉及转移的金 融资产为可供出售金融资产的情形）之和。</w:t>
      </w:r>
    </w:p>
    <w:p>
      <w:pPr>
        <w:pStyle w:val="BodyText"/>
        <w:spacing w:line="240" w:lineRule="auto" w:before="139"/>
        <w:ind w:left="574" w:right="87"/>
        <w:jc w:val="left"/>
      </w:pPr>
      <w:r>
        <w:rPr/>
        <w:t>金融资产转移不满足终止确认条件的，继续确认该金融资产，所收到的对价确认为一项金融负债。</w:t>
      </w:r>
    </w:p>
    <w:p>
      <w:pPr>
        <w:spacing w:line="240" w:lineRule="auto" w:before="1"/>
        <w:rPr>
          <w:rFonts w:ascii="宋体" w:hAnsi="宋体" w:cs="宋体" w:eastAsia="宋体" w:hint="default"/>
          <w:sz w:val="13"/>
          <w:szCs w:val="13"/>
        </w:rPr>
      </w:pPr>
    </w:p>
    <w:p>
      <w:pPr>
        <w:pStyle w:val="Heading3"/>
        <w:spacing w:line="240" w:lineRule="auto"/>
        <w:ind w:right="87"/>
        <w:jc w:val="left"/>
        <w:rPr>
          <w:b w:val="0"/>
          <w:bCs w:val="0"/>
        </w:rPr>
      </w:pPr>
      <w:r>
        <w:rPr>
          <w:rFonts w:ascii="宋体" w:hAnsi="宋体" w:cs="宋体" w:eastAsia="宋体" w:hint="default"/>
        </w:rPr>
        <w:t>(4)</w:t>
      </w:r>
      <w:r>
        <w:rPr>
          <w:rFonts w:ascii="宋体" w:hAnsi="宋体" w:cs="宋体" w:eastAsia="宋体" w:hint="default"/>
          <w:spacing w:val="-4"/>
        </w:rPr>
        <w:t> </w:t>
      </w:r>
      <w:r>
        <w:rPr/>
        <w:t>金融负债终止确认条件</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92" w:firstLine="420"/>
        <w:jc w:val="left"/>
      </w:pPr>
      <w:r>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BodyText"/>
        <w:spacing w:line="316" w:lineRule="auto" w:before="137"/>
        <w:ind w:right="87"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16" w:lineRule="auto" w:before="139"/>
        <w:ind w:right="87"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39"/>
        <w:ind w:right="190" w:firstLine="420"/>
        <w:jc w:val="both"/>
      </w:pPr>
      <w:r>
        <w:rPr/>
        <w:t>若回购部分金融负债的，在回购日按照继续确认部分与终止确认部分的相对公允价值，将该金融负债整体的账面价值 </w:t>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pStyle w:val="Heading3"/>
        <w:spacing w:line="240" w:lineRule="auto" w:before="113"/>
        <w:ind w:right="87"/>
        <w:jc w:val="left"/>
        <w:rPr>
          <w:b w:val="0"/>
          <w:bCs w:val="0"/>
        </w:rPr>
      </w:pPr>
      <w:r>
        <w:rPr>
          <w:rFonts w:ascii="宋体" w:hAnsi="宋体" w:cs="宋体" w:eastAsia="宋体" w:hint="default"/>
        </w:rPr>
        <w:t>(5)</w:t>
      </w:r>
      <w:r>
        <w:rPr>
          <w:rFonts w:ascii="宋体" w:hAnsi="宋体" w:cs="宋体" w:eastAsia="宋体" w:hint="default"/>
          <w:spacing w:val="-6"/>
        </w:rPr>
        <w:t> </w:t>
      </w:r>
      <w:r>
        <w:rPr/>
        <w:t>金融资产和金融负债公允价值的确定方法</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4" w:right="87"/>
        <w:jc w:val="left"/>
      </w:pPr>
      <w:r>
        <w:rPr/>
        <w:t>采用公允价值计量的金融资产和金融负债全部直接参考活跃市场中的报价。</w:t>
      </w:r>
    </w:p>
    <w:p>
      <w:pPr>
        <w:spacing w:line="240" w:lineRule="auto" w:before="1"/>
        <w:rPr>
          <w:rFonts w:ascii="宋体" w:hAnsi="宋体" w:cs="宋体" w:eastAsia="宋体" w:hint="default"/>
          <w:sz w:val="13"/>
          <w:szCs w:val="13"/>
        </w:rPr>
      </w:pPr>
    </w:p>
    <w:p>
      <w:pPr>
        <w:pStyle w:val="Heading3"/>
        <w:spacing w:line="240" w:lineRule="auto"/>
        <w:ind w:right="87"/>
        <w:jc w:val="left"/>
        <w:rPr>
          <w:b w:val="0"/>
          <w:bCs w:val="0"/>
        </w:rPr>
      </w:pPr>
      <w:r>
        <w:rPr>
          <w:rFonts w:ascii="宋体" w:hAnsi="宋体" w:cs="宋体" w:eastAsia="宋体" w:hint="default"/>
        </w:rPr>
        <w:t>(6)</w:t>
      </w:r>
      <w:r>
        <w:rPr>
          <w:rFonts w:ascii="宋体" w:hAnsi="宋体" w:cs="宋体" w:eastAsia="宋体" w:hint="default"/>
          <w:spacing w:val="-5"/>
        </w:rPr>
        <w:t> </w:t>
      </w:r>
      <w:r>
        <w:rPr/>
        <w:t>金融资产（不含应收款项）减值</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87" w:firstLine="420"/>
        <w:jc w:val="left"/>
      </w:pPr>
      <w:r>
        <w:rPr/>
        <w:t>除以公允价值计量且其变动计入当期损益的金融资产外，于资产负债表日对金融资产的账面价值进行检查，如果有客 观证据表明某项金融资产发生减值的，计提减值准备。</w:t>
      </w:r>
    </w:p>
    <w:p>
      <w:pPr>
        <w:pStyle w:val="BodyText"/>
        <w:spacing w:line="432" w:lineRule="exact" w:before="3"/>
        <w:ind w:left="574" w:right="87" w:hanging="15"/>
        <w:jc w:val="left"/>
      </w:pPr>
      <w:r>
        <w:rPr/>
        <w:t>①</w:t>
      </w:r>
      <w:r>
        <w:rPr>
          <w:spacing w:val="-1"/>
        </w:rPr>
        <w:t> </w:t>
      </w:r>
      <w:r>
        <w:rPr>
          <w:rFonts w:ascii="宋体" w:hAnsi="宋体" w:cs="宋体" w:eastAsia="宋体" w:hint="default"/>
          <w:b/>
          <w:bCs/>
        </w:rPr>
        <w:t>可供出售金融资产的减值</w:t>
      </w:r>
      <w:r>
        <w:rPr>
          <w:rFonts w:ascii="宋体" w:hAnsi="宋体" w:cs="宋体" w:eastAsia="宋体" w:hint="default"/>
          <w:b/>
          <w:bCs/>
          <w:w w:val="99"/>
        </w:rPr>
        <w:t> </w:t>
      </w:r>
      <w:r>
        <w:rPr/>
        <w:t>期末如果可供出售金融资产的公允价值发生较大幅度下降，或在综合考虑各种相关因素后，预期这种下降趋势属于非</w:t>
      </w:r>
    </w:p>
    <w:p>
      <w:pPr>
        <w:pStyle w:val="BodyText"/>
        <w:spacing w:line="360" w:lineRule="auto" w:before="16"/>
        <w:ind w:left="574" w:right="272" w:hanging="420"/>
        <w:jc w:val="left"/>
      </w:pPr>
      <w:r>
        <w:rPr/>
        <w:t>暂时性的，就认定其已发生减值，将原直接计入其他综合收益的公允价值下降形成的累计损失一并转出，确认减值损失。 对于可供出售金融资产由于下列损失事项影响其预计未来现金流量减少</w:t>
      </w:r>
      <w:r>
        <w:rPr>
          <w:rFonts w:ascii="宋体" w:hAnsi="宋体" w:cs="宋体" w:eastAsia="宋体" w:hint="default"/>
        </w:rPr>
        <w:t>,</w:t>
      </w:r>
      <w:r>
        <w:rPr/>
        <w:t>并且能够可靠计量，将认定其发生减值： </w:t>
      </w:r>
      <w:r>
        <w:rPr>
          <w:rFonts w:ascii="宋体" w:hAnsi="宋体" w:cs="宋体" w:eastAsia="宋体" w:hint="default"/>
        </w:rPr>
        <w:t>1)</w:t>
      </w:r>
      <w:r>
        <w:rPr/>
        <w:t>债务人发生严重财务困难；</w:t>
      </w:r>
    </w:p>
    <w:p>
      <w:pPr>
        <w:spacing w:after="0" w:line="360" w:lineRule="auto"/>
        <w:jc w:val="left"/>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580" w:right="0"/>
        <w:jc w:val="left"/>
      </w:pPr>
      <w:r>
        <w:rPr>
          <w:rFonts w:ascii="宋体" w:hAnsi="宋体" w:cs="宋体" w:eastAsia="宋体" w:hint="default"/>
        </w:rPr>
        <w:t>2)</w:t>
      </w:r>
      <w:r>
        <w:rPr/>
        <w:t>债务人违反了合同条款</w:t>
      </w:r>
      <w:r>
        <w:rPr>
          <w:rFonts w:ascii="宋体" w:hAnsi="宋体" w:cs="宋体" w:eastAsia="宋体" w:hint="default"/>
        </w:rPr>
        <w:t>,</w:t>
      </w:r>
      <w:r>
        <w:rPr/>
        <w:t>如偿付利息或本金发生违约或逾期；</w:t>
      </w:r>
    </w:p>
    <w:p>
      <w:pPr>
        <w:pStyle w:val="BodyText"/>
        <w:spacing w:line="240" w:lineRule="auto" w:before="116"/>
        <w:ind w:left="580" w:right="0"/>
        <w:jc w:val="left"/>
      </w:pPr>
      <w:r>
        <w:rPr>
          <w:rFonts w:ascii="宋体" w:hAnsi="宋体" w:cs="宋体" w:eastAsia="宋体" w:hint="default"/>
        </w:rPr>
        <w:t>3)</w:t>
      </w:r>
      <w:r>
        <w:rPr/>
        <w:t>本公司出于经济或法律等方面因素的考虑</w:t>
      </w:r>
      <w:r>
        <w:rPr>
          <w:rFonts w:ascii="宋体" w:hAnsi="宋体" w:cs="宋体" w:eastAsia="宋体" w:hint="default"/>
        </w:rPr>
        <w:t>,</w:t>
      </w:r>
      <w:r>
        <w:rPr/>
        <w:t>对发生财务困难的债务人做出让步；</w:t>
      </w:r>
    </w:p>
    <w:p>
      <w:pPr>
        <w:pStyle w:val="BodyText"/>
        <w:spacing w:line="240" w:lineRule="auto" w:before="117"/>
        <w:ind w:left="580" w:right="0"/>
        <w:jc w:val="left"/>
      </w:pPr>
      <w:r>
        <w:rPr>
          <w:rFonts w:ascii="宋体" w:hAnsi="宋体" w:cs="宋体" w:eastAsia="宋体" w:hint="default"/>
        </w:rPr>
        <w:t>4)</w:t>
      </w:r>
      <w:r>
        <w:rPr/>
        <w:t>债务人很可能倒闭或进行其他财务重组；</w:t>
      </w:r>
    </w:p>
    <w:p>
      <w:pPr>
        <w:pStyle w:val="BodyText"/>
        <w:spacing w:line="240" w:lineRule="auto" w:before="116"/>
        <w:ind w:left="580" w:right="0"/>
        <w:jc w:val="left"/>
      </w:pPr>
      <w:r>
        <w:rPr>
          <w:rFonts w:ascii="宋体" w:hAnsi="宋体" w:cs="宋体" w:eastAsia="宋体" w:hint="default"/>
        </w:rPr>
        <w:t>5)</w:t>
      </w:r>
      <w:r>
        <w:rPr/>
        <w:t>因发行方发生重大财务困难</w:t>
      </w:r>
      <w:r>
        <w:rPr>
          <w:rFonts w:ascii="宋体" w:hAnsi="宋体" w:cs="宋体" w:eastAsia="宋体" w:hint="default"/>
        </w:rPr>
        <w:t>,</w:t>
      </w:r>
      <w:r>
        <w:rPr/>
        <w:t>该金融资产无法在活跃市场继续交易；</w:t>
      </w:r>
    </w:p>
    <w:p>
      <w:pPr>
        <w:pStyle w:val="BodyText"/>
        <w:spacing w:line="319" w:lineRule="auto" w:before="115"/>
        <w:ind w:right="172" w:firstLine="420"/>
        <w:jc w:val="left"/>
      </w:pPr>
      <w:r>
        <w:rPr>
          <w:rFonts w:ascii="宋体" w:hAnsi="宋体" w:cs="宋体" w:eastAsia="宋体" w:hint="default"/>
        </w:rPr>
        <w:t>6)</w:t>
      </w:r>
      <w:r>
        <w:rPr/>
        <w:t>权益工具发行方经营所处的技术、市场、经济或法律环境等发生重大不利变化，使权益工具投资人可能无法收回投 资成本；</w:t>
      </w:r>
    </w:p>
    <w:p>
      <w:pPr>
        <w:pStyle w:val="BodyText"/>
        <w:spacing w:line="357" w:lineRule="auto" w:before="58"/>
        <w:ind w:left="574" w:right="0"/>
        <w:jc w:val="left"/>
      </w:pPr>
      <w:r>
        <w:rPr>
          <w:rFonts w:ascii="宋体" w:hAnsi="宋体" w:cs="宋体" w:eastAsia="宋体" w:hint="default"/>
        </w:rPr>
        <w:t>7)</w:t>
      </w:r>
      <w:r>
        <w:rPr/>
        <w:t>权益工具投资的公允价值发生严重或非暂时性下跌。 认定其已发生减值，将原直接计入所有者权益的公允价值下降形成的累计损失一并转出，确认减值损失。对于已确认</w:t>
      </w:r>
    </w:p>
    <w:p>
      <w:pPr>
        <w:pStyle w:val="BodyText"/>
        <w:spacing w:line="224" w:lineRule="exact"/>
        <w:ind w:right="0"/>
        <w:jc w:val="left"/>
      </w:pPr>
      <w:r>
        <w:rPr/>
        <w:t>减值损失的可供出售债务工具，在随后的会计期间公允价值已上升且客观上与确认原减值损失确认后发生的事项有关的，原</w:t>
      </w:r>
    </w:p>
    <w:p>
      <w:pPr>
        <w:pStyle w:val="BodyText"/>
        <w:spacing w:line="240" w:lineRule="auto" w:before="77"/>
        <w:ind w:right="0"/>
        <w:jc w:val="left"/>
      </w:pPr>
      <w:r>
        <w:rPr/>
        <w:t>确认的减值损失予以转回，计入当期损益。可供出售权益工具投资发生的减值损失，不得通过损益转回。</w:t>
      </w:r>
    </w:p>
    <w:p>
      <w:pPr>
        <w:spacing w:line="240" w:lineRule="auto" w:before="12"/>
        <w:rPr>
          <w:rFonts w:ascii="宋体" w:hAnsi="宋体" w:cs="宋体" w:eastAsia="宋体" w:hint="default"/>
          <w:sz w:val="14"/>
          <w:szCs w:val="14"/>
        </w:rPr>
      </w:pPr>
    </w:p>
    <w:p>
      <w:pPr>
        <w:spacing w:line="439" w:lineRule="auto" w:before="0"/>
        <w:ind w:left="574" w:right="3772" w:hanging="58"/>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b/>
          <w:bCs/>
          <w:sz w:val="18"/>
          <w:szCs w:val="18"/>
        </w:rPr>
        <w:t>持有至到期投资的减值准备</w:t>
      </w:r>
      <w:r>
        <w:rPr>
          <w:rFonts w:ascii="宋体" w:hAnsi="宋体" w:cs="宋体" w:eastAsia="宋体" w:hint="default"/>
          <w:b/>
          <w:bCs/>
          <w:w w:val="99"/>
          <w:sz w:val="18"/>
          <w:szCs w:val="18"/>
        </w:rPr>
        <w:t> </w:t>
      </w:r>
      <w:r>
        <w:rPr>
          <w:rFonts w:ascii="宋体" w:hAnsi="宋体" w:cs="宋体" w:eastAsia="宋体" w:hint="default"/>
          <w:sz w:val="18"/>
          <w:szCs w:val="18"/>
        </w:rPr>
        <w:t>持有至到期投资减值损失的计量比照应收款项减值损失计量方法处理。</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5"/>
                <w:sz w:val="18"/>
                <w:szCs w:val="18"/>
              </w:rPr>
              <w:t> </w:t>
            </w:r>
            <w:r>
              <w:rPr>
                <w:rFonts w:ascii="宋体" w:hAnsi="宋体" w:cs="宋体" w:eastAsia="宋体" w:hint="default"/>
                <w:sz w:val="18"/>
                <w:szCs w:val="18"/>
              </w:rPr>
              <w:t>万元以上（包括</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其他应收款</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元以上（包括</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pStyle w:val="BodyText"/>
        <w:spacing w:line="240" w:lineRule="auto" w:before="51"/>
        <w:ind w:right="0"/>
        <w:jc w:val="left"/>
      </w:pPr>
      <w:r>
        <w:rPr/>
        <w:t>组合中，采用余额百分比法计提坏账准备的：</w:t>
      </w:r>
    </w:p>
    <w:p>
      <w:pPr>
        <w:pStyle w:val="BodyText"/>
        <w:spacing w:line="240" w:lineRule="auto" w:before="117"/>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）单项金额不重大但单独计提坏账准备的应收款项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证据表明其发生了减值的应收款项，按账龄分析法计提的坏 账准备不能反映实际情况，本公司单独进行减值测试。</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r>
        <w:rPr>
          <w:rFonts w:ascii="宋体" w:hAnsi="宋体" w:cs="宋体" w:eastAsia="宋体" w:hint="default"/>
        </w:rPr>
        <w:t>12</w:t>
      </w:r>
      <w:r>
        <w:rPr/>
        <w:t>、存货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3"/>
        </w:rPr>
        <w:t> </w:t>
      </w:r>
      <w:r>
        <w:rPr/>
        <w:t>存货的分类</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4" w:right="0"/>
        <w:jc w:val="left"/>
      </w:pPr>
      <w:r>
        <w:rPr/>
        <w:t>存货分类为：原材料、库存商品、在产品及低值易耗品等。</w:t>
      </w:r>
    </w:p>
    <w:p>
      <w:pPr>
        <w:spacing w:line="240" w:lineRule="auto" w:before="1"/>
        <w:rPr>
          <w:rFonts w:ascii="宋体" w:hAnsi="宋体" w:cs="宋体" w:eastAsia="宋体" w:hint="default"/>
          <w:sz w:val="13"/>
          <w:szCs w:val="13"/>
        </w:rPr>
      </w:pPr>
    </w:p>
    <w:p>
      <w:pPr>
        <w:pStyle w:val="Heading3"/>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4"/>
        </w:rPr>
        <w:t> </w:t>
      </w:r>
      <w:r>
        <w:rPr/>
        <w:t>发出存货的计价方法</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4" w:right="0"/>
        <w:jc w:val="left"/>
      </w:pPr>
      <w:r>
        <w:rPr/>
        <w:t>存货发出时按个别认定法计价。</w:t>
      </w:r>
    </w:p>
    <w:p>
      <w:pPr>
        <w:spacing w:line="240" w:lineRule="auto" w:before="1"/>
        <w:rPr>
          <w:rFonts w:ascii="宋体" w:hAnsi="宋体" w:cs="宋体" w:eastAsia="宋体" w:hint="default"/>
          <w:sz w:val="13"/>
          <w:szCs w:val="13"/>
        </w:rPr>
      </w:pPr>
    </w:p>
    <w:p>
      <w:pPr>
        <w:pStyle w:val="Heading3"/>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8"/>
        </w:rPr>
        <w:t> </w:t>
      </w:r>
      <w:r>
        <w:rPr/>
        <w:t>存货可变现净值的确定依据及存货跌价准备的计提方法</w:t>
      </w:r>
      <w:r>
        <w:rPr>
          <w:b w:val="0"/>
          <w:bCs w:val="0"/>
        </w:rPr>
      </w:r>
    </w:p>
    <w:p>
      <w:pPr>
        <w:pStyle w:val="BodyText"/>
        <w:spacing w:line="432" w:lineRule="exact" w:before="47"/>
        <w:ind w:left="514" w:right="0"/>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w:t>
      </w:r>
    </w:p>
    <w:p>
      <w:pPr>
        <w:pStyle w:val="BodyText"/>
        <w:spacing w:line="316" w:lineRule="auto" w:before="15"/>
        <w:ind w:right="151"/>
        <w:jc w:val="both"/>
      </w:pP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316" w:lineRule="auto" w:before="139"/>
        <w:ind w:right="15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39"/>
        <w:ind w:right="153" w:firstLine="360"/>
        <w:jc w:val="both"/>
      </w:pPr>
      <w:r>
        <w:rPr>
          <w:spacing w:val="-2"/>
        </w:rPr>
        <w:t>以前减记存货价值的影响因素已经消失的，减记的金额予以恢复，并在原已计提的存货跌价准备金额内转回，转回的金</w:t>
      </w:r>
      <w:r>
        <w:rPr/>
        <w:t> 额计入当期损益。</w:t>
      </w:r>
    </w:p>
    <w:p>
      <w:pPr>
        <w:pStyle w:val="Heading3"/>
        <w:spacing w:line="240" w:lineRule="auto" w:before="113"/>
        <w:ind w:right="0"/>
        <w:jc w:val="both"/>
        <w:rPr>
          <w:b w:val="0"/>
          <w:bCs w:val="0"/>
        </w:rPr>
      </w:pPr>
      <w:r>
        <w:rPr>
          <w:rFonts w:ascii="宋体" w:hAnsi="宋体" w:cs="宋体" w:eastAsia="宋体" w:hint="default"/>
        </w:rPr>
        <w:t>(4)</w:t>
      </w:r>
      <w:r>
        <w:rPr>
          <w:rFonts w:ascii="宋体" w:hAnsi="宋体" w:cs="宋体" w:eastAsia="宋体" w:hint="default"/>
          <w:spacing w:val="-3"/>
        </w:rPr>
        <w:t> </w:t>
      </w:r>
      <w:r>
        <w:rPr/>
        <w:t>存货的盘存制度</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4" w:right="0"/>
        <w:jc w:val="left"/>
      </w:pPr>
      <w:r>
        <w:rPr/>
        <w:t>采用永续盘存制。</w:t>
      </w:r>
    </w:p>
    <w:p>
      <w:pPr>
        <w:spacing w:line="240" w:lineRule="auto" w:before="1"/>
        <w:rPr>
          <w:rFonts w:ascii="宋体" w:hAnsi="宋体" w:cs="宋体" w:eastAsia="宋体" w:hint="default"/>
          <w:sz w:val="13"/>
          <w:szCs w:val="13"/>
        </w:rPr>
      </w:pPr>
    </w:p>
    <w:p>
      <w:pPr>
        <w:pStyle w:val="Heading3"/>
        <w:spacing w:line="240" w:lineRule="auto"/>
        <w:ind w:right="0"/>
        <w:jc w:val="both"/>
        <w:rPr>
          <w:b w:val="0"/>
          <w:bCs w:val="0"/>
        </w:rPr>
      </w:pPr>
      <w:r>
        <w:rPr>
          <w:rFonts w:ascii="宋体" w:hAnsi="宋体" w:cs="宋体" w:eastAsia="宋体" w:hint="default"/>
        </w:rPr>
        <w:t>(5)</w:t>
      </w:r>
      <w:r>
        <w:rPr>
          <w:rFonts w:ascii="宋体" w:hAnsi="宋体" w:cs="宋体" w:eastAsia="宋体" w:hint="default"/>
          <w:spacing w:val="-4"/>
        </w:rPr>
        <w:t> </w:t>
      </w:r>
      <w:r>
        <w:rPr/>
        <w:t>低值易耗品的摊销方法</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4" w:right="0"/>
        <w:jc w:val="left"/>
      </w:pPr>
      <w:r>
        <w:rPr/>
        <w:t>低值易耗品采用一次转销法。</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13</w:t>
      </w:r>
      <w:r>
        <w:rPr/>
        <w:t>、划分为持有待售资产</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right="151" w:firstLine="360"/>
        <w:jc w:val="both"/>
      </w:pPr>
      <w:r>
        <w:rPr>
          <w:spacing w:val="-2"/>
        </w:rPr>
        <w:t>同时满足下列条件的企业组成部分（或非流动资产，下同）确认为持有待售：该组成部分必须在其当前状况下仅根据出</w:t>
      </w:r>
      <w:r>
        <w:rPr/>
        <w:t> </w:t>
      </w:r>
      <w:r>
        <w:rPr>
          <w:spacing w:val="-2"/>
        </w:rPr>
        <w:t>售此类组成部分的惯常条款即可立即出售；企业已经就处置该组成部分作出决议，如按规定需得到股东批准的，已经取得股</w:t>
      </w:r>
      <w:r>
        <w:rPr>
          <w:spacing w:val="-66"/>
        </w:rPr>
        <w:t> </w:t>
      </w:r>
      <w:r>
        <w:rPr>
          <w:spacing w:val="-66"/>
        </w:rPr>
      </w:r>
      <w:r>
        <w:rPr/>
        <w:t>东大会或相应权力机构的批准；企业已经与受让方签订了不可撤销的转让协议；该项转让将在一年内完成。</w:t>
      </w:r>
    </w:p>
    <w:p>
      <w:pPr>
        <w:spacing w:after="0" w:line="316"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宋体" w:hAnsi="宋体" w:cs="宋体" w:eastAsia="宋体" w:hint="default"/>
        </w:rPr>
        <w:t>14</w:t>
      </w:r>
      <w:r>
        <w:rPr/>
        <w:t>、长期股权投资</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5"/>
        </w:rPr>
        <w:t> </w:t>
      </w:r>
      <w:r>
        <w:rPr/>
        <w:t>长期股权投资的分类及其判断依据</w:t>
      </w:r>
      <w:r>
        <w:rPr>
          <w:b w:val="0"/>
          <w:bCs w:val="0"/>
        </w:rPr>
      </w:r>
    </w:p>
    <w:p>
      <w:pPr>
        <w:pStyle w:val="BodyText"/>
        <w:spacing w:line="432" w:lineRule="exact" w:before="47"/>
        <w:ind w:left="574" w:right="0" w:hanging="224"/>
        <w:jc w:val="left"/>
      </w:pPr>
      <w:r>
        <w:rPr>
          <w:rFonts w:ascii="宋体" w:hAnsi="宋体" w:cs="宋体" w:eastAsia="宋体" w:hint="default"/>
          <w:b/>
          <w:bCs/>
        </w:rPr>
        <w:t>①长期股权投资的分类</w:t>
      </w:r>
      <w:r>
        <w:rPr>
          <w:rFonts w:ascii="宋体" w:hAnsi="宋体" w:cs="宋体" w:eastAsia="宋体" w:hint="default"/>
          <w:b/>
          <w:bCs/>
          <w:w w:val="99"/>
        </w:rPr>
        <w:t> </w:t>
      </w:r>
      <w:r>
        <w:rPr/>
        <w:t>长期股权投资分为三类，即是指投资方对被投资单位实施控制、重大影响的权益性投资，以及对其合营企业的权益性</w:t>
      </w:r>
    </w:p>
    <w:p>
      <w:pPr>
        <w:pStyle w:val="BodyText"/>
        <w:spacing w:line="240" w:lineRule="auto" w:before="15"/>
        <w:ind w:right="0"/>
        <w:jc w:val="both"/>
      </w:pPr>
      <w:r>
        <w:rPr/>
        <w:t>投资。</w:t>
      </w:r>
    </w:p>
    <w:p>
      <w:pPr>
        <w:spacing w:line="240" w:lineRule="auto" w:before="0"/>
        <w:rPr>
          <w:rFonts w:ascii="宋体" w:hAnsi="宋体" w:cs="宋体" w:eastAsia="宋体" w:hint="default"/>
          <w:sz w:val="15"/>
          <w:szCs w:val="15"/>
        </w:rPr>
      </w:pPr>
    </w:p>
    <w:p>
      <w:pPr>
        <w:spacing w:line="439" w:lineRule="auto" w:before="0"/>
        <w:ind w:left="514" w:right="4372" w:hanging="179"/>
        <w:jc w:val="left"/>
        <w:rPr>
          <w:rFonts w:ascii="宋体" w:hAnsi="宋体" w:cs="宋体" w:eastAsia="宋体" w:hint="default"/>
          <w:sz w:val="18"/>
          <w:szCs w:val="18"/>
        </w:rPr>
      </w:pPr>
      <w:r>
        <w:rPr>
          <w:rFonts w:ascii="宋体" w:hAnsi="宋体" w:cs="宋体" w:eastAsia="宋体" w:hint="default"/>
          <w:b/>
          <w:bCs/>
          <w:sz w:val="18"/>
          <w:szCs w:val="18"/>
        </w:rPr>
        <w:t>②长期股权投资类别的判断依据</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确定对被投资单位控制的依据详见审计报告附注四、（六）；</w:t>
      </w:r>
    </w:p>
    <w:p>
      <w:pPr>
        <w:pStyle w:val="BodyText"/>
        <w:spacing w:line="240" w:lineRule="auto" w:before="47"/>
        <w:ind w:left="514" w:right="0"/>
        <w:jc w:val="left"/>
      </w:pPr>
      <w:r>
        <w:rPr>
          <w:rFonts w:ascii="宋体" w:hAnsi="宋体" w:cs="宋体" w:eastAsia="宋体" w:hint="default"/>
        </w:rPr>
        <w:t>2)</w:t>
      </w:r>
      <w:r>
        <w:rPr/>
        <w:t>确定对被投资单位具有重大影响的依据：</w:t>
      </w:r>
    </w:p>
    <w:p>
      <w:pPr>
        <w:spacing w:line="240" w:lineRule="auto" w:before="0"/>
        <w:rPr>
          <w:rFonts w:ascii="宋体" w:hAnsi="宋体" w:cs="宋体" w:eastAsia="宋体" w:hint="default"/>
          <w:sz w:val="15"/>
          <w:szCs w:val="15"/>
        </w:rPr>
      </w:pPr>
    </w:p>
    <w:p>
      <w:pPr>
        <w:pStyle w:val="BodyText"/>
        <w:spacing w:line="316" w:lineRule="auto"/>
        <w:ind w:right="152" w:firstLine="360"/>
        <w:jc w:val="both"/>
      </w:pPr>
      <w:r>
        <w:rPr>
          <w:spacing w:val="-2"/>
        </w:rPr>
        <w:t>重大影响，是指对一个企业的财务和经营决策有参与决策的权力，但并不能够控制或者与其他方一起共同控制这些政策</w:t>
      </w:r>
      <w:r>
        <w:rPr/>
        <w:t> 的制定。</w:t>
      </w:r>
    </w:p>
    <w:p>
      <w:pPr>
        <w:pStyle w:val="BodyText"/>
        <w:spacing w:line="240" w:lineRule="auto" w:before="139"/>
        <w:ind w:left="514" w:right="0"/>
        <w:jc w:val="left"/>
      </w:pPr>
      <w:r>
        <w:rPr/>
        <w:t>公司通常通过以下一种或几种情形判断是否对被投资单位具有重大影响：</w:t>
      </w:r>
    </w:p>
    <w:p>
      <w:pPr>
        <w:spacing w:line="240" w:lineRule="auto" w:before="0"/>
        <w:rPr>
          <w:rFonts w:ascii="宋体" w:hAnsi="宋体" w:cs="宋体" w:eastAsia="宋体" w:hint="default"/>
          <w:sz w:val="15"/>
          <w:szCs w:val="15"/>
        </w:rPr>
      </w:pPr>
    </w:p>
    <w:p>
      <w:pPr>
        <w:pStyle w:val="BodyText"/>
        <w:spacing w:line="316" w:lineRule="auto"/>
        <w:ind w:right="150" w:firstLine="360"/>
        <w:jc w:val="both"/>
      </w:pPr>
      <w:r>
        <w:rPr>
          <w:rFonts w:ascii="宋体" w:hAnsi="宋体" w:cs="宋体" w:eastAsia="宋体" w:hint="default"/>
        </w:rPr>
        <w:t>A</w:t>
      </w:r>
      <w:r>
        <w:rPr>
          <w:rFonts w:ascii="宋体" w:hAnsi="宋体" w:cs="宋体" w:eastAsia="宋体" w:hint="default"/>
          <w:spacing w:val="18"/>
        </w:rPr>
        <w:t> </w:t>
      </w:r>
      <w:r>
        <w:rPr>
          <w:spacing w:val="-2"/>
        </w:rPr>
        <w:t>在被投资单位的董事会或类似权力机构中派有代表。在这种情况下，由于在被投资单位的董事会或类似权力机构中派</w:t>
      </w:r>
      <w:r>
        <w:rPr/>
        <w:t> </w:t>
      </w:r>
      <w:r>
        <w:rPr>
          <w:spacing w:val="-2"/>
        </w:rPr>
        <w:t>有代表，并相应享有实质性的参与决策权，投资方可以通过该代表参与被投资单位财务和经营政策的制定，达到对被投资单</w:t>
      </w:r>
      <w:r>
        <w:rPr>
          <w:spacing w:val="-66"/>
        </w:rPr>
        <w:t> </w:t>
      </w:r>
      <w:r>
        <w:rPr>
          <w:spacing w:val="-66"/>
        </w:rPr>
      </w:r>
      <w:r>
        <w:rPr/>
        <w:t>位施加重大影响。</w:t>
      </w:r>
    </w:p>
    <w:p>
      <w:pPr>
        <w:pStyle w:val="BodyText"/>
        <w:spacing w:line="316" w:lineRule="auto" w:before="139"/>
        <w:ind w:right="152" w:firstLine="360"/>
        <w:jc w:val="both"/>
      </w:pPr>
      <w:r>
        <w:rPr>
          <w:rFonts w:ascii="宋体" w:hAnsi="宋体" w:cs="宋体" w:eastAsia="宋体" w:hint="default"/>
        </w:rPr>
        <w:t>B</w:t>
      </w:r>
      <w:r>
        <w:rPr>
          <w:rFonts w:ascii="宋体" w:hAnsi="宋体" w:cs="宋体" w:eastAsia="宋体" w:hint="default"/>
          <w:spacing w:val="16"/>
        </w:rPr>
        <w:t> </w:t>
      </w:r>
      <w:r>
        <w:rPr>
          <w:spacing w:val="-2"/>
        </w:rPr>
        <w:t>参与被投资单位财务和经营政策制定过程。这种情况下，在制定政策过程中可以为其自身利益提出建议和意见，从而</w:t>
      </w:r>
      <w:r>
        <w:rPr/>
        <w:t> 可以对被投资单位施加重大影响。</w:t>
      </w:r>
    </w:p>
    <w:p>
      <w:pPr>
        <w:pStyle w:val="BodyText"/>
        <w:spacing w:line="319" w:lineRule="auto" w:before="139"/>
        <w:ind w:right="151" w:firstLine="360"/>
        <w:jc w:val="both"/>
      </w:pPr>
      <w:r>
        <w:rPr>
          <w:rFonts w:ascii="宋体" w:hAnsi="宋体" w:cs="宋体" w:eastAsia="宋体" w:hint="default"/>
        </w:rPr>
        <w:t>C</w:t>
      </w:r>
      <w:r>
        <w:rPr>
          <w:rFonts w:ascii="宋体" w:hAnsi="宋体" w:cs="宋体" w:eastAsia="宋体" w:hint="default"/>
          <w:spacing w:val="18"/>
        </w:rPr>
        <w:t> </w:t>
      </w:r>
      <w:r>
        <w:rPr>
          <w:spacing w:val="-2"/>
        </w:rPr>
        <w:t>与被投资单位之间发生重要交易。有关的交易因对被投资单位的日常经营具有重要性，进而一定程度上可以影响到被</w:t>
      </w:r>
      <w:r>
        <w:rPr/>
        <w:t> 投资单位的生产经营决策。</w:t>
      </w:r>
    </w:p>
    <w:p>
      <w:pPr>
        <w:pStyle w:val="BodyText"/>
        <w:spacing w:line="316" w:lineRule="auto" w:before="137"/>
        <w:ind w:right="152" w:firstLine="360"/>
        <w:jc w:val="both"/>
      </w:pPr>
      <w:r>
        <w:rPr>
          <w:rFonts w:ascii="宋体" w:hAnsi="宋体" w:cs="宋体" w:eastAsia="宋体" w:hint="default"/>
        </w:rPr>
        <w:t>D</w:t>
      </w:r>
      <w:r>
        <w:rPr>
          <w:rFonts w:ascii="宋体" w:hAnsi="宋体" w:cs="宋体" w:eastAsia="宋体" w:hint="default"/>
          <w:spacing w:val="16"/>
        </w:rPr>
        <w:t> </w:t>
      </w:r>
      <w:r>
        <w:rPr>
          <w:spacing w:val="-2"/>
        </w:rPr>
        <w:t>向被投资单位派出管理人员。在这种情况下，管理人员有权力主导被投资单位的相关活动，从而能够对被投资单位施</w:t>
      </w:r>
      <w:r>
        <w:rPr/>
        <w:t> 加重大影响。</w:t>
      </w:r>
    </w:p>
    <w:p>
      <w:pPr>
        <w:pStyle w:val="BodyText"/>
        <w:spacing w:line="316" w:lineRule="auto" w:before="139"/>
        <w:ind w:right="151" w:firstLine="360"/>
        <w:jc w:val="both"/>
      </w:pPr>
      <w:r>
        <w:rPr>
          <w:rFonts w:ascii="宋体" w:hAnsi="宋体" w:cs="宋体" w:eastAsia="宋体" w:hint="default"/>
        </w:rPr>
        <w:t>E</w:t>
      </w:r>
      <w:r>
        <w:rPr>
          <w:rFonts w:ascii="宋体" w:hAnsi="宋体" w:cs="宋体" w:eastAsia="宋体" w:hint="default"/>
          <w:spacing w:val="18"/>
        </w:rPr>
        <w:t> </w:t>
      </w:r>
      <w:r>
        <w:rPr>
          <w:spacing w:val="-2"/>
        </w:rPr>
        <w:t>向被投资单位提供关键技术资料。因被投资单位的生产经营需要依赖投资方的技术或技术资料，表明投资方对被投资</w:t>
      </w:r>
      <w:r>
        <w:rPr/>
        <w:t> 单位具有重大影响。</w:t>
      </w:r>
    </w:p>
    <w:p>
      <w:pPr>
        <w:pStyle w:val="BodyText"/>
        <w:spacing w:line="316" w:lineRule="auto" w:before="139"/>
        <w:ind w:right="152" w:firstLine="360"/>
        <w:jc w:val="both"/>
      </w:pPr>
      <w:r>
        <w:rPr>
          <w:spacing w:val="-2"/>
        </w:rPr>
        <w:t>公司在判断是否对被投资方具有重大影响时，不限于是否存在上述一种或多种情形，还需要综合考虑所有事实和情况来</w:t>
      </w:r>
      <w:r>
        <w:rPr/>
        <w:t> 做出综合的判断。</w:t>
      </w:r>
    </w:p>
    <w:p>
      <w:pPr>
        <w:pStyle w:val="BodyText"/>
        <w:spacing w:line="439" w:lineRule="auto" w:before="139"/>
        <w:ind w:left="514" w:right="3112"/>
        <w:jc w:val="left"/>
      </w:pPr>
      <w:r>
        <w:rPr/>
        <w:t>投资方对被投资单位具有重大影响的权益性投资，即对联营企业投资。 </w:t>
      </w:r>
      <w:r>
        <w:rPr>
          <w:rFonts w:ascii="宋体" w:hAnsi="宋体" w:cs="宋体" w:eastAsia="宋体" w:hint="default"/>
        </w:rPr>
        <w:t>3)</w:t>
      </w:r>
      <w:r>
        <w:rPr/>
        <w:t>确定被投资单位是否为合营企业的依据： 本公司的合营企业是指本公司仅对合营安排的净资产享有权利。 合营安排的定义、分类以及共同控制的判断标准详见审计报告附注四、（七）。</w:t>
      </w:r>
    </w:p>
    <w:p>
      <w:pPr>
        <w:pStyle w:val="Heading3"/>
        <w:spacing w:line="240" w:lineRule="auto" w:before="21"/>
        <w:ind w:right="0"/>
        <w:jc w:val="both"/>
        <w:rPr>
          <w:b w:val="0"/>
          <w:bCs w:val="0"/>
        </w:rPr>
      </w:pPr>
      <w:r>
        <w:rPr>
          <w:rFonts w:ascii="宋体" w:hAnsi="宋体" w:cs="宋体" w:eastAsia="宋体" w:hint="default"/>
        </w:rPr>
        <w:t>(2)</w:t>
      </w:r>
      <w:r>
        <w:rPr>
          <w:rFonts w:ascii="宋体" w:hAnsi="宋体" w:cs="宋体" w:eastAsia="宋体" w:hint="default"/>
          <w:spacing w:val="-5"/>
        </w:rPr>
        <w:t> </w:t>
      </w:r>
      <w:r>
        <w:rPr/>
        <w:t>长期股权投资初始成本的确定</w:t>
      </w:r>
      <w:r>
        <w:rPr>
          <w:b w:val="0"/>
          <w:bCs w:val="0"/>
        </w:rPr>
      </w:r>
    </w:p>
    <w:p>
      <w:pPr>
        <w:spacing w:line="432" w:lineRule="exact" w:before="47"/>
        <w:ind w:left="514" w:right="0" w:hanging="269"/>
        <w:jc w:val="left"/>
        <w:rPr>
          <w:rFonts w:ascii="宋体" w:hAnsi="宋体" w:cs="宋体" w:eastAsia="宋体" w:hint="default"/>
          <w:sz w:val="18"/>
          <w:szCs w:val="18"/>
        </w:rPr>
      </w:pPr>
      <w:r>
        <w:rPr>
          <w:rFonts w:ascii="宋体" w:hAnsi="宋体" w:cs="宋体" w:eastAsia="宋体" w:hint="default"/>
          <w:b/>
          <w:bCs/>
          <w:sz w:val="18"/>
          <w:szCs w:val="18"/>
        </w:rPr>
        <w:t>①</w:t>
      </w:r>
      <w:r>
        <w:rPr>
          <w:rFonts w:ascii="宋体" w:hAnsi="宋体" w:cs="宋体" w:eastAsia="宋体" w:hint="default"/>
          <w:b/>
          <w:bCs/>
          <w:spacing w:val="-1"/>
          <w:sz w:val="18"/>
          <w:szCs w:val="18"/>
        </w:rPr>
        <w:t> </w:t>
      </w:r>
      <w:r>
        <w:rPr>
          <w:rFonts w:ascii="宋体" w:hAnsi="宋体" w:cs="宋体" w:eastAsia="宋体" w:hint="default"/>
          <w:b/>
          <w:bCs/>
          <w:sz w:val="18"/>
          <w:szCs w:val="18"/>
        </w:rPr>
        <w:t>企业合并形成的长期股权投资</w:t>
      </w:r>
      <w:r>
        <w:rPr>
          <w:rFonts w:ascii="宋体" w:hAnsi="宋体" w:cs="宋体" w:eastAsia="宋体" w:hint="default"/>
          <w:b/>
          <w:bCs/>
          <w:w w:val="99"/>
          <w:sz w:val="18"/>
          <w:szCs w:val="18"/>
        </w:rPr>
        <w:t> </w:t>
      </w:r>
      <w:r>
        <w:rPr>
          <w:rFonts w:ascii="宋体" w:hAnsi="宋体" w:cs="宋体" w:eastAsia="宋体" w:hint="default"/>
          <w:spacing w:val="-2"/>
          <w:sz w:val="18"/>
          <w:szCs w:val="18"/>
        </w:rPr>
        <w:t>同一控制下的企业合并：公司以支付现金、转让非现金资产或承担债务方式以及以发行权益性证券作为合并对价的，在</w:t>
      </w:r>
    </w:p>
    <w:p>
      <w:pPr>
        <w:pStyle w:val="BodyText"/>
        <w:spacing w:line="316" w:lineRule="auto" w:before="15"/>
        <w:ind w:right="151"/>
        <w:jc w:val="both"/>
      </w:pPr>
      <w:r>
        <w:rPr>
          <w:spacing w:val="-2"/>
        </w:rPr>
        <w:t>合并日按照取得被合并方所有者权益在最终控制方合并财务报表中的账面价值的份额作为长期股权投资的初始投资成本。长</w:t>
      </w:r>
      <w:r>
        <w:rPr>
          <w:spacing w:val="-64"/>
        </w:rPr>
        <w:t> </w:t>
      </w:r>
      <w:r>
        <w:rPr>
          <w:spacing w:val="-64"/>
        </w:rPr>
      </w:r>
      <w:r>
        <w:rPr>
          <w:spacing w:val="-2"/>
        </w:rPr>
        <w:t>期股权投资初始投资成本与支付合并对价之间的差额，调整资本公积（资本溢价或股本溢价）；资本公积（资本溢价或股本</w:t>
      </w:r>
      <w:r>
        <w:rPr>
          <w:spacing w:val="-66"/>
        </w:rPr>
        <w:t> </w:t>
      </w:r>
      <w:r>
        <w:rPr>
          <w:spacing w:val="-66"/>
        </w:rPr>
      </w:r>
      <w:r>
        <w:rPr>
          <w:spacing w:val="-2"/>
        </w:rPr>
        <w:t>溢价）不足冲减的，调整留存收益。合并方以发行权益性证券作为合并对价的，按照发行股份的面值总额作为股本，长期股</w:t>
      </w:r>
      <w:r>
        <w:rPr>
          <w:spacing w:val="-66"/>
        </w:rPr>
        <w:t> </w:t>
      </w:r>
      <w:r>
        <w:rPr>
          <w:spacing w:val="-66"/>
        </w:rPr>
      </w:r>
      <w:r>
        <w:rPr>
          <w:spacing w:val="-2"/>
        </w:rPr>
        <w:t>权投资初始投资成本与所发行股份面值总额之间的差额，调整资本公（资本溢价或股本溢价）；资本公积（资本溢价或股本</w:t>
      </w:r>
      <w:r>
        <w:rPr>
          <w:spacing w:val="-65"/>
        </w:rPr>
        <w:t> </w:t>
      </w:r>
      <w:r>
        <w:rPr>
          <w:spacing w:val="-65"/>
        </w:rPr>
      </w:r>
      <w:r>
        <w:rPr/>
        <w:t>溢价）不足冲减的，调整留存收益。</w:t>
      </w:r>
    </w:p>
    <w:p>
      <w:pPr>
        <w:spacing w:after="0" w:line="316"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9" w:lineRule="auto" w:before="44"/>
        <w:ind w:right="110" w:firstLine="360"/>
        <w:jc w:val="both"/>
      </w:pPr>
      <w:r>
        <w:rPr>
          <w:spacing w:val="-2"/>
        </w:rPr>
        <w:t>非同一控制下的企业合并：公司按照购买日确定的合并成本作为长期股权投资的初始投资成本。合并成本为购买日购买</w:t>
      </w:r>
      <w:r>
        <w:rPr/>
        <w:t> </w:t>
      </w:r>
      <w:r>
        <w:rPr>
          <w:spacing w:val="-2"/>
        </w:rPr>
        <w:t>方为取得对被购买方的控制权而付出的资产、发生或承担的负债以及发行的权益性证券的公允价值。购买方作为合并对价发</w:t>
      </w:r>
      <w:r>
        <w:rPr>
          <w:spacing w:val="-64"/>
        </w:rPr>
        <w:t> </w:t>
      </w:r>
      <w:r>
        <w:rPr>
          <w:spacing w:val="-64"/>
        </w:rPr>
      </w:r>
      <w:r>
        <w:rPr>
          <w:spacing w:val="-2"/>
        </w:rPr>
        <w:t>行的权益性证券或债务性证券的交易费用，计入权益性证券或债务性证券的初始确认金额。通过多次交易分步实现的非同一</w:t>
      </w:r>
      <w:r>
        <w:rPr>
          <w:spacing w:val="-64"/>
        </w:rPr>
        <w:t> </w:t>
      </w:r>
      <w:r>
        <w:rPr>
          <w:spacing w:val="-64"/>
        </w:rPr>
      </w: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pStyle w:val="BodyText"/>
        <w:spacing w:line="316" w:lineRule="auto" w:before="137"/>
        <w:ind w:right="192" w:firstLine="360"/>
        <w:jc w:val="both"/>
      </w:pPr>
      <w:r>
        <w:rPr>
          <w:spacing w:val="-2"/>
        </w:rPr>
        <w:t>合并方或购买方为企业合并而发生的审计、法律服务、评估咨询等中介费用以及其他相关管理费用于发生时计入当期损</w:t>
      </w:r>
      <w:r>
        <w:rPr/>
        <w:t> 益。</w:t>
      </w:r>
    </w:p>
    <w:p>
      <w:pPr>
        <w:spacing w:line="432" w:lineRule="exact" w:before="3"/>
        <w:ind w:left="514" w:right="87" w:hanging="269"/>
        <w:jc w:val="left"/>
        <w:rPr>
          <w:rFonts w:ascii="宋体" w:hAnsi="宋体" w:cs="宋体" w:eastAsia="宋体" w:hint="default"/>
          <w:sz w:val="18"/>
          <w:szCs w:val="18"/>
        </w:rPr>
      </w:pPr>
      <w:r>
        <w:rPr>
          <w:rFonts w:ascii="宋体" w:hAnsi="宋体" w:cs="宋体" w:eastAsia="宋体" w:hint="default"/>
          <w:b/>
          <w:bCs/>
          <w:sz w:val="18"/>
          <w:szCs w:val="18"/>
        </w:rPr>
        <w:t>②</w:t>
      </w:r>
      <w:r>
        <w:rPr>
          <w:rFonts w:ascii="宋体" w:hAnsi="宋体" w:cs="宋体" w:eastAsia="宋体" w:hint="default"/>
          <w:b/>
          <w:bCs/>
          <w:spacing w:val="-1"/>
          <w:sz w:val="18"/>
          <w:szCs w:val="18"/>
        </w:rPr>
        <w:t> </w:t>
      </w:r>
      <w:r>
        <w:rPr>
          <w:rFonts w:ascii="宋体" w:hAnsi="宋体" w:cs="宋体" w:eastAsia="宋体" w:hint="default"/>
          <w:b/>
          <w:bCs/>
          <w:sz w:val="18"/>
          <w:szCs w:val="18"/>
        </w:rPr>
        <w:t>其他方式取得的长期股权投资</w:t>
      </w:r>
      <w:r>
        <w:rPr>
          <w:rFonts w:ascii="宋体" w:hAnsi="宋体" w:cs="宋体" w:eastAsia="宋体" w:hint="default"/>
          <w:b/>
          <w:bCs/>
          <w:w w:val="99"/>
          <w:sz w:val="18"/>
          <w:szCs w:val="18"/>
        </w:rPr>
        <w:t> </w:t>
      </w:r>
      <w:r>
        <w:rPr>
          <w:rFonts w:ascii="宋体" w:hAnsi="宋体" w:cs="宋体" w:eastAsia="宋体" w:hint="default"/>
          <w:spacing w:val="-2"/>
          <w:sz w:val="18"/>
          <w:szCs w:val="18"/>
        </w:rPr>
        <w:t>以支付现金方式取得的长期股权投资，按照实际支付的购买价款作为初始投资成本。初始投资成本包括与取得长期股权</w:t>
      </w:r>
    </w:p>
    <w:p>
      <w:pPr>
        <w:pStyle w:val="BodyText"/>
        <w:spacing w:line="240" w:lineRule="auto" w:before="15"/>
        <w:ind w:right="87"/>
        <w:jc w:val="left"/>
      </w:pPr>
      <w:r>
        <w:rPr/>
        <w:t>投资直接相关的费用、税金及其他必要支出。</w:t>
      </w:r>
    </w:p>
    <w:p>
      <w:pPr>
        <w:pStyle w:val="BodyText"/>
        <w:spacing w:line="430" w:lineRule="atLeast" w:before="2"/>
        <w:ind w:left="514" w:right="87"/>
        <w:jc w:val="left"/>
      </w:pPr>
      <w:r>
        <w:rPr/>
        <w:t>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316" w:lineRule="auto" w:before="76"/>
        <w:ind w:right="87"/>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39"/>
        <w:ind w:left="514" w:right="87"/>
        <w:jc w:val="left"/>
      </w:pPr>
      <w:r>
        <w:rPr/>
        <w:t>通过债务重组取得的长期股权投资，其初始投资成本按照公允价值为基础确定。</w:t>
      </w:r>
    </w:p>
    <w:p>
      <w:pPr>
        <w:spacing w:line="240" w:lineRule="auto" w:before="0"/>
        <w:rPr>
          <w:rFonts w:ascii="宋体" w:hAnsi="宋体" w:cs="宋体" w:eastAsia="宋体" w:hint="default"/>
          <w:sz w:val="15"/>
          <w:szCs w:val="15"/>
        </w:rPr>
      </w:pPr>
    </w:p>
    <w:p>
      <w:pPr>
        <w:spacing w:line="439" w:lineRule="auto" w:before="0"/>
        <w:ind w:left="514" w:right="4052" w:hanging="269"/>
        <w:jc w:val="left"/>
        <w:rPr>
          <w:rFonts w:ascii="宋体" w:hAnsi="宋体" w:cs="宋体" w:eastAsia="宋体" w:hint="default"/>
          <w:sz w:val="18"/>
          <w:szCs w:val="18"/>
        </w:rPr>
      </w:pPr>
      <w:r>
        <w:rPr>
          <w:rFonts w:ascii="宋体" w:hAnsi="宋体" w:cs="宋体" w:eastAsia="宋体" w:hint="default"/>
          <w:b/>
          <w:bCs/>
          <w:sz w:val="18"/>
          <w:szCs w:val="18"/>
        </w:rPr>
        <w:t>③</w:t>
      </w:r>
      <w:r>
        <w:rPr>
          <w:rFonts w:ascii="宋体" w:hAnsi="宋体" w:cs="宋体" w:eastAsia="宋体" w:hint="default"/>
          <w:b/>
          <w:bCs/>
          <w:spacing w:val="-1"/>
          <w:sz w:val="18"/>
          <w:szCs w:val="18"/>
        </w:rPr>
        <w:t> </w:t>
      </w:r>
      <w:r>
        <w:rPr>
          <w:rFonts w:ascii="宋体" w:hAnsi="宋体" w:cs="宋体" w:eastAsia="宋体" w:hint="default"/>
          <w:b/>
          <w:bCs/>
          <w:sz w:val="18"/>
          <w:szCs w:val="18"/>
        </w:rPr>
        <w:t>长期股权投资的后续计量及损益确认方法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本公司能够对被投资单位实施控制的长期股权投资采用成本法核算。</w:t>
      </w:r>
    </w:p>
    <w:p>
      <w:pPr>
        <w:pStyle w:val="BodyText"/>
        <w:spacing w:line="316" w:lineRule="auto" w:before="47"/>
        <w:ind w:right="191" w:firstLine="360"/>
        <w:jc w:val="both"/>
      </w:pPr>
      <w:r>
        <w:rPr>
          <w:spacing w:val="-2"/>
        </w:rPr>
        <w:t>采用成本法核算的长期股权投资按照初始投资成本计价。追加或收回投资调整长期股权投资的成本。被投资单位宣告分</w:t>
      </w:r>
      <w:r>
        <w:rPr/>
        <w:t> 派的现金股利或利润，确认为当期投资收益。</w:t>
      </w:r>
    </w:p>
    <w:p>
      <w:pPr>
        <w:pStyle w:val="BodyText"/>
        <w:spacing w:line="316" w:lineRule="auto" w:before="139"/>
        <w:ind w:right="192" w:firstLine="360"/>
        <w:jc w:val="both"/>
      </w:pPr>
      <w:r>
        <w:rPr>
          <w:spacing w:val="-2"/>
        </w:rPr>
        <w:t>对合营企业和联营企业的长期股权投资，采用权益法核算。初始投资成本大于投资时应享有被投资单位可辨认净资产公</w:t>
      </w:r>
      <w:r>
        <w:rPr/>
        <w:t> </w:t>
      </w: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值份额的差额，计入当期损益，同时调整长期股权投资的成本。</w:t>
      </w:r>
    </w:p>
    <w:p>
      <w:pPr>
        <w:pStyle w:val="BodyText"/>
        <w:spacing w:line="316" w:lineRule="auto" w:before="139"/>
        <w:ind w:right="192" w:firstLine="360"/>
        <w:jc w:val="both"/>
      </w:pPr>
      <w:r>
        <w:rPr>
          <w:spacing w:val="-2"/>
        </w:rPr>
        <w:t>本公司取得长期股权投资后，按照应享有或应分担的被投资单位实现的净损益和其他综合收益的份额，分别确认投资收</w:t>
      </w:r>
      <w:r>
        <w:rPr/>
        <w:t> </w:t>
      </w:r>
      <w:r>
        <w:rPr>
          <w:spacing w:val="-2"/>
        </w:rPr>
        <w:t>益和其他综合收益，同时调整长期股权投资的账面价值；本公司按照被投资单位宣告分派的利润或现金股利计算应享有的部</w:t>
      </w:r>
      <w:r>
        <w:rPr>
          <w:spacing w:val="-64"/>
        </w:rPr>
        <w:t> </w:t>
      </w:r>
      <w:r>
        <w:rPr>
          <w:spacing w:val="-64"/>
        </w:rPr>
      </w:r>
      <w:r>
        <w:rPr>
          <w:spacing w:val="-2"/>
        </w:rPr>
        <w:t>分，相应减少长期股权投资的账面价值；本公司对于被投资单位除净损益、其他综合收益和利润分配以外所有者权益的其他</w:t>
      </w:r>
      <w:r>
        <w:rPr>
          <w:spacing w:val="-66"/>
        </w:rPr>
        <w:t> </w:t>
      </w:r>
      <w:r>
        <w:rPr>
          <w:spacing w:val="-66"/>
        </w:rPr>
      </w:r>
      <w:r>
        <w:rPr/>
        <w:t>变动，调整长期股权投资的账面价值并计入所有者权益。</w:t>
      </w:r>
    </w:p>
    <w:p>
      <w:pPr>
        <w:pStyle w:val="BodyText"/>
        <w:spacing w:line="316" w:lineRule="auto" w:before="139"/>
        <w:ind w:right="192" w:firstLine="360"/>
        <w:jc w:val="both"/>
      </w:pPr>
      <w:r>
        <w:rPr>
          <w:spacing w:val="-2"/>
        </w:rPr>
        <w:t>本公司在确认应享有被投资单位净损益的份额时，以取得投资时被投资单位可辨认净资产的公允价值为基础，对被投资</w:t>
      </w:r>
      <w:r>
        <w:rPr/>
        <w:t> 单位的净利润进行调整后确认。</w:t>
      </w:r>
    </w:p>
    <w:p>
      <w:pPr>
        <w:pStyle w:val="BodyText"/>
        <w:spacing w:line="316" w:lineRule="auto" w:before="139"/>
        <w:ind w:right="191" w:firstLine="360"/>
        <w:jc w:val="both"/>
      </w:pPr>
      <w:r>
        <w:rPr>
          <w:spacing w:val="-2"/>
        </w:rPr>
        <w:t>被投资单位采用的会计政策及会计期间与本公司不一致的，按照本公司的会计政策及会计期间对被投资单位的财务报表</w:t>
      </w:r>
      <w:r>
        <w:rPr/>
        <w:t> 进行调整，并据以确认投资收益和其他综合收益等。</w:t>
      </w:r>
    </w:p>
    <w:p>
      <w:pPr>
        <w:pStyle w:val="BodyText"/>
        <w:spacing w:line="316" w:lineRule="auto" w:before="139"/>
        <w:ind w:right="191" w:firstLine="360"/>
        <w:jc w:val="both"/>
      </w:pPr>
      <w:r>
        <w:rPr>
          <w:spacing w:val="-2"/>
        </w:rPr>
        <w:t>本公司确认被投资单位发生的净亏损，以长期股权投资的账面价值以及其他实质上构成对被投资单位净投资的长期权益</w:t>
      </w:r>
      <w:r>
        <w:rPr/>
        <w:t> 减记至零为限，本公司负有承担额外损失义务的除外。</w:t>
      </w:r>
    </w:p>
    <w:p>
      <w:pPr>
        <w:pStyle w:val="BodyText"/>
        <w:spacing w:line="432" w:lineRule="exact" w:before="3"/>
        <w:ind w:left="514" w:right="87"/>
        <w:jc w:val="left"/>
      </w:pPr>
      <w:r>
        <w:rPr/>
        <w:t>被投资单位以后实现净利润的，本公司在其收益分享额弥补未确认的亏损分担额后，恢复确认收益分享额。 </w:t>
      </w:r>
      <w:r>
        <w:rPr>
          <w:spacing w:val="-2"/>
        </w:rPr>
        <w:t>本公司计算确认应享有或应分担被投资单位的净损益时，与联营企业、合营企业之间发生的未实现内部交易损益按照应</w:t>
      </w:r>
    </w:p>
    <w:p>
      <w:pPr>
        <w:pStyle w:val="BodyText"/>
        <w:spacing w:line="240" w:lineRule="auto" w:before="15"/>
        <w:ind w:right="87"/>
        <w:jc w:val="left"/>
      </w:pPr>
      <w:r>
        <w:rPr/>
        <w:t>享有的比例计算归属于本公司的部分，予以抵销，在此基础上确认投资收益。</w:t>
      </w:r>
    </w:p>
    <w:p>
      <w:pPr>
        <w:spacing w:line="240" w:lineRule="auto" w:before="0"/>
        <w:rPr>
          <w:rFonts w:ascii="宋体" w:hAnsi="宋体" w:cs="宋体" w:eastAsia="宋体" w:hint="default"/>
          <w:sz w:val="15"/>
          <w:szCs w:val="15"/>
        </w:rPr>
      </w:pPr>
    </w:p>
    <w:p>
      <w:pPr>
        <w:pStyle w:val="BodyText"/>
        <w:spacing w:line="316" w:lineRule="auto"/>
        <w:ind w:right="199" w:firstLine="360"/>
        <w:jc w:val="both"/>
      </w:pPr>
      <w:r>
        <w:rPr/>
        <w:t>本公司与被投资单位发生的未实现内部交易损失，按照《企业会计准则第</w:t>
      </w:r>
      <w:r>
        <w:rPr>
          <w:rFonts w:ascii="宋体" w:hAnsi="宋体" w:cs="宋体" w:eastAsia="宋体" w:hint="default"/>
        </w:rPr>
        <w:t>8</w:t>
      </w:r>
      <w:r>
        <w:rPr/>
        <w:t>号——资产减值》等的有关规定属于资产减 值损失的，全额确认交易损失。</w:t>
      </w:r>
    </w:p>
    <w:p>
      <w:pPr>
        <w:spacing w:after="0" w:line="316"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87" w:firstLine="360"/>
        <w:jc w:val="left"/>
      </w:pPr>
      <w:r>
        <w:rPr/>
        <w:t>本公司因追加投资等原因能够对被投资单位施加重大影响或实施共同控制但不构成控制的，按照《企业会计准则第</w:t>
      </w:r>
      <w:r>
        <w:rPr>
          <w:rFonts w:ascii="宋体" w:hAnsi="宋体" w:cs="宋体" w:eastAsia="宋体" w:hint="default"/>
        </w:rPr>
        <w:t>22 </w:t>
      </w:r>
      <w:r>
        <w:rPr>
          <w:spacing w:val="-2"/>
        </w:rPr>
        <w:t>号——金融工具确认和计量》确定的原持有的股权投资的公允价值加上新增投资成本之和，作为改按权益法核算的初始投资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6"/>
        </w:rPr>
        <w:t> </w:t>
      </w:r>
      <w:r>
        <w:rPr>
          <w:spacing w:val="-66"/>
        </w:rPr>
      </w:r>
      <w:r>
        <w:rPr/>
        <w:t>公允价值变动转入改按权益法核算的当期损益。</w:t>
      </w:r>
    </w:p>
    <w:p>
      <w:pPr>
        <w:pStyle w:val="BodyText"/>
        <w:spacing w:line="316" w:lineRule="auto" w:before="139"/>
        <w:ind w:right="191" w:firstLine="360"/>
        <w:jc w:val="both"/>
      </w:pPr>
      <w:r>
        <w:rPr>
          <w:spacing w:val="-2"/>
        </w:rPr>
        <w:t>本公司因处置部分股权投资等原因丧失了对被投资单位的共同控制或重大影响的，处置后的剩余股权改按《企业会计准</w:t>
      </w:r>
      <w:r>
        <w:rPr/>
        <w:t> </w:t>
      </w:r>
      <w:r>
        <w:rPr>
          <w:spacing w:val="-2"/>
        </w:rPr>
        <w:t>则第</w:t>
      </w:r>
      <w:r>
        <w:rPr>
          <w:rFonts w:ascii="宋体" w:hAnsi="宋体" w:cs="宋体" w:eastAsia="宋体" w:hint="default"/>
          <w:spacing w:val="-2"/>
        </w:rPr>
        <w:t>22</w:t>
      </w:r>
      <w:r>
        <w:rPr>
          <w:spacing w:val="-2"/>
        </w:rPr>
        <w:t>号——金融工具确认和计量》核算，其在丧失共同控制或重大影响之日的公允价值与账面价值之间的差额计入当期损</w:t>
      </w:r>
      <w:r>
        <w:rPr>
          <w:spacing w:val="-62"/>
        </w:rPr>
        <w:t> </w:t>
      </w:r>
      <w:r>
        <w:rPr>
          <w:spacing w:val="-62"/>
        </w:rPr>
      </w:r>
      <w:r>
        <w:rPr>
          <w:spacing w:val="-2"/>
        </w:rPr>
        <w:t>益。原股权投资因采用权益法核算而确认的其他综合收益，在终止采用权益法核算时采用与被投资单位直接处置相关资产或</w:t>
      </w:r>
      <w:r>
        <w:rPr>
          <w:spacing w:val="-64"/>
        </w:rPr>
        <w:t> </w:t>
      </w:r>
      <w:r>
        <w:rPr>
          <w:spacing w:val="-64"/>
        </w:rPr>
      </w:r>
      <w:r>
        <w:rPr/>
        <w:t>负债相同的基础进行会计处理。</w:t>
      </w:r>
    </w:p>
    <w:p>
      <w:pPr>
        <w:pStyle w:val="BodyText"/>
        <w:spacing w:line="316" w:lineRule="auto" w:before="139"/>
        <w:ind w:right="92" w:firstLine="360"/>
        <w:jc w:val="left"/>
      </w:pPr>
      <w:r>
        <w:rPr>
          <w:spacing w:val="-2"/>
        </w:rPr>
        <w:t>本公司因处置部分权益性投资等原因丧失了对被投资单位的控制的，在编制个别财务报表时，处置后的剩余股权能够对</w:t>
      </w:r>
      <w:r>
        <w:rPr/>
        <w:t> 被投资单位实施共同控制或施加重大影响的，改按权益法核算，并对该剩余股权视同自取得时即采用权益法核算进行调整； </w:t>
      </w:r>
      <w:r>
        <w:rPr>
          <w:spacing w:val="-4"/>
        </w:rPr>
        <w:t>处置后的剩余股权不能对被投资单位实施共同控制或施加重大影响的，改按《企业会计准则第</w:t>
      </w:r>
      <w:r>
        <w:rPr>
          <w:rFonts w:ascii="宋体" w:hAnsi="宋体" w:cs="宋体" w:eastAsia="宋体" w:hint="default"/>
          <w:spacing w:val="-4"/>
        </w:rPr>
        <w:t>22</w:t>
      </w:r>
      <w:r>
        <w:rPr>
          <w:spacing w:val="-4"/>
        </w:rPr>
        <w:t>号——金融工具确认和计量》</w:t>
      </w:r>
      <w:r>
        <w:rPr>
          <w:spacing w:val="-39"/>
        </w:rPr>
        <w:t> </w:t>
      </w:r>
      <w:r>
        <w:rPr/>
        <w:t>的有关规定进行会计处理。</w:t>
      </w:r>
    </w:p>
    <w:p>
      <w:pPr>
        <w:pStyle w:val="BodyText"/>
        <w:spacing w:line="316" w:lineRule="auto" w:before="139"/>
        <w:ind w:right="191" w:firstLine="360"/>
        <w:jc w:val="both"/>
      </w:pPr>
      <w:r>
        <w:rPr>
          <w:spacing w:val="-2"/>
        </w:rPr>
        <w:t>处置长期股权投资，其账面价值与实际取得价款之间的差额，计入当期损益。采用权益法核算的长期股权投资，在处置</w:t>
      </w:r>
      <w:r>
        <w:rPr/>
        <w:t> </w:t>
      </w:r>
      <w:r>
        <w:rPr>
          <w:spacing w:val="-2"/>
        </w:rPr>
        <w:t>该项投资时，采用与被投资单位直接处置相关资产或负债相同的基础，按相应比例对原计入其他综合收益的部分进行会计处</w:t>
      </w:r>
      <w:r>
        <w:rPr>
          <w:spacing w:val="-64"/>
        </w:rPr>
        <w:t> </w:t>
      </w:r>
      <w:r>
        <w:rPr>
          <w:spacing w:val="-64"/>
        </w:rPr>
      </w:r>
      <w:r>
        <w:rPr/>
        <w:t>理。</w:t>
      </w:r>
    </w:p>
    <w:p>
      <w:pPr>
        <w:spacing w:line="240" w:lineRule="auto" w:before="7"/>
        <w:rPr>
          <w:rFonts w:ascii="宋体" w:hAnsi="宋体" w:cs="宋体" w:eastAsia="宋体" w:hint="default"/>
          <w:sz w:val="22"/>
          <w:szCs w:val="22"/>
        </w:rPr>
      </w:pPr>
    </w:p>
    <w:p>
      <w:pPr>
        <w:pStyle w:val="Heading3"/>
        <w:spacing w:line="240" w:lineRule="auto"/>
        <w:ind w:right="87"/>
        <w:jc w:val="left"/>
        <w:rPr>
          <w:b w:val="0"/>
          <w:bCs w:val="0"/>
        </w:rPr>
      </w:pPr>
      <w:r>
        <w:rPr>
          <w:rFonts w:ascii="宋体" w:hAnsi="宋体" w:cs="宋体" w:eastAsia="宋体" w:hint="default"/>
        </w:rPr>
        <w:t>15</w:t>
      </w:r>
      <w:r>
        <w:rPr/>
        <w:t>、投资性房地产</w:t>
      </w:r>
      <w:r>
        <w:rPr>
          <w:b w:val="0"/>
          <w:bCs w:val="0"/>
        </w:rPr>
      </w:r>
    </w:p>
    <w:p>
      <w:pPr>
        <w:spacing w:line="240" w:lineRule="auto" w:before="11"/>
        <w:rPr>
          <w:rFonts w:ascii="宋体" w:hAnsi="宋体" w:cs="宋体" w:eastAsia="宋体" w:hint="default"/>
          <w:b/>
          <w:bCs/>
          <w:sz w:val="27"/>
          <w:szCs w:val="27"/>
        </w:rPr>
      </w:pPr>
    </w:p>
    <w:p>
      <w:pPr>
        <w:pStyle w:val="BodyText"/>
        <w:spacing w:line="338" w:lineRule="auto"/>
        <w:ind w:right="87"/>
        <w:jc w:val="left"/>
      </w:pPr>
      <w:r>
        <w:rPr/>
        <w:t>投资性房地产计量模式：成本法计量 </w:t>
      </w:r>
      <w:r>
        <w:rPr>
          <w:spacing w:val="-2"/>
        </w:rPr>
        <w:t>折旧或摊销方法：对按照成本模式计量的投资性房地产－出租用建筑物采用与本公司固定资产相同的折旧政策，出租用土地</w:t>
      </w:r>
      <w:r>
        <w:rPr>
          <w:spacing w:val="-64"/>
        </w:rPr>
        <w:t> </w:t>
      </w:r>
      <w:r>
        <w:rPr>
          <w:spacing w:val="-64"/>
        </w:rPr>
      </w:r>
      <w:r>
        <w:rPr/>
        <w:t>使用权采用与本公司与无形资产相同的摊销政策。</w:t>
      </w:r>
    </w:p>
    <w:p>
      <w:pPr>
        <w:spacing w:line="240" w:lineRule="auto" w:before="3"/>
        <w:rPr>
          <w:rFonts w:ascii="宋体" w:hAnsi="宋体" w:cs="宋体" w:eastAsia="宋体" w:hint="default"/>
          <w:sz w:val="21"/>
          <w:szCs w:val="21"/>
        </w:rPr>
      </w:pPr>
    </w:p>
    <w:p>
      <w:pPr>
        <w:pStyle w:val="Heading3"/>
        <w:spacing w:line="240" w:lineRule="auto"/>
        <w:ind w:right="87"/>
        <w:jc w:val="left"/>
        <w:rPr>
          <w:b w:val="0"/>
          <w:bCs w:val="0"/>
        </w:rPr>
      </w:pPr>
      <w:r>
        <w:rPr>
          <w:rFonts w:ascii="宋体" w:hAnsi="宋体" w:cs="宋体" w:eastAsia="宋体" w:hint="default"/>
        </w:rPr>
        <w:t>16</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87"/>
        <w:jc w:val="left"/>
        <w:rPr>
          <w:b w:val="0"/>
          <w:bCs w:val="0"/>
        </w:rPr>
      </w:pPr>
      <w:r>
        <w:rPr/>
        <w:t>（</w:t>
      </w:r>
      <w:r>
        <w:rPr>
          <w:rFonts w:ascii="宋体" w:hAnsi="宋体" w:cs="宋体" w:eastAsia="宋体" w:hint="default"/>
        </w:rPr>
        <w:t>1</w:t>
      </w:r>
      <w:r>
        <w:rPr/>
        <w:t>）确认条件</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right="191" w:firstLine="360"/>
        <w:jc w:val="both"/>
      </w:pPr>
      <w:r>
        <w:rPr>
          <w:spacing w:val="-2"/>
        </w:rPr>
        <w:t>固定资产指为生产商品、提供劳务、出租或经营管理而持有，并且使用寿命超过一个会计年度的有形资产。固定资产分</w:t>
      </w:r>
      <w:r>
        <w:rPr/>
        <w:t> 类为：房屋及建筑物、机器设备、电子设备、运输设备、其他设备。固定资产在同时满足下列条件时予以确认：（</w:t>
      </w:r>
      <w:r>
        <w:rPr>
          <w:rFonts w:ascii="宋体" w:hAnsi="宋体" w:cs="宋体" w:eastAsia="宋体" w:hint="default"/>
        </w:rPr>
        <w:t>1</w:t>
      </w:r>
      <w:r>
        <w:rPr/>
        <w:t>）与该 固定资产有关的经济利益很可能流入企业；（</w:t>
      </w:r>
      <w:r>
        <w:rPr>
          <w:rFonts w:ascii="宋体" w:hAnsi="宋体" w:cs="宋体" w:eastAsia="宋体" w:hint="default"/>
        </w:rPr>
        <w:t>2</w:t>
      </w:r>
      <w:r>
        <w:rPr/>
        <w:t>）该固定资产的成本能够可靠地计量。</w:t>
      </w:r>
    </w:p>
    <w:p>
      <w:pPr>
        <w:spacing w:line="240" w:lineRule="auto" w:before="7"/>
        <w:rPr>
          <w:rFonts w:ascii="宋体" w:hAnsi="宋体" w:cs="宋体" w:eastAsia="宋体" w:hint="default"/>
          <w:sz w:val="22"/>
          <w:szCs w:val="22"/>
        </w:rPr>
      </w:pPr>
    </w:p>
    <w:p>
      <w:pPr>
        <w:pStyle w:val="Heading3"/>
        <w:spacing w:line="240" w:lineRule="auto"/>
        <w:ind w:right="87"/>
        <w:jc w:val="left"/>
        <w:rPr>
          <w:b w:val="0"/>
          <w:bCs w:val="0"/>
        </w:rPr>
      </w:pP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19.00%</w:t>
            </w:r>
          </w:p>
        </w:tc>
      </w:tr>
    </w:tbl>
    <w:p>
      <w:pPr>
        <w:spacing w:line="240" w:lineRule="auto" w:before="8"/>
        <w:rPr>
          <w:rFonts w:ascii="宋体" w:hAnsi="宋体" w:cs="宋体" w:eastAsia="宋体" w:hint="default"/>
          <w:b/>
          <w:bCs/>
          <w:sz w:val="6"/>
          <w:szCs w:val="6"/>
        </w:rPr>
      </w:pPr>
    </w:p>
    <w:p>
      <w:pPr>
        <w:pStyle w:val="BodyText"/>
        <w:spacing w:line="316" w:lineRule="auto" w:before="44"/>
        <w:ind w:right="87" w:firstLine="360"/>
        <w:jc w:val="left"/>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after="0" w:line="316" w:lineRule="auto"/>
        <w:jc w:val="left"/>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宋体" w:hAnsi="宋体" w:cs="宋体" w:eastAsia="宋体"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公司与租赁方所签订的租赁协议条款中规定了下列条件之一的，确认为融资租入资产：</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1</w:t>
      </w:r>
      <w:r>
        <w:rPr/>
        <w:t>）租赁期满后租赁资产的所有权归属于本公司；</w:t>
      </w:r>
    </w:p>
    <w:p>
      <w:pPr>
        <w:spacing w:line="240" w:lineRule="auto" w:before="1"/>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2</w:t>
      </w:r>
      <w:r>
        <w:rPr/>
        <w:t>）公司具有购买资产的选择权，购买价款远低于行使选择权时该资产的公允价值；</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3</w:t>
      </w:r>
      <w:r>
        <w:rPr/>
        <w:t>）租赁期占所租赁资产使用寿命的大部分；</w:t>
      </w:r>
    </w:p>
    <w:p>
      <w:pPr>
        <w:pStyle w:val="BodyText"/>
        <w:spacing w:line="430" w:lineRule="atLeast" w:before="2"/>
        <w:ind w:left="514" w:right="0"/>
        <w:jc w:val="left"/>
      </w:pPr>
      <w:r>
        <w:rPr/>
        <w:t>（</w:t>
      </w:r>
      <w:r>
        <w:rPr>
          <w:rFonts w:ascii="宋体" w:hAnsi="宋体" w:cs="宋体" w:eastAsia="宋体" w:hint="default"/>
        </w:rPr>
        <w:t>4</w:t>
      </w:r>
      <w:r>
        <w:rPr/>
        <w:t>）租赁开始日的最低租赁付款额现值，与该资产的公允价值不存在较大的差异。 </w:t>
      </w:r>
      <w:r>
        <w:rPr>
          <w:spacing w:val="-2"/>
        </w:rPr>
        <w:t>在承租开始日，将租赁资产公允价值与最低租赁付款额现值两者中较低者作为租入资产的入账价值，将最低租赁付款额</w:t>
      </w:r>
    </w:p>
    <w:p>
      <w:pPr>
        <w:pStyle w:val="BodyText"/>
        <w:spacing w:line="316" w:lineRule="auto" w:before="76"/>
        <w:ind w:right="152"/>
        <w:jc w:val="both"/>
      </w:pPr>
      <w:r>
        <w:rPr>
          <w:spacing w:val="-2"/>
        </w:rPr>
        <w:t>作为长期应付款的入账价值，其差额作为未确认的融资费。融资租赁方式租入的固定资产，能合理确定租赁期届满时将会取</w:t>
      </w:r>
      <w:r>
        <w:rPr>
          <w:spacing w:val="-66"/>
        </w:rPr>
        <w:t> </w:t>
      </w:r>
      <w:r>
        <w:rPr>
          <w:spacing w:val="-66"/>
        </w:rPr>
      </w:r>
      <w:r>
        <w:rPr>
          <w:spacing w:val="-2"/>
        </w:rPr>
        <w:t>得租赁资产所有权的，在租赁资产尚可使用年限内计提折旧；无法合理确定租赁期届满时能够取得租赁资产所有权的，在租</w:t>
      </w:r>
      <w:r>
        <w:rPr>
          <w:spacing w:val="-66"/>
        </w:rPr>
        <w:t> </w:t>
      </w:r>
      <w:r>
        <w:rPr>
          <w:spacing w:val="-66"/>
        </w:rPr>
      </w:r>
      <w:r>
        <w:rPr/>
        <w:t>赁期与租赁资产尚可使用年限两者中较短的期间内计提折旧。</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17</w:t>
      </w:r>
      <w:r>
        <w:rPr/>
        <w:t>、在建工程</w:t>
      </w:r>
      <w:r>
        <w:rPr>
          <w:b w:val="0"/>
          <w:bCs w:val="0"/>
        </w:rPr>
      </w:r>
    </w:p>
    <w:p>
      <w:pPr>
        <w:pStyle w:val="BodyText"/>
        <w:spacing w:line="430" w:lineRule="atLeast" w:before="168"/>
        <w:ind w:left="514" w:right="0"/>
        <w:jc w:val="left"/>
      </w:pPr>
      <w:r>
        <w:rPr/>
        <w:t>在建工程以立项项目分类核算。 </w:t>
      </w:r>
      <w:r>
        <w:rPr>
          <w:spacing w:val="-2"/>
        </w:rPr>
        <w:t>在建工程项目按建造该项资产达到预定可使用状态前所发生的全部支出，作为固定资产的入账价值。所建造的固定资产</w:t>
      </w:r>
    </w:p>
    <w:p>
      <w:pPr>
        <w:pStyle w:val="BodyText"/>
        <w:spacing w:line="316" w:lineRule="auto" w:before="76"/>
        <w:ind w:right="151"/>
        <w:jc w:val="both"/>
      </w:pP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18</w:t>
      </w:r>
      <w:r>
        <w:rPr/>
        <w:t>、借款费用</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4"/>
        </w:rPr>
        <w:t> </w:t>
      </w:r>
      <w:r>
        <w:rPr/>
        <w:t>借款费用资本化的确认原则</w:t>
      </w:r>
      <w:r>
        <w:rPr>
          <w:b w:val="0"/>
          <w:bCs w:val="0"/>
        </w:rPr>
      </w:r>
    </w:p>
    <w:p>
      <w:pPr>
        <w:pStyle w:val="BodyText"/>
        <w:spacing w:line="432" w:lineRule="exact" w:before="47"/>
        <w:ind w:left="514" w:right="0"/>
        <w:jc w:val="left"/>
      </w:pP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240" w:lineRule="auto" w:before="15"/>
        <w:ind w:right="0"/>
        <w:jc w:val="both"/>
      </w:pPr>
      <w:r>
        <w:rPr/>
        <w:t>借款费用，在发生时根据其发生额确认为费用，计入当期损益。</w:t>
      </w:r>
    </w:p>
    <w:p>
      <w:pPr>
        <w:spacing w:line="240" w:lineRule="auto" w:before="0"/>
        <w:rPr>
          <w:rFonts w:ascii="宋体" w:hAnsi="宋体" w:cs="宋体" w:eastAsia="宋体" w:hint="default"/>
          <w:sz w:val="15"/>
          <w:szCs w:val="15"/>
        </w:rPr>
      </w:pPr>
    </w:p>
    <w:p>
      <w:pPr>
        <w:pStyle w:val="BodyText"/>
        <w:spacing w:line="316" w:lineRule="auto"/>
        <w:ind w:right="232" w:firstLine="360"/>
        <w:jc w:val="left"/>
      </w:pPr>
      <w:r>
        <w:rPr/>
        <w:t>符合资本化条件的资产，是指需要经过相当长时间的购建或者生产活动才能达到预定可使用或者可销售状态的固定资 产、投资性房地产和存货等资产。</w:t>
      </w:r>
    </w:p>
    <w:p>
      <w:pPr>
        <w:pStyle w:val="BodyText"/>
        <w:spacing w:line="240" w:lineRule="auto" w:before="139"/>
        <w:ind w:left="514" w:right="0"/>
        <w:jc w:val="left"/>
      </w:pPr>
      <w:r>
        <w:rPr/>
        <w:t>借款费用同时满足下列条件时开始资本化：</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39"/>
        <w:ind w:left="514" w:right="0"/>
        <w:jc w:val="left"/>
      </w:pPr>
      <w:r>
        <w:rPr/>
        <w:t>②借款费用已经发生；</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③为使资产达到预定可使用或者可销售状态所必要的购建或者生产活动已经开始。</w:t>
      </w:r>
    </w:p>
    <w:p>
      <w:pPr>
        <w:spacing w:line="240" w:lineRule="auto" w:before="1"/>
        <w:rPr>
          <w:rFonts w:ascii="宋体" w:hAnsi="宋体" w:cs="宋体" w:eastAsia="宋体" w:hint="default"/>
          <w:sz w:val="13"/>
          <w:szCs w:val="13"/>
        </w:rPr>
      </w:pPr>
    </w:p>
    <w:p>
      <w:pPr>
        <w:pStyle w:val="BodyText"/>
        <w:spacing w:line="420" w:lineRule="auto"/>
        <w:ind w:left="514" w:right="592" w:hanging="360"/>
        <w:jc w:val="left"/>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BodyText"/>
        <w:spacing w:line="439" w:lineRule="auto" w:before="61"/>
        <w:ind w:left="514" w:right="0"/>
        <w:jc w:val="left"/>
      </w:pPr>
      <w:r>
        <w:rPr/>
        <w:t>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spacing w:after="0" w:line="439"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款费用资本化。</w:t>
      </w:r>
    </w:p>
    <w:p>
      <w:pPr>
        <w:spacing w:line="240" w:lineRule="auto" w:before="1"/>
        <w:rPr>
          <w:rFonts w:ascii="宋体" w:hAnsi="宋体" w:cs="宋体" w:eastAsia="宋体" w:hint="default"/>
          <w:sz w:val="13"/>
          <w:szCs w:val="13"/>
        </w:rPr>
      </w:pPr>
    </w:p>
    <w:p>
      <w:pPr>
        <w:pStyle w:val="Heading3"/>
        <w:spacing w:line="240" w:lineRule="auto"/>
        <w:ind w:right="87"/>
        <w:jc w:val="left"/>
        <w:rPr>
          <w:b w:val="0"/>
          <w:bCs w:val="0"/>
        </w:rPr>
      </w:pPr>
      <w:r>
        <w:rPr>
          <w:rFonts w:ascii="宋体" w:hAnsi="宋体" w:cs="宋体" w:eastAsia="宋体" w:hint="default"/>
        </w:rPr>
        <w:t>(3)</w:t>
      </w:r>
      <w:r>
        <w:rPr>
          <w:rFonts w:ascii="宋体" w:hAnsi="宋体" w:cs="宋体" w:eastAsia="宋体" w:hint="default"/>
          <w:spacing w:val="-4"/>
        </w:rPr>
        <w:t> </w:t>
      </w:r>
      <w:r>
        <w:rPr/>
        <w:t>借款费用暂停资本化期间</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87" w:firstLine="420"/>
        <w:jc w:val="left"/>
      </w:pP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Heading3"/>
        <w:spacing w:line="240" w:lineRule="auto" w:before="31"/>
        <w:ind w:right="87"/>
        <w:jc w:val="left"/>
        <w:rPr>
          <w:b w:val="0"/>
          <w:bCs w:val="0"/>
        </w:rPr>
      </w:pPr>
      <w:r>
        <w:rPr>
          <w:rFonts w:ascii="宋体" w:hAnsi="宋体" w:cs="宋体" w:eastAsia="宋体" w:hint="default"/>
        </w:rPr>
        <w:t>(4)</w:t>
      </w:r>
      <w:r>
        <w:rPr>
          <w:rFonts w:ascii="宋体" w:hAnsi="宋体" w:cs="宋体" w:eastAsia="宋体" w:hint="default"/>
          <w:spacing w:val="-5"/>
        </w:rPr>
        <w:t> </w:t>
      </w:r>
      <w:r>
        <w:rPr/>
        <w:t>借款费用资本化金额的计算方法</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10" w:firstLine="360"/>
        <w:jc w:val="both"/>
      </w:pPr>
      <w:r>
        <w:rPr>
          <w:spacing w:val="-2"/>
        </w:rPr>
        <w:t>对于为购建或者生产符合资本化条件的资产而借入的专门借款，以专门借款当期实际发生的借款费用及其辅助费，减去</w:t>
      </w:r>
      <w:r>
        <w:rPr/>
        <w:t> 尚未动用的借款资金存入银行取得的利息收入或进行暂时性投资取得的投资收益后的金额，来确定借款费用的资本化金额。</w:t>
      </w:r>
    </w:p>
    <w:p>
      <w:pPr>
        <w:pStyle w:val="BodyText"/>
        <w:spacing w:line="316" w:lineRule="auto" w:before="139"/>
        <w:ind w:right="191" w:firstLine="360"/>
        <w:jc w:val="both"/>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pStyle w:val="BodyText"/>
        <w:spacing w:line="240" w:lineRule="auto" w:before="139"/>
        <w:ind w:left="514" w:right="87"/>
        <w:jc w:val="left"/>
      </w:pPr>
      <w:r>
        <w:rPr/>
        <w:t>借款存在折价或者溢价的，按照实际利率法确定每一会计期间应摊销的折价或者溢价金额，调整每期利息金额。</w:t>
      </w:r>
    </w:p>
    <w:p>
      <w:pPr>
        <w:spacing w:line="240" w:lineRule="auto" w:before="2"/>
        <w:rPr>
          <w:rFonts w:ascii="宋体" w:hAnsi="宋体" w:cs="宋体" w:eastAsia="宋体" w:hint="default"/>
          <w:sz w:val="13"/>
          <w:szCs w:val="13"/>
        </w:rPr>
      </w:pPr>
    </w:p>
    <w:p>
      <w:pPr>
        <w:spacing w:line="331" w:lineRule="auto" w:before="0"/>
        <w:ind w:left="154" w:right="8546"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b/>
          <w:bCs/>
          <w:w w:val="99"/>
          <w:sz w:val="21"/>
          <w:szCs w:val="21"/>
        </w:rPr>
        <w:t> </w:t>
      </w:r>
      <w:r>
        <w:rPr>
          <w:rFonts w:ascii="宋体" w:hAnsi="宋体" w:cs="宋体" w:eastAsia="宋体" w:hint="default"/>
          <w:sz w:val="18"/>
          <w:szCs w:val="18"/>
        </w:rPr>
        <w:t>不适用。 </w:t>
      </w:r>
      <w:r>
        <w:rPr>
          <w:rFonts w:ascii="宋体" w:hAnsi="宋体" w:cs="宋体" w:eastAsia="宋体"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18"/>
          <w:szCs w:val="18"/>
        </w:rPr>
        <w:t>不适用。 </w:t>
      </w:r>
      <w:r>
        <w:rPr>
          <w:rFonts w:ascii="宋体" w:hAnsi="宋体" w:cs="宋体" w:eastAsia="宋体"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3"/>
        <w:spacing w:line="272" w:lineRule="exact"/>
        <w:ind w:right="87"/>
        <w:jc w:val="left"/>
        <w:rPr>
          <w:b w:val="0"/>
          <w:bCs w:val="0"/>
        </w:rPr>
      </w:pPr>
      <w:r>
        <w:rPr/>
        <w:t>（</w:t>
      </w:r>
      <w:r>
        <w:rPr>
          <w:rFonts w:ascii="宋体" w:hAnsi="宋体" w:cs="宋体" w:eastAsia="宋体" w:hint="default"/>
        </w:rPr>
        <w:t>1</w:t>
      </w:r>
      <w:r>
        <w:rPr/>
        <w:t>）计价方法、使用寿命、减值测试</w:t>
      </w:r>
      <w:r>
        <w:rPr>
          <w:b w:val="0"/>
          <w:bCs w:val="0"/>
        </w:rPr>
      </w:r>
    </w:p>
    <w:p>
      <w:pPr>
        <w:pStyle w:val="Heading4"/>
        <w:spacing w:line="360" w:lineRule="auto" w:before="102"/>
        <w:ind w:left="335" w:right="6468" w:hanging="182"/>
        <w:jc w:val="left"/>
        <w:rPr>
          <w:b w:val="0"/>
          <w:bCs w:val="0"/>
        </w:rPr>
      </w:pPr>
      <w:r>
        <w:rPr/>
        <w:t>①</w:t>
      </w:r>
      <w:r>
        <w:rPr>
          <w:spacing w:val="-1"/>
        </w:rPr>
        <w:t> </w:t>
      </w:r>
      <w:r>
        <w:rPr/>
        <w:t>无形资产的计价方法</w:t>
      </w:r>
      <w:r>
        <w:rPr>
          <w:w w:val="99"/>
        </w:rPr>
        <w:t> </w:t>
      </w:r>
      <w:r>
        <w:rPr>
          <w:rFonts w:ascii="宋体" w:hAnsi="宋体" w:cs="宋体" w:eastAsia="宋体" w:hint="default"/>
        </w:rPr>
        <w:t>1</w:t>
      </w:r>
      <w:r>
        <w:rPr/>
        <w:t>）取得无形资产时按成本进行初始计量</w:t>
      </w:r>
      <w:r>
        <w:rPr>
          <w:b w:val="0"/>
          <w:bCs w:val="0"/>
        </w:rPr>
      </w:r>
    </w:p>
    <w:p>
      <w:pPr>
        <w:pStyle w:val="BodyText"/>
        <w:spacing w:line="316" w:lineRule="auto" w:before="105"/>
        <w:ind w:right="193" w:firstLine="360"/>
        <w:jc w:val="both"/>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pStyle w:val="BodyText"/>
        <w:spacing w:line="316" w:lineRule="auto" w:before="139"/>
        <w:ind w:right="190"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316" w:lineRule="auto" w:before="139"/>
        <w:ind w:right="191"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39"/>
        <w:ind w:right="191"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39"/>
        <w:ind w:right="193"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spacing w:line="439" w:lineRule="auto" w:before="139"/>
        <w:ind w:left="514" w:right="6212" w:hanging="179"/>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）后续计量</w:t>
      </w:r>
      <w:r>
        <w:rPr>
          <w:rFonts w:ascii="宋体" w:hAnsi="宋体" w:cs="宋体" w:eastAsia="宋体" w:hint="default"/>
          <w:b/>
          <w:bCs/>
          <w:w w:val="99"/>
          <w:sz w:val="18"/>
          <w:szCs w:val="18"/>
        </w:rPr>
        <w:t> </w:t>
      </w:r>
      <w:r>
        <w:rPr>
          <w:rFonts w:ascii="宋体" w:hAnsi="宋体" w:cs="宋体" w:eastAsia="宋体" w:hint="default"/>
          <w:sz w:val="18"/>
          <w:szCs w:val="18"/>
        </w:rPr>
        <w:t>在取得无形资产时分析判断其使用寿命。</w:t>
      </w:r>
    </w:p>
    <w:p>
      <w:pPr>
        <w:pStyle w:val="BodyText"/>
        <w:spacing w:line="319" w:lineRule="auto" w:before="47"/>
        <w:ind w:right="19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after="0" w:line="319"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t>②</w:t>
      </w:r>
      <w:r>
        <w:rPr>
          <w:spacing w:val="-4"/>
        </w:rPr>
        <w:t> </w:t>
      </w:r>
      <w:r>
        <w:rPr/>
        <w:t>使用寿命有限的无形资产的使用寿命估计情况</w:t>
      </w:r>
      <w:r>
        <w:rPr>
          <w:b w:val="0"/>
          <w:bCs w:val="0"/>
        </w:rPr>
      </w:r>
    </w:p>
    <w:p>
      <w:pPr>
        <w:spacing w:line="240" w:lineRule="auto" w:before="3"/>
        <w:rPr>
          <w:rFonts w:ascii="宋体" w:hAnsi="宋体" w:cs="宋体" w:eastAsia="宋体" w:hint="default"/>
          <w:b/>
          <w:bCs/>
          <w:sz w:val="14"/>
          <w:szCs w:val="14"/>
        </w:rPr>
      </w:pPr>
    </w:p>
    <w:tbl>
      <w:tblPr>
        <w:tblW w:w="0" w:type="auto"/>
        <w:jc w:val="left"/>
        <w:tblInd w:w="146" w:type="dxa"/>
        <w:tblLayout w:type="fixed"/>
        <w:tblCellMar>
          <w:top w:w="0" w:type="dxa"/>
          <w:left w:w="0" w:type="dxa"/>
          <w:bottom w:w="0" w:type="dxa"/>
          <w:right w:w="0" w:type="dxa"/>
        </w:tblCellMar>
        <w:tblLook w:val="01E0"/>
      </w:tblPr>
      <w:tblGrid>
        <w:gridCol w:w="1460"/>
        <w:gridCol w:w="2100"/>
        <w:gridCol w:w="5185"/>
      </w:tblGrid>
      <w:tr>
        <w:trPr>
          <w:trHeight w:val="347" w:hRule="exact"/>
        </w:trPr>
        <w:tc>
          <w:tcPr>
            <w:tcW w:w="14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1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659"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土地使用权的有效期</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z w:val="18"/>
                <w:szCs w:val="18"/>
              </w:rPr>
              <w:t> 直线法摊销。</w:t>
            </w:r>
          </w:p>
        </w:tc>
      </w:tr>
      <w:tr>
        <w:trPr>
          <w:trHeight w:val="659"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z w:val="18"/>
                <w:szCs w:val="18"/>
              </w:rPr>
              <w:t> 直线法摊销。</w:t>
            </w:r>
          </w:p>
        </w:tc>
      </w:tr>
      <w:tr>
        <w:trPr>
          <w:trHeight w:val="660"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z w:val="18"/>
                <w:szCs w:val="18"/>
              </w:rPr>
              <w:t> 直线法摊销。</w:t>
            </w:r>
          </w:p>
        </w:tc>
      </w:tr>
      <w:tr>
        <w:trPr>
          <w:trHeight w:val="659"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z w:val="18"/>
                <w:szCs w:val="18"/>
              </w:rPr>
              <w:t> 直线法摊销。</w:t>
            </w:r>
          </w:p>
        </w:tc>
      </w:tr>
      <w:tr>
        <w:trPr>
          <w:trHeight w:val="659"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z w:val="18"/>
                <w:szCs w:val="18"/>
              </w:rPr>
              <w:t> 直线法摊销。</w:t>
            </w:r>
          </w:p>
        </w:tc>
      </w:tr>
      <w:tr>
        <w:trPr>
          <w:trHeight w:val="660" w:hRule="exact"/>
        </w:trPr>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对于使用寿命有限的无形资产，在为企业带来经济利益的期限内按</w:t>
            </w:r>
            <w:r>
              <w:rPr>
                <w:rFonts w:ascii="宋体" w:hAnsi="宋体" w:cs="宋体" w:eastAsia="宋体" w:hint="default"/>
                <w:sz w:val="18"/>
                <w:szCs w:val="18"/>
              </w:rPr>
              <w:t> 直线法摊销。</w:t>
            </w:r>
          </w:p>
        </w:tc>
      </w:tr>
    </w:tbl>
    <w:p>
      <w:pPr>
        <w:pStyle w:val="BodyText"/>
        <w:spacing w:line="357" w:lineRule="auto" w:before="51"/>
        <w:ind w:right="4012"/>
        <w:jc w:val="left"/>
      </w:pPr>
      <w:r>
        <w:rPr/>
        <w:t>每期末，对使用寿命有限的无形资产的使用寿命及摊销方法进行复核。 经复核，本年期末无形资产的使用寿命及摊销方法与以前估计未有不同。</w:t>
      </w:r>
    </w:p>
    <w:p>
      <w:pPr>
        <w:pStyle w:val="BodyText"/>
        <w:spacing w:line="357" w:lineRule="auto" w:before="29"/>
        <w:ind w:left="157" w:right="4999" w:firstLine="176"/>
        <w:jc w:val="left"/>
      </w:pPr>
      <w:r>
        <w:rPr>
          <w:rFonts w:ascii="宋体" w:hAnsi="宋体" w:cs="宋体" w:eastAsia="宋体" w:hint="default"/>
        </w:rPr>
        <w:t>1</w:t>
      </w:r>
      <w:r>
        <w:rPr/>
        <w:t>）使用寿命不确定的无形资产的判断依据 截至资产负债表日</w:t>
      </w:r>
      <w:r>
        <w:rPr>
          <w:rFonts w:ascii="宋体" w:hAnsi="宋体" w:cs="宋体" w:eastAsia="宋体" w:hint="default"/>
        </w:rPr>
        <w:t>,</w:t>
      </w:r>
      <w:r>
        <w:rPr/>
        <w:t>本公司没有使用寿命不确定的无形资产。</w:t>
      </w:r>
    </w:p>
    <w:p>
      <w:pPr>
        <w:pStyle w:val="BodyText"/>
        <w:spacing w:line="360" w:lineRule="auto" w:before="28"/>
        <w:ind w:right="6082" w:firstLine="180"/>
        <w:jc w:val="left"/>
      </w:pPr>
      <w:r>
        <w:rPr>
          <w:rFonts w:ascii="宋体" w:hAnsi="宋体" w:cs="宋体" w:eastAsia="宋体" w:hint="default"/>
        </w:rPr>
        <w:t>2</w:t>
      </w:r>
      <w:r>
        <w:rPr/>
        <w:t>）使用寿命不确定的无形资产使用寿命复核 不适用。</w:t>
      </w:r>
    </w:p>
    <w:p>
      <w:pPr>
        <w:pStyle w:val="Heading3"/>
        <w:spacing w:line="240" w:lineRule="auto" w:before="1"/>
        <w:ind w:right="0"/>
        <w:jc w:val="left"/>
        <w:rPr>
          <w:b w:val="0"/>
          <w:bCs w:val="0"/>
        </w:rPr>
      </w:pPr>
      <w:r>
        <w:rPr/>
        <w:t>（</w:t>
      </w:r>
      <w:r>
        <w:rPr>
          <w:rFonts w:ascii="宋体" w:hAnsi="宋体" w:cs="宋体" w:eastAsia="宋体" w:hint="default"/>
        </w:rPr>
        <w:t>2</w:t>
      </w:r>
      <w:r>
        <w:rPr/>
        <w:t>）内部研究开发支出会计政策</w:t>
      </w:r>
      <w:r>
        <w:rPr>
          <w:b w:val="0"/>
          <w:bCs w:val="0"/>
        </w:rPr>
      </w:r>
    </w:p>
    <w:p>
      <w:pPr>
        <w:spacing w:line="439" w:lineRule="auto" w:before="102"/>
        <w:ind w:left="514" w:right="1672" w:hanging="360"/>
        <w:jc w:val="left"/>
        <w:rPr>
          <w:rFonts w:ascii="宋体" w:hAnsi="宋体" w:cs="宋体" w:eastAsia="宋体" w:hint="default"/>
          <w:sz w:val="18"/>
          <w:szCs w:val="18"/>
        </w:rPr>
      </w:pPr>
      <w:r>
        <w:rPr>
          <w:rFonts w:ascii="宋体" w:hAnsi="宋体" w:cs="宋体" w:eastAsia="宋体" w:hint="default"/>
          <w:b/>
          <w:bCs/>
          <w:sz w:val="18"/>
          <w:szCs w:val="18"/>
        </w:rPr>
        <w:t>①</w:t>
      </w:r>
      <w:r>
        <w:rPr>
          <w:rFonts w:ascii="宋体" w:hAnsi="宋体" w:cs="宋体" w:eastAsia="宋体" w:hint="default"/>
          <w:b/>
          <w:bCs/>
          <w:spacing w:val="-1"/>
          <w:sz w:val="18"/>
          <w:szCs w:val="18"/>
        </w:rPr>
        <w:t> </w:t>
      </w:r>
      <w:r>
        <w:rPr>
          <w:rFonts w:ascii="宋体" w:hAnsi="宋体" w:cs="宋体" w:eastAsia="宋体" w:hint="default"/>
          <w:b/>
          <w:bCs/>
          <w:sz w:val="18"/>
          <w:szCs w:val="18"/>
        </w:rPr>
        <w:t>划分内部研究开发项目的研究阶段和开发阶段具体标准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内部研究开发项目的支出分为研究阶段支出和开发阶段支出。 研究阶段：为获取并理解新的科学或技术知识等而进行的独创性的有计划调查、研究活动的阶段。</w:t>
      </w:r>
    </w:p>
    <w:p>
      <w:pPr>
        <w:pStyle w:val="BodyText"/>
        <w:spacing w:line="316" w:lineRule="auto" w:before="47"/>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439" w:lineRule="auto" w:before="140"/>
        <w:ind w:left="514" w:right="3472" w:hanging="360"/>
        <w:jc w:val="left"/>
        <w:rPr>
          <w:rFonts w:ascii="宋体" w:hAnsi="宋体" w:cs="宋体" w:eastAsia="宋体" w:hint="default"/>
          <w:sz w:val="18"/>
          <w:szCs w:val="18"/>
        </w:rPr>
      </w:pPr>
      <w:r>
        <w:rPr>
          <w:rFonts w:ascii="宋体" w:hAnsi="宋体" w:cs="宋体" w:eastAsia="宋体" w:hint="default"/>
          <w:b/>
          <w:bCs/>
          <w:sz w:val="18"/>
          <w:szCs w:val="18"/>
        </w:rPr>
        <w:t>②</w:t>
      </w:r>
      <w:r>
        <w:rPr>
          <w:rFonts w:ascii="宋体" w:hAnsi="宋体" w:cs="宋体" w:eastAsia="宋体" w:hint="default"/>
          <w:b/>
          <w:bCs/>
          <w:spacing w:val="-1"/>
          <w:sz w:val="18"/>
          <w:szCs w:val="18"/>
        </w:rPr>
        <w:t> </w:t>
      </w:r>
      <w:r>
        <w:rPr>
          <w:rFonts w:ascii="宋体" w:hAnsi="宋体" w:cs="宋体" w:eastAsia="宋体" w:hint="default"/>
          <w:b/>
          <w:bCs/>
          <w:sz w:val="18"/>
          <w:szCs w:val="18"/>
        </w:rPr>
        <w:t>开发阶段支出符合资本化的具体标准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 </w:t>
      </w:r>
      <w:r>
        <w:rPr>
          <w:rFonts w:ascii="宋体" w:hAnsi="宋体" w:cs="宋体" w:eastAsia="宋体" w:hint="default"/>
          <w:sz w:val="18"/>
          <w:szCs w:val="18"/>
        </w:rPr>
        <w:t>1</w:t>
      </w:r>
      <w:r>
        <w:rPr>
          <w:rFonts w:ascii="宋体" w:hAnsi="宋体" w:cs="宋体" w:eastAsia="宋体" w:hint="default"/>
          <w:sz w:val="18"/>
          <w:szCs w:val="18"/>
        </w:rPr>
        <w:t>）完成该无形资产以使其能够使用或出售在技术上具有可行性；</w:t>
      </w:r>
    </w:p>
    <w:p>
      <w:pPr>
        <w:pStyle w:val="BodyText"/>
        <w:spacing w:line="240" w:lineRule="auto" w:before="47"/>
        <w:ind w:left="514" w:right="0"/>
        <w:jc w:val="left"/>
      </w:pPr>
      <w:r>
        <w:rPr>
          <w:rFonts w:ascii="宋体" w:hAnsi="宋体" w:cs="宋体" w:eastAsia="宋体" w:hint="default"/>
        </w:rPr>
        <w:t>2</w:t>
      </w:r>
      <w:r>
        <w:rPr/>
        <w:t>）具有完成该无形资产并使用或出售的意图；</w:t>
      </w:r>
    </w:p>
    <w:p>
      <w:pPr>
        <w:spacing w:line="240" w:lineRule="auto" w:before="0"/>
        <w:rPr>
          <w:rFonts w:ascii="宋体" w:hAnsi="宋体" w:cs="宋体" w:eastAsia="宋体" w:hint="default"/>
          <w:sz w:val="15"/>
          <w:szCs w:val="15"/>
        </w:rPr>
      </w:pPr>
    </w:p>
    <w:p>
      <w:pPr>
        <w:pStyle w:val="BodyText"/>
        <w:spacing w:line="316" w:lineRule="auto"/>
        <w:ind w:right="142" w:firstLine="360"/>
        <w:jc w:val="left"/>
      </w:pPr>
      <w:r>
        <w:rPr>
          <w:rFonts w:ascii="宋体" w:hAnsi="宋体" w:cs="宋体" w:eastAsia="宋体" w:hint="default"/>
        </w:rPr>
        <w:t>3</w:t>
      </w:r>
      <w:r>
        <w:rPr/>
        <w:t>）无形资产产生经济利益的方式，包括能够证明运用该无形资产生产的产品存在市场或无形资产自身存在市场，无形 资产将在内部使用的，能够证明其有用性；</w:t>
      </w:r>
    </w:p>
    <w:p>
      <w:pPr>
        <w:pStyle w:val="BodyText"/>
        <w:spacing w:line="240" w:lineRule="auto" w:before="139"/>
        <w:ind w:left="514" w:right="0"/>
        <w:jc w:val="left"/>
      </w:pPr>
      <w:r>
        <w:rPr>
          <w:rFonts w:ascii="宋体" w:hAnsi="宋体" w:cs="宋体" w:eastAsia="宋体" w:hint="default"/>
        </w:rPr>
        <w:t>4</w:t>
      </w:r>
      <w:r>
        <w:rPr/>
        <w:t>）有足够的技术、财务资源和其他资源支持，以完成该无形资产的开发，并有能力使用或出售该无形资产；</w:t>
      </w:r>
    </w:p>
    <w:p>
      <w:pPr>
        <w:spacing w:line="240" w:lineRule="auto" w:before="0"/>
        <w:rPr>
          <w:rFonts w:ascii="宋体" w:hAnsi="宋体" w:cs="宋体" w:eastAsia="宋体" w:hint="default"/>
          <w:sz w:val="15"/>
          <w:szCs w:val="15"/>
        </w:rPr>
      </w:pPr>
    </w:p>
    <w:p>
      <w:pPr>
        <w:pStyle w:val="BodyText"/>
        <w:spacing w:line="441" w:lineRule="auto"/>
        <w:ind w:left="514" w:right="772"/>
        <w:jc w:val="left"/>
      </w:pP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after="0" w:line="441"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87"/>
        <w:jc w:val="left"/>
        <w:rPr>
          <w:b w:val="0"/>
          <w:bCs w:val="0"/>
        </w:rPr>
      </w:pPr>
      <w:r>
        <w:rPr>
          <w:rFonts w:ascii="宋体" w:hAnsi="宋体" w:cs="宋体" w:eastAsia="宋体" w:hint="default"/>
        </w:rPr>
        <w:t>22</w:t>
      </w:r>
      <w:r>
        <w:rPr/>
        <w:t>、长期资产减值</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right="190" w:firstLine="360"/>
        <w:jc w:val="both"/>
      </w:pPr>
      <w:r>
        <w:rPr>
          <w:spacing w:val="-2"/>
        </w:rPr>
        <w:t>在每个资产负债表日判断长期股权投资、采用成本模式计量的投资性房地产、固定资产、在建工程、使用寿命确定的无</w:t>
      </w:r>
      <w:r>
        <w:rPr/>
        <w:t> </w:t>
      </w:r>
      <w:r>
        <w:rPr>
          <w:spacing w:val="-2"/>
        </w:rPr>
        <w:t>形资产等是否存在减值迹象，对存在减值迹象的，估计其可收回金额，可收回金额低于其账面价值的，将资产的账面价值减</w:t>
      </w:r>
      <w:r>
        <w:rPr>
          <w:spacing w:val="-66"/>
        </w:rPr>
        <w:t> </w:t>
      </w:r>
      <w:r>
        <w:rPr>
          <w:spacing w:val="-66"/>
        </w:rPr>
      </w:r>
      <w:r>
        <w:rPr/>
        <w:t>记至可收回金额，减记的金额确认相应的减值损失，计入当期损益，同时计提相应的减值准备。</w:t>
      </w:r>
    </w:p>
    <w:p>
      <w:pPr>
        <w:pStyle w:val="BodyText"/>
        <w:spacing w:line="316" w:lineRule="auto" w:before="137"/>
        <w:ind w:right="192" w:firstLine="360"/>
        <w:jc w:val="both"/>
      </w:pPr>
      <w:r>
        <w:rPr>
          <w:spacing w:val="-2"/>
        </w:rPr>
        <w:t>资产可收回金额的估计，根据其公允价值减去处置费用后的净额与其预计未来现金流量的现值两者之间较高者确定。企</w:t>
      </w:r>
      <w:r>
        <w:rPr/>
        <w:t> </w:t>
      </w:r>
      <w:r>
        <w:rPr>
          <w:spacing w:val="-2"/>
        </w:rPr>
        <w:t>业以单项资产为基础估计其可收回金额，在难以对单项资产可回收金额进行估计的情况下，以资产所属的资产组为基础确定</w:t>
      </w:r>
      <w:r>
        <w:rPr>
          <w:spacing w:val="-64"/>
        </w:rPr>
        <w:t> </w:t>
      </w:r>
      <w:r>
        <w:rPr>
          <w:spacing w:val="-64"/>
        </w:rPr>
      </w:r>
      <w:r>
        <w:rPr/>
        <w:t>资产组的可收回金额。</w:t>
      </w:r>
    </w:p>
    <w:p>
      <w:pPr>
        <w:pStyle w:val="BodyText"/>
        <w:spacing w:line="316" w:lineRule="auto" w:before="139"/>
        <w:ind w:right="193" w:firstLine="360"/>
        <w:jc w:val="both"/>
      </w:pPr>
      <w:r>
        <w:rPr>
          <w:spacing w:val="-2"/>
        </w:rPr>
        <w:t>资产减值损失确认后，减值资产的折旧或者摊销费用在未来期间做相应调整，使资产在剩余寿命内，系统地分摊调整后</w:t>
      </w:r>
      <w:r>
        <w:rPr/>
        <w:t> 的资产账面价值。</w:t>
      </w:r>
    </w:p>
    <w:p>
      <w:pPr>
        <w:pStyle w:val="BodyText"/>
        <w:spacing w:line="432" w:lineRule="exact" w:before="3"/>
        <w:ind w:left="514" w:right="87"/>
        <w:jc w:val="left"/>
      </w:pPr>
      <w:r>
        <w:rPr/>
        <w:t>对于使用寿命不确定的无形资产、尚未达到使用状态的无形资以及合并所形成的商誉每年年度终了进行减值测试。 </w:t>
      </w:r>
      <w:r>
        <w:rPr>
          <w:spacing w:val="-2"/>
        </w:rPr>
        <w:t>关于商誉减值测试，对于因企业合并形成的商誉的账面价值，自购买日起按照合理的方法分摊至相关的资产组；难以分</w:t>
      </w:r>
    </w:p>
    <w:p>
      <w:pPr>
        <w:pStyle w:val="BodyText"/>
        <w:spacing w:line="316" w:lineRule="auto" w:before="15"/>
        <w:ind w:right="92"/>
        <w:jc w:val="left"/>
      </w:pPr>
      <w:r>
        <w:rPr>
          <w:spacing w:val="-2"/>
        </w:rPr>
        <w:t>摊至相关的资产组的，将其分摊至相关的资产组组合。在将商誉的账面价值分摊至相关的资产组或者资产组组合时，按照各</w:t>
      </w:r>
      <w:r>
        <w:rPr>
          <w:spacing w:val="-66"/>
        </w:rPr>
        <w:t> </w:t>
      </w:r>
      <w:r>
        <w:rPr>
          <w:spacing w:val="-66"/>
        </w:rPr>
      </w:r>
      <w:r>
        <w:rPr/>
        <w:t>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BodyText"/>
        <w:spacing w:line="316" w:lineRule="auto" w:before="139"/>
        <w:ind w:right="92"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line="240" w:lineRule="auto" w:before="6"/>
        <w:rPr>
          <w:rFonts w:ascii="宋体" w:hAnsi="宋体" w:cs="宋体" w:eastAsia="宋体" w:hint="default"/>
          <w:sz w:val="22"/>
          <w:szCs w:val="22"/>
        </w:rPr>
      </w:pPr>
    </w:p>
    <w:p>
      <w:pPr>
        <w:pStyle w:val="Heading3"/>
        <w:spacing w:line="240" w:lineRule="auto"/>
        <w:ind w:right="87"/>
        <w:jc w:val="left"/>
        <w:rPr>
          <w:b w:val="0"/>
          <w:bCs w:val="0"/>
        </w:rPr>
      </w:pPr>
      <w:r>
        <w:rPr>
          <w:rFonts w:ascii="宋体" w:hAnsi="宋体" w:cs="宋体" w:eastAsia="宋体" w:hint="default"/>
        </w:rPr>
        <w:t>23</w:t>
      </w:r>
      <w:r>
        <w:rPr/>
        <w:t>、长期待摊费用</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91" w:firstLine="360"/>
        <w:jc w:val="both"/>
      </w:pPr>
      <w:r>
        <w:rPr/>
        <w:t>对于已经发生但应由本期和以后各期负担的分摊期限在</w:t>
      </w:r>
      <w:r>
        <w:rPr>
          <w:rFonts w:ascii="宋体" w:hAnsi="宋体" w:cs="宋体" w:eastAsia="宋体" w:hint="default"/>
        </w:rPr>
        <w:t>1</w:t>
      </w:r>
      <w:r>
        <w:rPr/>
        <w:t>年以上的各项费用，包括经营租入固定资产改良支出，作为长 </w:t>
      </w:r>
      <w:r>
        <w:rPr>
          <w:spacing w:val="-2"/>
        </w:rPr>
        <w:t>期待摊费用按预计受益年限分期摊销。如果长期待摊费用项目不能使以后会计期间受益的，则将其尚未摊销的摊余价值全部</w:t>
      </w:r>
      <w:r>
        <w:rPr>
          <w:spacing w:val="-64"/>
        </w:rPr>
        <w:t> </w:t>
      </w:r>
      <w:r>
        <w:rPr>
          <w:spacing w:val="-64"/>
        </w:rPr>
      </w:r>
      <w:r>
        <w:rPr/>
        <w:t>转入当期损益。</w:t>
      </w:r>
    </w:p>
    <w:p>
      <w:pPr>
        <w:spacing w:line="240" w:lineRule="auto" w:before="6"/>
        <w:rPr>
          <w:rFonts w:ascii="宋体" w:hAnsi="宋体" w:cs="宋体" w:eastAsia="宋体" w:hint="default"/>
          <w:sz w:val="22"/>
          <w:szCs w:val="22"/>
        </w:rPr>
      </w:pPr>
    </w:p>
    <w:p>
      <w:pPr>
        <w:pStyle w:val="Heading3"/>
        <w:spacing w:line="240" w:lineRule="auto"/>
        <w:ind w:right="87"/>
        <w:jc w:val="left"/>
        <w:rPr>
          <w:b w:val="0"/>
          <w:bCs w:val="0"/>
        </w:rPr>
      </w:pPr>
      <w:r>
        <w:rPr>
          <w:rFonts w:ascii="宋体" w:hAnsi="宋体" w:cs="宋体" w:eastAsia="宋体" w:hint="default"/>
        </w:rPr>
        <w:t>24</w:t>
      </w:r>
      <w:r>
        <w:rPr/>
        <w:t>、职工薪酬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87"/>
        <w:jc w:val="left"/>
        <w:rPr>
          <w:b w:val="0"/>
          <w:bCs w:val="0"/>
        </w:rPr>
      </w:pPr>
      <w:r>
        <w:rPr/>
        <w:t>（</w:t>
      </w:r>
      <w:r>
        <w:rPr>
          <w:rFonts w:ascii="宋体" w:hAnsi="宋体" w:cs="宋体" w:eastAsia="宋体" w:hint="default"/>
        </w:rPr>
        <w:t>1</w:t>
      </w:r>
      <w:r>
        <w:rPr/>
        <w:t>）短期薪酬的会计处理方法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87"/>
        <w:jc w:val="left"/>
      </w:pPr>
      <w:r>
        <w:rPr/>
        <w:t>在职工为公司提供服务的会计期间，将实际发生的短期薪酬确认为负债，并计入当期损益或相关资产成本。</w:t>
      </w:r>
    </w:p>
    <w:p>
      <w:pPr>
        <w:spacing w:line="240" w:lineRule="auto" w:before="11"/>
        <w:rPr>
          <w:rFonts w:ascii="宋体" w:hAnsi="宋体" w:cs="宋体" w:eastAsia="宋体" w:hint="default"/>
          <w:sz w:val="26"/>
          <w:szCs w:val="26"/>
        </w:rPr>
      </w:pPr>
    </w:p>
    <w:p>
      <w:pPr>
        <w:pStyle w:val="Heading3"/>
        <w:spacing w:line="240" w:lineRule="auto"/>
        <w:ind w:right="87"/>
        <w:jc w:val="left"/>
        <w:rPr>
          <w:b w:val="0"/>
          <w:bCs w:val="0"/>
        </w:rPr>
      </w:pPr>
      <w:r>
        <w:rPr/>
        <w:t>（</w:t>
      </w:r>
      <w:r>
        <w:rPr>
          <w:rFonts w:ascii="宋体" w:hAnsi="宋体" w:cs="宋体" w:eastAsia="宋体" w:hint="default"/>
        </w:rPr>
        <w:t>2</w:t>
      </w:r>
      <w:r>
        <w:rPr/>
        <w:t>）离职后福利的会计处理方法</w:t>
      </w:r>
      <w:r>
        <w:rPr>
          <w:b w:val="0"/>
          <w:bCs w:val="0"/>
        </w:rPr>
      </w:r>
    </w:p>
    <w:p>
      <w:pPr>
        <w:pStyle w:val="BodyText"/>
        <w:spacing w:line="430" w:lineRule="atLeast" w:before="168"/>
        <w:ind w:left="514" w:right="87"/>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319" w:lineRule="auto" w:before="76"/>
        <w:ind w:right="191"/>
        <w:jc w:val="both"/>
      </w:pPr>
      <w:r>
        <w:rPr>
          <w:spacing w:val="-2"/>
        </w:rPr>
        <w:t>本。根据设定提存计划，预期不会在职工提供相关服务的年度报告期结束后十二个月内支付全部应缴存金额的，根据资产负</w:t>
      </w:r>
      <w:r>
        <w:rPr>
          <w:spacing w:val="-66"/>
        </w:rPr>
        <w:t> </w:t>
      </w:r>
      <w:r>
        <w:rPr>
          <w:spacing w:val="-66"/>
        </w:rPr>
      </w: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316" w:lineRule="auto" w:before="137"/>
        <w:ind w:right="290" w:firstLine="360"/>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BodyText"/>
        <w:spacing w:line="240" w:lineRule="auto" w:before="139"/>
        <w:ind w:left="514" w:right="87"/>
        <w:jc w:val="left"/>
      </w:pPr>
      <w:r>
        <w:rPr/>
        <w:t>设定受益计划存在资产的</w:t>
      </w:r>
      <w:r>
        <w:rPr>
          <w:spacing w:val="-82"/>
        </w:rPr>
        <w:t>，</w:t>
      </w:r>
      <w:r>
        <w:rPr/>
        <w:t>将设定受益计划义务现值减去设定受益计划资产公允价值所形成的赤字或盈余确认为一项设</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51"/>
        <w:jc w:val="both"/>
      </w:pP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6"/>
        </w:rPr>
        <w:t> </w:t>
      </w:r>
      <w:r>
        <w:rPr>
          <w:spacing w:val="-66"/>
        </w:rPr>
      </w:r>
      <w:r>
        <w:rPr/>
        <w:t>值。</w:t>
      </w:r>
    </w:p>
    <w:p>
      <w:pPr>
        <w:pStyle w:val="BodyText"/>
        <w:spacing w:line="319" w:lineRule="auto" w:before="139"/>
        <w:ind w:right="151"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6"/>
        </w:rPr>
        <w:t> </w:t>
      </w:r>
      <w:r>
        <w:rPr>
          <w:spacing w:val="-66"/>
        </w:rPr>
      </w:r>
      <w:r>
        <w:rPr/>
        <w:t>回至损益，可以在权益范围内转移。</w:t>
      </w:r>
    </w:p>
    <w:p>
      <w:pPr>
        <w:pStyle w:val="BodyText"/>
        <w:spacing w:line="432" w:lineRule="exact" w:before="1"/>
        <w:ind w:left="514" w:right="0"/>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40" w:lineRule="auto" w:before="15"/>
        <w:ind w:right="0"/>
        <w:jc w:val="both"/>
      </w:pPr>
      <w:r>
        <w:rPr/>
        <w:t>的差。</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w:t>
      </w:r>
      <w:r>
        <w:rPr>
          <w:rFonts w:ascii="宋体" w:hAnsi="宋体" w:cs="宋体" w:eastAsia="宋体" w:hint="default"/>
        </w:rPr>
        <w:t>3</w:t>
      </w:r>
      <w:r>
        <w:rPr/>
        <w:t>）辞退福利的会计处理方法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在下列两者孰早日确认辞退福利产生的职工薪酬负债，并计入当期损益：</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①企业不能单方面撤回因解除劳动关系计划或裁减建议所提供的辞退福利时；</w:t>
      </w:r>
    </w:p>
    <w:p>
      <w:pPr>
        <w:pStyle w:val="BodyText"/>
        <w:spacing w:line="430" w:lineRule="atLeast" w:before="2"/>
        <w:ind w:left="514" w:right="0"/>
        <w:jc w:val="left"/>
      </w:pPr>
      <w:r>
        <w:rPr/>
        <w:t>②企业确认与涉及支付辞退福利的重组相关的成本或费用时。 </w:t>
      </w:r>
      <w:r>
        <w:rPr>
          <w:spacing w:val="-2"/>
        </w:rPr>
        <w:t>辞退福利预期在其确认的年度报告期结束后十二个月内完全支付的，适用短期薪酬的相关规定；辞退福利预期在年度报</w:t>
      </w:r>
    </w:p>
    <w:p>
      <w:pPr>
        <w:pStyle w:val="BodyText"/>
        <w:spacing w:line="240" w:lineRule="auto" w:before="76"/>
        <w:ind w:right="0"/>
        <w:jc w:val="both"/>
      </w:pPr>
      <w:r>
        <w:rPr/>
        <w:t>告期结束后十二个月内不能完全支付的，适用其他长期职工福利的有关规定。</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t>（</w:t>
      </w:r>
      <w:r>
        <w:rPr>
          <w:rFonts w:ascii="宋体" w:hAnsi="宋体" w:cs="宋体" w:eastAsia="宋体" w:hint="default"/>
        </w:rPr>
        <w:t>4</w:t>
      </w:r>
      <w:r>
        <w:rPr/>
        <w:t>）其他长期职工福利的会计处理方法</w:t>
      </w:r>
      <w:r>
        <w:rPr>
          <w:b w:val="0"/>
          <w:bCs w:val="0"/>
        </w:rPr>
      </w:r>
    </w:p>
    <w:p>
      <w:pPr>
        <w:spacing w:line="240" w:lineRule="auto" w:before="10"/>
        <w:rPr>
          <w:rFonts w:ascii="宋体" w:hAnsi="宋体" w:cs="宋体" w:eastAsia="宋体" w:hint="default"/>
          <w:b/>
          <w:bCs/>
          <w:sz w:val="27"/>
          <w:szCs w:val="27"/>
        </w:rPr>
      </w:pPr>
    </w:p>
    <w:p>
      <w:pPr>
        <w:pStyle w:val="BodyText"/>
        <w:spacing w:line="316" w:lineRule="auto"/>
        <w:ind w:right="151" w:firstLine="360"/>
        <w:jc w:val="both"/>
      </w:pPr>
      <w:r>
        <w:rPr/>
        <w:t>其他长期职工福利，符合设定提存计划条件的，根据上述</w:t>
      </w:r>
      <w:r>
        <w:rPr>
          <w:rFonts w:ascii="宋体" w:hAnsi="宋体" w:cs="宋体" w:eastAsia="宋体"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r>
        <w:rPr>
          <w:spacing w:val="-66"/>
        </w:rPr>
        <w:t> </w:t>
      </w:r>
      <w:r>
        <w:rPr>
          <w:spacing w:val="-66"/>
        </w:rPr>
      </w:r>
      <w:r>
        <w:rPr/>
        <w:t>产的利息净额、重新计量其他长期职工福利净负债或净资产所产生的变动的总净额计入当期损益或相关资产成本。</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25</w:t>
      </w:r>
      <w:r>
        <w:rPr/>
        <w:t>、预计负债</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53" w:firstLine="360"/>
        <w:jc w:val="both"/>
      </w:pPr>
      <w:r>
        <w:rPr>
          <w:spacing w:val="-2"/>
        </w:rPr>
        <w:t>涉及诉讼、债务担保、亏损合同、重组事项时，如该等事项很可能需要未来以交付资产或提供劳务、其金额能够可靠计</w:t>
      </w:r>
      <w:r>
        <w:rPr/>
        <w:t> 量的，确认为预计负债。</w:t>
      </w:r>
    </w:p>
    <w:p>
      <w:pPr>
        <w:pStyle w:val="BodyText"/>
        <w:spacing w:line="316" w:lineRule="auto" w:before="139"/>
        <w:ind w:right="15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240" w:lineRule="auto" w:before="139"/>
        <w:ind w:left="514" w:right="0"/>
        <w:jc w:val="left"/>
      </w:pPr>
      <w:r>
        <w:rPr/>
        <w:t>于资产负债表日，对预计负债的账面价值进行复核并作适当调整，以反映当前的最佳估计数。</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宋体" w:hAnsi="宋体" w:cs="宋体" w:eastAsia="宋体" w:hint="default"/>
        </w:rPr>
        <w:t>26</w:t>
      </w:r>
      <w:r>
        <w:rPr/>
        <w:t>、股份支付</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宋体" w:hAnsi="宋体" w:cs="宋体" w:eastAsia="宋体" w:hint="default"/>
        </w:rPr>
        <w:t>1)</w:t>
      </w:r>
      <w:r>
        <w:rPr/>
        <w:t>股份支付的种类及会计处理</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48" w:firstLine="420"/>
        <w:jc w:val="both"/>
      </w:pPr>
      <w:r>
        <w:rPr/>
        <w:t>股份支付是公司为了获取职工提供服务而授予权益工具或者承担以权益工具为基础确定的负债的交易。股份支付分为 以权益结算的股份支付和以现金结算的股份支付。</w:t>
      </w:r>
    </w:p>
    <w:p>
      <w:pPr>
        <w:spacing w:line="439" w:lineRule="auto" w:before="137"/>
        <w:ind w:left="574" w:right="0" w:hanging="420"/>
        <w:jc w:val="left"/>
        <w:rPr>
          <w:rFonts w:ascii="宋体" w:hAnsi="宋体" w:cs="宋体" w:eastAsia="宋体" w:hint="default"/>
          <w:sz w:val="18"/>
          <w:szCs w:val="18"/>
        </w:rPr>
      </w:pPr>
      <w:r>
        <w:rPr>
          <w:rFonts w:ascii="宋体" w:hAnsi="宋体" w:cs="宋体" w:eastAsia="宋体" w:hint="default"/>
          <w:b/>
          <w:bCs/>
          <w:sz w:val="18"/>
          <w:szCs w:val="18"/>
        </w:rPr>
        <w:t>①</w:t>
      </w:r>
      <w:r>
        <w:rPr>
          <w:rFonts w:ascii="宋体" w:hAnsi="宋体" w:cs="宋体" w:eastAsia="宋体" w:hint="default"/>
          <w:b/>
          <w:bCs/>
          <w:spacing w:val="-1"/>
          <w:sz w:val="18"/>
          <w:szCs w:val="18"/>
        </w:rPr>
        <w:t> </w:t>
      </w:r>
      <w:r>
        <w:rPr>
          <w:rFonts w:ascii="宋体" w:hAnsi="宋体" w:cs="宋体" w:eastAsia="宋体" w:hint="default"/>
          <w:b/>
          <w:bCs/>
          <w:sz w:val="18"/>
          <w:szCs w:val="18"/>
        </w:rPr>
        <w:t>以权益结算的股份支付</w:t>
      </w:r>
      <w:r>
        <w:rPr>
          <w:rFonts w:ascii="宋体" w:hAnsi="宋体" w:cs="宋体" w:eastAsia="宋体" w:hint="default"/>
          <w:b/>
          <w:bCs/>
          <w:w w:val="99"/>
          <w:sz w:val="18"/>
          <w:szCs w:val="18"/>
        </w:rPr>
        <w:t> </w:t>
      </w:r>
      <w:r>
        <w:rPr>
          <w:rFonts w:ascii="宋体" w:hAnsi="宋体" w:cs="宋体" w:eastAsia="宋体" w:hint="default"/>
          <w:sz w:val="18"/>
          <w:szCs w:val="18"/>
        </w:rPr>
        <w:t>股票期权计划为用以换取职工提供服务的权益结算的股份支付，以授予职工的权益工具在授予日的公允价值计量。在</w:t>
      </w:r>
    </w:p>
    <w:p>
      <w:pPr>
        <w:spacing w:after="0" w:line="43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87"/>
        <w:jc w:val="left"/>
      </w:pPr>
      <w:r>
        <w:rPr>
          <w:spacing w:val="-2"/>
        </w:rPr>
        <w:t>完成等待期内的服务或达到规定业绩条件才可行权，在等待期内以对可行权权益工具数量的最佳估计为基础，按照权益工具</w:t>
      </w:r>
      <w:r>
        <w:rPr>
          <w:spacing w:val="-64"/>
        </w:rPr>
        <w:t> </w:t>
      </w:r>
      <w:r>
        <w:rPr>
          <w:spacing w:val="-64"/>
        </w:rPr>
      </w:r>
      <w:r>
        <w:rPr/>
        <w:t>授予日的公允价值，将当期取得的服务计入相关成本或费用，相应增加资本公积。</w:t>
      </w:r>
    </w:p>
    <w:p>
      <w:pPr>
        <w:spacing w:line="432" w:lineRule="exact" w:before="3"/>
        <w:ind w:left="574" w:right="87" w:hanging="420"/>
        <w:jc w:val="left"/>
        <w:rPr>
          <w:rFonts w:ascii="宋体" w:hAnsi="宋体" w:cs="宋体" w:eastAsia="宋体" w:hint="default"/>
          <w:sz w:val="18"/>
          <w:szCs w:val="18"/>
        </w:rPr>
      </w:pPr>
      <w:r>
        <w:rPr>
          <w:rFonts w:ascii="宋体" w:hAnsi="宋体" w:cs="宋体" w:eastAsia="宋体" w:hint="default"/>
          <w:b/>
          <w:bCs/>
          <w:sz w:val="18"/>
          <w:szCs w:val="18"/>
        </w:rPr>
        <w:t>②</w:t>
      </w:r>
      <w:r>
        <w:rPr>
          <w:rFonts w:ascii="宋体" w:hAnsi="宋体" w:cs="宋体" w:eastAsia="宋体" w:hint="default"/>
          <w:b/>
          <w:bCs/>
          <w:spacing w:val="-1"/>
          <w:sz w:val="18"/>
          <w:szCs w:val="18"/>
        </w:rPr>
        <w:t> </w:t>
      </w:r>
      <w:r>
        <w:rPr>
          <w:rFonts w:ascii="宋体" w:hAnsi="宋体" w:cs="宋体" w:eastAsia="宋体" w:hint="default"/>
          <w:b/>
          <w:bCs/>
          <w:sz w:val="18"/>
          <w:szCs w:val="18"/>
        </w:rPr>
        <w:t>以现金结算的股份支付</w:t>
      </w:r>
      <w:r>
        <w:rPr>
          <w:rFonts w:ascii="宋体" w:hAnsi="宋体" w:cs="宋体" w:eastAsia="宋体" w:hint="default"/>
          <w:b/>
          <w:bCs/>
          <w:w w:val="99"/>
          <w:sz w:val="18"/>
          <w:szCs w:val="18"/>
        </w:rPr>
        <w:t> </w:t>
      </w:r>
      <w:r>
        <w:rPr>
          <w:rFonts w:ascii="宋体" w:hAnsi="宋体" w:cs="宋体" w:eastAsia="宋体" w:hint="default"/>
          <w:sz w:val="18"/>
          <w:szCs w:val="18"/>
        </w:rPr>
        <w:t>股票增值权计划为以现金结算的股份支付，按照公司承担的以本公司股份数量为基础确定的负债的公允价值计量。该</w:t>
      </w:r>
    </w:p>
    <w:p>
      <w:pPr>
        <w:pStyle w:val="BodyText"/>
        <w:spacing w:line="316" w:lineRule="auto" w:before="15"/>
        <w:ind w:right="191"/>
        <w:jc w:val="both"/>
      </w:pPr>
      <w:r>
        <w:rPr>
          <w:spacing w:val="-2"/>
        </w:rPr>
        <w:t>以现金结算的股份支付须完成等待期内的服务或达到规定业绩条件以后才可行权，在等待期的每个资产负债表日以对可行权</w:t>
      </w:r>
      <w:r>
        <w:rPr>
          <w:spacing w:val="-64"/>
        </w:rPr>
        <w:t> </w:t>
      </w:r>
      <w:r>
        <w:rPr>
          <w:spacing w:val="-64"/>
        </w:rPr>
      </w:r>
      <w:r>
        <w:rPr>
          <w:spacing w:val="-2"/>
        </w:rPr>
        <w:t>情况的最佳估计为基础，按照公司承担负债的公允价值金额，将当期取得的服务计入成本或费用，相应增加负债。在相关负</w:t>
      </w:r>
      <w:r>
        <w:rPr>
          <w:spacing w:val="-66"/>
        </w:rPr>
        <w:t> </w:t>
      </w:r>
      <w:r>
        <w:rPr>
          <w:spacing w:val="-66"/>
        </w:rPr>
      </w:r>
      <w:r>
        <w:rPr/>
        <w:t>债结算前的每个资产负债表日以及结算日，对负债的公允价值重新计量，其变动计入当期损益。</w:t>
      </w:r>
    </w:p>
    <w:p>
      <w:pPr>
        <w:pStyle w:val="Heading3"/>
        <w:spacing w:line="240" w:lineRule="auto" w:before="113"/>
        <w:ind w:right="0"/>
        <w:jc w:val="both"/>
        <w:rPr>
          <w:b w:val="0"/>
          <w:bCs w:val="0"/>
        </w:rPr>
      </w:pPr>
      <w:r>
        <w:rPr/>
        <w:t>（</w:t>
      </w:r>
      <w:r>
        <w:rPr>
          <w:rFonts w:ascii="宋体" w:hAnsi="宋体" w:cs="宋体" w:eastAsia="宋体" w:hint="default"/>
        </w:rPr>
        <w:t>2</w:t>
      </w:r>
      <w:r>
        <w:rPr/>
        <w:t>）权益工具公允价值的确定方法</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3" w:firstLine="420"/>
        <w:jc w:val="both"/>
      </w:pPr>
      <w:r>
        <w:rPr/>
        <w:t>对于授予职工的股份，其公允价值按公司股份的市场价格计量，同时考虑授予股份所依据的条款和条件（不包括市场 条件之外的可行权条件）进行调整。</w:t>
      </w:r>
    </w:p>
    <w:p>
      <w:pPr>
        <w:pStyle w:val="BodyText"/>
        <w:spacing w:line="240" w:lineRule="auto" w:before="139"/>
        <w:ind w:left="574" w:right="87"/>
        <w:jc w:val="left"/>
      </w:pPr>
      <w:r>
        <w:rPr/>
        <w:t>对于授予职工的股票期权，通过期权定价模型估计所授予的期权的公允价值。</w:t>
      </w:r>
    </w:p>
    <w:p>
      <w:pPr>
        <w:spacing w:line="240" w:lineRule="auto" w:before="1"/>
        <w:rPr>
          <w:rFonts w:ascii="宋体" w:hAnsi="宋体" w:cs="宋体" w:eastAsia="宋体" w:hint="default"/>
          <w:sz w:val="13"/>
          <w:szCs w:val="13"/>
        </w:rPr>
      </w:pPr>
    </w:p>
    <w:p>
      <w:pPr>
        <w:pStyle w:val="Heading3"/>
        <w:spacing w:line="240" w:lineRule="auto"/>
        <w:ind w:right="0"/>
        <w:jc w:val="both"/>
        <w:rPr>
          <w:b w:val="0"/>
          <w:bCs w:val="0"/>
        </w:rPr>
      </w:pPr>
      <w:r>
        <w:rPr/>
        <w:t>（</w:t>
      </w:r>
      <w:r>
        <w:rPr>
          <w:rFonts w:ascii="宋体" w:hAnsi="宋体" w:cs="宋体" w:eastAsia="宋体" w:hint="default"/>
        </w:rPr>
        <w:t>3</w:t>
      </w:r>
      <w:r>
        <w:rPr/>
        <w:t>）确认可行权权益工具最佳估计的依据</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3" w:firstLine="420"/>
        <w:jc w:val="both"/>
      </w:pPr>
      <w:r>
        <w:rPr/>
        <w:t>在等待期内每个资产负债表日，根据最新取得的可行权职工人数变动等后续信息做出最佳估计，修正预计可行权的权 益工具数量。</w:t>
      </w:r>
    </w:p>
    <w:p>
      <w:pPr>
        <w:pStyle w:val="Heading3"/>
        <w:spacing w:line="240" w:lineRule="auto" w:before="113"/>
        <w:ind w:right="0"/>
        <w:jc w:val="both"/>
        <w:rPr>
          <w:b w:val="0"/>
          <w:bCs w:val="0"/>
        </w:rPr>
      </w:pPr>
      <w:r>
        <w:rPr/>
        <w:t>（</w:t>
      </w:r>
      <w:r>
        <w:rPr>
          <w:rFonts w:ascii="宋体" w:hAnsi="宋体" w:cs="宋体" w:eastAsia="宋体" w:hint="default"/>
        </w:rPr>
        <w:t>4</w:t>
      </w:r>
      <w:r>
        <w:rPr/>
        <w:t>）修改和终止股份支付计划的处理</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1" w:firstLine="360"/>
        <w:jc w:val="both"/>
      </w:pPr>
      <w:r>
        <w:rPr>
          <w:spacing w:val="-2"/>
        </w:rPr>
        <w:t>如果股份支付计划的修改增加了所授予的权益工具的公允价值，应按照权益工具公允价值的增加相应地确认取得服务的</w:t>
      </w:r>
      <w:r>
        <w:rPr/>
        <w:t> 增加。</w:t>
      </w:r>
    </w:p>
    <w:p>
      <w:pPr>
        <w:pStyle w:val="BodyText"/>
        <w:spacing w:line="319" w:lineRule="auto" w:before="139"/>
        <w:ind w:right="191" w:firstLine="360"/>
        <w:jc w:val="both"/>
      </w:pPr>
      <w:r>
        <w:rPr>
          <w:spacing w:val="-2"/>
        </w:rPr>
        <w:t>如果股份支付计划的修改增加了所授予的权益工具的数量，应将增加的权益工具的公允价值相应地确认为取得服务的增</w:t>
      </w:r>
      <w:r>
        <w:rPr/>
        <w:t> 加。</w:t>
      </w:r>
    </w:p>
    <w:p>
      <w:pPr>
        <w:pStyle w:val="BodyText"/>
        <w:spacing w:line="316" w:lineRule="auto" w:before="137"/>
        <w:ind w:right="192" w:firstLine="360"/>
        <w:jc w:val="both"/>
      </w:pPr>
      <w:r>
        <w:rPr>
          <w:spacing w:val="-2"/>
        </w:rPr>
        <w:t>如果按照有利于职工的方式修改可行权条件，如缩短等待期、变更或取消业绩条件（而非市场条件），公司在处理可行</w:t>
      </w:r>
      <w:r>
        <w:rPr/>
        <w:t> 权条件时，考虑修改后的可行权条件。</w:t>
      </w:r>
    </w:p>
    <w:p>
      <w:pPr>
        <w:pStyle w:val="BodyText"/>
        <w:spacing w:line="316" w:lineRule="auto" w:before="139"/>
        <w:ind w:right="191" w:firstLine="360"/>
        <w:jc w:val="both"/>
      </w:pPr>
      <w:r>
        <w:rPr>
          <w:spacing w:val="-2"/>
        </w:rPr>
        <w:t>如果以减少股份支付公允价值总额的方式或其他不利于职工的方式修改条款和条件，仍应继续对取得的服务进行会计处</w:t>
      </w:r>
      <w:r>
        <w:rPr/>
        <w:t> 理，如同该变更从未发生，除非取消了部分或全部已授予的权益工具。</w:t>
      </w:r>
    </w:p>
    <w:p>
      <w:pPr>
        <w:pStyle w:val="BodyText"/>
        <w:spacing w:line="316" w:lineRule="auto" w:before="139"/>
        <w:ind w:right="192" w:firstLine="360"/>
        <w:jc w:val="both"/>
      </w:pPr>
      <w:r>
        <w:rPr>
          <w:spacing w:val="-2"/>
        </w:rPr>
        <w:t>在等待期内如果取消了授予的权益工具，对取消所授予的权益性工具作为加速行权处理，剩余等待期内应确认的金额立</w:t>
      </w:r>
      <w:r>
        <w:rPr/>
        <w:t> </w:t>
      </w:r>
      <w:r>
        <w:rPr>
          <w:spacing w:val="-2"/>
        </w:rPr>
        <w:t>即计入当期损益，同时确认资本公积。职工或其他方能够选择满足非可行权条件但在等待期内未满足的，将其作为授予权益</w:t>
      </w:r>
      <w:r>
        <w:rPr>
          <w:spacing w:val="-66"/>
        </w:rPr>
        <w:t> </w:t>
      </w:r>
      <w:r>
        <w:rPr>
          <w:spacing w:val="-66"/>
        </w:rPr>
      </w:r>
      <w:r>
        <w:rPr/>
        <w:t>工具的取消处理。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宋体" w:hAnsi="宋体" w:cs="宋体" w:eastAsia="宋体" w:hint="default"/>
        </w:rPr>
        <w:t>27</w:t>
      </w:r>
      <w:r>
        <w:rPr/>
        <w:t>、优先股、永续债等其他金融工具</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11" w:firstLine="360"/>
        <w:jc w:val="both"/>
      </w:pPr>
      <w:r>
        <w:rPr/>
        <w:t>公司发行的优先股或永续债根据所发行金融工具的合同条款及其所反映的经济实质，结合金融负债和权益工具的定义， 在初始确认时将其分类为金融负债或权益工具。</w:t>
      </w:r>
    </w:p>
    <w:p>
      <w:pPr>
        <w:pStyle w:val="BodyText"/>
        <w:spacing w:line="316" w:lineRule="auto" w:before="139"/>
        <w:ind w:right="110" w:firstLine="360"/>
        <w:jc w:val="both"/>
      </w:pPr>
      <w:r>
        <w:rPr/>
        <w:t>优先股或永续债属于金融负债的，相关利息、股利（或股息）、利得或损失，以及赎回或再融资产生的利得或损失等， 计入当期损益。</w:t>
      </w:r>
    </w:p>
    <w:p>
      <w:pPr>
        <w:pStyle w:val="BodyText"/>
        <w:spacing w:line="319" w:lineRule="auto" w:before="139"/>
        <w:ind w:right="193" w:firstLine="360"/>
        <w:jc w:val="both"/>
      </w:pPr>
      <w:r>
        <w:rPr>
          <w:spacing w:val="-2"/>
        </w:rPr>
        <w:t>优先股或永续债属于权益工具的，其发行（含再融资）、回购、出售或注销时，作为权益的变动处理。对权益工具持有</w:t>
      </w:r>
      <w:r>
        <w:rPr/>
        <w:t> 方的分配应作利润分配处理，发放的股票股利不影响所有者权益总额。</w:t>
      </w:r>
    </w:p>
    <w:p>
      <w:pPr>
        <w:pStyle w:val="BodyText"/>
        <w:spacing w:line="316" w:lineRule="auto" w:before="137"/>
        <w:ind w:right="192" w:firstLine="360"/>
        <w:jc w:val="both"/>
      </w:pPr>
      <w:r>
        <w:rPr>
          <w:spacing w:val="-2"/>
        </w:rPr>
        <w:t>与权益性交易相关的交易费用从权益中扣减。交易费用，是指可直接归属于购买、发行或处置优先股或永续债的增量费</w:t>
      </w:r>
      <w:r>
        <w:rPr/>
        <w:t> 用。增量费用，是指企业不购买、发行或处置金融工具就不会发生的费用。</w:t>
      </w:r>
    </w:p>
    <w:p>
      <w:pPr>
        <w:pStyle w:val="BodyText"/>
        <w:spacing w:line="240" w:lineRule="auto" w:before="139"/>
        <w:ind w:left="514" w:right="0"/>
        <w:jc w:val="left"/>
      </w:pPr>
      <w:r>
        <w:rPr/>
        <w:t>发行或取得自身权益工具时发生的交易费用（例如登记费，承销费，法律、会计、评估及其他专业服务费用，印刷成本</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和印花税等），可直接归属于权益性交易的，从权益中扣减。终止的未完成权益性交易所发生的交易费用计入当期损益。</w:t>
      </w:r>
    </w:p>
    <w:p>
      <w:pPr>
        <w:spacing w:line="240" w:lineRule="auto" w:before="12"/>
        <w:rPr>
          <w:rFonts w:ascii="宋体" w:hAnsi="宋体" w:cs="宋体" w:eastAsia="宋体" w:hint="default"/>
          <w:sz w:val="26"/>
          <w:szCs w:val="26"/>
        </w:rPr>
      </w:pPr>
    </w:p>
    <w:p>
      <w:pPr>
        <w:pStyle w:val="Heading3"/>
        <w:spacing w:line="240" w:lineRule="auto"/>
        <w:ind w:right="87"/>
        <w:jc w:val="left"/>
        <w:rPr>
          <w:b w:val="0"/>
          <w:bCs w:val="0"/>
        </w:rPr>
      </w:pPr>
      <w:r>
        <w:rPr>
          <w:rFonts w:ascii="宋体" w:hAnsi="宋体" w:cs="宋体" w:eastAsia="宋体" w:hint="default"/>
        </w:rPr>
        <w:t>28</w:t>
      </w:r>
      <w:r>
        <w:rPr/>
        <w:t>、收入</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87"/>
        <w:jc w:val="left"/>
        <w:rPr>
          <w:b w:val="0"/>
          <w:bCs w:val="0"/>
        </w:rPr>
      </w:pPr>
      <w:r>
        <w:rPr/>
        <w:t>（</w:t>
      </w:r>
      <w:r>
        <w:rPr>
          <w:rFonts w:ascii="宋体" w:hAnsi="宋体" w:cs="宋体" w:eastAsia="宋体" w:hint="default"/>
        </w:rPr>
        <w:t>1</w:t>
      </w:r>
      <w:r>
        <w:rPr/>
        <w:t>）销售商品收入的确认</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2" w:firstLine="420"/>
        <w:jc w:val="both"/>
      </w:pPr>
      <w:r>
        <w:rPr/>
        <w:t>公司已将商品所有权上的主要风险和报酬转移给购买方；既没有保留与所有权相联系的继续管理权，也没有对已售出 </w:t>
      </w:r>
      <w:r>
        <w:rPr>
          <w:spacing w:val="-2"/>
        </w:rPr>
        <w:t>的商品实施有效控制；收入的金额能够可靠地计量；相关的经济利益很可能流入企业；相关的已发生或将发生的成本能够可</w:t>
      </w:r>
      <w:r>
        <w:rPr>
          <w:spacing w:val="-65"/>
        </w:rPr>
        <w:t> </w:t>
      </w:r>
      <w:r>
        <w:rPr>
          <w:spacing w:val="-65"/>
        </w:rPr>
      </w:r>
      <w:r>
        <w:rPr/>
        <w:t>靠地计量时，确认商品销售收入实现。</w:t>
      </w:r>
    </w:p>
    <w:p>
      <w:pPr>
        <w:pStyle w:val="Heading3"/>
        <w:spacing w:line="240" w:lineRule="auto" w:before="113"/>
        <w:ind w:right="87"/>
        <w:jc w:val="left"/>
        <w:rPr>
          <w:b w:val="0"/>
          <w:bCs w:val="0"/>
        </w:rPr>
      </w:pPr>
      <w:r>
        <w:rPr/>
        <w:t>（</w:t>
      </w:r>
      <w:r>
        <w:rPr>
          <w:rFonts w:ascii="宋体" w:hAnsi="宋体" w:cs="宋体" w:eastAsia="宋体" w:hint="default"/>
        </w:rPr>
        <w:t>2</w:t>
      </w:r>
      <w:r>
        <w:rPr/>
        <w:t>）提供劳务收入的确认</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87" w:firstLine="420"/>
        <w:jc w:val="left"/>
      </w:pPr>
      <w:r>
        <w:rPr/>
        <w:t>在资产负债表日提供劳务交易的结果能够可靠估计的，采用完工百分比法确认提供劳务收入。提供劳务交易的完工进 度，依据已完工作的测量确定。</w:t>
      </w:r>
    </w:p>
    <w:p>
      <w:pPr>
        <w:pStyle w:val="BodyText"/>
        <w:spacing w:line="240" w:lineRule="auto" w:before="56"/>
        <w:ind w:left="574" w:right="87"/>
        <w:jc w:val="left"/>
      </w:pPr>
      <w:r>
        <w:rPr/>
        <w:t>在资产负债表日提供劳务交易结果不能够可靠估计的，分别下列情况处理：</w:t>
      </w:r>
    </w:p>
    <w:p>
      <w:pPr>
        <w:pStyle w:val="BodyText"/>
        <w:spacing w:line="240" w:lineRule="auto" w:before="117"/>
        <w:ind w:left="244" w:right="87"/>
        <w:jc w:val="left"/>
      </w:pPr>
      <w:r>
        <w:rPr/>
        <w:t>①已发生的劳务成本预计能够得到补偿，应按已经发生的劳务成本金额确认提供劳务收入，并按相同金额结转劳务成本。</w:t>
      </w:r>
    </w:p>
    <w:p>
      <w:pPr>
        <w:pStyle w:val="BodyText"/>
        <w:spacing w:line="240" w:lineRule="auto" w:before="116"/>
        <w:ind w:left="244" w:right="87"/>
        <w:jc w:val="left"/>
      </w:pPr>
      <w:r>
        <w:rPr/>
        <w:t>②已经发生的劳务成本预计不能够得到补偿的，将已经发生的劳务成本计入当期损益，不确认提供劳务收入。</w:t>
      </w:r>
    </w:p>
    <w:p>
      <w:pPr>
        <w:spacing w:line="240" w:lineRule="auto" w:before="13"/>
        <w:rPr>
          <w:rFonts w:ascii="宋体" w:hAnsi="宋体" w:cs="宋体" w:eastAsia="宋体" w:hint="default"/>
          <w:sz w:val="12"/>
          <w:szCs w:val="12"/>
        </w:rPr>
      </w:pPr>
    </w:p>
    <w:p>
      <w:pPr>
        <w:pStyle w:val="Heading3"/>
        <w:spacing w:line="240" w:lineRule="auto"/>
        <w:ind w:right="87"/>
        <w:jc w:val="left"/>
        <w:rPr>
          <w:b w:val="0"/>
          <w:bCs w:val="0"/>
        </w:rPr>
      </w:pPr>
      <w:r>
        <w:rPr/>
        <w:t>（</w:t>
      </w:r>
      <w:r>
        <w:rPr>
          <w:rFonts w:ascii="宋体" w:hAnsi="宋体" w:cs="宋体" w:eastAsia="宋体" w:hint="default"/>
        </w:rPr>
        <w:t>3</w:t>
      </w:r>
      <w:r>
        <w:rPr/>
        <w:t>）让渡资产使用权收入的确认</w:t>
      </w:r>
      <w:r>
        <w:rPr>
          <w:b w:val="0"/>
          <w:bCs w:val="0"/>
        </w:rPr>
      </w:r>
    </w:p>
    <w:p>
      <w:pPr>
        <w:spacing w:line="240" w:lineRule="auto" w:before="1"/>
        <w:rPr>
          <w:rFonts w:ascii="宋体" w:hAnsi="宋体" w:cs="宋体" w:eastAsia="宋体" w:hint="default"/>
          <w:b/>
          <w:bCs/>
          <w:sz w:val="14"/>
          <w:szCs w:val="14"/>
        </w:rPr>
      </w:pPr>
    </w:p>
    <w:p>
      <w:pPr>
        <w:pStyle w:val="BodyText"/>
        <w:spacing w:line="240" w:lineRule="auto"/>
        <w:ind w:left="574" w:right="0"/>
        <w:jc w:val="left"/>
      </w:pPr>
      <w:r>
        <w:rPr/>
        <w:t>与交易相关的经济利益很可能流入企业，收入的金额能够可靠地计量时。分别下列情况确定让渡资产使用权收入金额：</w:t>
      </w:r>
    </w:p>
    <w:p>
      <w:pPr>
        <w:pStyle w:val="BodyText"/>
        <w:spacing w:line="240" w:lineRule="auto" w:before="116"/>
        <w:ind w:left="244" w:right="87"/>
        <w:jc w:val="left"/>
      </w:pPr>
      <w:r>
        <w:rPr/>
        <w:t>①利息收入金额，按照他人使用本企业货币资金的时间和实际利率计算确定。</w:t>
      </w:r>
    </w:p>
    <w:p>
      <w:pPr>
        <w:pStyle w:val="BodyText"/>
        <w:spacing w:line="240" w:lineRule="auto" w:before="117"/>
        <w:ind w:left="244" w:right="87"/>
        <w:jc w:val="left"/>
      </w:pPr>
      <w:r>
        <w:rPr/>
        <w:t>②使用费收入金额，按照有关合同或协议约定的收费时间和方法计算确定。</w:t>
      </w:r>
    </w:p>
    <w:p>
      <w:pPr>
        <w:spacing w:line="240" w:lineRule="auto" w:before="13"/>
        <w:rPr>
          <w:rFonts w:ascii="宋体" w:hAnsi="宋体" w:cs="宋体" w:eastAsia="宋体" w:hint="default"/>
          <w:sz w:val="12"/>
          <w:szCs w:val="12"/>
        </w:rPr>
      </w:pPr>
    </w:p>
    <w:p>
      <w:pPr>
        <w:pStyle w:val="Heading3"/>
        <w:spacing w:line="240" w:lineRule="auto"/>
        <w:ind w:right="87"/>
        <w:jc w:val="left"/>
        <w:rPr>
          <w:b w:val="0"/>
          <w:bCs w:val="0"/>
        </w:rPr>
      </w:pPr>
      <w:r>
        <w:rPr/>
        <w:t>（</w:t>
      </w:r>
      <w:r>
        <w:rPr>
          <w:rFonts w:ascii="宋体" w:hAnsi="宋体" w:cs="宋体" w:eastAsia="宋体" w:hint="default"/>
        </w:rPr>
        <w:t>4</w:t>
      </w:r>
      <w:r>
        <w:rPr/>
        <w:t>）建造合同收入的确认</w:t>
      </w:r>
      <w:r>
        <w:rPr>
          <w:b w:val="0"/>
          <w:bCs w:val="0"/>
        </w:rPr>
      </w:r>
    </w:p>
    <w:p>
      <w:pPr>
        <w:spacing w:line="240" w:lineRule="auto" w:before="1"/>
        <w:rPr>
          <w:rFonts w:ascii="宋体" w:hAnsi="宋体" w:cs="宋体" w:eastAsia="宋体" w:hint="default"/>
          <w:b/>
          <w:bCs/>
          <w:sz w:val="14"/>
          <w:szCs w:val="14"/>
        </w:rPr>
      </w:pPr>
    </w:p>
    <w:p>
      <w:pPr>
        <w:spacing w:line="357" w:lineRule="auto" w:before="0"/>
        <w:ind w:left="574" w:right="87" w:hanging="209"/>
        <w:jc w:val="left"/>
        <w:rPr>
          <w:rFonts w:ascii="宋体" w:hAnsi="宋体" w:cs="宋体" w:eastAsia="宋体" w:hint="default"/>
          <w:sz w:val="18"/>
          <w:szCs w:val="18"/>
        </w:rPr>
      </w:pPr>
      <w:r>
        <w:rPr>
          <w:rFonts w:ascii="宋体" w:hAnsi="宋体" w:cs="宋体" w:eastAsia="宋体" w:hint="default"/>
          <w:b/>
          <w:bCs/>
          <w:sz w:val="18"/>
          <w:szCs w:val="18"/>
        </w:rPr>
        <w:t>①建造合同的结果能够可靠估计</w:t>
      </w:r>
      <w:r>
        <w:rPr>
          <w:rFonts w:ascii="宋体" w:hAnsi="宋体" w:cs="宋体" w:eastAsia="宋体" w:hint="default"/>
          <w:b/>
          <w:bCs/>
          <w:w w:val="99"/>
          <w:sz w:val="18"/>
          <w:szCs w:val="18"/>
        </w:rPr>
        <w:t> </w:t>
      </w:r>
      <w:r>
        <w:rPr>
          <w:rFonts w:ascii="宋体" w:hAnsi="宋体" w:cs="宋体" w:eastAsia="宋体" w:hint="default"/>
          <w:sz w:val="18"/>
          <w:szCs w:val="18"/>
        </w:rPr>
        <w:t>在资产负债表日，建造合同的结果能够可靠估计的，根据完工百分比法确认合同收入和费用。完工百分比法，是指根</w:t>
      </w:r>
    </w:p>
    <w:p>
      <w:pPr>
        <w:pStyle w:val="BodyText"/>
        <w:spacing w:line="357" w:lineRule="auto"/>
        <w:ind w:left="574" w:right="1352" w:hanging="420"/>
        <w:jc w:val="left"/>
      </w:pPr>
      <w:r>
        <w:rPr/>
        <w:t>据合同完工进度确认收入与费用的方法。采用累计已经完成的合同工作量占合同预计总工作量的比例确定。 固定造价合同的结果能够可靠估计确定依据为：</w:t>
      </w:r>
    </w:p>
    <w:p>
      <w:pPr>
        <w:pStyle w:val="BodyText"/>
        <w:spacing w:line="357" w:lineRule="auto" w:before="29"/>
        <w:ind w:left="514" w:right="4412"/>
        <w:jc w:val="left"/>
      </w:pPr>
      <w:r>
        <w:rPr>
          <w:rFonts w:ascii="宋体" w:hAnsi="宋体" w:cs="宋体" w:eastAsia="宋体" w:hint="default"/>
        </w:rPr>
        <w:t>a.</w:t>
      </w:r>
      <w:r>
        <w:rPr/>
        <w:t>合同总收入能够可靠地计量； </w:t>
      </w:r>
      <w:r>
        <w:rPr>
          <w:rFonts w:ascii="宋体" w:hAnsi="宋体" w:cs="宋体" w:eastAsia="宋体" w:hint="default"/>
        </w:rPr>
        <w:t>b.</w:t>
      </w:r>
      <w:r>
        <w:rPr/>
        <w:t>与合同相关的经济利益很可能流入本公司； </w:t>
      </w:r>
      <w:r>
        <w:rPr>
          <w:rFonts w:ascii="宋体" w:hAnsi="宋体" w:cs="宋体" w:eastAsia="宋体" w:hint="default"/>
        </w:rPr>
        <w:t>c.</w:t>
      </w:r>
      <w:r>
        <w:rPr/>
        <w:t>实际发生的合同成本能够清楚地区分和可靠地计量； </w:t>
      </w:r>
      <w:r>
        <w:rPr>
          <w:rFonts w:ascii="宋体" w:hAnsi="宋体" w:cs="宋体" w:eastAsia="宋体" w:hint="default"/>
        </w:rPr>
        <w:t>d.</w:t>
      </w:r>
      <w:r>
        <w:rPr/>
        <w:t>合同完工进度和为完成合同尚需发生的成本能够可靠地确定。 成本加成合同的结果能够可靠估计，确定依据为： </w:t>
      </w:r>
      <w:r>
        <w:rPr>
          <w:rFonts w:ascii="宋体" w:hAnsi="宋体" w:cs="宋体" w:eastAsia="宋体" w:hint="default"/>
        </w:rPr>
        <w:t>a.</w:t>
      </w:r>
      <w:r>
        <w:rPr/>
        <w:t>与合同相关的经济利益很可能流入本公司； </w:t>
      </w:r>
      <w:r>
        <w:rPr>
          <w:rFonts w:ascii="宋体" w:hAnsi="宋体" w:cs="宋体" w:eastAsia="宋体" w:hint="default"/>
        </w:rPr>
        <w:t>b.</w:t>
      </w:r>
      <w:r>
        <w:rPr/>
        <w:t>实际发生的合同成本能够清楚地区分和可靠地计量。</w:t>
      </w:r>
    </w:p>
    <w:p>
      <w:pPr>
        <w:spacing w:line="357" w:lineRule="auto" w:before="28"/>
        <w:ind w:left="574" w:right="5072" w:hanging="239"/>
        <w:jc w:val="left"/>
        <w:rPr>
          <w:rFonts w:ascii="宋体" w:hAnsi="宋体" w:cs="宋体" w:eastAsia="宋体" w:hint="default"/>
          <w:sz w:val="18"/>
          <w:szCs w:val="18"/>
        </w:rPr>
      </w:pPr>
      <w:r>
        <w:rPr>
          <w:rFonts w:ascii="宋体" w:hAnsi="宋体" w:cs="宋体" w:eastAsia="宋体" w:hint="default"/>
          <w:b/>
          <w:bCs/>
          <w:sz w:val="18"/>
          <w:szCs w:val="18"/>
        </w:rPr>
        <w:t>②建造合同的结果不能可靠估计</w:t>
      </w:r>
      <w:r>
        <w:rPr>
          <w:rFonts w:ascii="宋体" w:hAnsi="宋体" w:cs="宋体" w:eastAsia="宋体" w:hint="default"/>
          <w:b/>
          <w:bCs/>
          <w:w w:val="99"/>
          <w:sz w:val="18"/>
          <w:szCs w:val="18"/>
        </w:rPr>
        <w:t> </w:t>
      </w:r>
      <w:r>
        <w:rPr>
          <w:rFonts w:ascii="宋体" w:hAnsi="宋体" w:cs="宋体" w:eastAsia="宋体" w:hint="default"/>
          <w:sz w:val="18"/>
          <w:szCs w:val="18"/>
        </w:rPr>
        <w:t>建造合同的结果不能可靠估计的，分别情况进行处理：</w:t>
      </w:r>
    </w:p>
    <w:p>
      <w:pPr>
        <w:pStyle w:val="BodyText"/>
        <w:spacing w:line="357" w:lineRule="auto" w:before="29"/>
        <w:ind w:left="514" w:right="92"/>
        <w:jc w:val="left"/>
      </w:pPr>
      <w:r>
        <w:rPr>
          <w:rFonts w:ascii="宋体" w:hAnsi="宋体" w:cs="宋体" w:eastAsia="宋体" w:hint="default"/>
        </w:rPr>
        <w:t>a.</w:t>
      </w:r>
      <w:r>
        <w:rPr/>
        <w:t>合同成本能够收回的，合同收入根据能够收回的实际合同成本予以确认，合同成本在其发生的当期确认为合同费用； </w:t>
      </w:r>
      <w:r>
        <w:rPr>
          <w:rFonts w:ascii="宋体" w:hAnsi="宋体" w:cs="宋体" w:eastAsia="宋体" w:hint="default"/>
        </w:rPr>
        <w:t>b.</w:t>
      </w:r>
      <w:r>
        <w:rPr/>
        <w:t>合同成本不可能收回的，在发生时立即确认为合同费用，不确认合同收入。</w:t>
      </w:r>
    </w:p>
    <w:p>
      <w:pPr>
        <w:pStyle w:val="Heading3"/>
        <w:spacing w:line="240" w:lineRule="auto" w:before="81"/>
        <w:ind w:left="365" w:right="87"/>
        <w:jc w:val="left"/>
        <w:rPr>
          <w:b w:val="0"/>
          <w:bCs w:val="0"/>
        </w:rPr>
      </w:pPr>
      <w:r>
        <w:rPr>
          <w:rFonts w:ascii="宋体" w:hAnsi="宋体" w:cs="宋体" w:eastAsia="宋体" w:hint="default"/>
        </w:rPr>
        <w:t>(5)</w:t>
      </w:r>
      <w:r>
        <w:rPr/>
        <w:t>公司收入确认的具体方式</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4" w:right="87"/>
        <w:jc w:val="left"/>
      </w:pPr>
      <w:r>
        <w:rPr/>
        <w:t>①系统集成：按照合同约定以产品交付购货方并经对方验收合格后确认收入；</w:t>
      </w:r>
    </w:p>
    <w:p>
      <w:pPr>
        <w:spacing w:line="240" w:lineRule="auto" w:before="0"/>
        <w:rPr>
          <w:rFonts w:ascii="宋体" w:hAnsi="宋体" w:cs="宋体" w:eastAsia="宋体" w:hint="default"/>
          <w:sz w:val="15"/>
          <w:szCs w:val="15"/>
        </w:rPr>
      </w:pPr>
    </w:p>
    <w:p>
      <w:pPr>
        <w:pStyle w:val="BodyText"/>
        <w:spacing w:line="240" w:lineRule="auto"/>
        <w:ind w:left="514" w:right="87"/>
        <w:jc w:val="left"/>
      </w:pPr>
      <w:r>
        <w:rPr/>
        <w:t>②外购商品：以商品交付购货方并经对方验收合格后确认收入；</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③自行研制开发的软件成品：需安装调试的按合同约定在项目实施完成并经对方验收合格后确认收入，不需要安装的以</w:t>
      </w:r>
    </w:p>
    <w:p>
      <w:pPr>
        <w:spacing w:after="0" w:line="240"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产品交付并经购货方验收后确认收入；</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④定制软件产品：按合同约定在项目实施完成并经对方验收后确认收入。</w:t>
      </w:r>
    </w:p>
    <w:p>
      <w:pPr>
        <w:spacing w:line="240" w:lineRule="auto" w:before="0"/>
        <w:rPr>
          <w:rFonts w:ascii="宋体" w:hAnsi="宋体" w:cs="宋体" w:eastAsia="宋体" w:hint="default"/>
          <w:sz w:val="15"/>
          <w:szCs w:val="15"/>
        </w:rPr>
      </w:pPr>
    </w:p>
    <w:p>
      <w:pPr>
        <w:pStyle w:val="BodyText"/>
        <w:spacing w:line="319" w:lineRule="auto"/>
        <w:ind w:right="151" w:firstLine="360"/>
        <w:jc w:val="both"/>
      </w:pPr>
      <w:r>
        <w:rPr>
          <w:spacing w:val="-2"/>
        </w:rPr>
        <w:t>⑤风电机组振动监测诊断系统：对于客户自行安装的设备，客户确认收到货物，检验合格并出具验收报告后，公司确认</w:t>
      </w:r>
      <w:r>
        <w:rPr/>
        <w:t> 收入；对于需要公司安装调试的设备，经公司安装调试，客户验收合格并出具项目验收报告后，公司确认收入。</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29</w:t>
      </w:r>
      <w:r>
        <w:rPr/>
        <w:t>、政府补助</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7"/>
          <w:szCs w:val="27"/>
        </w:rPr>
      </w:pPr>
    </w:p>
    <w:p>
      <w:pPr>
        <w:pStyle w:val="BodyText"/>
        <w:spacing w:line="439" w:lineRule="auto"/>
        <w:ind w:left="514" w:right="1852"/>
        <w:jc w:val="left"/>
      </w:pPr>
      <w:r>
        <w:rPr/>
        <w:t>公司取得的、用于购建或以其他方式形成长期资产的政府补助属于与资产相关的政府补助。 与资产相关的政府补助，确认为递延收益，并在相关资产使用寿命内平均分配，计入当期损益。</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t>（</w:t>
      </w:r>
      <w:r>
        <w:rPr>
          <w:rFonts w:ascii="宋体" w:hAnsi="宋体" w:cs="宋体" w:eastAsia="宋体"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除与资产相关的政府补助之外的政府补助为与收益相关的政府补助。与收益相关的政府补助，分别下列情况处理：</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①用于补偿公司以后期间的相关费用或损失的，确认为递延收益，并在确认相关费用的期间，计入当期损益。</w:t>
      </w:r>
    </w:p>
    <w:p>
      <w:pPr>
        <w:pStyle w:val="BodyText"/>
        <w:spacing w:line="430" w:lineRule="atLeast" w:before="2"/>
        <w:ind w:left="514" w:right="0"/>
        <w:jc w:val="left"/>
      </w:pPr>
      <w:r>
        <w:rPr/>
        <w:t>②用于补偿公司已发生的相关费用或损失的，直接计入当期损益。 </w:t>
      </w:r>
      <w:r>
        <w:rPr>
          <w:spacing w:val="-2"/>
        </w:rPr>
        <w:t>政府补助在实际收到款项时按照到账的实际金额确认和计量。只有存在确凿证据表明该项补助是按照固定的定额标准拨</w:t>
      </w:r>
    </w:p>
    <w:p>
      <w:pPr>
        <w:pStyle w:val="BodyText"/>
        <w:spacing w:line="316" w:lineRule="auto" w:before="76"/>
        <w:ind w:right="0"/>
        <w:jc w:val="left"/>
      </w:pPr>
      <w:r>
        <w:rPr>
          <w:spacing w:val="-2"/>
        </w:rPr>
        <w:t>付的以及有确凿证据表明能够符合财政扶持政策规定的相关条件且预计能够收到财政扶持资金时，可以按应收金额予以确认</w:t>
      </w:r>
      <w:r>
        <w:rPr>
          <w:spacing w:val="-64"/>
        </w:rPr>
        <w:t> </w:t>
      </w:r>
      <w:r>
        <w:rPr>
          <w:spacing w:val="-64"/>
        </w:rPr>
      </w:r>
      <w:r>
        <w:rPr/>
        <w:t>和计量。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宋体" w:hAnsi="宋体" w:cs="宋体" w:eastAsia="宋体" w:hint="default"/>
        </w:rPr>
        <w:t>30</w:t>
      </w:r>
      <w:r>
        <w:rPr/>
        <w:t>、递延所得税资产</w:t>
      </w:r>
      <w:r>
        <w:rPr>
          <w:rFonts w:ascii="宋体" w:hAnsi="宋体" w:cs="宋体" w:eastAsia="宋体" w:hint="default"/>
        </w:rPr>
        <w:t>/</w:t>
      </w:r>
      <w:r>
        <w:rPr/>
        <w:t>递延所得税负债</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51" w:firstLine="360"/>
        <w:jc w:val="both"/>
      </w:pPr>
      <w:r>
        <w:rPr>
          <w:spacing w:val="-2"/>
        </w:rPr>
        <w:t>对于某些资产、负债项目的账面价值与其计税基础之间的差额，以及未作为资产和负债确认但按照税法规定可以确定其</w:t>
      </w:r>
      <w:r>
        <w:rPr/>
        <w:t> </w:t>
      </w:r>
      <w:r>
        <w:rPr>
          <w:spacing w:val="-2"/>
        </w:rPr>
        <w:t>计税基础的项目的账面价值与计税基础之间的差额产生的暂时性差异，采用资产负债表债务法确认递延所得税资产及递延所</w:t>
      </w:r>
      <w:r>
        <w:rPr>
          <w:spacing w:val="-64"/>
        </w:rPr>
        <w:t> </w:t>
      </w:r>
      <w:r>
        <w:rPr>
          <w:spacing w:val="-64"/>
        </w:rPr>
      </w:r>
      <w:r>
        <w:rPr/>
        <w:t>得税负债。</w:t>
      </w:r>
    </w:p>
    <w:p>
      <w:pPr>
        <w:pStyle w:val="BodyText"/>
        <w:spacing w:line="316" w:lineRule="auto" w:before="139"/>
        <w:ind w:right="151" w:firstLine="360"/>
        <w:jc w:val="both"/>
      </w:pPr>
      <w:r>
        <w:rPr>
          <w:spacing w:val="-2"/>
        </w:rPr>
        <w:t>一般情况下所有暂时性差异均确认相关的递延所得税。但对于可抵扣暂时性差异，以很可能取得用来抵扣可抵扣暂时性</w:t>
      </w:r>
      <w:r>
        <w:rPr/>
        <w:t> </w:t>
      </w:r>
      <w:r>
        <w:rPr>
          <w:spacing w:val="-2"/>
        </w:rPr>
        <w:t>差异的应纳税所得额为限，确认相关的递延所得税资产。此外，与商誉的初始确认相关的，以及与既不是企业合并、发生时</w:t>
      </w:r>
      <w:r>
        <w:rPr>
          <w:spacing w:val="-66"/>
        </w:rPr>
        <w:t> </w:t>
      </w:r>
      <w:r>
        <w:rPr>
          <w:spacing w:val="-66"/>
        </w:rPr>
      </w:r>
      <w:r>
        <w:rPr>
          <w:spacing w:val="-2"/>
        </w:rPr>
        <w:t>也不影响会计利润和应纳税所得额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的交易中产生的资产或负债的初始确认有关的暂时性差异，不予确认有关</w:t>
      </w:r>
      <w:r>
        <w:rPr>
          <w:spacing w:val="-62"/>
        </w:rPr>
        <w:t> </w:t>
      </w:r>
      <w:r>
        <w:rPr>
          <w:spacing w:val="-62"/>
        </w:rPr>
      </w:r>
      <w:r>
        <w:rPr/>
        <w:t>的递延所得税资产或负债。</w:t>
      </w:r>
    </w:p>
    <w:p>
      <w:pPr>
        <w:pStyle w:val="BodyText"/>
        <w:spacing w:line="316" w:lineRule="auto" w:before="139"/>
        <w:ind w:right="151" w:firstLine="360"/>
        <w:jc w:val="both"/>
      </w:pPr>
      <w:r>
        <w:rPr>
          <w:spacing w:val="-2"/>
        </w:rPr>
        <w:t>对于能够结转以后年度的可抵扣亏损及税款抵减，以很可能获得用来抵扣可抵扣亏损和税款抵减的未来应纳税所得额为</w:t>
      </w:r>
      <w:r>
        <w:rPr/>
        <w:t> 限，确认相应的递延所得税资产。</w:t>
      </w:r>
    </w:p>
    <w:p>
      <w:pPr>
        <w:pStyle w:val="BodyText"/>
        <w:spacing w:line="316" w:lineRule="auto" w:before="139"/>
        <w:ind w:right="151" w:firstLine="360"/>
        <w:jc w:val="both"/>
      </w:pPr>
      <w:r>
        <w:rPr>
          <w:spacing w:val="-2"/>
        </w:rPr>
        <w:t>确认与子公司、联营企业及合营企业投资相关的应纳税暂时性差异产生的递延所得税负债，除非本公司能够控制暂时性</w:t>
      </w:r>
      <w:r>
        <w:rPr/>
        <w:t> </w:t>
      </w:r>
      <w:r>
        <w:rPr>
          <w:spacing w:val="-2"/>
        </w:rPr>
        <w:t>差异转回的时间，而且该暂时性差异在可预见的未来很可能不会转回。对于与子公司、联营企业及合营企业投资相关的可抵</w:t>
      </w:r>
      <w:r>
        <w:rPr>
          <w:spacing w:val="-66"/>
        </w:rPr>
        <w:t> </w:t>
      </w:r>
      <w:r>
        <w:rPr>
          <w:spacing w:val="-66"/>
        </w:rPr>
      </w:r>
      <w:r>
        <w:rPr>
          <w:spacing w:val="-2"/>
        </w:rPr>
        <w:t>扣暂时性差异，只有当暂时性差异在可预见的未来很可能转回，且未来很可能获得用来抵扣可抵扣暂时性差异的应纳税所得</w:t>
      </w:r>
      <w:r>
        <w:rPr>
          <w:spacing w:val="-64"/>
        </w:rPr>
        <w:t> </w:t>
      </w:r>
      <w:r>
        <w:rPr>
          <w:spacing w:val="-64"/>
        </w:rPr>
      </w:r>
      <w:r>
        <w:rPr>
          <w:spacing w:val="-2"/>
        </w:rPr>
        <w:t>额时，才确认递延所得税资产。资产负债表日，对于递延所得税资产和递延所得税负债，根据税法规定，按照预期收回相关</w:t>
      </w:r>
      <w:r>
        <w:rPr>
          <w:spacing w:val="-66"/>
        </w:rPr>
        <w:t> </w:t>
      </w:r>
      <w:r>
        <w:rPr>
          <w:spacing w:val="-66"/>
        </w:rPr>
      </w:r>
      <w:r>
        <w:rPr/>
        <w:t>资产或清偿相关负债期间的适用税率计量。</w:t>
      </w:r>
    </w:p>
    <w:p>
      <w:pPr>
        <w:pStyle w:val="BodyText"/>
        <w:spacing w:line="316" w:lineRule="auto" w:before="139"/>
        <w:ind w:right="151" w:firstLine="360"/>
        <w:jc w:val="both"/>
      </w:pPr>
      <w:r>
        <w:rPr>
          <w:spacing w:val="-2"/>
        </w:rPr>
        <w:t>除与直接计入其他综合收益或股东权益的交易和事项相关的当期所得税和递延所得税计入其他综合收益或股东权益，以</w:t>
      </w:r>
      <w:r>
        <w:rPr/>
        <w:t> 及企业合并产生的递延所得税调整商誉的账面价值外，其余当期所得税和递延所得税费用或收益计入当期损益。</w:t>
      </w:r>
    </w:p>
    <w:p>
      <w:pPr>
        <w:pStyle w:val="BodyText"/>
        <w:spacing w:line="240" w:lineRule="auto" w:before="139"/>
        <w:ind w:left="514" w:right="0"/>
        <w:jc w:val="left"/>
      </w:pPr>
      <w:r>
        <w:rPr/>
        <w:t>资产负债表日，对递延所得税资产的账面价值进行复核，如果未来很可能无法获得足够的应纳税所得额用以抵扣递延所</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87"/>
        <w:jc w:val="left"/>
      </w:pPr>
      <w:r>
        <w:rPr/>
        <w:t>得税资产的利益，则减记递延所得税资产的账面价值。在很可能获得足够的应纳税所得额时，减记的金额予以转回。</w:t>
      </w:r>
    </w:p>
    <w:p>
      <w:pPr>
        <w:spacing w:line="240" w:lineRule="auto" w:before="0"/>
        <w:rPr>
          <w:rFonts w:ascii="宋体" w:hAnsi="宋体" w:cs="宋体" w:eastAsia="宋体" w:hint="default"/>
          <w:sz w:val="15"/>
          <w:szCs w:val="15"/>
        </w:rPr>
      </w:pPr>
    </w:p>
    <w:p>
      <w:pPr>
        <w:pStyle w:val="BodyText"/>
        <w:spacing w:line="316" w:lineRule="auto"/>
        <w:ind w:right="193" w:firstLine="360"/>
        <w:jc w:val="both"/>
      </w:pPr>
      <w:r>
        <w:rPr>
          <w:spacing w:val="-2"/>
        </w:rPr>
        <w:t>当拥有以净额结算的法定权利，且意图以净额结算或取得资产、清偿负债同时进行时，本公司当期所得税资产及当期所</w:t>
      </w:r>
      <w:r>
        <w:rPr/>
        <w:t> 得税负债以抵销后的净额列报。</w:t>
      </w:r>
    </w:p>
    <w:p>
      <w:pPr>
        <w:pStyle w:val="BodyText"/>
        <w:spacing w:line="316" w:lineRule="auto" w:before="139"/>
        <w:ind w:right="19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5"/>
        </w:rPr>
        <w:t> </w:t>
      </w:r>
      <w:r>
        <w:rPr>
          <w:spacing w:val="-65"/>
        </w:rPr>
      </w:r>
      <w:r>
        <w:rPr/>
        <w:t>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87"/>
        <w:jc w:val="left"/>
        <w:rPr>
          <w:b w:val="0"/>
          <w:bCs w:val="0"/>
        </w:rPr>
      </w:pPr>
      <w:r>
        <w:rPr>
          <w:rFonts w:ascii="宋体" w:hAnsi="宋体" w:cs="宋体" w:eastAsia="宋体" w:hint="default"/>
        </w:rPr>
        <w:t>31</w:t>
      </w:r>
      <w:r>
        <w:rPr/>
        <w:t>、租赁</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87"/>
        <w:jc w:val="left"/>
        <w:rPr>
          <w:b w:val="0"/>
          <w:bCs w:val="0"/>
        </w:rPr>
      </w:pPr>
      <w:r>
        <w:rPr/>
        <w:t>（</w:t>
      </w:r>
      <w:r>
        <w:rPr>
          <w:rFonts w:ascii="宋体" w:hAnsi="宋体" w:cs="宋体" w:eastAsia="宋体" w:hint="default"/>
        </w:rPr>
        <w:t>1</w:t>
      </w:r>
      <w:r>
        <w:rPr/>
        <w:t>）经营租赁的会计处理方法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91" w:firstLine="360"/>
        <w:jc w:val="both"/>
      </w:pPr>
      <w:r>
        <w:rPr>
          <w:spacing w:val="-2"/>
        </w:rPr>
        <w:t>①租入资产所支付的租赁费，在不扣除免租期的整个租赁期内，按直线法进行分摊，计入当期费用。支付的与租赁交易</w:t>
      </w:r>
      <w:r>
        <w:rPr/>
        <w:t> 相关的初始直接费用，计入当期费用。</w:t>
      </w:r>
    </w:p>
    <w:p>
      <w:pPr>
        <w:pStyle w:val="BodyText"/>
        <w:spacing w:line="316" w:lineRule="auto" w:before="139"/>
        <w:ind w:right="192" w:firstLine="360"/>
        <w:jc w:val="both"/>
      </w:pPr>
      <w:r>
        <w:rPr>
          <w:spacing w:val="-2"/>
        </w:rPr>
        <w:t>资产出租方承担了应由承担的与租赁相关的费用时，将该部分费用从租金总额中扣除，按扣除后的租金费用在租赁期内</w:t>
      </w:r>
      <w:r>
        <w:rPr/>
        <w:t> 分摊，计入当期费用。</w:t>
      </w:r>
    </w:p>
    <w:p>
      <w:pPr>
        <w:pStyle w:val="BodyText"/>
        <w:spacing w:line="316" w:lineRule="auto" w:before="139"/>
        <w:ind w:right="191" w:firstLine="360"/>
        <w:jc w:val="both"/>
      </w:pPr>
      <w:r>
        <w:rPr>
          <w:spacing w:val="-2"/>
        </w:rPr>
        <w:t>②出租资产所收取的租赁费，在不扣除免租期的整个租赁期内，按直线法进行分摊，确认为租赁收入。支付的与租赁交</w:t>
      </w:r>
      <w:r>
        <w:rPr/>
        <w:t> </w:t>
      </w:r>
      <w:r>
        <w:rPr>
          <w:spacing w:val="-2"/>
        </w:rPr>
        <w:t>易相关的初始直接费用，计入当期费用；如金额较大的，则予以资本化，在整个租赁期间内按照与租赁收入确认相同的基础</w:t>
      </w:r>
      <w:r>
        <w:rPr>
          <w:spacing w:val="-66"/>
        </w:rPr>
        <w:t> </w:t>
      </w:r>
      <w:r>
        <w:rPr>
          <w:spacing w:val="-66"/>
        </w:rPr>
      </w:r>
      <w:r>
        <w:rPr/>
        <w:t>分期计入当期收益。</w:t>
      </w:r>
    </w:p>
    <w:p>
      <w:pPr>
        <w:pStyle w:val="BodyText"/>
        <w:spacing w:line="319" w:lineRule="auto" w:before="139"/>
        <w:ind w:right="192" w:firstLine="360"/>
        <w:jc w:val="both"/>
      </w:pPr>
      <w:r>
        <w:rPr>
          <w:spacing w:val="-2"/>
        </w:rPr>
        <w:t>承担了应由承租方承担的与租赁相关的费用时，将该部分费用从租金收入总额中扣除，按扣除后的租金费用在租赁期内</w:t>
      </w:r>
      <w:r>
        <w:rPr/>
        <w:t> 分配。</w:t>
      </w:r>
    </w:p>
    <w:p>
      <w:pPr>
        <w:spacing w:line="240" w:lineRule="auto" w:before="5"/>
        <w:rPr>
          <w:rFonts w:ascii="宋体" w:hAnsi="宋体" w:cs="宋体" w:eastAsia="宋体" w:hint="default"/>
          <w:sz w:val="22"/>
          <w:szCs w:val="22"/>
        </w:rPr>
      </w:pPr>
    </w:p>
    <w:p>
      <w:pPr>
        <w:pStyle w:val="Heading3"/>
        <w:spacing w:line="240" w:lineRule="auto"/>
        <w:ind w:right="87"/>
        <w:jc w:val="left"/>
        <w:rPr>
          <w:b w:val="0"/>
          <w:bCs w:val="0"/>
        </w:rPr>
      </w:pPr>
      <w:r>
        <w:rPr/>
        <w:t>（</w:t>
      </w:r>
      <w:r>
        <w:rPr>
          <w:rFonts w:ascii="宋体" w:hAnsi="宋体" w:cs="宋体" w:eastAsia="宋体" w:hint="default"/>
        </w:rPr>
        <w:t>2</w:t>
      </w:r>
      <w:r>
        <w:rPr/>
        <w:t>）融资租赁的会计处理方法</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92" w:firstLine="360"/>
        <w:jc w:val="both"/>
      </w:pPr>
      <w:r>
        <w:rPr>
          <w:spacing w:val="-2"/>
        </w:rPr>
        <w:t>①融资租入资产：公司在承租开始日，将租赁资产公允价值与最低租赁付款额现值两者中较低者作为租入资产的入账价</w:t>
      </w:r>
      <w:r>
        <w:rPr/>
        <w:t> 值，将最低租赁付款额作为长期应付款的入账价值，其差额作为未确认的融资费用。</w:t>
      </w:r>
    </w:p>
    <w:p>
      <w:pPr>
        <w:pStyle w:val="BodyText"/>
        <w:spacing w:line="316" w:lineRule="auto" w:before="139"/>
        <w:ind w:right="190" w:firstLine="360"/>
        <w:jc w:val="both"/>
      </w:pPr>
      <w:r>
        <w:rPr>
          <w:spacing w:val="-2"/>
        </w:rPr>
        <w:t>采用实际利率法对未确认的融资费用，在资产租赁期间内摊销，计入财务费用。公司发生的初始直接费用，计入租入资</w:t>
      </w:r>
      <w:r>
        <w:rPr/>
        <w:t> 产价值。</w:t>
      </w:r>
    </w:p>
    <w:p>
      <w:pPr>
        <w:pStyle w:val="BodyText"/>
        <w:spacing w:line="316" w:lineRule="auto" w:before="139"/>
        <w:ind w:right="87" w:firstLine="360"/>
        <w:jc w:val="left"/>
      </w:pPr>
      <w:r>
        <w:rPr>
          <w:spacing w:val="-2"/>
        </w:rPr>
        <w:t>②融资租出资产：公司在租赁开始日，将应收融资租赁款，未担保余值之和与其现值的差额确认为未实现融资收益，在</w:t>
      </w:r>
      <w:r>
        <w:rPr/>
        <w:t>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7"/>
        <w:rPr>
          <w:rFonts w:ascii="宋体" w:hAnsi="宋体" w:cs="宋体" w:eastAsia="宋体" w:hint="default"/>
          <w:sz w:val="22"/>
          <w:szCs w:val="22"/>
        </w:rPr>
      </w:pPr>
    </w:p>
    <w:p>
      <w:pPr>
        <w:pStyle w:val="Heading3"/>
        <w:spacing w:line="240" w:lineRule="auto"/>
        <w:ind w:right="87"/>
        <w:jc w:val="left"/>
        <w:rPr>
          <w:b w:val="0"/>
          <w:bCs w:val="0"/>
        </w:rPr>
      </w:pPr>
      <w:r>
        <w:rPr>
          <w:rFonts w:ascii="宋体" w:hAnsi="宋体" w:cs="宋体" w:eastAsia="宋体" w:hint="default"/>
        </w:rPr>
        <w:t>32</w:t>
      </w:r>
      <w:r>
        <w:rPr/>
        <w:t>、其他重要的会计政策和会计估计</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87"/>
        <w:jc w:val="left"/>
        <w:rPr>
          <w:b w:val="0"/>
          <w:bCs w:val="0"/>
        </w:rPr>
      </w:pPr>
      <w:r>
        <w:rPr/>
        <w:t>（</w:t>
      </w:r>
      <w:r>
        <w:rPr>
          <w:rFonts w:ascii="宋体" w:hAnsi="宋体" w:cs="宋体" w:eastAsia="宋体" w:hint="default"/>
        </w:rPr>
        <w:t>1</w:t>
      </w:r>
      <w:r>
        <w:rPr/>
        <w:t>）终止经营</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2" w:firstLine="360"/>
        <w:jc w:val="both"/>
      </w:pPr>
      <w:r>
        <w:rPr>
          <w:spacing w:val="-2"/>
        </w:rPr>
        <w:t>终止经营，是指满足下列条件之一的已被企业处置或被企业划归为持有待售的、在经营和编制财务报表时能够单独区分</w:t>
      </w:r>
      <w:r>
        <w:rPr/>
        <w:t> 的组成部分：</w:t>
      </w:r>
    </w:p>
    <w:p>
      <w:pPr>
        <w:pStyle w:val="BodyText"/>
        <w:spacing w:line="439" w:lineRule="auto" w:before="139"/>
        <w:ind w:left="514" w:right="2522"/>
        <w:jc w:val="left"/>
      </w:pPr>
      <w:r>
        <w:rPr>
          <w:rFonts w:ascii="宋体" w:hAnsi="宋体" w:cs="宋体" w:eastAsia="宋体" w:hint="default"/>
        </w:rPr>
        <w:t>a</w:t>
      </w:r>
      <w:r>
        <w:rPr/>
        <w:t>、该组成部分代表一项独立的主要业务或一个主要经营地区； </w:t>
      </w:r>
      <w:r>
        <w:rPr>
          <w:rFonts w:ascii="宋体" w:hAnsi="宋体" w:cs="宋体" w:eastAsia="宋体" w:hint="default"/>
        </w:rPr>
        <w:t>b</w:t>
      </w:r>
      <w:r>
        <w:rPr/>
        <w:t>、该组成部分是拟对一项独立的主要业务或一个主要经营地区进行处置计划的一部分； </w:t>
      </w:r>
      <w:r>
        <w:rPr>
          <w:rFonts w:ascii="宋体" w:hAnsi="宋体" w:cs="宋体" w:eastAsia="宋体" w:hint="default"/>
        </w:rPr>
        <w:t>c</w:t>
      </w:r>
      <w:r>
        <w:rPr/>
        <w:t>、该组成部分是仅仅为了再出售而取得的子公司。</w:t>
      </w:r>
    </w:p>
    <w:p>
      <w:pPr>
        <w:spacing w:after="0" w:line="439"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符合持有待售的资产的会计处理见审计报告附注五、（十三）。</w:t>
      </w: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r>
        <w:rPr/>
        <w:t>（</w:t>
      </w:r>
      <w:r>
        <w:rPr>
          <w:rFonts w:ascii="宋体" w:hAnsi="宋体" w:cs="宋体" w:eastAsia="宋体" w:hint="default"/>
        </w:rPr>
        <w:t>2</w:t>
      </w:r>
      <w:r>
        <w:rPr/>
        <w:t>）附回购条件的资产转让</w:t>
      </w:r>
      <w:r>
        <w:rPr>
          <w:b w:val="0"/>
          <w:bCs w:val="0"/>
        </w:rPr>
      </w:r>
    </w:p>
    <w:p>
      <w:pPr>
        <w:spacing w:line="240" w:lineRule="auto" w:before="11"/>
        <w:rPr>
          <w:rFonts w:ascii="宋体" w:hAnsi="宋体" w:cs="宋体" w:eastAsia="宋体" w:hint="default"/>
          <w:b/>
          <w:bCs/>
          <w:sz w:val="13"/>
          <w:szCs w:val="13"/>
        </w:rPr>
      </w:pPr>
    </w:p>
    <w:p>
      <w:pPr>
        <w:pStyle w:val="BodyText"/>
        <w:spacing w:line="319" w:lineRule="auto"/>
        <w:ind w:right="152" w:firstLine="360"/>
        <w:jc w:val="both"/>
      </w:pPr>
      <w:r>
        <w:rPr>
          <w:spacing w:val="-2"/>
        </w:rPr>
        <w:t>销售产品或转让其他资产时，与购买方签订了所销售的产品或转让资产回购协议，根据协议条款判断销售商品是否满足</w:t>
      </w:r>
      <w:r>
        <w:rPr/>
        <w:t> </w:t>
      </w:r>
      <w:r>
        <w:rPr>
          <w:spacing w:val="-2"/>
        </w:rPr>
        <w:t>收入确认条件。如售后回购属于融资交易，则在交付产品或资产时，不确认销售收入。回购价款大于销售价款的差额，在回</w:t>
      </w:r>
      <w:r>
        <w:rPr>
          <w:spacing w:val="-66"/>
        </w:rPr>
        <w:t> </w:t>
      </w:r>
      <w:r>
        <w:rPr>
          <w:spacing w:val="-66"/>
        </w:rPr>
      </w:r>
      <w:r>
        <w:rPr/>
        <w:t>购期间按期计提利息，计入财务费用。</w:t>
      </w:r>
    </w:p>
    <w:p>
      <w:pPr>
        <w:pStyle w:val="Heading3"/>
        <w:spacing w:line="240" w:lineRule="auto" w:before="113"/>
        <w:ind w:right="0"/>
        <w:jc w:val="left"/>
        <w:rPr>
          <w:b w:val="0"/>
          <w:bCs w:val="0"/>
        </w:rPr>
      </w:pPr>
      <w:r>
        <w:rPr/>
        <w:t>（</w:t>
      </w:r>
      <w:r>
        <w:rPr>
          <w:rFonts w:ascii="宋体" w:hAnsi="宋体" w:cs="宋体" w:eastAsia="宋体" w:hint="default"/>
        </w:rPr>
        <w:t>3</w:t>
      </w:r>
      <w:r>
        <w:rPr/>
        <w:t>）股份回购</w:t>
      </w:r>
      <w:r>
        <w:rPr>
          <w:b w:val="0"/>
          <w:bCs w:val="0"/>
        </w:rPr>
      </w:r>
    </w:p>
    <w:p>
      <w:pPr>
        <w:pStyle w:val="BodyText"/>
        <w:spacing w:line="432" w:lineRule="exact" w:before="46"/>
        <w:ind w:left="514" w:right="0"/>
        <w:jc w:val="left"/>
      </w:pPr>
      <w:r>
        <w:rPr/>
        <w:t>为减少注册资本或奖励本公司职工等原因而收购本公司股份时，按实际支付的金额记入库存股。 </w:t>
      </w:r>
      <w:r>
        <w:rPr>
          <w:spacing w:val="-2"/>
        </w:rPr>
        <w:t>根据以权益结算的股份支付协议将收购的股份奖励给本公司职工时，按奖励库存股账面余额与职工所支付现金及授予权</w:t>
      </w:r>
    </w:p>
    <w:p>
      <w:pPr>
        <w:pStyle w:val="BodyText"/>
        <w:spacing w:line="240" w:lineRule="auto" w:before="15"/>
        <w:ind w:right="0"/>
        <w:jc w:val="left"/>
      </w:pPr>
      <w:r>
        <w:rPr/>
        <w:t>益工具时确认的资本公积之间的差额，计入资本公积（股本溢价）。</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注销库存股时，按所注销库存股面值总额注销股本，按所注销库存股的账面余额，冲减库存股，按其差额冲减资本公积</w:t>
      </w:r>
    </w:p>
    <w:p>
      <w:pPr>
        <w:pStyle w:val="BodyText"/>
        <w:spacing w:line="240" w:lineRule="auto" w:before="76"/>
        <w:ind w:right="0"/>
        <w:jc w:val="left"/>
      </w:pPr>
      <w:r>
        <w:rPr/>
        <w:t>（股本溢价），股本溢价不足冲减的，调整留存收益。</w:t>
      </w: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t>（</w:t>
      </w:r>
      <w:r>
        <w:rPr>
          <w:rFonts w:ascii="宋体" w:hAnsi="宋体" w:cs="宋体" w:eastAsia="宋体" w:hint="default"/>
        </w:rPr>
        <w:t>4</w:t>
      </w:r>
      <w:r>
        <w:rPr/>
        <w:t>）持有待售的非流动资产及处置组</w:t>
      </w:r>
      <w:r>
        <w:rPr>
          <w:b w:val="0"/>
          <w:bCs w:val="0"/>
        </w:rPr>
      </w:r>
    </w:p>
    <w:p>
      <w:pPr>
        <w:pStyle w:val="BodyText"/>
        <w:spacing w:line="360" w:lineRule="auto" w:before="103"/>
        <w:ind w:left="514" w:right="3472" w:hanging="360"/>
        <w:jc w:val="left"/>
      </w:pPr>
      <w:r>
        <w:rPr>
          <w:rFonts w:ascii="宋体" w:hAnsi="宋体" w:cs="宋体" w:eastAsia="宋体" w:hint="default"/>
        </w:rPr>
        <w:t>a</w:t>
      </w:r>
      <w:r>
        <w:rPr/>
        <w:t>、持有待售的非流动资产及处置组标准 将同时符合下列条件的非流动资产确认为持有待售的非流动资产及处置组： </w:t>
      </w:r>
      <w:r>
        <w:rPr>
          <w:rFonts w:ascii="宋体" w:hAnsi="宋体" w:cs="宋体" w:eastAsia="宋体" w:hint="default"/>
        </w:rPr>
        <w:t>i</w:t>
      </w:r>
      <w:r>
        <w:rPr/>
        <w:t>、公司已就该资产出售事项作出决议； </w:t>
      </w:r>
      <w:r>
        <w:rPr>
          <w:rFonts w:ascii="宋体" w:hAnsi="宋体" w:cs="宋体" w:eastAsia="宋体" w:hint="default"/>
        </w:rPr>
        <w:t>ii</w:t>
      </w:r>
      <w:r>
        <w:rPr/>
        <w:t>、公司已与对方签订了不可撤消的转让协议； </w:t>
      </w:r>
      <w:r>
        <w:rPr>
          <w:rFonts w:ascii="宋体" w:hAnsi="宋体" w:cs="宋体" w:eastAsia="宋体" w:hint="default"/>
        </w:rPr>
        <w:t>iii</w:t>
      </w:r>
      <w:r>
        <w:rPr/>
        <w:t>、该资产转让将在一年内完成。</w:t>
      </w:r>
    </w:p>
    <w:p>
      <w:pPr>
        <w:pStyle w:val="BodyText"/>
        <w:spacing w:line="357" w:lineRule="auto" w:before="26"/>
        <w:ind w:left="514" w:right="231" w:hanging="360"/>
        <w:jc w:val="left"/>
      </w:pPr>
      <w:r>
        <w:rPr>
          <w:rFonts w:ascii="宋体" w:hAnsi="宋体" w:cs="宋体" w:eastAsia="宋体" w:hint="default"/>
        </w:rPr>
        <w:t>b</w:t>
      </w:r>
      <w:r>
        <w:rPr/>
        <w:t>、持有待售的非流动资产及处置组的会计处理方法 符合持有待售条件的非流动资产被划分为持有待售的非流动资产及被划分为持有待售的处置组中的资产</w:t>
      </w:r>
      <w:r>
        <w:rPr>
          <w:spacing w:val="1"/>
        </w:rPr>
        <w:t> </w:t>
      </w:r>
      <w:r>
        <w:rPr>
          <w:rFonts w:ascii="宋体" w:hAnsi="宋体" w:cs="宋体" w:eastAsia="宋体" w:hint="default"/>
        </w:rPr>
        <w:t>(</w:t>
      </w:r>
      <w:r>
        <w:rPr/>
        <w:t>不包括金融</w:t>
      </w:r>
    </w:p>
    <w:p>
      <w:pPr>
        <w:pStyle w:val="BodyText"/>
        <w:spacing w:line="224" w:lineRule="exact"/>
        <w:ind w:right="0"/>
        <w:jc w:val="left"/>
      </w:pPr>
      <w:r>
        <w:rPr/>
        <w:t>资产及递延所得税资产</w:t>
      </w:r>
      <w:r>
        <w:rPr>
          <w:rFonts w:ascii="宋体" w:hAnsi="宋体" w:cs="宋体" w:eastAsia="宋体" w:hint="default"/>
        </w:rPr>
        <w:t>)</w:t>
      </w:r>
      <w:r>
        <w:rPr/>
        <w:t>，不计提折旧或进行摊销，以账面价值与公允价值减去处置费用孰低的金额列示。公允价值减去处</w:t>
      </w:r>
    </w:p>
    <w:p>
      <w:pPr>
        <w:pStyle w:val="BodyText"/>
        <w:spacing w:line="240" w:lineRule="auto" w:before="77"/>
        <w:ind w:right="0"/>
        <w:jc w:val="left"/>
      </w:pPr>
      <w:r>
        <w:rPr/>
        <w:t>置费用低于原账面价值的金额，确认为资产减值损失。</w:t>
      </w:r>
    </w:p>
    <w:p>
      <w:pPr>
        <w:pStyle w:val="BodyText"/>
        <w:spacing w:line="324" w:lineRule="auto" w:before="90"/>
        <w:ind w:right="0"/>
        <w:jc w:val="left"/>
      </w:pPr>
      <w:r>
        <w:rPr>
          <w:rFonts w:ascii="宋体" w:hAnsi="宋体" w:cs="宋体" w:eastAsia="宋体" w:hint="default"/>
          <w:b/>
          <w:bCs/>
          <w:sz w:val="21"/>
          <w:szCs w:val="21"/>
        </w:rPr>
        <w:t>(5</w:t>
      </w: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spacing w:val="-2"/>
        </w:rPr>
        <w:t>一方控制、共同控制另一方或对另一方施加重大影响，以及两方或两方以上同受一方控制、共同控制的，构成关联方。关联</w:t>
      </w:r>
      <w:r>
        <w:rPr>
          <w:spacing w:val="-66"/>
        </w:rPr>
        <w:t> </w:t>
      </w:r>
      <w:r>
        <w:rPr>
          <w:spacing w:val="-66"/>
        </w:rPr>
      </w:r>
      <w:r>
        <w:rPr/>
        <w:t>方可为个人或企业。仅仅同受国家控制而不存在其他关联方关系的企业，不构成的关联方。</w:t>
      </w:r>
    </w:p>
    <w:p>
      <w:pPr>
        <w:pStyle w:val="BodyText"/>
        <w:spacing w:line="360" w:lineRule="auto" w:before="53"/>
        <w:ind w:right="7432"/>
        <w:jc w:val="left"/>
      </w:pPr>
      <w:r>
        <w:rPr/>
        <w:t>本公司关联方包括但不限于： </w:t>
      </w:r>
      <w:r>
        <w:rPr>
          <w:rFonts w:ascii="宋体" w:hAnsi="宋体" w:cs="宋体" w:eastAsia="宋体" w:hint="default"/>
        </w:rPr>
        <w:t>a</w:t>
      </w:r>
      <w:r>
        <w:rPr/>
        <w:t>、母公司；</w:t>
      </w:r>
    </w:p>
    <w:p>
      <w:pPr>
        <w:pStyle w:val="BodyText"/>
        <w:spacing w:line="357" w:lineRule="auto" w:before="26"/>
        <w:ind w:right="6622"/>
        <w:jc w:val="left"/>
      </w:pPr>
      <w:r>
        <w:rPr>
          <w:rFonts w:ascii="宋体" w:hAnsi="宋体" w:cs="宋体" w:eastAsia="宋体" w:hint="default"/>
        </w:rPr>
        <w:t>b</w:t>
      </w:r>
      <w:r>
        <w:rPr/>
        <w:t>、子公司； </w:t>
      </w:r>
      <w:r>
        <w:rPr>
          <w:rFonts w:ascii="宋体" w:hAnsi="宋体" w:cs="宋体" w:eastAsia="宋体" w:hint="default"/>
        </w:rPr>
        <w:t>c</w:t>
      </w:r>
      <w:r>
        <w:rPr/>
        <w:t>、受同一母公司控制的其他企业； </w:t>
      </w:r>
      <w:r>
        <w:rPr>
          <w:rFonts w:ascii="宋体" w:hAnsi="宋体" w:cs="宋体" w:eastAsia="宋体" w:hint="default"/>
        </w:rPr>
        <w:t>d</w:t>
      </w:r>
      <w:r>
        <w:rPr/>
        <w:t>、实施共同控制的投资方； </w:t>
      </w:r>
      <w:r>
        <w:rPr>
          <w:rFonts w:ascii="宋体" w:hAnsi="宋体" w:cs="宋体" w:eastAsia="宋体" w:hint="default"/>
        </w:rPr>
        <w:t>e</w:t>
      </w:r>
      <w:r>
        <w:rPr/>
        <w:t>、施加重大影响的投资方； </w:t>
      </w:r>
      <w:r>
        <w:rPr>
          <w:rFonts w:ascii="宋体" w:hAnsi="宋体" w:cs="宋体" w:eastAsia="宋体" w:hint="default"/>
        </w:rPr>
        <w:t>f</w:t>
      </w:r>
      <w:r>
        <w:rPr/>
        <w:t>、合营企业，包括合营企业的子公司； </w:t>
      </w:r>
      <w:r>
        <w:rPr>
          <w:rFonts w:ascii="宋体" w:hAnsi="宋体" w:cs="宋体" w:eastAsia="宋体" w:hint="default"/>
        </w:rPr>
        <w:t>g</w:t>
      </w:r>
      <w:r>
        <w:rPr/>
        <w:t>、联营企业，包括联营企业的子公司；</w:t>
      </w:r>
    </w:p>
    <w:p>
      <w:pPr>
        <w:pStyle w:val="BodyText"/>
        <w:spacing w:line="360" w:lineRule="auto" w:before="28"/>
        <w:ind w:right="0"/>
        <w:jc w:val="left"/>
      </w:pPr>
      <w:r>
        <w:rPr>
          <w:rFonts w:ascii="宋体" w:hAnsi="宋体" w:cs="宋体" w:eastAsia="宋体" w:hint="default"/>
        </w:rPr>
        <w:t>h</w:t>
      </w:r>
      <w:r>
        <w:rPr/>
        <w:t>、主要投资者个人及与其关系密切的家庭成员；北京荣之联科技股份有限公司 </w:t>
      </w:r>
      <w:r>
        <w:rPr>
          <w:rFonts w:ascii="宋体" w:hAnsi="宋体" w:cs="宋体" w:eastAsia="宋体" w:hint="default"/>
        </w:rPr>
        <w:t>2014 </w:t>
      </w:r>
      <w:r>
        <w:rPr/>
        <w:t>年年度报告全文 </w:t>
      </w:r>
      <w:r>
        <w:rPr>
          <w:rFonts w:ascii="宋体" w:hAnsi="宋体" w:cs="宋体" w:eastAsia="宋体" w:hint="default"/>
        </w:rPr>
        <w:t>110 i</w:t>
      </w:r>
      <w:r>
        <w:rPr/>
        <w:t>、本公司或其母公司的关键管理人员及与其关系密切的家庭成员； </w:t>
      </w:r>
      <w:r>
        <w:rPr>
          <w:rFonts w:ascii="宋体" w:hAnsi="宋体" w:cs="宋体" w:eastAsia="宋体" w:hint="default"/>
        </w:rPr>
        <w:t>j</w:t>
      </w:r>
      <w:r>
        <w:rPr/>
        <w:t>、本公司主要投资者个人、关键管理人员或与其关系密切的家庭成员控制、共同控制的其他企业。</w:t>
      </w:r>
    </w:p>
    <w:p>
      <w:pPr>
        <w:pStyle w:val="BodyText"/>
        <w:spacing w:line="319" w:lineRule="auto" w:before="25"/>
        <w:ind w:right="0"/>
        <w:jc w:val="left"/>
      </w:pPr>
      <w:r>
        <w:rPr>
          <w:spacing w:val="-2"/>
        </w:rPr>
        <w:t>除上述按照企业会计准则的有关要求被确定为本公司的关联方以外，根据证监会颁布的《上市公司信息披露管理办法》的要</w:t>
      </w:r>
      <w:r>
        <w:rPr>
          <w:spacing w:val="-66"/>
        </w:rPr>
        <w:t> </w:t>
      </w:r>
      <w:r>
        <w:rPr>
          <w:spacing w:val="-66"/>
        </w:rPr>
      </w:r>
      <w:r>
        <w:rPr/>
        <w:t>求，以下企业或个人 </w:t>
      </w:r>
      <w:r>
        <w:rPr>
          <w:rFonts w:ascii="宋体" w:hAnsi="宋体" w:cs="宋体" w:eastAsia="宋体" w:hint="default"/>
        </w:rPr>
        <w:t>(</w:t>
      </w:r>
      <w:r>
        <w:rPr/>
        <w:t>包括但不限于</w:t>
      </w:r>
      <w:r>
        <w:rPr>
          <w:rFonts w:ascii="宋体" w:hAnsi="宋体" w:cs="宋体" w:eastAsia="宋体" w:hint="default"/>
        </w:rPr>
        <w:t>) </w:t>
      </w:r>
      <w:r>
        <w:rPr/>
        <w:t>也属于本公司的关联方：</w:t>
      </w:r>
    </w:p>
    <w:p>
      <w:pPr>
        <w:pStyle w:val="BodyText"/>
        <w:spacing w:line="240" w:lineRule="auto" w:before="56"/>
        <w:ind w:right="0"/>
        <w:jc w:val="left"/>
      </w:pPr>
      <w:r>
        <w:rPr>
          <w:rFonts w:ascii="宋体" w:hAnsi="宋体" w:cs="宋体" w:eastAsia="宋体" w:hint="default"/>
        </w:rPr>
        <w:t>k</w:t>
      </w:r>
      <w:r>
        <w:rPr/>
        <w:t>、持有本公司</w:t>
      </w:r>
      <w:r>
        <w:rPr>
          <w:rFonts w:ascii="宋体" w:hAnsi="宋体" w:cs="宋体" w:eastAsia="宋体" w:hint="default"/>
        </w:rPr>
        <w:t>5% </w:t>
      </w:r>
      <w:r>
        <w:rPr/>
        <w:t>以上股份的企业或者一致行动人；</w:t>
      </w:r>
    </w:p>
    <w:p>
      <w:pPr>
        <w:pStyle w:val="BodyText"/>
        <w:spacing w:line="240" w:lineRule="auto" w:before="117"/>
        <w:ind w:right="0"/>
        <w:jc w:val="left"/>
      </w:pPr>
      <w:r>
        <w:rPr>
          <w:rFonts w:ascii="宋体" w:hAnsi="宋体" w:cs="宋体" w:eastAsia="宋体" w:hint="default"/>
        </w:rPr>
        <w:t>l</w:t>
      </w:r>
      <w:r>
        <w:rPr/>
        <w:t>、直接或者间接持有本公司</w:t>
      </w:r>
      <w:r>
        <w:rPr>
          <w:rFonts w:ascii="宋体" w:hAnsi="宋体" w:cs="宋体" w:eastAsia="宋体" w:hint="default"/>
        </w:rPr>
        <w:t>5% </w:t>
      </w:r>
      <w:r>
        <w:rPr/>
        <w:t>以上股份的个人及与其关系密切的家庭成员，上市公司监事及与其关系密切的家庭成员；</w:t>
      </w:r>
    </w:p>
    <w:p>
      <w:pPr>
        <w:spacing w:after="0" w:line="24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360" w:lineRule="auto" w:before="44"/>
        <w:ind w:right="502"/>
        <w:jc w:val="left"/>
      </w:pPr>
      <w:r>
        <w:rPr>
          <w:rFonts w:ascii="宋体" w:hAnsi="宋体" w:cs="宋体" w:eastAsia="宋体" w:hint="default"/>
        </w:rPr>
        <w:t>m</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1</w:t>
      </w:r>
      <w:r>
        <w:rPr/>
        <w:t>、</w:t>
      </w:r>
      <w:r>
        <w:rPr>
          <w:rFonts w:ascii="宋体" w:hAnsi="宋体" w:cs="宋体" w:eastAsia="宋体" w:hint="default"/>
        </w:rPr>
        <w:t>3</w:t>
      </w:r>
      <w:r>
        <w:rPr/>
        <w:t>和</w:t>
      </w:r>
      <w:r>
        <w:rPr>
          <w:rFonts w:ascii="宋体" w:hAnsi="宋体" w:cs="宋体" w:eastAsia="宋体" w:hint="default"/>
        </w:rPr>
        <w:t>11</w:t>
      </w:r>
      <w:r>
        <w:rPr/>
        <w:t>项情形之一的企业； </w:t>
      </w:r>
      <w:r>
        <w:rPr>
          <w:rFonts w:ascii="宋体" w:hAnsi="宋体" w:cs="宋体" w:eastAsia="宋体" w:hint="default"/>
        </w:rPr>
        <w:t>n</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9</w:t>
      </w:r>
      <w:r>
        <w:rPr/>
        <w:t>、</w:t>
      </w:r>
      <w:r>
        <w:rPr>
          <w:rFonts w:ascii="宋体" w:hAnsi="宋体" w:cs="宋体" w:eastAsia="宋体" w:hint="default"/>
        </w:rPr>
        <w:t>12</w:t>
      </w:r>
      <w:r>
        <w:rPr/>
        <w:t>项情形之一的个人； 由上述第</w:t>
      </w:r>
      <w:r>
        <w:rPr>
          <w:rFonts w:ascii="宋体" w:hAnsi="宋体" w:cs="宋体" w:eastAsia="宋体" w:hint="default"/>
        </w:rPr>
        <w:t>9</w:t>
      </w:r>
      <w:r>
        <w:rPr/>
        <w:t>、</w:t>
      </w:r>
      <w:r>
        <w:rPr>
          <w:rFonts w:ascii="宋体" w:hAnsi="宋体" w:cs="宋体" w:eastAsia="宋体" w:hint="default"/>
        </w:rPr>
        <w:t>12</w:t>
      </w:r>
      <w:r>
        <w:rPr/>
        <w:t>和</w:t>
      </w:r>
      <w:r>
        <w:rPr>
          <w:rFonts w:ascii="宋体" w:hAnsi="宋体" w:cs="宋体" w:eastAsia="宋体" w:hint="default"/>
        </w:rPr>
        <w:t>14</w:t>
      </w:r>
      <w:r>
        <w:rPr/>
        <w:t>项直接或者间接控制的、或者担任董事、高级管理人员的，除本公司及其控股子公司以外的企业。</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33</w:t>
      </w:r>
      <w:r>
        <w:rPr/>
        <w:t>、重要会计政策和会计估计变更</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）重要会计政策变更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4252"/>
        <w:gridCol w:w="1489"/>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pacing w:val="-4"/>
                <w:sz w:val="18"/>
                <w:szCs w:val="18"/>
              </w:rPr>
              <w:t>号</w:t>
            </w:r>
            <w:r>
              <w:rPr>
                <w:rFonts w:ascii="宋体" w:hAnsi="宋体" w:cs="宋体" w:eastAsia="宋体" w:hint="default"/>
                <w:spacing w:val="-4"/>
                <w:sz w:val="18"/>
                <w:szCs w:val="18"/>
              </w:rPr>
              <w:t>-</w:t>
            </w:r>
            <w:r>
              <w:rPr>
                <w:rFonts w:ascii="宋体" w:hAnsi="宋体" w:cs="宋体" w:eastAsia="宋体" w:hint="default"/>
                <w:spacing w:val="-4"/>
                <w:sz w:val="18"/>
                <w:szCs w:val="18"/>
              </w:rPr>
              <w:t>财务报表列报（</w:t>
            </w:r>
            <w:r>
              <w:rPr>
                <w:rFonts w:ascii="宋体" w:hAnsi="宋体" w:cs="宋体" w:eastAsia="宋体" w:hint="default"/>
                <w:spacing w:val="-4"/>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修订）》及其应用指南的相关规定。</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日召开第五届董事会第十三次会议</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长期股权投资（</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修订）》及其应用指南的相关规定，对纳入合并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范围内子公司的投资、对合营企业投资和对联营</w:t>
            </w:r>
            <w:r>
              <w:rPr>
                <w:rFonts w:ascii="宋体" w:hAnsi="宋体" w:cs="宋体" w:eastAsia="宋体" w:hint="default"/>
                <w:sz w:val="18"/>
                <w:szCs w:val="18"/>
              </w:rPr>
              <w:t> </w:t>
            </w:r>
            <w:r>
              <w:rPr>
                <w:rFonts w:ascii="宋体" w:hAnsi="宋体" w:cs="宋体" w:eastAsia="宋体" w:hint="default"/>
                <w:spacing w:val="-3"/>
                <w:sz w:val="18"/>
                <w:szCs w:val="18"/>
              </w:rPr>
              <w:t>企业投资外的其他投资，适《企业会计准则第</w:t>
            </w:r>
            <w:r>
              <w:rPr>
                <w:rFonts w:ascii="宋体" w:hAnsi="宋体" w:cs="宋体" w:eastAsia="宋体" w:hint="default"/>
                <w:spacing w:val="-42"/>
                <w:sz w:val="18"/>
                <w:szCs w:val="18"/>
              </w:rPr>
              <w:t> </w:t>
            </w:r>
            <w:r>
              <w:rPr>
                <w:rFonts w:ascii="宋体" w:hAnsi="宋体" w:cs="宋体" w:eastAsia="宋体" w:hint="default"/>
                <w:sz w:val="18"/>
                <w:szCs w:val="18"/>
              </w:rPr>
              <w:t>22 </w:t>
            </w:r>
            <w:r>
              <w:rPr>
                <w:rFonts w:ascii="宋体" w:hAnsi="宋体" w:cs="宋体" w:eastAsia="宋体" w:hint="default"/>
                <w:spacing w:val="-7"/>
                <w:sz w:val="18"/>
                <w:szCs w:val="18"/>
              </w:rPr>
              <w:t>号</w:t>
            </w:r>
            <w:r>
              <w:rPr>
                <w:rFonts w:ascii="宋体" w:hAnsi="宋体" w:cs="宋体" w:eastAsia="宋体" w:hint="default"/>
                <w:spacing w:val="-7"/>
                <w:sz w:val="18"/>
                <w:szCs w:val="18"/>
              </w:rPr>
              <w:t>-</w:t>
            </w:r>
            <w:r>
              <w:rPr>
                <w:rFonts w:ascii="宋体" w:hAnsi="宋体" w:cs="宋体" w:eastAsia="宋体" w:hint="default"/>
                <w:spacing w:val="-7"/>
                <w:sz w:val="18"/>
                <w:szCs w:val="18"/>
              </w:rPr>
              <w:t>金融工具确认和计量》。</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日召开第五届董事会第十三次会议</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pacing w:val="-4"/>
                <w:sz w:val="18"/>
                <w:szCs w:val="18"/>
              </w:rPr>
              <w:t>号</w:t>
            </w:r>
            <w:r>
              <w:rPr>
                <w:rFonts w:ascii="宋体" w:hAnsi="宋体" w:cs="宋体" w:eastAsia="宋体" w:hint="default"/>
                <w:spacing w:val="-4"/>
                <w:sz w:val="18"/>
                <w:szCs w:val="18"/>
              </w:rPr>
              <w:t>-</w:t>
            </w:r>
            <w:r>
              <w:rPr>
                <w:rFonts w:ascii="宋体" w:hAnsi="宋体" w:cs="宋体" w:eastAsia="宋体" w:hint="default"/>
                <w:spacing w:val="-4"/>
                <w:sz w:val="18"/>
                <w:szCs w:val="18"/>
              </w:rPr>
              <w:t>财务报表列报（</w:t>
            </w:r>
            <w:r>
              <w:rPr>
                <w:rFonts w:ascii="宋体" w:hAnsi="宋体" w:cs="宋体" w:eastAsia="宋体" w:hint="default"/>
                <w:spacing w:val="-4"/>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修订）》及其应用指南的相关规定。</w:t>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日召开第五届董事会第十三次会议</w:t>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19" w:lineRule="auto" w:before="44"/>
        <w:ind w:right="139" w:firstLine="420"/>
        <w:jc w:val="left"/>
      </w:pPr>
      <w:r>
        <w:rPr>
          <w:spacing w:val="-1"/>
        </w:rPr>
        <w:t>本公司于</w:t>
      </w:r>
      <w:r>
        <w:rPr>
          <w:rFonts w:ascii="宋体" w:hAnsi="宋体" w:cs="宋体" w:eastAsia="宋体" w:hint="default"/>
          <w:spacing w:val="-1"/>
        </w:rPr>
        <w:t>2014</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w:t>
      </w:r>
      <w:r>
        <w:rPr>
          <w:spacing w:val="-1"/>
        </w:rPr>
        <w:t>日起开始执行前述除金融工具列报以外的新修订或颁布的</w:t>
      </w:r>
      <w:r>
        <w:rPr>
          <w:rFonts w:ascii="宋体" w:hAnsi="宋体" w:cs="宋体" w:eastAsia="宋体" w:hint="default"/>
          <w:spacing w:val="-1"/>
        </w:rPr>
        <w:t>7</w:t>
      </w:r>
      <w:r>
        <w:rPr>
          <w:spacing w:val="-1"/>
        </w:rPr>
        <w:t>项企业会计准则，在编制</w:t>
      </w:r>
      <w:r>
        <w:rPr>
          <w:rFonts w:ascii="宋体" w:hAnsi="宋体" w:cs="宋体" w:eastAsia="宋体" w:hint="default"/>
          <w:spacing w:val="-1"/>
        </w:rPr>
        <w:t>2014</w:t>
      </w:r>
      <w:r>
        <w:rPr>
          <w:spacing w:val="-1"/>
        </w:rPr>
        <w:t>年度财务</w:t>
      </w:r>
      <w:r>
        <w:rPr/>
        <w:t> 报告时开始执行金融工具列报准则，并根据各准则要求进行了追溯调整，对可比期间财务报表项目及金额影响如下：</w:t>
      </w:r>
    </w:p>
    <w:p>
      <w:pPr>
        <w:spacing w:line="240" w:lineRule="auto" w:before="9"/>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3623"/>
        <w:gridCol w:w="2615"/>
        <w:gridCol w:w="3402"/>
      </w:tblGrid>
      <w:tr>
        <w:trPr>
          <w:trHeight w:val="352" w:hRule="exact"/>
        </w:trPr>
        <w:tc>
          <w:tcPr>
            <w:tcW w:w="3623"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72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1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397"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40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60"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日或</w:t>
            </w:r>
            <w:r>
              <w:rPr>
                <w:rFonts w:ascii="宋体" w:hAnsi="宋体" w:cs="宋体" w:eastAsia="宋体" w:hint="default"/>
                <w:sz w:val="18"/>
                <w:szCs w:val="18"/>
              </w:rPr>
              <w:t>2013</w:t>
            </w:r>
            <w:r>
              <w:rPr>
                <w:rFonts w:ascii="宋体" w:hAnsi="宋体" w:cs="宋体" w:eastAsia="宋体" w:hint="default"/>
                <w:sz w:val="18"/>
                <w:szCs w:val="18"/>
              </w:rPr>
              <w:t>年度影响金额</w:t>
            </w:r>
          </w:p>
        </w:tc>
      </w:tr>
      <w:tr>
        <w:trPr>
          <w:trHeight w:val="352" w:hRule="exact"/>
        </w:trPr>
        <w:tc>
          <w:tcPr>
            <w:tcW w:w="3623" w:type="dxa"/>
            <w:vMerge w:val="restart"/>
            <w:tcBorders>
              <w:top w:val="single" w:sz="8" w:space="0" w:color="000000"/>
              <w:left w:val="single" w:sz="8" w:space="0" w:color="000000"/>
              <w:right w:val="single" w:sz="8" w:space="0" w:color="000000"/>
            </w:tcBorders>
          </w:tcPr>
          <w:p>
            <w:pPr>
              <w:pStyle w:val="TableParagraph"/>
              <w:spacing w:line="316" w:lineRule="auto" w:before="22"/>
              <w:ind w:left="-1" w:right="1"/>
              <w:jc w:val="left"/>
              <w:rPr>
                <w:rFonts w:ascii="宋体" w:hAnsi="宋体" w:cs="宋体" w:eastAsia="宋体" w:hint="default"/>
                <w:sz w:val="18"/>
                <w:szCs w:val="18"/>
              </w:rPr>
            </w:pPr>
            <w:r>
              <w:rPr>
                <w:rFonts w:ascii="宋体" w:hAnsi="宋体" w:cs="宋体" w:eastAsia="宋体" w:hint="default"/>
                <w:spacing w:val="3"/>
                <w:sz w:val="18"/>
                <w:szCs w:val="18"/>
              </w:rPr>
              <w:t>《企业会计准则第</w:t>
            </w:r>
            <w:r>
              <w:rPr>
                <w:rFonts w:ascii="宋体" w:hAnsi="宋体" w:cs="宋体" w:eastAsia="宋体" w:hint="default"/>
                <w:spacing w:val="3"/>
                <w:sz w:val="18"/>
                <w:szCs w:val="18"/>
              </w:rPr>
              <w:t>30</w:t>
            </w:r>
            <w:r>
              <w:rPr>
                <w:rFonts w:ascii="宋体" w:hAnsi="宋体" w:cs="宋体" w:eastAsia="宋体" w:hint="default"/>
                <w:spacing w:val="3"/>
                <w:sz w:val="18"/>
                <w:szCs w:val="18"/>
              </w:rPr>
              <w:t>号</w:t>
            </w:r>
            <w:r>
              <w:rPr>
                <w:rFonts w:ascii="宋体" w:hAnsi="宋体" w:cs="宋体" w:eastAsia="宋体" w:hint="default"/>
                <w:spacing w:val="3"/>
                <w:sz w:val="18"/>
                <w:szCs w:val="18"/>
              </w:rPr>
              <w:t>-</w:t>
            </w:r>
            <w:r>
              <w:rPr>
                <w:rFonts w:ascii="宋体" w:hAnsi="宋体" w:cs="宋体" w:eastAsia="宋体" w:hint="default"/>
                <w:spacing w:val="3"/>
                <w:sz w:val="18"/>
                <w:szCs w:val="18"/>
              </w:rPr>
              <w:t>财务报表列报（</w:t>
            </w:r>
            <w:r>
              <w:rPr>
                <w:rFonts w:ascii="宋体" w:hAnsi="宋体" w:cs="宋体" w:eastAsia="宋体" w:hint="default"/>
                <w:spacing w:val="3"/>
                <w:sz w:val="18"/>
                <w:szCs w:val="18"/>
              </w:rPr>
              <w:t>2014</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年修订）》及其应用指南的相关规定。</w:t>
            </w: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-2,759,629.63</w:t>
            </w:r>
          </w:p>
        </w:tc>
      </w:tr>
      <w:tr>
        <w:trPr>
          <w:trHeight w:val="352" w:hRule="exact"/>
        </w:trPr>
        <w:tc>
          <w:tcPr>
            <w:tcW w:w="3623" w:type="dxa"/>
            <w:vMerge/>
            <w:tcBorders>
              <w:left w:val="single" w:sz="8" w:space="0" w:color="000000"/>
              <w:right w:val="single" w:sz="8" w:space="0" w:color="000000"/>
            </w:tcBorders>
          </w:tcPr>
          <w:p>
            <w:pP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-64,810,000.00</w:t>
            </w:r>
          </w:p>
        </w:tc>
      </w:tr>
      <w:tr>
        <w:trPr>
          <w:trHeight w:val="353" w:hRule="exact"/>
        </w:trPr>
        <w:tc>
          <w:tcPr>
            <w:tcW w:w="3623" w:type="dxa"/>
            <w:vMerge/>
            <w:tcBorders>
              <w:left w:val="single" w:sz="8" w:space="0" w:color="000000"/>
              <w:right w:val="single" w:sz="8" w:space="0" w:color="000000"/>
            </w:tcBorders>
          </w:tcPr>
          <w:p>
            <w:pP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67,569,629.63</w:t>
            </w:r>
          </w:p>
        </w:tc>
      </w:tr>
      <w:tr>
        <w:trPr>
          <w:trHeight w:val="352" w:hRule="exact"/>
        </w:trPr>
        <w:tc>
          <w:tcPr>
            <w:tcW w:w="3623" w:type="dxa"/>
            <w:vMerge/>
            <w:tcBorders>
              <w:left w:val="single" w:sz="8" w:space="0" w:color="000000"/>
              <w:right w:val="single" w:sz="8" w:space="0" w:color="000000"/>
            </w:tcBorders>
          </w:tcPr>
          <w:p>
            <w:pP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39,236.56</w:t>
            </w:r>
          </w:p>
        </w:tc>
      </w:tr>
      <w:tr>
        <w:trPr>
          <w:trHeight w:val="352" w:hRule="exact"/>
        </w:trPr>
        <w:tc>
          <w:tcPr>
            <w:tcW w:w="3623" w:type="dxa"/>
            <w:vMerge/>
            <w:tcBorders>
              <w:left w:val="single" w:sz="8" w:space="0" w:color="000000"/>
              <w:bottom w:val="single" w:sz="8" w:space="0" w:color="000000"/>
              <w:right w:val="single" w:sz="8" w:space="0" w:color="000000"/>
            </w:tcBorders>
          </w:tcPr>
          <w:p>
            <w:pP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-39,236.56</w:t>
            </w:r>
          </w:p>
        </w:tc>
      </w:tr>
      <w:tr>
        <w:trPr>
          <w:trHeight w:val="353" w:hRule="exact"/>
        </w:trPr>
        <w:tc>
          <w:tcPr>
            <w:tcW w:w="3623" w:type="dxa"/>
            <w:vMerge w:val="restart"/>
            <w:tcBorders>
              <w:top w:val="single" w:sz="8" w:space="0" w:color="000000"/>
              <w:left w:val="single" w:sz="8" w:space="0" w:color="000000"/>
              <w:right w:val="single" w:sz="8" w:space="0" w:color="000000"/>
            </w:tcBorders>
          </w:tcPr>
          <w:p>
            <w:pPr>
              <w:pStyle w:val="TableParagraph"/>
              <w:spacing w:line="316" w:lineRule="auto" w:before="21"/>
              <w:ind w:left="-1" w:right="-1"/>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z w:val="18"/>
                <w:szCs w:val="18"/>
              </w:rPr>
              <w:t>2</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长期股权投资（</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z w:val="18"/>
                <w:szCs w:val="18"/>
              </w:rPr>
              <w:t>修订）》及其应用指南的相关规定，对纳入合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并范围内子公司的投资、对合营企业投资和对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联营企业投资外的其他投资，适《企业会计准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则第</w:t>
            </w:r>
            <w:r>
              <w:rPr>
                <w:rFonts w:ascii="宋体" w:hAnsi="宋体" w:cs="宋体" w:eastAsia="宋体" w:hint="default"/>
                <w:sz w:val="18"/>
                <w:szCs w:val="18"/>
              </w:rPr>
              <w:t>22</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金融工具确认和计量》。</w:t>
            </w: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-38,941,539.78</w:t>
            </w:r>
          </w:p>
        </w:tc>
      </w:tr>
      <w:tr>
        <w:trPr>
          <w:trHeight w:val="1248" w:hRule="exact"/>
        </w:trPr>
        <w:tc>
          <w:tcPr>
            <w:tcW w:w="3623" w:type="dxa"/>
            <w:vMerge/>
            <w:tcBorders>
              <w:left w:val="single" w:sz="8" w:space="0" w:color="000000"/>
              <w:bottom w:val="single" w:sz="8" w:space="0" w:color="000000"/>
              <w:right w:val="single" w:sz="8" w:space="0" w:color="000000"/>
            </w:tcBorders>
          </w:tcPr>
          <w:p>
            <w:pP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38,941,539.78</w:t>
            </w:r>
          </w:p>
        </w:tc>
      </w:tr>
    </w:tbl>
    <w:p>
      <w:pPr>
        <w:pStyle w:val="BodyText"/>
        <w:spacing w:line="240" w:lineRule="auto" w:before="89"/>
        <w:ind w:left="514" w:right="0"/>
        <w:jc w:val="left"/>
      </w:pPr>
      <w:r>
        <w:rPr/>
        <w:t>续：</w:t>
      </w:r>
    </w:p>
    <w:p>
      <w:pPr>
        <w:spacing w:line="240" w:lineRule="auto" w:before="0"/>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3680"/>
        <w:gridCol w:w="3182"/>
        <w:gridCol w:w="2780"/>
      </w:tblGrid>
      <w:tr>
        <w:trPr>
          <w:trHeight w:val="347" w:hRule="exact"/>
        </w:trPr>
        <w:tc>
          <w:tcPr>
            <w:tcW w:w="3680"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宋体" w:hAnsi="宋体" w:cs="宋体" w:eastAsia="宋体" w:hint="default"/>
                <w:spacing w:val="-2"/>
                <w:sz w:val="18"/>
                <w:szCs w:val="18"/>
              </w:rPr>
              <w:t>30</w:t>
            </w:r>
            <w:r>
              <w:rPr>
                <w:rFonts w:ascii="宋体" w:hAnsi="宋体" w:cs="宋体" w:eastAsia="宋体" w:hint="default"/>
                <w:spacing w:val="-2"/>
                <w:sz w:val="18"/>
                <w:szCs w:val="18"/>
              </w:rPr>
              <w:t>号</w:t>
            </w:r>
            <w:r>
              <w:rPr>
                <w:rFonts w:ascii="宋体" w:hAnsi="宋体" w:cs="宋体" w:eastAsia="宋体" w:hint="default"/>
                <w:spacing w:val="-2"/>
                <w:sz w:val="18"/>
                <w:szCs w:val="18"/>
              </w:rPr>
              <w:t>-</w:t>
            </w:r>
            <w:r>
              <w:rPr>
                <w:rFonts w:ascii="宋体" w:hAnsi="宋体" w:cs="宋体" w:eastAsia="宋体" w:hint="default"/>
                <w:spacing w:val="-2"/>
                <w:sz w:val="18"/>
                <w:szCs w:val="18"/>
              </w:rPr>
              <w:t>财务报表列报（</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75"/>
                <w:sz w:val="18"/>
                <w:szCs w:val="18"/>
              </w:rPr>
              <w:t> </w:t>
            </w:r>
            <w:r>
              <w:rPr>
                <w:rFonts w:ascii="宋体" w:hAnsi="宋体" w:cs="宋体" w:eastAsia="宋体" w:hint="default"/>
                <w:sz w:val="18"/>
                <w:szCs w:val="18"/>
              </w:rPr>
              <w:t>修订）》及其应用指南的相关规定。</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-54,425,839.66</w:t>
            </w:r>
          </w:p>
        </w:tc>
      </w:tr>
      <w:tr>
        <w:trPr>
          <w:trHeight w:val="347" w:hRule="exact"/>
        </w:trPr>
        <w:tc>
          <w:tcPr>
            <w:tcW w:w="3680" w:type="dxa"/>
            <w:vMerge/>
            <w:tcBorders>
              <w:left w:val="single" w:sz="6" w:space="0" w:color="000000"/>
              <w:right w:val="single" w:sz="6" w:space="0" w:color="000000"/>
            </w:tcBorders>
          </w:tcPr>
          <w:p>
            <w:pP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54,425,839.66</w:t>
            </w:r>
          </w:p>
        </w:tc>
      </w:tr>
      <w:tr>
        <w:trPr>
          <w:trHeight w:val="348" w:hRule="exact"/>
        </w:trPr>
        <w:tc>
          <w:tcPr>
            <w:tcW w:w="3680" w:type="dxa"/>
            <w:vMerge/>
            <w:tcBorders>
              <w:left w:val="single" w:sz="6" w:space="0" w:color="000000"/>
              <w:right w:val="single" w:sz="6" w:space="0" w:color="000000"/>
            </w:tcBorders>
          </w:tcPr>
          <w:p>
            <w:pP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29,158.25</w:t>
            </w:r>
          </w:p>
        </w:tc>
      </w:tr>
      <w:tr>
        <w:trPr>
          <w:trHeight w:val="347" w:hRule="exact"/>
        </w:trPr>
        <w:tc>
          <w:tcPr>
            <w:tcW w:w="3680" w:type="dxa"/>
            <w:vMerge/>
            <w:tcBorders>
              <w:left w:val="single" w:sz="6" w:space="0" w:color="000000"/>
              <w:bottom w:val="single" w:sz="6" w:space="0" w:color="000000"/>
              <w:right w:val="single" w:sz="6" w:space="0" w:color="000000"/>
            </w:tcBorders>
          </w:tcPr>
          <w:p>
            <w:pP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-29,158.25</w:t>
            </w:r>
          </w:p>
        </w:tc>
      </w:tr>
      <w:tr>
        <w:trPr>
          <w:trHeight w:val="347" w:hRule="exact"/>
        </w:trPr>
        <w:tc>
          <w:tcPr>
            <w:tcW w:w="3680"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宋体" w:hAnsi="宋体" w:cs="宋体" w:eastAsia="宋体" w:hint="default"/>
                <w:spacing w:val="2"/>
                <w:sz w:val="18"/>
                <w:szCs w:val="18"/>
              </w:rPr>
              <w:t>2</w:t>
            </w:r>
            <w:r>
              <w:rPr>
                <w:rFonts w:ascii="宋体" w:hAnsi="宋体" w:cs="宋体" w:eastAsia="宋体" w:hint="default"/>
                <w:spacing w:val="2"/>
                <w:sz w:val="18"/>
                <w:szCs w:val="18"/>
              </w:rPr>
              <w:t>号</w:t>
            </w:r>
            <w:r>
              <w:rPr>
                <w:rFonts w:ascii="宋体" w:hAnsi="宋体" w:cs="宋体" w:eastAsia="宋体" w:hint="default"/>
                <w:spacing w:val="2"/>
                <w:sz w:val="18"/>
                <w:szCs w:val="18"/>
              </w:rPr>
              <w:t>-</w:t>
            </w:r>
            <w:r>
              <w:rPr>
                <w:rFonts w:ascii="宋体" w:hAnsi="宋体" w:cs="宋体" w:eastAsia="宋体" w:hint="default"/>
                <w:spacing w:val="2"/>
                <w:sz w:val="18"/>
                <w:szCs w:val="18"/>
              </w:rPr>
              <w:t>长期股权投资（</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86"/>
                <w:sz w:val="18"/>
                <w:szCs w:val="18"/>
              </w:rPr>
              <w:t> </w:t>
            </w:r>
            <w:r>
              <w:rPr>
                <w:rFonts w:ascii="宋体" w:hAnsi="宋体" w:cs="宋体" w:eastAsia="宋体" w:hint="default"/>
                <w:spacing w:val="2"/>
                <w:sz w:val="18"/>
                <w:szCs w:val="18"/>
              </w:rPr>
              <w:t>修订）》及其应用指南的相关规定，对纳入合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并范围内子公司的投资、对合营企业投资和对</w:t>
            </w: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-40,617,000.00</w:t>
            </w:r>
          </w:p>
        </w:tc>
      </w:tr>
      <w:tr>
        <w:trPr>
          <w:trHeight w:val="624" w:hRule="exact"/>
        </w:trPr>
        <w:tc>
          <w:tcPr>
            <w:tcW w:w="3680" w:type="dxa"/>
            <w:vMerge/>
            <w:tcBorders>
              <w:left w:val="single" w:sz="6" w:space="0" w:color="000000"/>
              <w:bottom w:val="single" w:sz="6" w:space="0" w:color="000000"/>
              <w:right w:val="single" w:sz="6" w:space="0" w:color="000000"/>
            </w:tcBorders>
          </w:tcPr>
          <w:p>
            <w:pPr/>
          </w:p>
        </w:tc>
        <w:tc>
          <w:tcPr>
            <w:tcW w:w="3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40,617,000.00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368.859985pt;margin-top:565.599976pt;width:166.1pt;height:31.2pt;mso-position-horizontal-relative:page;mso-position-vertical-relative:page;z-index:-903592" coordorigin="7377,11312" coordsize="3322,624">
            <v:shape style="position:absolute;left:7377;top:11312;width:3322;height:624" coordorigin="7377,11312" coordsize="3322,624" path="m7377,11936l10699,11936,10699,11312,7377,11312,7377,11936xe" filled="true" fillcolor="#ffffff" stroked="false">
              <v:path arrowok="t"/>
              <v:fill type="solid"/>
            </v:shape>
            <w10:wrap type="none"/>
          </v:group>
        </w:pict>
      </w:r>
    </w:p>
    <w:tbl>
      <w:tblPr>
        <w:tblW w:w="0" w:type="auto"/>
        <w:jc w:val="left"/>
        <w:tblInd w:w="146" w:type="dxa"/>
        <w:tblLayout w:type="fixed"/>
        <w:tblCellMar>
          <w:top w:w="0" w:type="dxa"/>
          <w:left w:w="0" w:type="dxa"/>
          <w:bottom w:w="0" w:type="dxa"/>
          <w:right w:w="0" w:type="dxa"/>
        </w:tblCellMar>
        <w:tblLook w:val="01E0"/>
      </w:tblPr>
      <w:tblGrid>
        <w:gridCol w:w="3680"/>
        <w:gridCol w:w="3182"/>
        <w:gridCol w:w="2780"/>
      </w:tblGrid>
      <w:tr>
        <w:trPr>
          <w:trHeight w:val="660" w:hRule="exact"/>
        </w:trPr>
        <w:tc>
          <w:tcPr>
            <w:tcW w:w="36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
              <w:jc w:val="left"/>
              <w:rPr>
                <w:rFonts w:ascii="宋体" w:hAnsi="宋体" w:cs="宋体" w:eastAsia="宋体" w:hint="default"/>
                <w:sz w:val="18"/>
                <w:szCs w:val="18"/>
              </w:rPr>
            </w:pPr>
            <w:r>
              <w:rPr>
                <w:rFonts w:ascii="宋体" w:hAnsi="宋体" w:cs="宋体" w:eastAsia="宋体" w:hint="default"/>
                <w:spacing w:val="2"/>
                <w:sz w:val="18"/>
                <w:szCs w:val="18"/>
              </w:rPr>
              <w:t>联营企业投资外的其他投资，适《企业会计准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则第</w:t>
            </w:r>
            <w:r>
              <w:rPr>
                <w:rFonts w:ascii="宋体" w:hAnsi="宋体" w:cs="宋体" w:eastAsia="宋体" w:hint="default"/>
                <w:sz w:val="18"/>
                <w:szCs w:val="18"/>
              </w:rPr>
              <w:t>22</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金融工具确认和计量》。</w:t>
            </w:r>
          </w:p>
        </w:tc>
        <w:tc>
          <w:tcPr>
            <w:tcW w:w="3182" w:type="dxa"/>
            <w:tcBorders>
              <w:top w:val="single" w:sz="6" w:space="0" w:color="000000"/>
              <w:left w:val="single" w:sz="6" w:space="0" w:color="000000"/>
              <w:bottom w:val="single" w:sz="6" w:space="0" w:color="000000"/>
              <w:right w:val="single" w:sz="6" w:space="0" w:color="000000"/>
            </w:tcBorders>
          </w:tcPr>
          <w:p>
            <w:pPr/>
          </w:p>
        </w:tc>
        <w:tc>
          <w:tcPr>
            <w:tcW w:w="27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6"/>
          <w:szCs w:val="6"/>
        </w:rPr>
      </w:pPr>
    </w:p>
    <w:p>
      <w:pPr>
        <w:pStyle w:val="BodyText"/>
        <w:spacing w:line="316" w:lineRule="auto" w:before="44"/>
        <w:ind w:right="0" w:firstLine="420"/>
        <w:jc w:val="left"/>
      </w:pPr>
      <w:r>
        <w:rPr/>
        <w:t>上述会计政策变更，仅对上述财务报表项目列报产生影响，对</w:t>
      </w:r>
      <w:r>
        <w:rPr>
          <w:rFonts w:ascii="宋体" w:hAnsi="宋体" w:cs="宋体" w:eastAsia="宋体" w:hint="default"/>
        </w:rPr>
        <w:t>2013</w:t>
      </w:r>
      <w:r>
        <w:rPr/>
        <w:t>年末、</w:t>
      </w:r>
      <w:r>
        <w:rPr>
          <w:rFonts w:ascii="宋体" w:hAnsi="宋体" w:cs="宋体" w:eastAsia="宋体" w:hint="default"/>
        </w:rPr>
        <w:t>2012</w:t>
      </w:r>
      <w:r>
        <w:rPr/>
        <w:t>年末资产总额、负债总额、净资产，以 及</w:t>
      </w:r>
      <w:r>
        <w:rPr>
          <w:rFonts w:ascii="宋体" w:hAnsi="宋体" w:cs="宋体" w:eastAsia="宋体" w:hint="default"/>
        </w:rPr>
        <w:t>2013</w:t>
      </w:r>
      <w:r>
        <w:rPr/>
        <w:t>年度、</w:t>
      </w:r>
      <w:r>
        <w:rPr>
          <w:rFonts w:ascii="宋体" w:hAnsi="宋体" w:cs="宋体" w:eastAsia="宋体" w:hint="default"/>
        </w:rPr>
        <w:t>2012</w:t>
      </w:r>
      <w:r>
        <w:rPr/>
        <w:t>年度净利润均未产生影响。</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2</w:t>
      </w:r>
      <w:r>
        <w:rPr/>
        <w:t>）重要会计估计变更</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spacing w:line="501" w:lineRule="auto" w:before="0"/>
        <w:ind w:left="154" w:right="7984"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3190"/>
        <w:gridCol w:w="3048"/>
        <w:gridCol w:w="333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5"/>
                <w:sz w:val="18"/>
                <w:szCs w:val="18"/>
              </w:rPr>
              <w:t>务收入为基础计算销项税额，在扣除当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期允许抵扣的进项税额后，差额部分为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应交增值税</w:t>
            </w:r>
          </w:p>
        </w:tc>
        <w:tc>
          <w:tcPr>
            <w:tcW w:w="3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9"/>
                <w:w w:val="95"/>
                <w:sz w:val="18"/>
                <w:szCs w:val="18"/>
              </w:rPr>
              <w:t>17%</w:t>
            </w:r>
            <w:r>
              <w:rPr>
                <w:rFonts w:ascii="宋体" w:hAnsi="宋体" w:cs="宋体" w:eastAsia="宋体" w:hint="default"/>
                <w:spacing w:val="-9"/>
                <w:w w:val="95"/>
                <w:sz w:val="18"/>
                <w:szCs w:val="18"/>
              </w:rPr>
              <w:t>、</w:t>
            </w:r>
            <w:r>
              <w:rPr>
                <w:rFonts w:ascii="宋体" w:hAnsi="宋体" w:cs="宋体" w:eastAsia="宋体" w:hint="default"/>
                <w:spacing w:val="-9"/>
                <w:w w:val="95"/>
                <w:sz w:val="18"/>
                <w:szCs w:val="18"/>
              </w:rPr>
              <w:t>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48" w:type="dxa"/>
            <w:vMerge/>
            <w:tcBorders>
              <w:left w:val="single" w:sz="4" w:space="0" w:color="000000"/>
              <w:right w:val="single" w:sz="4" w:space="0" w:color="000000"/>
            </w:tcBorders>
          </w:tcPr>
          <w:p>
            <w:pPr/>
          </w:p>
        </w:tc>
        <w:tc>
          <w:tcPr>
            <w:tcW w:w="3332"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48" w:type="dxa"/>
            <w:vMerge/>
            <w:tcBorders>
              <w:left w:val="single" w:sz="4" w:space="0" w:color="000000"/>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租赁收入、其他收入</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实缴增值税、营业税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弱电工程收入</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母公司的应纳税所得额</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10%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宋体" w:hAnsi="宋体" w:cs="宋体" w:eastAsia="宋体" w:hint="default"/>
                <w:sz w:val="18"/>
                <w:szCs w:val="18"/>
              </w:rPr>
              <w:t>-</w:t>
            </w:r>
            <w:r>
              <w:rPr>
                <w:rFonts w:ascii="宋体" w:hAnsi="宋体" w:cs="宋体" w:eastAsia="宋体" w:hint="default"/>
                <w:sz w:val="18"/>
                <w:szCs w:val="18"/>
              </w:rPr>
              <w:t>东华软件工程有限公 司的应纳税所得额</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12.5%</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宋体" w:hAnsi="宋体" w:cs="宋体" w:eastAsia="宋体" w:hint="default"/>
                <w:sz w:val="18"/>
                <w:szCs w:val="18"/>
              </w:rPr>
              <w:t>-</w:t>
            </w:r>
            <w:r>
              <w:rPr>
                <w:rFonts w:ascii="宋体" w:hAnsi="宋体" w:cs="宋体" w:eastAsia="宋体" w:hint="default"/>
                <w:sz w:val="18"/>
                <w:szCs w:val="18"/>
              </w:rPr>
              <w:t>泰安东华合创软件有 限公司、北京东华合创科技有限公司、 </w:t>
            </w:r>
            <w:r>
              <w:rPr>
                <w:rFonts w:ascii="宋体" w:hAnsi="宋体" w:cs="宋体" w:eastAsia="宋体" w:hint="default"/>
                <w:spacing w:val="-5"/>
                <w:sz w:val="18"/>
                <w:szCs w:val="18"/>
              </w:rPr>
              <w:t>北京联银通科技有限公司、北京神州新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桥科技有限公司、北京威锐达测控系统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有限公司的应纳税所得额</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166.1pt;height:31.2pt;mso-position-horizontal-relative:char;mso-position-vertical-relative:line" coordorigin="0,0" coordsize="3322,624">
                  <v:group style="position:absolute;left:0;top:0;width:3322;height:624" coordorigin="0,0" coordsize="3322,624">
                    <v:shape style="position:absolute;left:0;top:0;width:3322;height:624" coordorigin="0,0" coordsize="3322,624" path="m0,624l3322,624,3322,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right="56"/>
              <w:jc w:val="right"/>
              <w:rPr>
                <w:rFonts w:ascii="宋体" w:hAnsi="宋体" w:cs="宋体" w:eastAsia="宋体" w:hint="default"/>
                <w:sz w:val="18"/>
                <w:szCs w:val="18"/>
              </w:rPr>
            </w:pPr>
            <w:r>
              <w:rPr>
                <w:rFonts w:ascii="宋体"/>
                <w:sz w:val="18"/>
              </w:rPr>
              <w:t>15%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公司所属子公司</w:t>
            </w:r>
            <w:r>
              <w:rPr>
                <w:rFonts w:ascii="宋体" w:hAnsi="宋体" w:cs="宋体" w:eastAsia="宋体" w:hint="default"/>
                <w:sz w:val="18"/>
                <w:szCs w:val="18"/>
              </w:rPr>
              <w:t>-</w:t>
            </w:r>
            <w:r>
              <w:rPr>
                <w:rFonts w:ascii="宋体" w:hAnsi="宋体" w:cs="宋体" w:eastAsia="宋体" w:hint="default"/>
                <w:sz w:val="18"/>
                <w:szCs w:val="18"/>
              </w:rPr>
              <w:t>西安东华软件有限公 </w:t>
            </w:r>
            <w:r>
              <w:rPr>
                <w:rFonts w:ascii="宋体" w:hAnsi="宋体" w:cs="宋体" w:eastAsia="宋体" w:hint="default"/>
                <w:spacing w:val="-5"/>
                <w:sz w:val="18"/>
                <w:szCs w:val="18"/>
              </w:rPr>
              <w:t>司、天津东华博雅软件有限公司的应纳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税所得额</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6"/>
              <w:jc w:val="right"/>
              <w:rPr>
                <w:rFonts w:ascii="宋体" w:hAnsi="宋体" w:cs="宋体" w:eastAsia="宋体" w:hint="default"/>
                <w:sz w:val="18"/>
                <w:szCs w:val="18"/>
              </w:rPr>
            </w:pPr>
            <w:r>
              <w:rPr>
                <w:rFonts w:ascii="宋体" w:hAnsi="宋体" w:cs="宋体" w:eastAsia="宋体" w:hint="default"/>
                <w:sz w:val="18"/>
                <w:szCs w:val="18"/>
              </w:rPr>
              <w:t>免征</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公司所属孙公司</w:t>
            </w:r>
            <w:r>
              <w:rPr>
                <w:rFonts w:ascii="宋体" w:hAnsi="宋体" w:cs="宋体" w:eastAsia="宋体" w:hint="default"/>
                <w:sz w:val="18"/>
                <w:szCs w:val="18"/>
              </w:rPr>
              <w:t>-</w:t>
            </w:r>
            <w:r>
              <w:rPr>
                <w:rFonts w:ascii="宋体" w:hAnsi="宋体" w:cs="宋体" w:eastAsia="宋体" w:hint="default"/>
                <w:sz w:val="18"/>
                <w:szCs w:val="18"/>
              </w:rPr>
              <w:t>西安锐益达风电技术 有限公司的应纳税所得额</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12.5%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宋体" w:hAnsi="宋体" w:cs="宋体" w:eastAsia="宋体" w:hint="default"/>
                <w:sz w:val="18"/>
                <w:szCs w:val="18"/>
              </w:rPr>
              <w:t>-</w:t>
            </w:r>
            <w:r>
              <w:rPr>
                <w:rFonts w:ascii="宋体" w:hAnsi="宋体" w:cs="宋体" w:eastAsia="宋体" w:hint="default"/>
                <w:sz w:val="18"/>
                <w:szCs w:val="18"/>
              </w:rPr>
              <w:t>北京东华合创香港有 限公司的应纳税所得额</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16.5%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除上述公司外的其余公司的应纳税所 得额</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6"/>
              <w:jc w:val="right"/>
              <w:rPr>
                <w:rFonts w:ascii="宋体" w:hAnsi="宋体" w:cs="宋体" w:eastAsia="宋体" w:hint="default"/>
                <w:sz w:val="18"/>
                <w:szCs w:val="18"/>
              </w:rPr>
            </w:pPr>
            <w:r>
              <w:rPr>
                <w:rFonts w:ascii="宋体"/>
                <w:sz w:val="18"/>
              </w:rPr>
              <w:t>25%</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049"/>
        <w:gridCol w:w="3332"/>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实缴增值税、营业税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实缴增值税、营业税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right"/>
              <w:rPr>
                <w:rFonts w:ascii="宋体" w:hAnsi="宋体" w:cs="宋体" w:eastAsia="宋体" w:hint="default"/>
                <w:sz w:val="18"/>
                <w:szCs w:val="18"/>
              </w:rPr>
            </w:pPr>
            <w:r>
              <w:rPr>
                <w:rFonts w:ascii="宋体"/>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right="87"/>
        <w:jc w:val="left"/>
        <w:rPr>
          <w:b w:val="0"/>
          <w:bCs w:val="0"/>
        </w:rPr>
      </w:pPr>
      <w:r>
        <w:rPr>
          <w:rFonts w:ascii="宋体" w:hAnsi="宋体" w:cs="宋体" w:eastAsia="宋体" w:hint="default"/>
        </w:rPr>
        <w:t>2</w:t>
      </w:r>
      <w:r>
        <w:rPr/>
        <w:t>、税收优惠</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87"/>
        <w:jc w:val="left"/>
      </w:pPr>
      <w:r>
        <w:rPr>
          <w:rFonts w:ascii="宋体" w:hAnsi="宋体" w:cs="宋体" w:eastAsia="宋体" w:hint="default"/>
        </w:rPr>
        <w:t>(1)</w:t>
      </w:r>
      <w:r>
        <w:rPr/>
        <w:t>增值税</w:t>
      </w:r>
    </w:p>
    <w:p>
      <w:pPr>
        <w:spacing w:line="240" w:lineRule="auto" w:before="0"/>
        <w:rPr>
          <w:rFonts w:ascii="宋体" w:hAnsi="宋体" w:cs="宋体" w:eastAsia="宋体" w:hint="default"/>
          <w:sz w:val="15"/>
          <w:szCs w:val="15"/>
        </w:rPr>
      </w:pPr>
    </w:p>
    <w:p>
      <w:pPr>
        <w:pStyle w:val="BodyText"/>
        <w:spacing w:line="316" w:lineRule="auto"/>
        <w:ind w:right="182" w:firstLine="360"/>
        <w:jc w:val="left"/>
      </w:pPr>
      <w:r>
        <w:rPr/>
        <w:t>①根据财税</w:t>
      </w:r>
      <w:r>
        <w:rPr>
          <w:rFonts w:ascii="宋体" w:hAnsi="宋体" w:cs="宋体" w:eastAsia="宋体" w:hint="default"/>
        </w:rPr>
        <w:t>[2013]106</w:t>
      </w:r>
      <w:r>
        <w:rPr/>
        <w:t>号文件《营业税改征增值税试点过渡政策的规定》，试点纳税人提供技术转让、技术开发和与之 相关的技术咨询、技术服务免征增值税。公司及所属子公司从事上述业务取得的收入免征增值税。</w:t>
      </w:r>
    </w:p>
    <w:p>
      <w:pPr>
        <w:pStyle w:val="BodyText"/>
        <w:spacing w:line="316" w:lineRule="auto" w:before="139"/>
        <w:ind w:right="101" w:firstLine="360"/>
        <w:jc w:val="left"/>
      </w:pPr>
      <w:r>
        <w:rPr/>
        <w:t>②依据国务院下发的《国务院关于印发进一步鼓励软件产业和集成电路产业发展若干政策的通知》（国发</w:t>
      </w:r>
      <w:r>
        <w:rPr>
          <w:rFonts w:ascii="宋体" w:hAnsi="宋体" w:cs="宋体" w:eastAsia="宋体" w:hint="default"/>
        </w:rPr>
        <w:t>[2011]4</w:t>
      </w:r>
      <w:r>
        <w:rPr/>
        <w:t>号） </w:t>
      </w:r>
      <w:r>
        <w:rPr>
          <w:spacing w:val="-3"/>
        </w:rPr>
        <w:t>的规定，以及财政部、国家税务总局联合下发的《财政部、国家税务总局关于软件产品增值税政策的通知》（财税</w:t>
      </w:r>
      <w:r>
        <w:rPr>
          <w:rFonts w:ascii="宋体" w:hAnsi="宋体" w:cs="宋体" w:eastAsia="宋体" w:hint="default"/>
          <w:spacing w:val="-3"/>
        </w:rPr>
        <w:t>[2011]100</w:t>
      </w:r>
      <w:r>
        <w:rPr>
          <w:rFonts w:ascii="宋体" w:hAnsi="宋体" w:cs="宋体" w:eastAsia="宋体" w:hint="default"/>
          <w:spacing w:val="-86"/>
        </w:rPr>
        <w:t> </w:t>
      </w:r>
      <w:r>
        <w:rPr/>
        <w:t>号）的规定，自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日起，公司及公司的所属子公司</w:t>
      </w:r>
      <w:r>
        <w:rPr>
          <w:rFonts w:ascii="宋体" w:hAnsi="宋体" w:cs="宋体" w:eastAsia="宋体" w:hint="default"/>
        </w:rPr>
        <w:t>-</w:t>
      </w:r>
      <w:r>
        <w:rPr/>
        <w:t>北京东华合创科技有限公司、东华软件工程有限公司、泰安东 </w:t>
      </w:r>
      <w:r>
        <w:rPr>
          <w:spacing w:val="-2"/>
        </w:rPr>
        <w:t>华合创软件有限公司、北京东华信息技术有限公司、西安东华软件有限公司、北京联银通科技有限公司、北京东华厚盾软件</w:t>
      </w:r>
      <w:r>
        <w:rPr>
          <w:spacing w:val="-66"/>
        </w:rPr>
        <w:t> </w:t>
      </w:r>
      <w:r>
        <w:rPr>
          <w:spacing w:val="-66"/>
        </w:rPr>
      </w:r>
      <w:r>
        <w:rPr>
          <w:spacing w:val="-2"/>
        </w:rPr>
        <w:t>有限公司、东华合创软件有限公司，公司所属孙子公司</w:t>
      </w:r>
      <w:r>
        <w:rPr>
          <w:rFonts w:ascii="宋体" w:hAnsi="宋体" w:cs="宋体" w:eastAsia="宋体" w:hint="default"/>
          <w:spacing w:val="-2"/>
        </w:rPr>
        <w:t>-</w:t>
      </w:r>
      <w:r>
        <w:rPr>
          <w:spacing w:val="-2"/>
        </w:rPr>
        <w:t>西安锐益达风电技术有限公司等公司销售自行开发生产的软件产品，</w:t>
      </w:r>
      <w:r>
        <w:rPr>
          <w:spacing w:val="-62"/>
        </w:rPr>
        <w:t> </w:t>
      </w:r>
      <w:r>
        <w:rPr/>
        <w:t>按</w:t>
      </w:r>
      <w:r>
        <w:rPr>
          <w:rFonts w:ascii="宋体" w:hAnsi="宋体" w:cs="宋体" w:eastAsia="宋体" w:hint="default"/>
        </w:rPr>
        <w:t>17%</w:t>
      </w:r>
      <w:r>
        <w:rPr/>
        <w:t>的法定税率征收增值税后，享受增值税实际税负超过</w:t>
      </w:r>
      <w:r>
        <w:rPr>
          <w:rFonts w:ascii="宋体" w:hAnsi="宋体" w:cs="宋体" w:eastAsia="宋体" w:hint="default"/>
        </w:rPr>
        <w:t>3%</w:t>
      </w:r>
      <w:r>
        <w:rPr/>
        <w:t>的部分实行即征即退的优惠政策。</w:t>
      </w:r>
    </w:p>
    <w:p>
      <w:pPr>
        <w:pStyle w:val="BodyText"/>
        <w:spacing w:line="240" w:lineRule="auto" w:before="139"/>
        <w:ind w:left="514" w:right="87"/>
        <w:jc w:val="left"/>
      </w:pPr>
      <w:r>
        <w:rPr>
          <w:rFonts w:ascii="宋体" w:hAnsi="宋体" w:cs="宋体" w:eastAsia="宋体" w:hint="default"/>
        </w:rPr>
        <w:t>(2)</w:t>
      </w:r>
      <w:r>
        <w:rPr/>
        <w:t>企业所得税</w:t>
      </w:r>
    </w:p>
    <w:p>
      <w:pPr>
        <w:spacing w:line="240" w:lineRule="auto" w:before="0"/>
        <w:rPr>
          <w:rFonts w:ascii="宋体" w:hAnsi="宋体" w:cs="宋体" w:eastAsia="宋体" w:hint="default"/>
          <w:sz w:val="15"/>
          <w:szCs w:val="15"/>
        </w:rPr>
      </w:pPr>
    </w:p>
    <w:p>
      <w:pPr>
        <w:pStyle w:val="BodyText"/>
        <w:spacing w:line="316" w:lineRule="auto"/>
        <w:ind w:right="191" w:firstLine="360"/>
        <w:jc w:val="left"/>
      </w:pPr>
      <w:r>
        <w:rPr>
          <w:spacing w:val="-2"/>
        </w:rPr>
        <w:t>①公司通过了</w:t>
      </w:r>
      <w:r>
        <w:rPr>
          <w:rFonts w:ascii="宋体" w:hAnsi="宋体" w:cs="宋体" w:eastAsia="宋体" w:hint="default"/>
          <w:spacing w:val="-2"/>
        </w:rPr>
        <w:t>2014</w:t>
      </w:r>
      <w:r>
        <w:rPr>
          <w:spacing w:val="-2"/>
        </w:rPr>
        <w:t>年高新技术企业复审，并收到北京市科学技术委员会、北京市财政局、北京市国家税务局、北京市地</w:t>
      </w:r>
      <w:r>
        <w:rPr/>
        <w:t> 方税务局联合下发的高新技术企业证书，证书编号：</w:t>
      </w:r>
      <w:r>
        <w:rPr>
          <w:rFonts w:ascii="宋体" w:hAnsi="宋体" w:cs="宋体" w:eastAsia="宋体" w:hint="default"/>
        </w:rPr>
        <w:t>GF201411002855 </w:t>
      </w:r>
      <w:r>
        <w:rPr/>
        <w:t>，有效期三年。根据相关规定，通过高新技术企业复 </w:t>
      </w:r>
      <w:r>
        <w:rPr>
          <w:spacing w:val="-2"/>
        </w:rPr>
        <w:t>审后，自</w:t>
      </w:r>
      <w:r>
        <w:rPr>
          <w:rFonts w:ascii="宋体" w:hAnsi="宋体" w:cs="宋体" w:eastAsia="宋体" w:hint="default"/>
          <w:spacing w:val="-2"/>
        </w:rPr>
        <w:t>2014</w:t>
      </w:r>
      <w:r>
        <w:rPr>
          <w:spacing w:val="-2"/>
        </w:rPr>
        <w:t>年起，连续三年继续享受国家关于高新技术企业的相关优惠政策。另外，根据国家发展和改革委员会、工业和</w:t>
      </w:r>
      <w:r>
        <w:rPr>
          <w:spacing w:val="-62"/>
        </w:rPr>
        <w:t> </w:t>
      </w:r>
      <w:r>
        <w:rPr>
          <w:spacing w:val="-62"/>
        </w:rPr>
      </w:r>
      <w:r>
        <w:rPr/>
        <w:t>信息化部、财政部、商务部、国家税务总局于</w:t>
      </w:r>
      <w:r>
        <w:rPr>
          <w:rFonts w:ascii="宋体" w:hAnsi="宋体" w:cs="宋体" w:eastAsia="宋体" w:hint="default"/>
        </w:rPr>
        <w:t>2013</w:t>
      </w:r>
      <w:r>
        <w:rPr/>
        <w:t>年</w:t>
      </w:r>
      <w:r>
        <w:rPr>
          <w:rFonts w:ascii="宋体" w:hAnsi="宋体" w:cs="宋体" w:eastAsia="宋体" w:hint="default"/>
        </w:rPr>
        <w:t>12</w:t>
      </w:r>
      <w:r>
        <w:rPr/>
        <w:t>月联合下发的国家规划布局内重点软件企业证书，公司被认定为 </w:t>
      </w:r>
      <w:r>
        <w:rPr>
          <w:rFonts w:ascii="宋体" w:hAnsi="宋体" w:cs="宋体" w:eastAsia="宋体" w:hint="default"/>
        </w:rPr>
        <w:t>2013-2014 </w:t>
      </w:r>
      <w:r>
        <w:rPr/>
        <w:t>年度国家规划布局内重点软件企业， 根据《财政部、国家税务总局关于企业所得税若干优惠政策的通知》（财 税</w:t>
      </w:r>
      <w:r>
        <w:rPr>
          <w:rFonts w:ascii="宋体" w:hAnsi="宋体" w:cs="宋体" w:eastAsia="宋体" w:hint="default"/>
        </w:rPr>
        <w:t>[2008]1</w:t>
      </w:r>
      <w:r>
        <w:rPr/>
        <w:t>号）的规定，公司</w:t>
      </w:r>
      <w:r>
        <w:rPr>
          <w:rFonts w:ascii="宋体" w:hAnsi="宋体" w:cs="宋体" w:eastAsia="宋体" w:hint="default"/>
        </w:rPr>
        <w:t>2014</w:t>
      </w:r>
      <w:r>
        <w:rPr/>
        <w:t>年度减按</w:t>
      </w:r>
      <w:r>
        <w:rPr>
          <w:rFonts w:ascii="宋体" w:hAnsi="宋体" w:cs="宋体" w:eastAsia="宋体" w:hint="default"/>
        </w:rPr>
        <w:t>10%</w:t>
      </w:r>
      <w:r>
        <w:rPr/>
        <w:t>的税率缴纳企业所得税。</w:t>
      </w:r>
    </w:p>
    <w:p>
      <w:pPr>
        <w:pStyle w:val="BodyText"/>
        <w:spacing w:line="316" w:lineRule="auto" w:before="139"/>
        <w:ind w:right="109" w:firstLine="360"/>
        <w:jc w:val="both"/>
      </w:pPr>
      <w:r>
        <w:rPr/>
        <w:t>②公司所属子公司</w:t>
      </w:r>
      <w:r>
        <w:rPr>
          <w:rFonts w:ascii="宋体" w:hAnsi="宋体" w:cs="宋体" w:eastAsia="宋体" w:hint="default"/>
        </w:rPr>
        <w:t>-</w:t>
      </w:r>
      <w:r>
        <w:rPr/>
        <w:t>东华软件工程有限公司于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24</w:t>
      </w:r>
      <w:r>
        <w:rPr/>
        <w:t>日被认定为软件企业，根据《财政部、国家税务总局关于企 业所得税若干优惠政策的通知》（财税〔</w:t>
      </w:r>
      <w:r>
        <w:rPr>
          <w:rFonts w:ascii="宋体" w:hAnsi="宋体" w:cs="宋体" w:eastAsia="宋体" w:hint="default"/>
        </w:rPr>
        <w:t>2008</w:t>
      </w:r>
      <w:r>
        <w:rPr/>
        <w:t>〕</w:t>
      </w:r>
      <w:r>
        <w:rPr>
          <w:rFonts w:ascii="宋体" w:hAnsi="宋体" w:cs="宋体" w:eastAsia="宋体" w:hint="default"/>
        </w:rPr>
        <w:t>1</w:t>
      </w:r>
      <w:r>
        <w:rPr/>
        <w:t>号）的规定，我国境内新办软件生产企业经认定后，自获利年度起，第一 年和第二年免征企业所得税，第三年至第五年减半征收企业所得税。东华软件工程有限公司</w:t>
      </w:r>
      <w:r>
        <w:rPr>
          <w:rFonts w:ascii="宋体" w:hAnsi="宋体" w:cs="宋体" w:eastAsia="宋体" w:hint="default"/>
        </w:rPr>
        <w:t>2014</w:t>
      </w:r>
      <w:r>
        <w:rPr/>
        <w:t>年度减半征收企业所得税。</w:t>
      </w:r>
    </w:p>
    <w:p>
      <w:pPr>
        <w:pStyle w:val="BodyText"/>
        <w:spacing w:line="316" w:lineRule="auto" w:before="139"/>
        <w:ind w:right="189" w:firstLine="360"/>
        <w:jc w:val="both"/>
      </w:pPr>
      <w:r>
        <w:rPr/>
        <w:t>③公司所属子公司</w:t>
      </w:r>
      <w:r>
        <w:rPr>
          <w:rFonts w:ascii="宋体" w:hAnsi="宋体" w:cs="宋体" w:eastAsia="宋体" w:hint="default"/>
        </w:rPr>
        <w:t>-</w:t>
      </w:r>
      <w:r>
        <w:rPr/>
        <w:t>泰安东华合创软件有限公司</w:t>
      </w:r>
      <w:r>
        <w:rPr>
          <w:rFonts w:ascii="宋体" w:hAnsi="宋体" w:cs="宋体" w:eastAsia="宋体" w:hint="default"/>
        </w:rPr>
        <w:t>2013</w:t>
      </w:r>
      <w:r>
        <w:rPr/>
        <w:t>年被认定为高新技术企业，并收到山东省科学技术厅、山东省财政 </w:t>
      </w:r>
      <w:r>
        <w:rPr>
          <w:spacing w:val="-2"/>
        </w:rPr>
        <w:t>厅、山东省国家税务局、山东省地方税务局联合下发的高新技术企业证书，证书编号：</w:t>
      </w:r>
      <w:r>
        <w:rPr>
          <w:rFonts w:ascii="宋体" w:hAnsi="宋体" w:cs="宋体" w:eastAsia="宋体" w:hint="default"/>
          <w:spacing w:val="-2"/>
        </w:rPr>
        <w:t>GR201337000487</w:t>
      </w:r>
      <w:r>
        <w:rPr>
          <w:spacing w:val="-2"/>
        </w:rPr>
        <w:t>，有效期三年。根据</w:t>
      </w:r>
      <w:r>
        <w:rPr>
          <w:spacing w:val="-53"/>
        </w:rPr>
        <w:t> </w:t>
      </w:r>
      <w:r>
        <w:rPr>
          <w:spacing w:val="-53"/>
        </w:rPr>
      </w:r>
      <w:r>
        <w:rPr>
          <w:spacing w:val="-4"/>
        </w:rPr>
        <w:t>相关规定，通过高新技术企业认定后，自</w:t>
      </w:r>
      <w:r>
        <w:rPr>
          <w:rFonts w:ascii="宋体" w:hAnsi="宋体" w:cs="宋体" w:eastAsia="宋体" w:hint="default"/>
          <w:spacing w:val="-4"/>
        </w:rPr>
        <w:t>2013</w:t>
      </w:r>
      <w:r>
        <w:rPr>
          <w:spacing w:val="-4"/>
        </w:rPr>
        <w:t>年起，连续三年享受国家关于高新技术企业的相关优惠政策，企业所得税按</w:t>
      </w:r>
      <w:r>
        <w:rPr>
          <w:rFonts w:ascii="宋体" w:hAnsi="宋体" w:cs="宋体" w:eastAsia="宋体" w:hint="default"/>
          <w:spacing w:val="-4"/>
        </w:rPr>
        <w:t>15%</w:t>
      </w:r>
      <w:r>
        <w:rPr>
          <w:rFonts w:ascii="宋体" w:hAnsi="宋体" w:cs="宋体" w:eastAsia="宋体" w:hint="default"/>
          <w:spacing w:val="-34"/>
        </w:rPr>
        <w:t> </w:t>
      </w:r>
      <w:r>
        <w:rPr/>
        <w:t>的税率征收。</w:t>
      </w:r>
    </w:p>
    <w:p>
      <w:pPr>
        <w:pStyle w:val="BodyText"/>
        <w:spacing w:line="316" w:lineRule="auto" w:before="139"/>
        <w:ind w:right="192" w:firstLine="360"/>
        <w:jc w:val="both"/>
      </w:pPr>
      <w:r>
        <w:rPr/>
        <w:t>④公司所属子公司</w:t>
      </w:r>
      <w:r>
        <w:rPr>
          <w:rFonts w:ascii="宋体" w:hAnsi="宋体" w:cs="宋体" w:eastAsia="宋体" w:hint="default"/>
        </w:rPr>
        <w:t>-</w:t>
      </w:r>
      <w:r>
        <w:rPr/>
        <w:t>北京东华合创科技有限公司通过了</w:t>
      </w:r>
      <w:r>
        <w:rPr>
          <w:rFonts w:ascii="宋体" w:hAnsi="宋体" w:cs="宋体" w:eastAsia="宋体" w:hint="default"/>
        </w:rPr>
        <w:t>2014</w:t>
      </w:r>
      <w:r>
        <w:rPr/>
        <w:t>年高新技术企业复审，并收到北京市科学技术委员会、北京 市财政局、北京市国家税务局、北京市地方税务局联合下发的高新技术企业证书，证书编号：</w:t>
      </w:r>
      <w:r>
        <w:rPr>
          <w:rFonts w:ascii="宋体" w:hAnsi="宋体" w:cs="宋体" w:eastAsia="宋体" w:hint="default"/>
        </w:rPr>
        <w:t>GF201411003110 </w:t>
      </w:r>
      <w:r>
        <w:rPr/>
        <w:t>，有效期三 </w:t>
      </w:r>
      <w:r>
        <w:rPr>
          <w:spacing w:val="-2"/>
        </w:rPr>
        <w:t>年。根据相关规定，通过高新技术企业复审后，自</w:t>
      </w:r>
      <w:r>
        <w:rPr>
          <w:rFonts w:ascii="宋体" w:hAnsi="宋体" w:cs="宋体" w:eastAsia="宋体" w:hint="default"/>
          <w:spacing w:val="-2"/>
        </w:rPr>
        <w:t>2014</w:t>
      </w:r>
      <w:r>
        <w:rPr>
          <w:spacing w:val="-2"/>
        </w:rPr>
        <w:t>年起，连续三年继续享受国家关于高新技术企业的相关优惠政策，企</w:t>
      </w:r>
      <w:r>
        <w:rPr>
          <w:spacing w:val="-62"/>
        </w:rPr>
        <w:t> </w:t>
      </w:r>
      <w:r>
        <w:rPr>
          <w:spacing w:val="-62"/>
        </w:rPr>
      </w:r>
      <w:r>
        <w:rPr/>
        <w:t>业所得税按</w:t>
      </w:r>
      <w:r>
        <w:rPr>
          <w:rFonts w:ascii="宋体" w:hAnsi="宋体" w:cs="宋体" w:eastAsia="宋体" w:hint="default"/>
        </w:rPr>
        <w:t>15%</w:t>
      </w:r>
      <w:r>
        <w:rPr/>
        <w:t>的税率征收。</w:t>
      </w:r>
    </w:p>
    <w:p>
      <w:pPr>
        <w:pStyle w:val="BodyText"/>
        <w:spacing w:line="316" w:lineRule="auto" w:before="139"/>
        <w:ind w:right="133" w:firstLine="360"/>
        <w:jc w:val="left"/>
      </w:pPr>
      <w:r>
        <w:rPr/>
        <w:t>⑤公司所属子公司</w:t>
      </w:r>
      <w:r>
        <w:rPr>
          <w:rFonts w:ascii="宋体" w:hAnsi="宋体" w:cs="宋体" w:eastAsia="宋体" w:hint="default"/>
        </w:rPr>
        <w:t>-</w:t>
      </w:r>
      <w:r>
        <w:rPr/>
        <w:t>北京联银通科技有限公司通过了</w:t>
      </w:r>
      <w:r>
        <w:rPr>
          <w:rFonts w:ascii="宋体" w:hAnsi="宋体" w:cs="宋体" w:eastAsia="宋体" w:hint="default"/>
        </w:rPr>
        <w:t>2014</w:t>
      </w:r>
      <w:r>
        <w:rPr/>
        <w:t>年高新技术企业复审，并收到北京市科学技术委员会、北京市 财政局、北京市国家税务局、北京市地方税务局联合下发的高新技术企业证书，证书编号：</w:t>
      </w:r>
      <w:r>
        <w:rPr>
          <w:rFonts w:ascii="宋体" w:hAnsi="宋体" w:cs="宋体" w:eastAsia="宋体" w:hint="default"/>
        </w:rPr>
        <w:t>GF201411000781</w:t>
      </w:r>
      <w:r>
        <w:rPr>
          <w:rFonts w:ascii="宋体" w:hAnsi="宋体" w:cs="宋体" w:eastAsia="宋体" w:hint="default"/>
          <w:spacing w:val="-58"/>
        </w:rPr>
        <w:t> </w:t>
      </w:r>
      <w:r>
        <w:rPr>
          <w:spacing w:val="-3"/>
        </w:rPr>
        <w:t>，有效期三年。</w:t>
      </w:r>
      <w:r>
        <w:rPr/>
        <w:t> </w:t>
      </w:r>
      <w:r>
        <w:rPr>
          <w:spacing w:val="-2"/>
        </w:rPr>
        <w:t>根据相关规定，通过高新技术企业复审后，自</w:t>
      </w:r>
      <w:r>
        <w:rPr>
          <w:rFonts w:ascii="宋体" w:hAnsi="宋体" w:cs="宋体" w:eastAsia="宋体" w:hint="default"/>
          <w:spacing w:val="-2"/>
        </w:rPr>
        <w:t>2014</w:t>
      </w:r>
      <w:r>
        <w:rPr>
          <w:spacing w:val="-2"/>
        </w:rPr>
        <w:t>年起，连续三年继续享受国家关于高新技术企业的相关优惠政策，企业所</w:t>
      </w:r>
      <w:r>
        <w:rPr>
          <w:spacing w:val="-62"/>
        </w:rPr>
        <w:t> </w:t>
      </w:r>
      <w:r>
        <w:rPr>
          <w:spacing w:val="-62"/>
        </w:rPr>
      </w:r>
      <w:r>
        <w:rPr/>
        <w:t>得税按</w:t>
      </w:r>
      <w:r>
        <w:rPr>
          <w:rFonts w:ascii="宋体" w:hAnsi="宋体" w:cs="宋体" w:eastAsia="宋体" w:hint="default"/>
        </w:rPr>
        <w:t>15%</w:t>
      </w:r>
      <w:r>
        <w:rPr/>
        <w:t>的税率征收。</w:t>
      </w:r>
    </w:p>
    <w:p>
      <w:pPr>
        <w:pStyle w:val="BodyText"/>
        <w:spacing w:line="316" w:lineRule="auto" w:before="139"/>
        <w:ind w:right="98" w:firstLine="360"/>
        <w:jc w:val="left"/>
      </w:pPr>
      <w:r>
        <w:rPr/>
        <w:t>⑥公司所属子公司</w:t>
      </w:r>
      <w:r>
        <w:rPr>
          <w:rFonts w:ascii="宋体" w:hAnsi="宋体" w:cs="宋体" w:eastAsia="宋体" w:hint="default"/>
        </w:rPr>
        <w:t>-</w:t>
      </w:r>
      <w:r>
        <w:rPr/>
        <w:t>北京神州新桥科技有限公司通过了</w:t>
      </w:r>
      <w:r>
        <w:rPr>
          <w:rFonts w:ascii="宋体" w:hAnsi="宋体" w:cs="宋体" w:eastAsia="宋体" w:hint="default"/>
        </w:rPr>
        <w:t>2014</w:t>
      </w:r>
      <w:r>
        <w:rPr/>
        <w:t>年高新技术企业复审，并收到北京市科学技术委员会、北京 </w:t>
      </w:r>
      <w:r>
        <w:rPr>
          <w:spacing w:val="-3"/>
        </w:rPr>
        <w:t>市财政局、北京市国家税务局、北京市地方税务局联合下发的高新技术企业证书，证书编号：</w:t>
      </w:r>
      <w:r>
        <w:rPr>
          <w:rFonts w:ascii="宋体" w:hAnsi="宋体" w:cs="宋体" w:eastAsia="宋体" w:hint="default"/>
          <w:spacing w:val="-3"/>
        </w:rPr>
        <w:t>GF201411002570</w:t>
      </w:r>
      <w:r>
        <w:rPr>
          <w:spacing w:val="-3"/>
        </w:rPr>
        <w:t>，有效期三年。</w:t>
      </w:r>
      <w:r>
        <w:rPr>
          <w:spacing w:val="-78"/>
        </w:rPr>
        <w:t> </w:t>
      </w:r>
      <w:r>
        <w:rPr>
          <w:spacing w:val="-78"/>
        </w:rPr>
      </w:r>
      <w:r>
        <w:rPr>
          <w:spacing w:val="-2"/>
        </w:rPr>
        <w:t>根据相关规定，通过高新技术企业复审后，自</w:t>
      </w:r>
      <w:r>
        <w:rPr>
          <w:rFonts w:ascii="宋体" w:hAnsi="宋体" w:cs="宋体" w:eastAsia="宋体" w:hint="default"/>
          <w:spacing w:val="-2"/>
        </w:rPr>
        <w:t>2014</w:t>
      </w:r>
      <w:r>
        <w:rPr>
          <w:spacing w:val="-2"/>
        </w:rPr>
        <w:t>年起，连续三年继续享受国家关于高新技术企业的相关优惠政策，企业所</w:t>
      </w:r>
      <w:r>
        <w:rPr>
          <w:spacing w:val="-62"/>
        </w:rPr>
        <w:t> </w:t>
      </w:r>
      <w:r>
        <w:rPr>
          <w:spacing w:val="-62"/>
        </w:rPr>
      </w:r>
      <w:r>
        <w:rPr/>
        <w:t>得税按</w:t>
      </w:r>
      <w:r>
        <w:rPr>
          <w:rFonts w:ascii="宋体" w:hAnsi="宋体" w:cs="宋体" w:eastAsia="宋体" w:hint="default"/>
        </w:rPr>
        <w:t>15%</w:t>
      </w:r>
      <w:r>
        <w:rPr/>
        <w:t>的税率征收。</w:t>
      </w:r>
    </w:p>
    <w:p>
      <w:pPr>
        <w:spacing w:after="0" w:line="316" w:lineRule="auto"/>
        <w:jc w:val="left"/>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51" w:firstLine="360"/>
        <w:jc w:val="both"/>
      </w:pPr>
      <w:r>
        <w:rPr/>
        <w:t>⑦公司所属子公司</w:t>
      </w:r>
      <w:r>
        <w:rPr>
          <w:rFonts w:ascii="宋体" w:hAnsi="宋体" w:cs="宋体" w:eastAsia="宋体" w:hint="default"/>
        </w:rPr>
        <w:t>-</w:t>
      </w:r>
      <w:r>
        <w:rPr/>
        <w:t>北京威锐达测控系统有限公司通过了</w:t>
      </w:r>
      <w:r>
        <w:rPr>
          <w:rFonts w:ascii="宋体" w:hAnsi="宋体" w:cs="宋体" w:eastAsia="宋体" w:hint="default"/>
        </w:rPr>
        <w:t>2014</w:t>
      </w:r>
      <w:r>
        <w:rPr/>
        <w:t>年高新技术企业认证，并收到北京市科学技术委员会、北 </w:t>
      </w:r>
      <w:r>
        <w:rPr>
          <w:spacing w:val="-2"/>
        </w:rPr>
        <w:t>京市财政局、北京市国家税务局、北京市地方税务局联合下发的高新技术企业证书，证书编号：</w:t>
      </w:r>
      <w:r>
        <w:rPr>
          <w:rFonts w:ascii="宋体" w:hAnsi="宋体" w:cs="宋体" w:eastAsia="宋体" w:hint="default"/>
          <w:spacing w:val="-2"/>
        </w:rPr>
        <w:t>GR201411002284</w:t>
      </w:r>
      <w:r>
        <w:rPr>
          <w:spacing w:val="-2"/>
        </w:rPr>
        <w:t>，有效期三</w:t>
      </w:r>
      <w:r>
        <w:rPr>
          <w:spacing w:val="-51"/>
        </w:rPr>
        <w:t> </w:t>
      </w:r>
      <w:r>
        <w:rPr>
          <w:spacing w:val="-51"/>
        </w:rPr>
      </w:r>
      <w:r>
        <w:rPr>
          <w:spacing w:val="-2"/>
        </w:rPr>
        <w:t>年。根据相关规定，通过高新技术企业复审后，自</w:t>
      </w:r>
      <w:r>
        <w:rPr>
          <w:rFonts w:ascii="宋体" w:hAnsi="宋体" w:cs="宋体" w:eastAsia="宋体" w:hint="default"/>
          <w:spacing w:val="-2"/>
        </w:rPr>
        <w:t>2014</w:t>
      </w:r>
      <w:r>
        <w:rPr>
          <w:spacing w:val="-2"/>
        </w:rPr>
        <w:t>年起，连续三年享受国家关于高新技术企业的相关优惠政策，企业所</w:t>
      </w:r>
      <w:r>
        <w:rPr>
          <w:spacing w:val="-62"/>
        </w:rPr>
        <w:t> </w:t>
      </w:r>
      <w:r>
        <w:rPr>
          <w:spacing w:val="-62"/>
        </w:rPr>
      </w:r>
      <w:r>
        <w:rPr/>
        <w:t>得税按</w:t>
      </w:r>
      <w:r>
        <w:rPr>
          <w:rFonts w:ascii="宋体" w:hAnsi="宋体" w:cs="宋体" w:eastAsia="宋体" w:hint="default"/>
        </w:rPr>
        <w:t>15%</w:t>
      </w:r>
      <w:r>
        <w:rPr/>
        <w:t>的税率征收。</w:t>
      </w:r>
    </w:p>
    <w:p>
      <w:pPr>
        <w:pStyle w:val="BodyText"/>
        <w:spacing w:line="316" w:lineRule="auto" w:before="139"/>
        <w:ind w:right="152" w:firstLine="360"/>
        <w:jc w:val="both"/>
      </w:pPr>
      <w:r>
        <w:rPr>
          <w:spacing w:val="-2"/>
        </w:rPr>
        <w:t>⑧公司所属子公司</w:t>
      </w:r>
      <w:r>
        <w:rPr>
          <w:rFonts w:ascii="宋体" w:hAnsi="宋体" w:cs="宋体" w:eastAsia="宋体" w:hint="default"/>
          <w:spacing w:val="-2"/>
        </w:rPr>
        <w:t>-</w:t>
      </w:r>
      <w:r>
        <w:rPr>
          <w:spacing w:val="-2"/>
        </w:rPr>
        <w:t>西安东华软件有限公司于</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19</w:t>
      </w:r>
      <w:r>
        <w:rPr>
          <w:spacing w:val="-2"/>
        </w:rPr>
        <w:t>日被认定为软件企业，根据《财政部、国家税务总局关于企业</w:t>
      </w:r>
      <w:r>
        <w:rPr/>
        <w:t> 所得税若干优惠政策的通知》（财税〔</w:t>
      </w:r>
      <w:r>
        <w:rPr>
          <w:rFonts w:ascii="宋体" w:hAnsi="宋体" w:cs="宋体" w:eastAsia="宋体" w:hint="default"/>
        </w:rPr>
        <w:t>2008</w:t>
      </w:r>
      <w:r>
        <w:rPr/>
        <w:t>〕</w:t>
      </w:r>
      <w:r>
        <w:rPr>
          <w:rFonts w:ascii="宋体" w:hAnsi="宋体" w:cs="宋体" w:eastAsia="宋体" w:hint="default"/>
        </w:rPr>
        <w:t>1</w:t>
      </w:r>
      <w:r>
        <w:rPr/>
        <w:t>号）的规定，我国境内新办软件生产企业经认定后，自获利年度起，第一年 和第二年免征企业所得税，第三年至第五年减半征收企业所得税。西安东华软件有限公司</w:t>
      </w:r>
      <w:r>
        <w:rPr>
          <w:rFonts w:ascii="宋体" w:hAnsi="宋体" w:cs="宋体" w:eastAsia="宋体" w:hint="default"/>
        </w:rPr>
        <w:t>2014</w:t>
      </w:r>
      <w:r>
        <w:rPr/>
        <w:t>年度免征企业所得税。</w:t>
      </w:r>
    </w:p>
    <w:p>
      <w:pPr>
        <w:pStyle w:val="BodyText"/>
        <w:spacing w:line="316" w:lineRule="auto" w:before="139"/>
        <w:ind w:right="0" w:firstLine="360"/>
        <w:jc w:val="left"/>
      </w:pPr>
      <w:r>
        <w:rPr/>
        <w:t>⑨公司所属子公司</w:t>
      </w:r>
      <w:r>
        <w:rPr>
          <w:rFonts w:ascii="宋体" w:hAnsi="宋体" w:cs="宋体" w:eastAsia="宋体" w:hint="default"/>
        </w:rPr>
        <w:t>-</w:t>
      </w:r>
      <w:r>
        <w:rPr/>
        <w:t>天津东华博雅软件有限公司于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30</w:t>
      </w:r>
      <w:r>
        <w:rPr/>
        <w:t>日经天津市滨海高新技术产业开发区国家税务局审核批 </w:t>
      </w:r>
      <w:r>
        <w:rPr>
          <w:spacing w:val="-2"/>
        </w:rPr>
        <w:t>准，享受新办软件企业</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日免征企业所得税，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日企业所得税减半征</w:t>
      </w:r>
      <w:r>
        <w:rPr>
          <w:spacing w:val="-36"/>
        </w:rPr>
        <w:t> </w:t>
      </w:r>
      <w:r>
        <w:rPr/>
        <w:t>收的优惠政策。</w:t>
      </w:r>
    </w:p>
    <w:p>
      <w:pPr>
        <w:pStyle w:val="BodyText"/>
        <w:spacing w:line="316" w:lineRule="auto" w:before="139"/>
        <w:ind w:right="152" w:firstLine="360"/>
        <w:jc w:val="both"/>
      </w:pPr>
      <w:r>
        <w:rPr/>
        <w:t>⑩公司所属孙公司</w:t>
      </w:r>
      <w:r>
        <w:rPr>
          <w:rFonts w:ascii="宋体" w:hAnsi="宋体" w:cs="宋体" w:eastAsia="宋体" w:hint="default"/>
        </w:rPr>
        <w:t>-</w:t>
      </w:r>
      <w:r>
        <w:rPr/>
        <w:t>西安锐益达风电技术有限公司于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6</w:t>
      </w:r>
      <w:r>
        <w:rPr/>
        <w:t>日被认定为软件企业，根据《财政部、国家税务总局关 于企业所得税若干优惠政策的通知》（财税〔</w:t>
      </w:r>
      <w:r>
        <w:rPr>
          <w:rFonts w:ascii="宋体" w:hAnsi="宋体" w:cs="宋体" w:eastAsia="宋体" w:hint="default"/>
        </w:rPr>
        <w:t>2008</w:t>
      </w:r>
      <w:r>
        <w:rPr/>
        <w:t>〕</w:t>
      </w:r>
      <w:r>
        <w:rPr>
          <w:rFonts w:ascii="宋体" w:hAnsi="宋体" w:cs="宋体" w:eastAsia="宋体" w:hint="default"/>
        </w:rPr>
        <w:t>1</w:t>
      </w:r>
      <w:r>
        <w:rPr/>
        <w:t>号）的规定，我国境内新办软件生产企业经认定后，自获利年度起， </w:t>
      </w:r>
      <w:r>
        <w:rPr>
          <w:spacing w:val="-5"/>
        </w:rPr>
        <w:t>第一年和第二年免征企业所得税，第三年至第五年减半征收企业所得税。根据西安高新技术产业开发区国家税务局下发的《企</w:t>
      </w:r>
      <w:r>
        <w:rPr>
          <w:spacing w:val="-78"/>
        </w:rPr>
        <w:t> </w:t>
      </w:r>
      <w:r>
        <w:rPr>
          <w:spacing w:val="-78"/>
        </w:rPr>
      </w:r>
      <w:r>
        <w:rPr/>
        <w:t>业所得税优惠政策备案通知书》（西高国税备字</w:t>
      </w:r>
      <w:r>
        <w:rPr>
          <w:rFonts w:ascii="宋体" w:hAnsi="宋体" w:cs="宋体" w:eastAsia="宋体" w:hint="default"/>
        </w:rPr>
        <w:t>[2014]012</w:t>
      </w:r>
      <w:r>
        <w:rPr/>
        <w:t>号），西安锐益达风电技术有限公司</w:t>
      </w:r>
      <w:r>
        <w:rPr>
          <w:rFonts w:ascii="宋体" w:hAnsi="宋体" w:cs="宋体" w:eastAsia="宋体" w:hint="default"/>
        </w:rPr>
        <w:t>2014</w:t>
      </w:r>
      <w:r>
        <w:rPr/>
        <w:t>年度减半征收企业所得 税。</w:t>
      </w:r>
    </w:p>
    <w:p>
      <w:pPr>
        <w:pStyle w:val="BodyText"/>
        <w:spacing w:line="316" w:lineRule="auto" w:before="139"/>
        <w:ind w:right="161" w:firstLine="360"/>
        <w:jc w:val="both"/>
      </w:pPr>
      <w:r>
        <w:rPr>
          <w:rFonts w:ascii="MS Gothic" w:hAnsi="MS Gothic" w:cs="MS Gothic" w:eastAsia="MS Gothic" w:hint="default"/>
        </w:rPr>
        <w:t>⑪</w:t>
      </w:r>
      <w:r>
        <w:rPr/>
        <w:t>公司所属子公司</w:t>
      </w:r>
      <w:r>
        <w:rPr>
          <w:rFonts w:ascii="宋体" w:hAnsi="宋体" w:cs="宋体" w:eastAsia="宋体" w:hint="default"/>
        </w:rPr>
        <w:t>-</w:t>
      </w:r>
      <w:r>
        <w:rPr/>
        <w:t>北京东华合创香港有限公司系在中国香港特别行政区注册的企业，按照属地原则按规定缴纳企业所 得税，北京东华合创香港有限公司</w:t>
      </w:r>
      <w:r>
        <w:rPr>
          <w:rFonts w:ascii="宋体" w:hAnsi="宋体" w:cs="宋体" w:eastAsia="宋体" w:hint="default"/>
        </w:rPr>
        <w:t>2014</w:t>
      </w:r>
      <w:r>
        <w:rPr/>
        <w:t>年度所得税税率为</w:t>
      </w:r>
      <w:r>
        <w:rPr>
          <w:rFonts w:ascii="宋体" w:hAnsi="宋体" w:cs="宋体" w:eastAsia="宋体" w:hint="default"/>
        </w:rPr>
        <w:t>16.5%</w:t>
      </w:r>
      <w:r>
        <w:rPr/>
        <w:t>。</w:t>
      </w:r>
    </w:p>
    <w:p>
      <w:pPr>
        <w:spacing w:line="240" w:lineRule="auto" w:before="7"/>
        <w:rPr>
          <w:rFonts w:ascii="宋体" w:hAnsi="宋体" w:cs="宋体" w:eastAsia="宋体" w:hint="default"/>
          <w:sz w:val="22"/>
          <w:szCs w:val="22"/>
        </w:rPr>
      </w:pPr>
    </w:p>
    <w:p>
      <w:pPr>
        <w:spacing w:line="501" w:lineRule="auto" w:before="0"/>
        <w:ind w:left="154" w:right="635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35"/>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1,368,704.77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2,132,008.65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1,086,030,097.79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1,184,605,357.61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9,016,286.29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114,864,015.45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1,096,415,088.85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1,301,601,381.71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2,394,508.80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1,660,319.64</w:t>
            </w:r>
          </w:p>
        </w:tc>
      </w:tr>
    </w:tbl>
    <w:p>
      <w:pPr>
        <w:spacing w:line="240" w:lineRule="auto" w:before="8"/>
        <w:rPr>
          <w:rFonts w:ascii="宋体" w:hAnsi="宋体" w:cs="宋体" w:eastAsia="宋体" w:hint="default"/>
          <w:sz w:val="6"/>
          <w:szCs w:val="6"/>
        </w:rPr>
      </w:pPr>
    </w:p>
    <w:p>
      <w:pPr>
        <w:pStyle w:val="BodyText"/>
        <w:spacing w:line="240" w:lineRule="auto" w:before="44"/>
        <w:ind w:right="0"/>
        <w:jc w:val="left"/>
      </w:pPr>
      <w:r>
        <w:rPr/>
        <w:t>其中，受限制的货币资金明细如下：</w:t>
      </w:r>
    </w:p>
    <w:p>
      <w:pPr>
        <w:spacing w:line="240" w:lineRule="auto" w:before="5"/>
        <w:rPr>
          <w:rFonts w:ascii="宋体" w:hAnsi="宋体" w:cs="宋体" w:eastAsia="宋体" w:hint="default"/>
          <w:sz w:val="15"/>
          <w:szCs w:val="15"/>
        </w:rPr>
      </w:pPr>
    </w:p>
    <w:tbl>
      <w:tblPr>
        <w:tblW w:w="0" w:type="auto"/>
        <w:jc w:val="left"/>
        <w:tblInd w:w="144" w:type="dxa"/>
        <w:tblLayout w:type="fixed"/>
        <w:tblCellMar>
          <w:top w:w="0" w:type="dxa"/>
          <w:left w:w="0" w:type="dxa"/>
          <w:bottom w:w="0" w:type="dxa"/>
          <w:right w:w="0" w:type="dxa"/>
        </w:tblCellMar>
        <w:tblLook w:val="01E0"/>
      </w:tblPr>
      <w:tblGrid>
        <w:gridCol w:w="3456"/>
        <w:gridCol w:w="2696"/>
        <w:gridCol w:w="3347"/>
      </w:tblGrid>
      <w:tr>
        <w:trPr>
          <w:trHeight w:val="337" w:hRule="exact"/>
        </w:trPr>
        <w:tc>
          <w:tcPr>
            <w:tcW w:w="345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right="1537"/>
              <w:jc w:val="right"/>
              <w:rPr>
                <w:rFonts w:ascii="宋体" w:hAnsi="宋体" w:cs="宋体" w:eastAsia="宋体" w:hint="default"/>
                <w:sz w:val="18"/>
                <w:szCs w:val="18"/>
              </w:rPr>
            </w:pPr>
            <w:r>
              <w:rPr>
                <w:rFonts w:ascii="宋体" w:hAnsi="宋体" w:cs="宋体" w:eastAsia="宋体" w:hint="default"/>
                <w:sz w:val="18"/>
                <w:szCs w:val="18"/>
              </w:rPr>
              <w:t>项目</w:t>
            </w:r>
          </w:p>
        </w:tc>
        <w:tc>
          <w:tcPr>
            <w:tcW w:w="269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47"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45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6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8,000,000.00</w:t>
            </w:r>
          </w:p>
        </w:tc>
        <w:tc>
          <w:tcPr>
            <w:tcW w:w="334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11,750,553.45</w:t>
            </w:r>
          </w:p>
        </w:tc>
      </w:tr>
      <w:tr>
        <w:trPr>
          <w:trHeight w:val="352" w:hRule="exact"/>
        </w:trPr>
        <w:tc>
          <w:tcPr>
            <w:tcW w:w="345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694,041.62</w:t>
            </w:r>
          </w:p>
        </w:tc>
        <w:tc>
          <w:tcPr>
            <w:tcW w:w="33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739,288.82</w:t>
            </w:r>
          </w:p>
        </w:tc>
      </w:tr>
      <w:tr>
        <w:trPr>
          <w:trHeight w:val="353" w:hRule="exact"/>
        </w:trPr>
        <w:tc>
          <w:tcPr>
            <w:tcW w:w="345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537"/>
              <w:jc w:val="right"/>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8,694,041.62</w:t>
            </w:r>
          </w:p>
        </w:tc>
        <w:tc>
          <w:tcPr>
            <w:tcW w:w="33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12,489,842.27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2</w:t>
      </w:r>
      <w:r>
        <w:rPr/>
        <w:t>、以公允价值计量且其变动计入当期损益的金融资产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3</w:t>
      </w:r>
      <w:r>
        <w:rPr/>
        <w:t>、衍生金融资产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、应收票据</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）应收票据分类列示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51,327,190.65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23,450,531.00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51,327,190.65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23,450,531.00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）期末公司已质押的应收票据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47,425,742.50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47,425,742.50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4</w:t>
      </w:r>
      <w:r>
        <w:rPr/>
        <w:t>）期末公司因出票人未履约而将其转应收账款的票据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w:t>
      </w:r>
      <w:r>
        <w:rPr/>
        <w:t>、应收账款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56"/>
        <w:gridCol w:w="796"/>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3"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3,056,3</w:t>
            </w:r>
          </w:p>
          <w:p>
            <w:pPr>
              <w:pStyle w:val="TableParagraph"/>
              <w:spacing w:line="240" w:lineRule="auto" w:before="75"/>
              <w:ind w:right="23"/>
              <w:jc w:val="right"/>
              <w:rPr>
                <w:rFonts w:ascii="宋体" w:hAnsi="宋体" w:cs="宋体" w:eastAsia="宋体" w:hint="default"/>
                <w:sz w:val="18"/>
                <w:szCs w:val="18"/>
              </w:rPr>
            </w:pPr>
            <w:r>
              <w:rPr>
                <w:rFonts w:ascii="宋体"/>
                <w:sz w:val="18"/>
              </w:rPr>
              <w:t>59,211.</w:t>
            </w:r>
          </w:p>
          <w:p>
            <w:pPr>
              <w:pStyle w:val="TableParagraph"/>
              <w:spacing w:line="240" w:lineRule="auto" w:before="77"/>
              <w:ind w:right="23"/>
              <w:jc w:val="right"/>
              <w:rPr>
                <w:rFonts w:ascii="宋体" w:hAnsi="宋体" w:cs="宋体" w:eastAsia="宋体" w:hint="default"/>
                <w:sz w:val="18"/>
                <w:szCs w:val="18"/>
              </w:rPr>
            </w:pPr>
            <w:r>
              <w:rPr>
                <w:rFonts w:ascii="宋体"/>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104,272</w:t>
            </w:r>
          </w:p>
          <w:p>
            <w:pPr>
              <w:pStyle w:val="TableParagraph"/>
              <w:spacing w:line="240" w:lineRule="auto" w:before="76"/>
              <w:ind w:left="98" w:right="0"/>
              <w:jc w:val="left"/>
              <w:rPr>
                <w:rFonts w:ascii="宋体" w:hAnsi="宋体" w:cs="宋体" w:eastAsia="宋体" w:hint="default"/>
                <w:sz w:val="18"/>
                <w:szCs w:val="18"/>
              </w:rPr>
            </w:pPr>
            <w:r>
              <w:rPr>
                <w:rFonts w:ascii="宋体"/>
                <w:sz w:val="18"/>
              </w:rPr>
              <w:t>,652.89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3.41%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2,952,08</w:t>
            </w:r>
          </w:p>
          <w:p>
            <w:pPr>
              <w:pStyle w:val="TableParagraph"/>
              <w:spacing w:line="240" w:lineRule="auto" w:before="76"/>
              <w:ind w:left="43" w:right="0"/>
              <w:jc w:val="left"/>
              <w:rPr>
                <w:rFonts w:ascii="宋体" w:hAnsi="宋体" w:cs="宋体" w:eastAsia="宋体" w:hint="default"/>
                <w:sz w:val="18"/>
                <w:szCs w:val="18"/>
              </w:rPr>
            </w:pPr>
            <w:r>
              <w:rPr>
                <w:rFonts w:ascii="宋体"/>
                <w:sz w:val="18"/>
              </w:rPr>
              <w:t>6,558.85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 w:right="0"/>
              <w:jc w:val="center"/>
              <w:rPr>
                <w:rFonts w:ascii="宋体" w:hAnsi="宋体" w:cs="宋体" w:eastAsia="宋体" w:hint="default"/>
                <w:sz w:val="18"/>
                <w:szCs w:val="18"/>
              </w:rPr>
            </w:pPr>
            <w:r>
              <w:rPr>
                <w:rFonts w:ascii="宋体"/>
                <w:sz w:val="18"/>
              </w:rPr>
              <w:t>1,886,</w:t>
            </w:r>
          </w:p>
          <w:p>
            <w:pPr>
              <w:pStyle w:val="TableParagraph"/>
              <w:spacing w:line="240" w:lineRule="auto" w:before="75"/>
              <w:ind w:left="56" w:right="0"/>
              <w:jc w:val="center"/>
              <w:rPr>
                <w:rFonts w:ascii="宋体" w:hAnsi="宋体" w:cs="宋体" w:eastAsia="宋体" w:hint="default"/>
                <w:sz w:val="18"/>
                <w:szCs w:val="18"/>
              </w:rPr>
            </w:pPr>
            <w:r>
              <w:rPr>
                <w:rFonts w:ascii="宋体"/>
                <w:sz w:val="18"/>
              </w:rPr>
              <w:t>127,75</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2.52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68,569,3</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97.84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sz w:val="18"/>
              </w:rPr>
              <w:t>1,817,558</w:t>
            </w:r>
          </w:p>
          <w:p>
            <w:pPr>
              <w:pStyle w:val="TableParagraph"/>
              <w:spacing w:line="240" w:lineRule="auto" w:before="76"/>
              <w:ind w:left="244" w:right="0"/>
              <w:jc w:val="center"/>
              <w:rPr>
                <w:rFonts w:ascii="宋体" w:hAnsi="宋体" w:cs="宋体" w:eastAsia="宋体" w:hint="default"/>
                <w:sz w:val="18"/>
                <w:szCs w:val="18"/>
              </w:rPr>
            </w:pPr>
            <w:r>
              <w:rPr>
                <w:rFonts w:ascii="宋体"/>
                <w:sz w:val="18"/>
              </w:rPr>
              <w:t>,354.68</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5" w:right="0"/>
              <w:jc w:val="center"/>
              <w:rPr>
                <w:rFonts w:ascii="宋体" w:hAnsi="宋体" w:cs="宋体" w:eastAsia="宋体" w:hint="default"/>
                <w:sz w:val="18"/>
                <w:szCs w:val="18"/>
              </w:rPr>
            </w:pPr>
            <w:r>
              <w:rPr>
                <w:rFonts w:ascii="宋体"/>
                <w:sz w:val="18"/>
              </w:rPr>
              <w:t>3,056,3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 w:right="0"/>
              <w:jc w:val="center"/>
              <w:rPr>
                <w:rFonts w:ascii="宋体" w:hAnsi="宋体" w:cs="宋体" w:eastAsia="宋体" w:hint="default"/>
                <w:sz w:val="18"/>
                <w:szCs w:val="18"/>
              </w:rPr>
            </w:pPr>
            <w:r>
              <w:rPr>
                <w:rFonts w:ascii="宋体"/>
                <w:sz w:val="18"/>
              </w:rPr>
              <w:t>104,272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3" w:right="0"/>
              <w:jc w:val="left"/>
              <w:rPr>
                <w:rFonts w:ascii="宋体" w:hAnsi="宋体" w:cs="宋体" w:eastAsia="宋体" w:hint="default"/>
                <w:sz w:val="18"/>
                <w:szCs w:val="18"/>
              </w:rPr>
            </w:pPr>
            <w:r>
              <w:rPr>
                <w:rFonts w:ascii="宋体"/>
                <w:sz w:val="18"/>
              </w:rPr>
              <w:t>2,952,08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6" w:right="0"/>
              <w:jc w:val="center"/>
              <w:rPr>
                <w:rFonts w:ascii="宋体" w:hAnsi="宋体" w:cs="宋体" w:eastAsia="宋体" w:hint="default"/>
                <w:sz w:val="18"/>
                <w:szCs w:val="18"/>
              </w:rPr>
            </w:pPr>
            <w:r>
              <w:rPr>
                <w:rFonts w:ascii="宋体"/>
                <w:sz w:val="18"/>
              </w:rPr>
              <w:t>1,886,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 w:right="0"/>
              <w:jc w:val="center"/>
              <w:rPr>
                <w:rFonts w:ascii="宋体" w:hAnsi="宋体" w:cs="宋体" w:eastAsia="宋体" w:hint="default"/>
                <w:sz w:val="18"/>
                <w:szCs w:val="18"/>
              </w:rPr>
            </w:pPr>
            <w:r>
              <w:rPr>
                <w:rFonts w:ascii="宋体"/>
                <w:sz w:val="18"/>
              </w:rPr>
              <w:t>68,569,3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 w:right="0"/>
              <w:jc w:val="left"/>
              <w:rPr>
                <w:rFonts w:ascii="宋体" w:hAnsi="宋体" w:cs="宋体" w:eastAsia="宋体" w:hint="default"/>
                <w:sz w:val="18"/>
                <w:szCs w:val="18"/>
              </w:rPr>
            </w:pPr>
            <w:r>
              <w:rPr>
                <w:rFonts w:ascii="宋体"/>
                <w:sz w:val="18"/>
              </w:rPr>
              <w:t>1,817,558</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56"/>
        <w:gridCol w:w="796"/>
        <w:gridCol w:w="654"/>
        <w:gridCol w:w="762"/>
        <w:gridCol w:w="813"/>
        <w:gridCol w:w="932"/>
        <w:gridCol w:w="935"/>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59,211.</w:t>
            </w:r>
          </w:p>
          <w:p>
            <w:pPr>
              <w:pStyle w:val="TableParagraph"/>
              <w:spacing w:line="240" w:lineRule="auto" w:before="77"/>
              <w:ind w:right="23"/>
              <w:jc w:val="right"/>
              <w:rPr>
                <w:rFonts w:ascii="宋体" w:hAnsi="宋体" w:cs="宋体" w:eastAsia="宋体" w:hint="default"/>
                <w:sz w:val="18"/>
                <w:szCs w:val="18"/>
              </w:rPr>
            </w:pPr>
            <w:r>
              <w:rPr>
                <w:rFonts w:ascii="宋体"/>
                <w:sz w:val="18"/>
              </w:rPr>
              <w:t>74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sz w:val="18"/>
              </w:rPr>
              <w:t>,652.89</w:t>
            </w:r>
          </w:p>
        </w:tc>
        <w:tc>
          <w:tcPr>
            <w:tcW w:w="75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 w:right="0"/>
              <w:jc w:val="left"/>
              <w:rPr>
                <w:rFonts w:ascii="宋体" w:hAnsi="宋体" w:cs="宋体" w:eastAsia="宋体" w:hint="default"/>
                <w:sz w:val="18"/>
                <w:szCs w:val="18"/>
              </w:rPr>
            </w:pPr>
            <w:r>
              <w:rPr>
                <w:rFonts w:ascii="宋体"/>
                <w:sz w:val="18"/>
              </w:rPr>
              <w:t>6,558.85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 w:right="0"/>
              <w:jc w:val="center"/>
              <w:rPr>
                <w:rFonts w:ascii="宋体" w:hAnsi="宋体" w:cs="宋体" w:eastAsia="宋体" w:hint="default"/>
                <w:sz w:val="18"/>
                <w:szCs w:val="18"/>
              </w:rPr>
            </w:pPr>
            <w:r>
              <w:rPr>
                <w:rFonts w:ascii="宋体"/>
                <w:sz w:val="18"/>
              </w:rPr>
              <w:t>127,75</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2.52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0" w:right="0"/>
              <w:jc w:val="left"/>
              <w:rPr>
                <w:rFonts w:ascii="宋体" w:hAnsi="宋体" w:cs="宋体" w:eastAsia="宋体" w:hint="default"/>
                <w:sz w:val="18"/>
                <w:szCs w:val="18"/>
              </w:rPr>
            </w:pPr>
            <w:r>
              <w:rPr>
                <w:rFonts w:ascii="宋体"/>
                <w:sz w:val="18"/>
              </w:rPr>
              <w:t>97.84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8" w:right="0"/>
              <w:jc w:val="left"/>
              <w:rPr>
                <w:rFonts w:ascii="宋体" w:hAnsi="宋体" w:cs="宋体" w:eastAsia="宋体" w:hint="default"/>
                <w:sz w:val="18"/>
                <w:szCs w:val="18"/>
              </w:rPr>
            </w:pPr>
            <w:r>
              <w:rPr>
                <w:rFonts w:ascii="宋体"/>
                <w:sz w:val="18"/>
              </w:rPr>
              <w:t>,354.68</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2,364,906,799.76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23,649,068.00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466,635,543.64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23,331,777.18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101,547,015.44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10,154,701.54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69,388,883.52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20,816,665.06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39,372,183.24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11,811,654.97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14,508,786.14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14,508,786.14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3,056,359,211.74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104,272,652.89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w:t>
            </w:r>
          </w:p>
        </w:tc>
      </w:tr>
    </w:tbl>
    <w:p>
      <w:pPr>
        <w:pStyle w:val="BodyText"/>
        <w:spacing w:line="240" w:lineRule="auto" w:before="51"/>
        <w:ind w:right="0"/>
        <w:jc w:val="left"/>
      </w:pPr>
      <w:r>
        <w:rPr/>
        <w:t>确定该组合依据的说明：</w:t>
      </w:r>
    </w:p>
    <w:p>
      <w:pPr>
        <w:spacing w:line="240" w:lineRule="auto" w:before="1"/>
        <w:rPr>
          <w:rFonts w:ascii="宋体" w:hAnsi="宋体" w:cs="宋体" w:eastAsia="宋体" w:hint="default"/>
          <w:sz w:val="15"/>
          <w:szCs w:val="15"/>
        </w:rPr>
      </w:pPr>
    </w:p>
    <w:p>
      <w:pPr>
        <w:pStyle w:val="BodyText"/>
        <w:spacing w:line="316" w:lineRule="auto"/>
        <w:ind w:right="0" w:firstLine="420"/>
        <w:jc w:val="left"/>
      </w:pPr>
      <w:r>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pStyle w:val="BodyText"/>
        <w:spacing w:line="240" w:lineRule="auto" w:before="140"/>
        <w:ind w:right="0"/>
        <w:jc w:val="left"/>
      </w:pPr>
      <w:r>
        <w:rPr/>
        <w:t>组合中，采用余额百分比法计提坏账准备的应收账款：</w:t>
      </w:r>
    </w:p>
    <w:p>
      <w:pPr>
        <w:pStyle w:val="BodyText"/>
        <w:spacing w:line="357" w:lineRule="auto" w:before="116"/>
        <w:ind w:right="5812"/>
        <w:jc w:val="left"/>
      </w:pPr>
      <w:r>
        <w:rPr/>
        <w:t>□ 适用 √ 不适用 组合中，采用其他方法计提坏账准备的应收账款：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46"/>
        </w:rPr>
        <w:t> </w:t>
      </w:r>
      <w:r>
        <w:rPr>
          <w:rFonts w:ascii="宋体" w:hAnsi="宋体" w:cs="宋体" w:eastAsia="宋体" w:hint="default"/>
        </w:rPr>
        <w:t>35,269,960.90</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right="0" w:firstLine="420"/>
        <w:jc w:val="left"/>
      </w:pPr>
      <w:r>
        <w:rPr>
          <w:spacing w:val="3"/>
        </w:rPr>
        <w:t>本报告期按欠款方归集的期末余额前五名应收账款汇总金额</w:t>
      </w:r>
      <w:r>
        <w:rPr>
          <w:rFonts w:ascii="宋体" w:hAnsi="宋体" w:cs="宋体" w:eastAsia="宋体" w:hint="default"/>
          <w:spacing w:val="3"/>
        </w:rPr>
        <w:t>399,496,041.71</w:t>
      </w:r>
      <w:r>
        <w:rPr>
          <w:spacing w:val="3"/>
        </w:rPr>
        <w:t>元，占应收账款期末余额合计数的比例</w:t>
      </w:r>
      <w:r>
        <w:rPr/>
        <w:t> </w:t>
      </w:r>
      <w:r>
        <w:rPr>
          <w:rFonts w:ascii="宋体" w:hAnsi="宋体" w:cs="宋体" w:eastAsia="宋体" w:hint="default"/>
        </w:rPr>
        <w:t>13.07%</w:t>
      </w:r>
      <w:r>
        <w:rPr/>
        <w:t>，相应计提的坏账准备期末余额汇总金额 </w:t>
      </w:r>
      <w:r>
        <w:rPr>
          <w:rFonts w:ascii="宋体" w:hAnsi="宋体" w:cs="宋体" w:eastAsia="宋体" w:hint="default"/>
        </w:rPr>
        <w:t>5,763,707.32 </w:t>
      </w:r>
      <w:r>
        <w:rPr/>
        <w:t>元。</w:t>
      </w:r>
    </w:p>
    <w:p>
      <w:pPr>
        <w:spacing w:after="0" w:line="316"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w:t>
      </w:r>
      <w:r>
        <w:rPr/>
        <w:t>、预付款项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）预付款项按账龄列示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157,713,440.61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193,005,761.55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22,210,496.22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18,143,206.19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10,722,318.64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6,358,659.51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3,767,077.77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2,676,605.27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194,413,333.24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220,184,232.52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w:t>
      </w:r>
    </w:p>
    <w:p>
      <w:pPr>
        <w:spacing w:line="240" w:lineRule="auto" w:before="6"/>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636"/>
        <w:gridCol w:w="3507"/>
        <w:gridCol w:w="2662"/>
        <w:gridCol w:w="2836"/>
      </w:tblGrid>
      <w:tr>
        <w:trPr>
          <w:trHeight w:val="411" w:hRule="exact"/>
        </w:trPr>
        <w:tc>
          <w:tcPr>
            <w:tcW w:w="6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left="12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507"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债务人</w:t>
            </w:r>
          </w:p>
        </w:tc>
        <w:tc>
          <w:tcPr>
            <w:tcW w:w="26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left="688" w:right="0"/>
              <w:jc w:val="left"/>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448" w:hRule="exact"/>
        </w:trPr>
        <w:tc>
          <w:tcPr>
            <w:tcW w:w="6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77"/>
              <w:ind w:left="-1" w:right="0"/>
              <w:jc w:val="left"/>
              <w:rPr>
                <w:rFonts w:ascii="宋体" w:hAnsi="宋体" w:cs="宋体" w:eastAsia="宋体" w:hint="default"/>
                <w:sz w:val="18"/>
                <w:szCs w:val="18"/>
              </w:rPr>
            </w:pPr>
            <w:r>
              <w:rPr>
                <w:rFonts w:ascii="宋体"/>
                <w:sz w:val="18"/>
              </w:rPr>
              <w:t>1</w:t>
            </w:r>
          </w:p>
        </w:tc>
        <w:tc>
          <w:tcPr>
            <w:tcW w:w="350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2"/>
              <w:ind w:right="0"/>
              <w:jc w:val="left"/>
              <w:rPr>
                <w:rFonts w:ascii="宋体" w:hAnsi="宋体" w:cs="宋体" w:eastAsia="宋体" w:hint="default"/>
                <w:sz w:val="18"/>
                <w:szCs w:val="18"/>
              </w:rPr>
            </w:pPr>
            <w:r>
              <w:rPr>
                <w:rFonts w:ascii="宋体" w:hAnsi="宋体" w:cs="宋体" w:eastAsia="宋体" w:hint="default"/>
                <w:sz w:val="18"/>
                <w:szCs w:val="18"/>
              </w:rPr>
              <w:t>北京凯乐聚源科技有限公司</w:t>
            </w:r>
          </w:p>
        </w:tc>
        <w:tc>
          <w:tcPr>
            <w:tcW w:w="26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2"/>
              <w:ind w:right="0"/>
              <w:jc w:val="left"/>
              <w:rPr>
                <w:rFonts w:ascii="宋体" w:hAnsi="宋体" w:cs="宋体" w:eastAsia="宋体" w:hint="default"/>
                <w:sz w:val="18"/>
                <w:szCs w:val="18"/>
              </w:rPr>
            </w:pPr>
            <w:r>
              <w:rPr>
                <w:rFonts w:ascii="宋体"/>
                <w:sz w:val="18"/>
              </w:rPr>
              <w:t>3,570,000.00</w:t>
            </w:r>
          </w:p>
        </w:tc>
        <w:tc>
          <w:tcPr>
            <w:tcW w:w="28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2"/>
              <w:ind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32" w:hRule="exact"/>
        </w:trPr>
        <w:tc>
          <w:tcPr>
            <w:tcW w:w="6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sz w:val="18"/>
              </w:rPr>
              <w:t>2</w:t>
            </w:r>
          </w:p>
        </w:tc>
        <w:tc>
          <w:tcPr>
            <w:tcW w:w="3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施耐德电气信息技术</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c>
        <w:tc>
          <w:tcPr>
            <w:tcW w:w="2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sz w:val="18"/>
              </w:rPr>
              <w:t>1,701,380.05</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32" w:hRule="exact"/>
        </w:trPr>
        <w:tc>
          <w:tcPr>
            <w:tcW w:w="6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sz w:val="18"/>
              </w:rPr>
              <w:t>3</w:t>
            </w:r>
          </w:p>
        </w:tc>
        <w:tc>
          <w:tcPr>
            <w:tcW w:w="3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北京朗程科讯科技有限公司</w:t>
            </w:r>
          </w:p>
        </w:tc>
        <w:tc>
          <w:tcPr>
            <w:tcW w:w="2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sz w:val="18"/>
              </w:rPr>
              <w:t>1,493,500.00</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32" w:hRule="exact"/>
        </w:trPr>
        <w:tc>
          <w:tcPr>
            <w:tcW w:w="6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sz w:val="18"/>
              </w:rPr>
              <w:t>4</w:t>
            </w:r>
          </w:p>
        </w:tc>
        <w:tc>
          <w:tcPr>
            <w:tcW w:w="3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内蒙古微创电子技术有限公司</w:t>
            </w:r>
          </w:p>
        </w:tc>
        <w:tc>
          <w:tcPr>
            <w:tcW w:w="2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sz w:val="18"/>
              </w:rPr>
              <w:t>1,098,940.00</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32" w:hRule="exact"/>
        </w:trPr>
        <w:tc>
          <w:tcPr>
            <w:tcW w:w="6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sz w:val="18"/>
              </w:rPr>
              <w:t>5</w:t>
            </w:r>
          </w:p>
        </w:tc>
        <w:tc>
          <w:tcPr>
            <w:tcW w:w="3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深圳市新视讯科技有限公司</w:t>
            </w:r>
          </w:p>
        </w:tc>
        <w:tc>
          <w:tcPr>
            <w:tcW w:w="2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sz w:val="18"/>
              </w:rPr>
              <w:t>1,098,000.00</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432" w:hRule="exact"/>
        </w:trPr>
        <w:tc>
          <w:tcPr>
            <w:tcW w:w="6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 w:right="0"/>
              <w:jc w:val="left"/>
              <w:rPr>
                <w:rFonts w:ascii="宋体" w:hAnsi="宋体" w:cs="宋体" w:eastAsia="宋体" w:hint="default"/>
                <w:sz w:val="18"/>
                <w:szCs w:val="18"/>
              </w:rPr>
            </w:pPr>
            <w:r>
              <w:rPr>
                <w:rFonts w:ascii="宋体"/>
                <w:sz w:val="18"/>
              </w:rPr>
              <w:t>6</w:t>
            </w:r>
          </w:p>
        </w:tc>
        <w:tc>
          <w:tcPr>
            <w:tcW w:w="35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大连新中连软件工程有限公司</w:t>
            </w:r>
          </w:p>
        </w:tc>
        <w:tc>
          <w:tcPr>
            <w:tcW w:w="26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sz w:val="18"/>
              </w:rPr>
              <w:t>1,000,000.00</w:t>
            </w:r>
          </w:p>
        </w:tc>
        <w:tc>
          <w:tcPr>
            <w:tcW w:w="2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413.279999pt;margin-top:34.113674pt;width:54.25pt;height:32.2pt;mso-position-horizontal-relative:page;mso-position-vertical-relative:paragraph;z-index:-903568" type="#_x0000_t202" filled="false" stroked="false">
            <v:textbox inset="0,0,0,0">
              <w:txbxContent>
                <w:p>
                  <w:pPr>
                    <w:spacing w:line="240" w:lineRule="auto" w:before="5"/>
                    <w:rPr>
                      <w:rFonts w:ascii="宋体" w:hAnsi="宋体" w:cs="宋体" w:eastAsia="宋体" w:hint="default"/>
                      <w:b/>
                      <w:bCs/>
                      <w:sz w:val="25"/>
                      <w:szCs w:val="25"/>
                    </w:rPr>
                  </w:pPr>
                </w:p>
                <w:p>
                  <w:pPr>
                    <w:pStyle w:val="BodyText"/>
                    <w:spacing w:line="240" w:lineRule="auto"/>
                    <w:ind w:left="0" w:right="0"/>
                    <w:jc w:val="left"/>
                  </w:pPr>
                  <w:r>
                    <w:rPr/>
                    <w:t>）</w:t>
                  </w:r>
                </w:p>
              </w:txbxContent>
            </v:textbox>
            <w10:wrap type="none"/>
          </v:shape>
        </w:pict>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7"/>
          <w:szCs w:val="27"/>
        </w:rPr>
      </w:pPr>
    </w:p>
    <w:tbl>
      <w:tblPr>
        <w:tblW w:w="0" w:type="auto"/>
        <w:jc w:val="left"/>
        <w:tblInd w:w="144" w:type="dxa"/>
        <w:tblLayout w:type="fixed"/>
        <w:tblCellMar>
          <w:top w:w="0" w:type="dxa"/>
          <w:left w:w="0" w:type="dxa"/>
          <w:bottom w:w="0" w:type="dxa"/>
          <w:right w:w="0" w:type="dxa"/>
        </w:tblCellMar>
        <w:tblLook w:val="01E0"/>
      </w:tblPr>
      <w:tblGrid>
        <w:gridCol w:w="2694"/>
        <w:gridCol w:w="1512"/>
        <w:gridCol w:w="1424"/>
        <w:gridCol w:w="1600"/>
        <w:gridCol w:w="992"/>
        <w:gridCol w:w="1417"/>
      </w:tblGrid>
      <w:tr>
        <w:trPr>
          <w:trHeight w:val="656" w:hRule="exact"/>
        </w:trPr>
        <w:tc>
          <w:tcPr>
            <w:tcW w:w="2694" w:type="dxa"/>
            <w:tcBorders>
              <w:top w:val="single" w:sz="8" w:space="0" w:color="000000"/>
              <w:left w:val="single" w:sz="8"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2" w:type="dxa"/>
            <w:tcBorders>
              <w:top w:val="single" w:sz="8"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4" w:type="dxa"/>
            <w:tcBorders>
              <w:top w:val="single" w:sz="8"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0" w:type="dxa"/>
            <w:tcBorders>
              <w:top w:val="single" w:sz="8"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6"/>
              <w:ind w:left="2" w:right="71" w:firstLine="69"/>
              <w:jc w:val="left"/>
              <w:rPr>
                <w:rFonts w:ascii="宋体" w:hAnsi="宋体" w:cs="宋体" w:eastAsia="宋体" w:hint="default"/>
                <w:sz w:val="18"/>
                <w:szCs w:val="18"/>
              </w:rPr>
            </w:pPr>
            <w:r>
              <w:rPr>
                <w:rFonts w:ascii="宋体" w:hAnsi="宋体" w:cs="宋体" w:eastAsia="宋体" w:hint="default"/>
                <w:sz w:val="18"/>
                <w:szCs w:val="18"/>
              </w:rPr>
              <w:t>占预付款项期末余 </w:t>
            </w:r>
            <w:r>
              <w:rPr>
                <w:rFonts w:ascii="宋体" w:hAnsi="宋体" w:cs="宋体" w:eastAsia="宋体" w:hint="default"/>
                <w:spacing w:val="-5"/>
                <w:sz w:val="18"/>
                <w:szCs w:val="18"/>
              </w:rPr>
              <w:t>额合计数的比例（</w:t>
            </w:r>
            <w:r>
              <w:rPr>
                <w:rFonts w:ascii="宋体" w:hAnsi="宋体" w:cs="宋体" w:eastAsia="宋体" w:hint="default"/>
                <w:spacing w:val="-5"/>
                <w:sz w:val="18"/>
                <w:szCs w:val="18"/>
              </w:rPr>
              <w:t>%</w:t>
            </w:r>
          </w:p>
        </w:tc>
        <w:tc>
          <w:tcPr>
            <w:tcW w:w="992" w:type="dxa"/>
            <w:tcBorders>
              <w:top w:val="single" w:sz="8"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417" w:type="dxa"/>
            <w:tcBorders>
              <w:top w:val="single" w:sz="8" w:space="0" w:color="000000"/>
              <w:left w:val="single" w:sz="6" w:space="0" w:color="000000"/>
              <w:bottom w:val="single" w:sz="6" w:space="0" w:color="000000"/>
              <w:right w:val="single" w:sz="8" w:space="0" w:color="000000"/>
            </w:tcBorders>
            <w:shd w:val="clear" w:color="auto" w:fill="BEBEBE"/>
          </w:tcPr>
          <w:p>
            <w:pPr>
              <w:pStyle w:val="TableParagraph"/>
              <w:spacing w:line="240" w:lineRule="auto" w:before="16"/>
              <w:ind w:left="25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2694" w:type="dxa"/>
            <w:tcBorders>
              <w:top w:val="single" w:sz="6" w:space="0" w:color="000000"/>
              <w:left w:val="single" w:sz="8" w:space="0" w:color="000000"/>
              <w:bottom w:val="single" w:sz="6" w:space="0" w:color="000000"/>
              <w:right w:val="single" w:sz="6" w:space="0" w:color="000000"/>
            </w:tcBorders>
            <w:shd w:val="clear" w:color="auto" w:fill="BEBEBE"/>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杭州华三通信技术有限公司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22,209,824.42</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11.42%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7" w:hRule="exact"/>
        </w:trPr>
        <w:tc>
          <w:tcPr>
            <w:tcW w:w="2694" w:type="dxa"/>
            <w:tcBorders>
              <w:top w:val="single" w:sz="6" w:space="0" w:color="000000"/>
              <w:left w:val="single" w:sz="8" w:space="0" w:color="000000"/>
              <w:bottom w:val="single" w:sz="6" w:space="0" w:color="000000"/>
              <w:right w:val="single" w:sz="6"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迪堡金融设备有限公司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20,504,378.01</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10.55%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7" w:hRule="exact"/>
        </w:trPr>
        <w:tc>
          <w:tcPr>
            <w:tcW w:w="2694" w:type="dxa"/>
            <w:tcBorders>
              <w:top w:val="single" w:sz="6" w:space="0" w:color="000000"/>
              <w:left w:val="single" w:sz="8" w:space="0" w:color="000000"/>
              <w:bottom w:val="single" w:sz="6" w:space="0" w:color="000000"/>
              <w:right w:val="single" w:sz="6"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北京林杰世纪科技有限公司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15,100,000.00</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7.77%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7" w:hRule="exact"/>
        </w:trPr>
        <w:tc>
          <w:tcPr>
            <w:tcW w:w="2694" w:type="dxa"/>
            <w:tcBorders>
              <w:top w:val="single" w:sz="6" w:space="0" w:color="000000"/>
              <w:left w:val="single" w:sz="8" w:space="0" w:color="000000"/>
              <w:bottom w:val="single" w:sz="6" w:space="0" w:color="000000"/>
              <w:right w:val="single" w:sz="6"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华为技术服务有限公司</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9,358,892.96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4.81%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50" w:hRule="exact"/>
        </w:trPr>
        <w:tc>
          <w:tcPr>
            <w:tcW w:w="2694" w:type="dxa"/>
            <w:tcBorders>
              <w:top w:val="single" w:sz="6" w:space="0" w:color="000000"/>
              <w:left w:val="single" w:sz="8" w:space="0" w:color="000000"/>
              <w:bottom w:val="single" w:sz="8" w:space="0" w:color="000000"/>
              <w:right w:val="single" w:sz="6"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北京星网锐捷网络技术有限公司</w:t>
            </w:r>
          </w:p>
        </w:tc>
        <w:tc>
          <w:tcPr>
            <w:tcW w:w="15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6,361,954.27</w:t>
            </w:r>
          </w:p>
        </w:tc>
        <w:tc>
          <w:tcPr>
            <w:tcW w:w="16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3.27%</w:t>
            </w:r>
          </w:p>
        </w:tc>
        <w:tc>
          <w:tcPr>
            <w:tcW w:w="99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417"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4" w:type="dxa"/>
        <w:tblLayout w:type="fixed"/>
        <w:tblCellMar>
          <w:top w:w="0" w:type="dxa"/>
          <w:left w:w="0" w:type="dxa"/>
          <w:bottom w:w="0" w:type="dxa"/>
          <w:right w:w="0" w:type="dxa"/>
        </w:tblCellMar>
        <w:tblLook w:val="01E0"/>
      </w:tblPr>
      <w:tblGrid>
        <w:gridCol w:w="2694"/>
        <w:gridCol w:w="1512"/>
        <w:gridCol w:w="1424"/>
        <w:gridCol w:w="1600"/>
        <w:gridCol w:w="992"/>
        <w:gridCol w:w="1417"/>
      </w:tblGrid>
      <w:tr>
        <w:trPr>
          <w:trHeight w:val="353" w:hRule="exact"/>
        </w:trPr>
        <w:tc>
          <w:tcPr>
            <w:tcW w:w="2694" w:type="dxa"/>
            <w:tcBorders>
              <w:top w:val="single" w:sz="8" w:space="0" w:color="000000"/>
              <w:left w:val="single" w:sz="8" w:space="0" w:color="000000"/>
              <w:bottom w:val="single" w:sz="8"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8" w:space="0" w:color="000000"/>
              <w:left w:val="single" w:sz="6" w:space="0" w:color="000000"/>
              <w:bottom w:val="single" w:sz="8" w:space="0" w:color="000000"/>
              <w:right w:val="single" w:sz="6" w:space="0" w:color="000000"/>
            </w:tcBorders>
          </w:tcPr>
          <w:p>
            <w:pPr/>
          </w:p>
        </w:tc>
        <w:tc>
          <w:tcPr>
            <w:tcW w:w="14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236" w:right="0"/>
              <w:jc w:val="left"/>
              <w:rPr>
                <w:rFonts w:ascii="宋体" w:hAnsi="宋体" w:cs="宋体" w:eastAsia="宋体" w:hint="default"/>
                <w:sz w:val="18"/>
                <w:szCs w:val="18"/>
              </w:rPr>
            </w:pPr>
            <w:r>
              <w:rPr>
                <w:rFonts w:ascii="宋体"/>
                <w:sz w:val="18"/>
              </w:rPr>
              <w:t>73,535,049.66</w:t>
            </w:r>
          </w:p>
        </w:tc>
        <w:tc>
          <w:tcPr>
            <w:tcW w:w="16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1"/>
              <w:ind w:left="1042" w:right="0"/>
              <w:jc w:val="left"/>
              <w:rPr>
                <w:rFonts w:ascii="宋体" w:hAnsi="宋体" w:cs="宋体" w:eastAsia="宋体" w:hint="default"/>
                <w:sz w:val="18"/>
                <w:szCs w:val="18"/>
              </w:rPr>
            </w:pPr>
            <w:r>
              <w:rPr>
                <w:rFonts w:ascii="宋体"/>
                <w:sz w:val="18"/>
              </w:rPr>
              <w:t>37.82%</w:t>
            </w:r>
          </w:p>
        </w:tc>
        <w:tc>
          <w:tcPr>
            <w:tcW w:w="992" w:type="dxa"/>
            <w:tcBorders>
              <w:top w:val="single" w:sz="8" w:space="0" w:color="000000"/>
              <w:left w:val="single" w:sz="6" w:space="0" w:color="000000"/>
              <w:bottom w:val="single" w:sz="8" w:space="0" w:color="000000"/>
              <w:right w:val="single" w:sz="6" w:space="0" w:color="000000"/>
            </w:tcBorders>
          </w:tcPr>
          <w:p>
            <w:pPr/>
          </w:p>
        </w:tc>
        <w:tc>
          <w:tcPr>
            <w:tcW w:w="1417" w:type="dxa"/>
            <w:tcBorders>
              <w:top w:val="single" w:sz="8" w:space="0" w:color="000000"/>
              <w:left w:val="single" w:sz="6"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宋体" w:hAnsi="宋体" w:cs="宋体" w:eastAsia="宋体" w:hint="default"/>
        </w:rPr>
        <w:t>7</w:t>
      </w:r>
      <w:r>
        <w:rPr/>
        <w:t>、应收利息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8</w:t>
      </w:r>
      <w:r>
        <w:rPr/>
        <w:t>、应收股利</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9</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265,734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,857.95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30,357,</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545.01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235,377,</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312.94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233,29</w:t>
            </w:r>
          </w:p>
          <w:p>
            <w:pPr>
              <w:pStyle w:val="TableParagraph"/>
              <w:spacing w:line="240" w:lineRule="auto" w:before="75"/>
              <w:ind w:right="23"/>
              <w:jc w:val="right"/>
              <w:rPr>
                <w:rFonts w:ascii="宋体" w:hAnsi="宋体" w:cs="宋体" w:eastAsia="宋体" w:hint="default"/>
                <w:sz w:val="18"/>
                <w:szCs w:val="18"/>
              </w:rPr>
            </w:pPr>
            <w:r>
              <w:rPr>
                <w:rFonts w:ascii="宋体"/>
                <w:sz w:val="18"/>
              </w:rPr>
              <w:t>1,985.</w:t>
            </w:r>
          </w:p>
          <w:p>
            <w:pPr>
              <w:pStyle w:val="TableParagraph"/>
              <w:spacing w:line="240" w:lineRule="auto" w:before="78"/>
              <w:ind w:right="23"/>
              <w:jc w:val="right"/>
              <w:rPr>
                <w:rFonts w:ascii="宋体" w:hAnsi="宋体" w:cs="宋体" w:eastAsia="宋体" w:hint="default"/>
                <w:sz w:val="18"/>
                <w:szCs w:val="18"/>
              </w:rPr>
            </w:pPr>
            <w:r>
              <w:rPr>
                <w:rFonts w:ascii="宋体"/>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27,977,2</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97.32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205,314,6</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88.52</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265,734</w:t>
            </w:r>
          </w:p>
          <w:p>
            <w:pPr>
              <w:pStyle w:val="TableParagraph"/>
              <w:spacing w:line="240" w:lineRule="auto" w:before="76"/>
              <w:ind w:left="99" w:right="0"/>
              <w:jc w:val="left"/>
              <w:rPr>
                <w:rFonts w:ascii="宋体" w:hAnsi="宋体" w:cs="宋体" w:eastAsia="宋体" w:hint="default"/>
                <w:sz w:val="18"/>
                <w:szCs w:val="18"/>
              </w:rPr>
            </w:pPr>
            <w:r>
              <w:rPr>
                <w:rFonts w:ascii="宋体"/>
                <w:sz w:val="18"/>
              </w:rPr>
              <w:t>,857.95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30,357,</w:t>
            </w:r>
          </w:p>
          <w:p>
            <w:pPr>
              <w:pStyle w:val="TableParagraph"/>
              <w:spacing w:line="240" w:lineRule="auto" w:before="76"/>
              <w:ind w:left="188" w:right="0"/>
              <w:jc w:val="left"/>
              <w:rPr>
                <w:rFonts w:ascii="宋体" w:hAnsi="宋体" w:cs="宋体" w:eastAsia="宋体" w:hint="default"/>
                <w:sz w:val="18"/>
                <w:szCs w:val="18"/>
              </w:rPr>
            </w:pPr>
            <w:r>
              <w:rPr>
                <w:rFonts w:ascii="宋体"/>
                <w:sz w:val="18"/>
              </w:rPr>
              <w:t>545.01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235,377,</w:t>
            </w:r>
          </w:p>
          <w:p>
            <w:pPr>
              <w:pStyle w:val="TableParagraph"/>
              <w:spacing w:line="240" w:lineRule="auto" w:before="76"/>
              <w:ind w:left="194" w:right="0"/>
              <w:jc w:val="center"/>
              <w:rPr>
                <w:rFonts w:ascii="宋体" w:hAnsi="宋体" w:cs="宋体" w:eastAsia="宋体" w:hint="default"/>
                <w:sz w:val="18"/>
                <w:szCs w:val="18"/>
              </w:rPr>
            </w:pPr>
            <w:r>
              <w:rPr>
                <w:rFonts w:ascii="宋体"/>
                <w:sz w:val="18"/>
              </w:rPr>
              <w:t>312.94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233,29</w:t>
            </w:r>
          </w:p>
          <w:p>
            <w:pPr>
              <w:pStyle w:val="TableParagraph"/>
              <w:spacing w:line="240" w:lineRule="auto" w:before="75"/>
              <w:ind w:right="23"/>
              <w:jc w:val="right"/>
              <w:rPr>
                <w:rFonts w:ascii="宋体" w:hAnsi="宋体" w:cs="宋体" w:eastAsia="宋体" w:hint="default"/>
                <w:sz w:val="18"/>
                <w:szCs w:val="18"/>
              </w:rPr>
            </w:pPr>
            <w:r>
              <w:rPr>
                <w:rFonts w:ascii="宋体"/>
                <w:sz w:val="18"/>
              </w:rPr>
              <w:t>1,985.</w:t>
            </w:r>
          </w:p>
          <w:p>
            <w:pPr>
              <w:pStyle w:val="TableParagraph"/>
              <w:spacing w:line="240" w:lineRule="auto" w:before="77"/>
              <w:ind w:right="23"/>
              <w:jc w:val="right"/>
              <w:rPr>
                <w:rFonts w:ascii="宋体" w:hAnsi="宋体" w:cs="宋体" w:eastAsia="宋体" w:hint="default"/>
                <w:sz w:val="18"/>
                <w:szCs w:val="18"/>
              </w:rPr>
            </w:pPr>
            <w:r>
              <w:rPr>
                <w:rFonts w:ascii="宋体"/>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27,977,2</w:t>
            </w:r>
          </w:p>
          <w:p>
            <w:pPr>
              <w:pStyle w:val="TableParagraph"/>
              <w:spacing w:line="240" w:lineRule="auto" w:before="76"/>
              <w:ind w:left="330" w:right="0"/>
              <w:jc w:val="left"/>
              <w:rPr>
                <w:rFonts w:ascii="宋体" w:hAnsi="宋体" w:cs="宋体" w:eastAsia="宋体" w:hint="default"/>
                <w:sz w:val="18"/>
                <w:szCs w:val="18"/>
              </w:rPr>
            </w:pPr>
            <w:r>
              <w:rPr>
                <w:rFonts w:ascii="宋体"/>
                <w:sz w:val="18"/>
              </w:rPr>
              <w:t>97.32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205,314,6</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88.52</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176,967,951.47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1,769,679.51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25,648,912.86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1,282,445.64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27,896,526.84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2,789,652.68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7,855,981.13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2,356,794.34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7,437,875.44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2,231,362.63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19,927,610.21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19,927,610.21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00" w:right="0"/>
              <w:jc w:val="left"/>
              <w:rPr>
                <w:rFonts w:ascii="宋体" w:hAnsi="宋体" w:cs="宋体" w:eastAsia="宋体" w:hint="default"/>
                <w:sz w:val="18"/>
                <w:szCs w:val="18"/>
              </w:rPr>
            </w:pPr>
            <w:r>
              <w:rPr>
                <w:rFonts w:ascii="宋体"/>
                <w:sz w:val="18"/>
              </w:rPr>
              <w:t>265,734,857.95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9" w:right="0"/>
              <w:jc w:val="left"/>
              <w:rPr>
                <w:rFonts w:ascii="宋体" w:hAnsi="宋体" w:cs="宋体" w:eastAsia="宋体" w:hint="default"/>
                <w:sz w:val="18"/>
                <w:szCs w:val="18"/>
              </w:rPr>
            </w:pPr>
            <w:r>
              <w:rPr>
                <w:rFonts w:ascii="宋体"/>
                <w:sz w:val="18"/>
              </w:rPr>
              <w:t>30,357,545.01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11.42%</w:t>
            </w:r>
          </w:p>
        </w:tc>
      </w:tr>
    </w:tbl>
    <w:p>
      <w:pPr>
        <w:pStyle w:val="BodyText"/>
        <w:spacing w:line="240" w:lineRule="auto" w:before="51"/>
        <w:ind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319" w:lineRule="auto"/>
        <w:ind w:right="0" w:firstLine="420"/>
        <w:jc w:val="left"/>
      </w:pPr>
      <w:r>
        <w:rPr/>
        <w:t>已单独计提坏账准备的其他应收款除外，公司根据以前年度与之相同或相类似的、按账龄段划分的具有类似信用风险 特征的其他应收款组合的实际损失率为基础，结合现时情况确定本期坏账准备的计提比例。</w:t>
      </w:r>
    </w:p>
    <w:p>
      <w:pPr>
        <w:pStyle w:val="BodyText"/>
        <w:spacing w:line="240" w:lineRule="auto" w:before="138"/>
        <w:ind w:right="0"/>
        <w:jc w:val="left"/>
      </w:pPr>
      <w:r>
        <w:rPr/>
        <w:t>组合中，采用余额百分比法计提坏账准备的其他应收款：</w:t>
      </w:r>
    </w:p>
    <w:p>
      <w:pPr>
        <w:pStyle w:val="BodyText"/>
        <w:spacing w:line="357" w:lineRule="auto" w:before="116"/>
        <w:ind w:right="5632"/>
        <w:jc w:val="left"/>
      </w:pPr>
      <w:r>
        <w:rPr/>
        <w:t>□ 适用 √ 不适用 组合中，采用其他方法计提坏账准备的其他应收款：</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46"/>
        </w:rPr>
        <w:t> </w:t>
      </w:r>
      <w:r>
        <w:rPr>
          <w:rFonts w:ascii="宋体" w:hAnsi="宋体" w:cs="宋体" w:eastAsia="宋体" w:hint="default"/>
        </w:rPr>
        <w:t>2,353,780.62</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101,263,558.09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74,641,464.93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55,432,999.53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49,745,854.55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88,901,794.46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94,728,039.37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20,136,505.87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14,176,626.99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265,734,857.95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233,291,985.84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北京老年医院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8,227,339.08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82,273.39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北京回龙观医院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5,438,000.00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54,380.00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首都医科大学附属 北京友谊医院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4,854,037.20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48,540.37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中国科学院空间科 学与应该研究中心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3,888,093.90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38,880.94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北京地坛医院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2,316,300.00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19,980.00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2,296,519.80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674"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4"/>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 </w:t>
            </w:r>
            <w:r>
              <w:rPr>
                <w:rFonts w:ascii="宋体" w:hAnsi="宋体" w:cs="宋体" w:eastAsia="宋体" w:hint="default"/>
                <w:sz w:val="18"/>
                <w:szCs w:val="18"/>
              </w:rPr>
              <w:t>2,296,320.00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24,723,770.18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sz w:val="18"/>
              </w:rPr>
              <w:t>2,520,594.50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10</w:t>
      </w:r>
      <w:r>
        <w:rPr/>
        <w:t>、存货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）存货分类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993"/>
        <w:gridCol w:w="1500"/>
        <w:gridCol w:w="1619"/>
        <w:gridCol w:w="850"/>
        <w:gridCol w:w="1633"/>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17,951,979.67</w:t>
            </w:r>
          </w:p>
        </w:tc>
        <w:tc>
          <w:tcPr>
            <w:tcW w:w="9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17,951,979.67</w:t>
            </w:r>
          </w:p>
        </w:tc>
        <w:tc>
          <w:tcPr>
            <w:tcW w:w="16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1,090,587,984.52</w:t>
            </w:r>
          </w:p>
        </w:tc>
        <w:tc>
          <w:tcPr>
            <w:tcW w:w="9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1,090,587,984.52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1,160,688,977.37</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1,160,688,977.37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80,417,994.22</w:t>
            </w:r>
          </w:p>
        </w:tc>
        <w:tc>
          <w:tcPr>
            <w:tcW w:w="9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80,417,994.22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99,938,783.52</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99,938,783.52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754,839.25</w:t>
            </w:r>
          </w:p>
        </w:tc>
        <w:tc>
          <w:tcPr>
            <w:tcW w:w="9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754,839.25</w:t>
            </w:r>
          </w:p>
        </w:tc>
        <w:tc>
          <w:tcPr>
            <w:tcW w:w="16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1,189,712,797.66</w:t>
            </w:r>
          </w:p>
        </w:tc>
        <w:tc>
          <w:tcPr>
            <w:tcW w:w="993"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1,189,712,797.66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1,260,627,760.89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1,260,627,760.89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）存货期末余额含有借款费用资本化金额的说明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）期末建造合同形成的已完工未结算资产情况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11</w:t>
      </w:r>
      <w:r>
        <w:rPr/>
        <w:t>、划分为持有待售的资产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12</w:t>
      </w:r>
      <w:r>
        <w:rPr/>
        <w:t>、一年内到期的非流动资产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13</w:t>
      </w:r>
      <w:r>
        <w:rPr/>
        <w:t>、其他流动资产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80,697,307.14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64,332,898.76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待退回企业所得税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1,488,317.87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102,185,625.01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64,332,898.76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14</w:t>
      </w:r>
      <w:r>
        <w:rPr/>
        <w:t>、可供出售金融资产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）可供出售金融资产情况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276"/>
        <w:gridCol w:w="1334"/>
        <w:gridCol w:w="1358"/>
        <w:gridCol w:w="125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67"/>
              <w:jc w:val="left"/>
              <w:rPr>
                <w:rFonts w:ascii="宋体" w:hAnsi="宋体" w:cs="宋体" w:eastAsia="宋体" w:hint="default"/>
                <w:sz w:val="18"/>
                <w:szCs w:val="18"/>
              </w:rPr>
            </w:pPr>
            <w:r>
              <w:rPr>
                <w:rFonts w:ascii="宋体" w:hAnsi="宋体" w:cs="宋体" w:eastAsia="宋体" w:hint="default"/>
                <w:sz w:val="18"/>
                <w:szCs w:val="18"/>
              </w:rPr>
              <w:t>可供出售权益工 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383,436,101.60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3,285,503.25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380,150,598.35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3" w:right="0"/>
              <w:jc w:val="center"/>
              <w:rPr>
                <w:rFonts w:ascii="宋体" w:hAnsi="宋体" w:cs="宋体" w:eastAsia="宋体" w:hint="default"/>
                <w:sz w:val="18"/>
                <w:szCs w:val="18"/>
              </w:rPr>
            </w:pPr>
            <w:r>
              <w:rPr>
                <w:rFonts w:ascii="宋体"/>
                <w:sz w:val="18"/>
              </w:rPr>
              <w:t>40,617,000.00</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1,675,460.22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38,941,539.78</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firstLine="360"/>
              <w:jc w:val="left"/>
              <w:rPr>
                <w:rFonts w:ascii="宋体" w:hAnsi="宋体" w:cs="宋体" w:eastAsia="宋体" w:hint="default"/>
                <w:sz w:val="18"/>
                <w:szCs w:val="18"/>
              </w:rPr>
            </w:pPr>
            <w:r>
              <w:rPr>
                <w:rFonts w:ascii="宋体" w:hAnsi="宋体" w:cs="宋体" w:eastAsia="宋体" w:hint="default"/>
                <w:sz w:val="18"/>
                <w:szCs w:val="18"/>
              </w:rPr>
              <w:t>按公允价值计 量的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368,419,101.60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368,419,101.60</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15,017,000.00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3,285,503.25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11,731,496.75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3" w:right="0"/>
              <w:jc w:val="center"/>
              <w:rPr>
                <w:rFonts w:ascii="宋体" w:hAnsi="宋体" w:cs="宋体" w:eastAsia="宋体" w:hint="default"/>
                <w:sz w:val="18"/>
                <w:szCs w:val="18"/>
              </w:rPr>
            </w:pPr>
            <w:r>
              <w:rPr>
                <w:rFonts w:ascii="宋体"/>
                <w:sz w:val="18"/>
              </w:rPr>
              <w:t>40,617,000.00</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1,675,460.22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38,941,539.78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383,436,101.60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3,285,503.25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380,150,598.35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3" w:right="0"/>
              <w:jc w:val="center"/>
              <w:rPr>
                <w:rFonts w:ascii="宋体" w:hAnsi="宋体" w:cs="宋体" w:eastAsia="宋体" w:hint="default"/>
                <w:sz w:val="18"/>
                <w:szCs w:val="18"/>
              </w:rPr>
            </w:pPr>
            <w:r>
              <w:rPr>
                <w:rFonts w:ascii="宋体"/>
                <w:sz w:val="18"/>
              </w:rPr>
              <w:t>40,617,000.00</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1,675,460.22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38,941,539.78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）期末按公允价值计量的可供出售金融资产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0"/>
        <w:gridCol w:w="1916"/>
        <w:gridCol w:w="1915"/>
        <w:gridCol w:w="1914"/>
        <w:gridCol w:w="1915"/>
      </w:tblGrid>
      <w:tr>
        <w:trPr>
          <w:trHeight w:val="71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96" w:hanging="225"/>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 工具的摊余成本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402"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24,516,483.71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sz w:val="18"/>
              </w:rPr>
              <w:t>368,419,101.60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343,902,617.89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24,516,483.71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sz w:val="18"/>
              </w:rPr>
              <w:t>368,419,101.60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343,902,617.89</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宋体" w:hAnsi="宋体" w:cs="宋体" w:eastAsia="宋体" w:hint="default"/>
        </w:rPr>
        <w:t>3</w:t>
      </w:r>
      <w:r>
        <w:rPr/>
        <w:t>）期末按成本计量的可供出售金融资产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1025"/>
        <w:gridCol w:w="851"/>
        <w:gridCol w:w="1134"/>
        <w:gridCol w:w="709"/>
        <w:gridCol w:w="63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9" w:right="7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5"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709"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150,000.0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150,000.0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139,729.8</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18"/>
                <w:szCs w:val="18"/>
              </w:rPr>
            </w:pPr>
            <w:r>
              <w:rPr>
                <w:rFonts w:ascii="宋体"/>
                <w:sz w:val="18"/>
              </w:rPr>
              <w:t>139,729.87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10.00%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安徽五星 食品股份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9,867,000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9,867,000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4.53%</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sz w:val="18"/>
              </w:rPr>
              <w:t>2,000,000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sz w:val="18"/>
              </w:rPr>
              <w:t>5,000,000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sz w:val="18"/>
              </w:rPr>
              <w:t>1,535,730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.35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1,610,043.</w:t>
            </w:r>
          </w:p>
          <w:p>
            <w:pPr>
              <w:pStyle w:val="TableParagraph"/>
              <w:spacing w:line="240" w:lineRule="auto" w:before="76"/>
              <w:ind w:right="23"/>
              <w:jc w:val="right"/>
              <w:rPr>
                <w:rFonts w:ascii="宋体" w:hAnsi="宋体" w:cs="宋体" w:eastAsia="宋体" w:hint="default"/>
                <w:sz w:val="18"/>
                <w:szCs w:val="18"/>
              </w:rPr>
            </w:pPr>
            <w:r>
              <w:rPr>
                <w:rFonts w:ascii="宋体"/>
                <w:sz w:val="18"/>
              </w:rPr>
              <w:t>03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3,145,773.3</w:t>
            </w:r>
          </w:p>
          <w:p>
            <w:pPr>
              <w:pStyle w:val="TableParagraph"/>
              <w:spacing w:line="240" w:lineRule="auto" w:before="76"/>
              <w:ind w:right="23"/>
              <w:jc w:val="right"/>
              <w:rPr>
                <w:rFonts w:ascii="宋体" w:hAnsi="宋体" w:cs="宋体" w:eastAsia="宋体" w:hint="default"/>
                <w:sz w:val="18"/>
                <w:szCs w:val="18"/>
              </w:rPr>
            </w:pPr>
            <w:r>
              <w:rPr>
                <w:rFonts w:ascii="宋体"/>
                <w:sz w:val="18"/>
              </w:rPr>
              <w:t>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19.76%</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北京东方 通科技股 份有限公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sz w:val="18"/>
              </w:rPr>
              <w:t>28,600,00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6" w:right="0"/>
              <w:jc w:val="left"/>
              <w:rPr>
                <w:rFonts w:ascii="宋体" w:hAnsi="宋体" w:cs="宋体" w:eastAsia="宋体" w:hint="default"/>
                <w:sz w:val="18"/>
                <w:szCs w:val="18"/>
              </w:rPr>
            </w:pPr>
            <w:r>
              <w:rPr>
                <w:rFonts w:ascii="宋体"/>
                <w:sz w:val="18"/>
              </w:rPr>
              <w:t>28,600,00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7.70%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40,617,00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3,000,000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28,600,00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15,017,00</w:t>
            </w:r>
          </w:p>
          <w:p>
            <w:pPr>
              <w:pStyle w:val="TableParagraph"/>
              <w:spacing w:line="240" w:lineRule="auto" w:before="76"/>
              <w:ind w:left="476" w:right="0"/>
              <w:jc w:val="lef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sz w:val="18"/>
              </w:rPr>
              <w:t>1,675,460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.22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1,610,043.</w:t>
            </w:r>
          </w:p>
          <w:p>
            <w:pPr>
              <w:pStyle w:val="TableParagraph"/>
              <w:spacing w:line="240" w:lineRule="auto" w:before="76"/>
              <w:ind w:right="23"/>
              <w:jc w:val="right"/>
              <w:rPr>
                <w:rFonts w:ascii="宋体" w:hAnsi="宋体" w:cs="宋体" w:eastAsia="宋体" w:hint="default"/>
                <w:sz w:val="18"/>
                <w:szCs w:val="18"/>
              </w:rPr>
            </w:pPr>
            <w:r>
              <w:rPr>
                <w:rFonts w:ascii="宋体"/>
                <w:sz w:val="18"/>
              </w:rPr>
              <w:t>03</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3,285,503.2</w:t>
            </w:r>
          </w:p>
          <w:p>
            <w:pPr>
              <w:pStyle w:val="TableParagraph"/>
              <w:spacing w:line="240" w:lineRule="auto" w:before="76"/>
              <w:ind w:right="23"/>
              <w:jc w:val="right"/>
              <w:rPr>
                <w:rFonts w:ascii="宋体" w:hAnsi="宋体" w:cs="宋体" w:eastAsia="宋体" w:hint="default"/>
                <w:sz w:val="18"/>
                <w:szCs w:val="18"/>
              </w:rPr>
            </w:pPr>
            <w:r>
              <w:rPr>
                <w:rFonts w:ascii="宋体"/>
                <w:sz w:val="18"/>
              </w:rPr>
              <w:t>5</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4</w:t>
      </w:r>
      <w:r>
        <w:rPr/>
        <w:t>）报告期内可供出售金融资产减值的变动情况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2"/>
        <w:gridCol w:w="1327"/>
        <w:gridCol w:w="1329"/>
        <w:gridCol w:w="1327"/>
        <w:gridCol w:w="1327"/>
        <w:gridCol w:w="1329"/>
        <w:gridCol w:w="1327"/>
      </w:tblGrid>
      <w:tr>
        <w:trPr>
          <w:trHeight w:val="714"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5" w:right="75"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7"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1,675,460.22</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1,610,043.03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3,285,503.25</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1,675,460.22</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1,610,043.03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3,285,503.25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5</w:t>
      </w:r>
      <w:r>
        <w:rPr/>
        <w:t>）可供出售权益工具期末公允价值严重下跌或非暂时性下跌但未计提减值准备的相关说明</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right="0" w:firstLine="420"/>
        <w:jc w:val="left"/>
      </w:pPr>
      <w:r>
        <w:rPr/>
        <w:t>公司的被投资单位</w:t>
      </w:r>
      <w:r>
        <w:rPr>
          <w:rFonts w:ascii="宋体" w:hAnsi="宋体" w:cs="宋体" w:eastAsia="宋体" w:hint="default"/>
        </w:rPr>
        <w:t>-</w:t>
      </w:r>
      <w:r>
        <w:rPr/>
        <w:t>北京东方通科技股份有限公司于</w:t>
      </w:r>
      <w:r>
        <w:rPr>
          <w:rFonts w:ascii="宋体" w:hAnsi="宋体" w:cs="宋体" w:eastAsia="宋体" w:hint="default"/>
        </w:rPr>
        <w:t>2014</w:t>
      </w:r>
      <w:r>
        <w:rPr/>
        <w:t>年</w:t>
      </w:r>
      <w:r>
        <w:rPr>
          <w:rFonts w:ascii="宋体" w:hAnsi="宋体" w:cs="宋体" w:eastAsia="宋体" w:hint="default"/>
        </w:rPr>
        <w:t>1</w:t>
      </w:r>
      <w:r>
        <w:rPr/>
        <w:t>月首次公开发行上市，公司对该投资由成本计量转入公允 价值计量。</w:t>
      </w:r>
    </w:p>
    <w:p>
      <w:pPr>
        <w:spacing w:after="0" w:line="316"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15</w:t>
      </w:r>
      <w:r>
        <w:rPr/>
        <w:t>、持有至到期投资</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）持有至到期投资情况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）期末重要的持有至到期投资</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）本期重分类的持有至到期投资</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16</w:t>
      </w:r>
      <w:r>
        <w:rPr/>
        <w:t>、长期应收款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）长期应收款情况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）因金融资产转移而终止确认的长期应收款</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）转移长期应收款且继续涉入形成的资产、负债金额</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17</w:t>
      </w:r>
      <w:r>
        <w:rPr/>
        <w:t>、长期股权投资</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18</w:t>
      </w:r>
      <w:r>
        <w:rPr/>
        <w:t>、投资性房地产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）采用成本计量模式的投资性房地产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）采用公允价值计量模式的投资性房地产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）未办妥产权证书的投资性房地产情况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19</w:t>
      </w:r>
      <w:r>
        <w:rPr/>
        <w:t>、固定资产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）固定资产情况</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411"/>
        <w:gridCol w:w="1419"/>
        <w:gridCol w:w="1417"/>
        <w:gridCol w:w="1276"/>
        <w:gridCol w:w="546"/>
        <w:gridCol w:w="1367"/>
      </w:tblGrid>
      <w:tr>
        <w:trPr>
          <w:trHeight w:val="401"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119,960,226.13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1,057,111.77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576,597,137.00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15,080,662.57</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712,695,137.47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11,210,774.54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127,469,862.66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3,571,976.29</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142,252,613.49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10,011,000.00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124,681,795.85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2,729,372.29</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137,422,168.14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1,199,774.54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1,053,268.93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2,253,043.47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1,734,797.88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842,604.00</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2,577,401.88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4,528,514.38</w:t>
            </w: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4,528,514.38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71,420.39</w:t>
            </w: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71,420.39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4,457,093.99</w:t>
            </w: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4,457,093.99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131,171,000.67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1,057,111.77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699,538,485.28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18,652,638.86</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850,419,236.58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31,605,832.11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882,592.56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168,238,336.51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10,305,216.82</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211,031,978.00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5,753,014.67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23,228.64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100,124,072.89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1,798,446.82</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107,698,763.02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5,753,014.67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23,228.64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99,540,667.82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1,583,171.71</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106,900,082.84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企业合并增加</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583,405.07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215,275.11</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798,680.18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17,843.66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17,843.66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17,843.66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17,843.66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37,358,846.78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905,821.20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268,344,565.74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12,103,663.64</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318,712,897.36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93,812,153.89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151,290.57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431,193,919.54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6,548,975.22</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531,706,339.22</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88,354,394.02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174,519.21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408,358,800.49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4,775,445.75</w:t>
            </w:r>
          </w:p>
        </w:tc>
        <w:tc>
          <w:tcPr>
            <w:tcW w:w="54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501,663,159.47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宋体" w:hAnsi="宋体" w:cs="宋体" w:eastAsia="宋体" w:hint="default"/>
        </w:rPr>
        <w:t>2</w:t>
      </w:r>
      <w:r>
        <w:rPr/>
        <w:t>）暂时闲置的固定资产情况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）通过融资租赁租入的固定资产情况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5</w:t>
      </w:r>
      <w:r>
        <w:rPr/>
        <w:t>）未办妥产权证书的固定资产情况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房屋建筑物（海南软件园房产）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9,960,416.67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w:t>
            </w:r>
            <w:r>
              <w:rPr>
                <w:rFonts w:ascii="宋体" w:hAnsi="宋体" w:cs="宋体" w:eastAsia="宋体" w:hint="default"/>
                <w:sz w:val="18"/>
                <w:szCs w:val="18"/>
              </w:rPr>
              <w:t>泰安东华</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15,495,641.83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25,456,058.50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20</w:t>
      </w:r>
      <w:r>
        <w:rPr/>
        <w:t>、在建工程</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泰安东华软件园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22,110,496.83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18"/>
                <w:szCs w:val="18"/>
              </w:rPr>
            </w:pPr>
            <w:r>
              <w:rPr>
                <w:rFonts w:ascii="宋体"/>
                <w:sz w:val="18"/>
              </w:rPr>
              <w:t>22,110,496.83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2" w:right="0"/>
              <w:jc w:val="center"/>
              <w:rPr>
                <w:rFonts w:ascii="宋体" w:hAnsi="宋体" w:cs="宋体" w:eastAsia="宋体" w:hint="default"/>
                <w:sz w:val="18"/>
                <w:szCs w:val="18"/>
              </w:rPr>
            </w:pPr>
            <w:r>
              <w:rPr>
                <w:rFonts w:ascii="宋体"/>
                <w:sz w:val="18"/>
              </w:rPr>
              <w:t>21,575,893.87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21,575,893.87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22,110,496.83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18"/>
                <w:szCs w:val="18"/>
              </w:rPr>
            </w:pPr>
            <w:r>
              <w:rPr>
                <w:rFonts w:ascii="宋体"/>
                <w:sz w:val="18"/>
              </w:rPr>
              <w:t>22,110,496.83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2" w:right="0"/>
              <w:jc w:val="center"/>
              <w:rPr>
                <w:rFonts w:ascii="宋体" w:hAnsi="宋体" w:cs="宋体" w:eastAsia="宋体" w:hint="default"/>
                <w:sz w:val="18"/>
                <w:szCs w:val="18"/>
              </w:rPr>
            </w:pPr>
            <w:r>
              <w:rPr>
                <w:rFonts w:ascii="宋体"/>
                <w:sz w:val="18"/>
              </w:rPr>
              <w:t>21,575,893.87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21,575,893.87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）重要在建工程项目本期变动情况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9"/>
              <w:jc w:val="both"/>
              <w:rPr>
                <w:rFonts w:ascii="宋体" w:hAnsi="宋体" w:cs="宋体" w:eastAsia="宋体" w:hint="default"/>
                <w:sz w:val="18"/>
                <w:szCs w:val="18"/>
              </w:rPr>
            </w:pPr>
            <w:r>
              <w:rPr>
                <w:rFonts w:ascii="宋体" w:hAnsi="宋体" w:cs="宋体" w:eastAsia="宋体" w:hint="default"/>
                <w:sz w:val="18"/>
                <w:szCs w:val="18"/>
              </w:rPr>
              <w:t>泰安东 华软件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48,000,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sz w:val="18"/>
              </w:rPr>
              <w:t>21,575,</w:t>
            </w:r>
          </w:p>
          <w:p>
            <w:pPr>
              <w:pStyle w:val="TableParagraph"/>
              <w:spacing w:line="240" w:lineRule="auto" w:before="76"/>
              <w:ind w:left="164" w:right="0"/>
              <w:jc w:val="left"/>
              <w:rPr>
                <w:rFonts w:ascii="宋体" w:hAnsi="宋体" w:cs="宋体" w:eastAsia="宋体" w:hint="default"/>
                <w:sz w:val="18"/>
                <w:szCs w:val="18"/>
              </w:rPr>
            </w:pPr>
            <w:r>
              <w:rPr>
                <w:rFonts w:ascii="宋体"/>
                <w:sz w:val="18"/>
              </w:rPr>
              <w:t>893.87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2,787,6</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46.43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2,253,0</w:t>
            </w:r>
          </w:p>
          <w:p>
            <w:pPr>
              <w:pStyle w:val="TableParagraph"/>
              <w:spacing w:line="240" w:lineRule="auto" w:before="76"/>
              <w:ind w:left="230" w:right="0"/>
              <w:jc w:val="center"/>
              <w:rPr>
                <w:rFonts w:ascii="宋体" w:hAnsi="宋体" w:cs="宋体" w:eastAsia="宋体" w:hint="default"/>
                <w:sz w:val="18"/>
                <w:szCs w:val="18"/>
              </w:rPr>
            </w:pPr>
            <w:r>
              <w:rPr>
                <w:rFonts w:ascii="宋体"/>
                <w:sz w:val="18"/>
              </w:rPr>
              <w:t>43.47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sz w:val="18"/>
              </w:rPr>
              <w:t>22,110,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496.83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0" w:right="0"/>
              <w:jc w:val="center"/>
              <w:rPr>
                <w:rFonts w:ascii="宋体" w:hAnsi="宋体" w:cs="宋体" w:eastAsia="宋体" w:hint="default"/>
                <w:sz w:val="18"/>
                <w:szCs w:val="18"/>
              </w:rPr>
            </w:pPr>
            <w:r>
              <w:rPr>
                <w:rFonts w:ascii="宋体"/>
                <w:sz w:val="18"/>
              </w:rPr>
              <w:t>117.80%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sz w:val="18"/>
              </w:rPr>
              <w:t>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0" w:right="0"/>
              <w:jc w:val="center"/>
              <w:rPr>
                <w:rFonts w:ascii="宋体" w:hAnsi="宋体" w:cs="宋体" w:eastAsia="宋体" w:hint="default"/>
                <w:sz w:val="18"/>
                <w:szCs w:val="18"/>
              </w:rPr>
            </w:pPr>
            <w:r>
              <w:rPr>
                <w:rFonts w:ascii="宋体"/>
                <w:sz w:val="18"/>
              </w:rPr>
              <w:t>48,000,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4" w:right="0"/>
              <w:jc w:val="left"/>
              <w:rPr>
                <w:rFonts w:ascii="宋体" w:hAnsi="宋体" w:cs="宋体" w:eastAsia="宋体" w:hint="default"/>
                <w:sz w:val="18"/>
                <w:szCs w:val="18"/>
              </w:rPr>
            </w:pPr>
            <w:r>
              <w:rPr>
                <w:rFonts w:ascii="宋体"/>
                <w:sz w:val="18"/>
              </w:rPr>
              <w:t>21,575,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 w:right="0"/>
              <w:jc w:val="left"/>
              <w:rPr>
                <w:rFonts w:ascii="宋体" w:hAnsi="宋体" w:cs="宋体" w:eastAsia="宋体" w:hint="default"/>
                <w:sz w:val="18"/>
                <w:szCs w:val="18"/>
              </w:rPr>
            </w:pPr>
            <w:r>
              <w:rPr>
                <w:rFonts w:ascii="宋体"/>
                <w:sz w:val="18"/>
              </w:rPr>
              <w:t>2,787,6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 w:right="0"/>
              <w:jc w:val="left"/>
              <w:rPr>
                <w:rFonts w:ascii="宋体" w:hAnsi="宋体" w:cs="宋体" w:eastAsia="宋体" w:hint="default"/>
                <w:sz w:val="18"/>
                <w:szCs w:val="18"/>
              </w:rPr>
            </w:pPr>
            <w:r>
              <w:rPr>
                <w:rFonts w:ascii="宋体"/>
                <w:sz w:val="18"/>
              </w:rPr>
              <w:t>2,253,0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 w:right="0"/>
              <w:jc w:val="left"/>
              <w:rPr>
                <w:rFonts w:ascii="宋体" w:hAnsi="宋体" w:cs="宋体" w:eastAsia="宋体" w:hint="default"/>
                <w:sz w:val="18"/>
                <w:szCs w:val="18"/>
              </w:rPr>
            </w:pPr>
            <w:r>
              <w:rPr>
                <w:rFonts w:ascii="宋体"/>
                <w:sz w:val="18"/>
              </w:rPr>
              <w:t>22,110,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4" w:right="0"/>
              <w:jc w:val="left"/>
              <w:rPr>
                <w:rFonts w:ascii="宋体" w:hAnsi="宋体" w:cs="宋体" w:eastAsia="宋体" w:hint="default"/>
                <w:sz w:val="18"/>
                <w:szCs w:val="18"/>
              </w:rPr>
            </w:pPr>
            <w:r>
              <w:rPr>
                <w:rFonts w:ascii="宋体"/>
                <w:sz w:val="18"/>
              </w:rPr>
              <w:t>893.87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sz w:val="18"/>
              </w:rPr>
              <w:t>46.43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3" w:right="0"/>
              <w:jc w:val="left"/>
              <w:rPr>
                <w:rFonts w:ascii="宋体" w:hAnsi="宋体" w:cs="宋体" w:eastAsia="宋体" w:hint="default"/>
                <w:sz w:val="18"/>
                <w:szCs w:val="18"/>
              </w:rPr>
            </w:pPr>
            <w:r>
              <w:rPr>
                <w:rFonts w:ascii="宋体"/>
                <w:sz w:val="18"/>
              </w:rPr>
              <w:t>43.47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3" w:right="0"/>
              <w:jc w:val="left"/>
              <w:rPr>
                <w:rFonts w:ascii="宋体" w:hAnsi="宋体" w:cs="宋体" w:eastAsia="宋体" w:hint="default"/>
                <w:sz w:val="18"/>
                <w:szCs w:val="18"/>
              </w:rPr>
            </w:pPr>
            <w:r>
              <w:rPr>
                <w:rFonts w:ascii="宋体"/>
                <w:sz w:val="18"/>
              </w:rPr>
              <w:t>496.83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3</w:t>
      </w:r>
      <w:r>
        <w:rPr/>
        <w:t>）本期计提在建工程减值准备情况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21</w:t>
      </w:r>
      <w:r>
        <w:rPr/>
        <w:t>、工程物资</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22</w:t>
      </w:r>
      <w:r>
        <w:rPr/>
        <w:t>、固定资产清理</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23</w:t>
      </w:r>
      <w:r>
        <w:rPr/>
        <w:t>、生产性生物资产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）采用成本计量模式的生产性生物资产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）采用公允价值计量模式的生产性生物资产</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24</w:t>
      </w:r>
      <w:r>
        <w:rPr/>
        <w:t>、油气资产</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25</w:t>
      </w:r>
      <w:r>
        <w:rPr/>
        <w:t>、无形资产</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sz w:val="18"/>
              </w:rPr>
              <w:t>3,508,276.67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宋体" w:hAnsi="宋体" w:cs="宋体" w:eastAsia="宋体" w:hint="default"/>
                <w:sz w:val="18"/>
                <w:szCs w:val="18"/>
              </w:rPr>
            </w:pPr>
            <w:r>
              <w:rPr>
                <w:rFonts w:ascii="宋体"/>
                <w:sz w:val="18"/>
              </w:rPr>
              <w:t>5,520,000.00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70,456,318.42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79,484,595.09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127,105,476.36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127,105,476.36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77,599,540.54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77,599,540.54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49,505,935.82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49,505,935.82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3"/>
        <w:gridCol w:w="1397"/>
        <w:gridCol w:w="1368"/>
        <w:gridCol w:w="1382"/>
        <w:gridCol w:w="1380"/>
        <w:gridCol w:w="1579"/>
      </w:tblGrid>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3,508,276.67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5,520,000.00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197,561,794.78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206,590,071.45</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481,067.96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4,188,167.21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6,361,773.81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11,031,008.98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70,400.16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602,666.79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24,846,693.95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25,519,760.90</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70,400.16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602,666.79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23,832,863.13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24,505,930.08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1,013,830.82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1,013,830.82</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551,468.12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4,790,834.00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31,208,467.76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36,550,769.88</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2,956,808.55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729,166.00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166,353,327.02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170,039,301.57</w:t>
            </w:r>
          </w:p>
        </w:tc>
      </w:tr>
      <w:tr>
        <w:trPr>
          <w:trHeight w:val="402"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3,027,208.71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1,331,832.79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64,094,544.61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68,453,586.11</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宋体" w:hAnsi="宋体" w:cs="宋体" w:eastAsia="宋体" w:hint="default"/>
        </w:rPr>
        <w:t>11.51%</w:t>
      </w:r>
      <w:r>
        <w:rPr/>
        <w:t>。</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）未办妥产权证书的土地使用权情况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26</w:t>
      </w:r>
      <w:r>
        <w:rPr/>
        <w:t>、开发支出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银行批量交易 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4,253,009.59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4,253,009.59</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金融业务处理 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3,069,817.58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center"/>
              <w:rPr>
                <w:rFonts w:ascii="宋体" w:hAnsi="宋体" w:cs="宋体" w:eastAsia="宋体" w:hint="default"/>
                <w:sz w:val="18"/>
                <w:szCs w:val="18"/>
              </w:rPr>
            </w:pPr>
            <w:r>
              <w:rPr>
                <w:rFonts w:ascii="宋体"/>
                <w:sz w:val="18"/>
              </w:rPr>
              <w:t>3,069,817.58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7,322,827.17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sz w:val="18"/>
              </w:rPr>
              <w:t>7,322,827.17</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27</w:t>
      </w:r>
      <w:r>
        <w:rPr/>
        <w:t>、商誉</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）商誉账面原值</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247,618,632.50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247,618,632.50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225,266,979.44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225,266,979.44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1,942,851.06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1,942,851.06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469,339,595.86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469,339,595.86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474,828,463.00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469,339,595.86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944,168,058.86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）商誉减值准备</w:t>
      </w:r>
      <w:r>
        <w:rPr>
          <w:b w:val="0"/>
          <w:bCs w:val="0"/>
        </w:rPr>
      </w:r>
    </w:p>
    <w:p>
      <w:pPr>
        <w:spacing w:line="240" w:lineRule="auto" w:before="11"/>
        <w:rPr>
          <w:rFonts w:ascii="宋体" w:hAnsi="宋体" w:cs="宋体" w:eastAsia="宋体" w:hint="default"/>
          <w:b/>
          <w:bCs/>
          <w:sz w:val="27"/>
          <w:szCs w:val="27"/>
        </w:rPr>
      </w:pPr>
    </w:p>
    <w:p>
      <w:pPr>
        <w:pStyle w:val="BodyText"/>
        <w:spacing w:line="439" w:lineRule="auto"/>
        <w:ind w:left="514" w:right="4732" w:hanging="360"/>
        <w:jc w:val="left"/>
      </w:pPr>
      <w:r>
        <w:rPr/>
        <w:t>□ 适用 √ 不适用 说明商誉减值测试过程、参数及商誉减值损失的确认方法： 公司对商誉进行减值测试的方法如下： 将被收购公司整体作为一个资产组进行减值测试。</w:t>
      </w:r>
    </w:p>
    <w:p>
      <w:pPr>
        <w:pStyle w:val="BodyText"/>
        <w:spacing w:line="316" w:lineRule="auto" w:before="47"/>
        <w:ind w:right="0" w:firstLine="360"/>
        <w:jc w:val="left"/>
      </w:pPr>
      <w:r>
        <w:rPr>
          <w:spacing w:val="-2"/>
        </w:rPr>
        <w:t>确认资产组的可收回金额：企业管理层预测被收购公司的未来自由现金流量，选择恰当的折现率对其进行折现后确定未</w:t>
      </w:r>
      <w:r>
        <w:rPr/>
        <w:t> 来自由现金流量的现值，以企业的股东权益价值作为被收购公司权益的可收回金额。</w:t>
      </w:r>
    </w:p>
    <w:p>
      <w:pPr>
        <w:pStyle w:val="BodyText"/>
        <w:spacing w:line="316" w:lineRule="auto" w:before="139"/>
        <w:ind w:right="0" w:firstLine="360"/>
        <w:jc w:val="left"/>
      </w:pPr>
      <w:r>
        <w:rPr>
          <w:spacing w:val="-2"/>
        </w:rPr>
        <w:t>比较相关资产组的账面价值（包括所分摊的商誉的账面价值部分）与其可收回金额，如相关资产组或者资产组组合的可</w:t>
      </w:r>
      <w:r>
        <w:rPr/>
        <w:t> 收回金额低于其账面价值的，确认商誉的减值损失。</w:t>
      </w:r>
    </w:p>
    <w:p>
      <w:pPr>
        <w:pStyle w:val="BodyText"/>
        <w:spacing w:line="316" w:lineRule="auto" w:before="139"/>
        <w:ind w:right="0" w:firstLine="360"/>
        <w:jc w:val="left"/>
      </w:pPr>
      <w:r>
        <w:rPr>
          <w:spacing w:val="-3"/>
        </w:rPr>
        <w:t>公司对北京威锐达测控系统有限公司选取的折现率为</w:t>
      </w:r>
      <w:r>
        <w:rPr>
          <w:rFonts w:ascii="宋体" w:hAnsi="宋体" w:cs="宋体" w:eastAsia="宋体" w:hint="default"/>
          <w:spacing w:val="-3"/>
        </w:rPr>
        <w:t>13.23%</w:t>
      </w:r>
      <w:r>
        <w:rPr>
          <w:spacing w:val="-3"/>
        </w:rPr>
        <w:t>，对北京神州新桥科技有限公司选取的折现率为</w:t>
      </w:r>
      <w:r>
        <w:rPr>
          <w:rFonts w:ascii="宋体" w:hAnsi="宋体" w:cs="宋体" w:eastAsia="宋体" w:hint="default"/>
          <w:spacing w:val="-3"/>
        </w:rPr>
        <w:t>12.32%</w:t>
      </w:r>
      <w:r>
        <w:rPr>
          <w:spacing w:val="-3"/>
        </w:rPr>
        <w:t>，对</w:t>
      </w:r>
      <w:r>
        <w:rPr>
          <w:spacing w:val="-41"/>
        </w:rPr>
        <w:t> </w:t>
      </w:r>
      <w:r>
        <w:rPr/>
        <w:t>以上其余被投资单位选取的折现率为</w:t>
      </w:r>
      <w:r>
        <w:rPr>
          <w:rFonts w:ascii="宋体" w:hAnsi="宋体" w:cs="宋体" w:eastAsia="宋体" w:hint="default"/>
        </w:rPr>
        <w:t>12%</w:t>
      </w:r>
      <w:r>
        <w:rPr/>
        <w:t>。</w:t>
      </w:r>
    </w:p>
    <w:p>
      <w:pPr>
        <w:pStyle w:val="BodyText"/>
        <w:spacing w:line="240" w:lineRule="auto" w:before="139"/>
        <w:ind w:left="514" w:right="0"/>
        <w:jc w:val="left"/>
      </w:pPr>
      <w:r>
        <w:rPr/>
        <w:t>经过减值测试，商誉不存在减值的情况。</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28</w:t>
      </w:r>
      <w:r>
        <w:rPr/>
        <w:t>、长期待摊费用</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3" w:right="0"/>
              <w:jc w:val="left"/>
              <w:rPr>
                <w:rFonts w:ascii="宋体" w:hAnsi="宋体" w:cs="宋体" w:eastAsia="宋体" w:hint="default"/>
                <w:sz w:val="18"/>
                <w:szCs w:val="18"/>
              </w:rPr>
            </w:pPr>
            <w:r>
              <w:rPr>
                <w:rFonts w:ascii="宋体"/>
                <w:sz w:val="18"/>
              </w:rPr>
              <w:t>2,423,257.97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509,207.98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1,096,563.70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sz w:val="18"/>
              </w:rPr>
              <w:t>1,835,902.25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3" w:right="0"/>
              <w:jc w:val="left"/>
              <w:rPr>
                <w:rFonts w:ascii="宋体" w:hAnsi="宋体" w:cs="宋体" w:eastAsia="宋体" w:hint="default"/>
                <w:sz w:val="18"/>
                <w:szCs w:val="18"/>
              </w:rPr>
            </w:pPr>
            <w:r>
              <w:rPr>
                <w:rFonts w:ascii="宋体"/>
                <w:sz w:val="18"/>
              </w:rPr>
              <w:t>2,423,257.97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509,207.98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1,096,563.70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sz w:val="18"/>
              </w:rPr>
              <w:t>1,835,902.25</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29</w:t>
      </w:r>
      <w:r>
        <w:rPr/>
        <w:t>、递延所得税资产</w:t>
      </w:r>
      <w:r>
        <w:rPr>
          <w:rFonts w:ascii="宋体" w:hAnsi="宋体" w:cs="宋体" w:eastAsia="宋体" w:hint="default"/>
        </w:rPr>
        <w:t>/</w:t>
      </w:r>
      <w:r>
        <w:rPr/>
        <w:t>递延所得税负债</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）未经抵销的递延所得税资产</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128,765,871.17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14,567,129.42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71,645,279.13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8,106,947.98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18,998,004.18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2,643,200.63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5,540,996.62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561,023.44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147,763,875.35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17,210,330.05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77,186,275.75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8,667,971.42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）未经抵销的递延所得税负债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42,087,162.10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6,313,074.32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343,902,617.89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34,390,261.79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收购少数股东股权形成 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135.81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385,991,138.12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40,703,471.92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17,210,330.05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8,667,971.42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40,703,471.92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4</w:t>
      </w:r>
      <w:r>
        <w:rPr/>
        <w:t>）未确认递延所得税资产明细</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141,475,637.00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96,926,025.86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5,461,674.78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4,381,719.86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146,937,311.78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101,307,745.72</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919,537.29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4,425,438.38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4,425,438.38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14,081,176.75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14,873,622.79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31,516,575.46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31,516,575.46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45,190,851.94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45,190,851.94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46,261,594.47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141,475,637.00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96,926,025.86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30</w:t>
      </w:r>
      <w:r>
        <w:rPr/>
        <w:t>、其他非流动资产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海南银行股份有限公司筹建履约定金及 筹建费用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27,900,000.00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31</w:t>
      </w:r>
      <w:r>
        <w:rPr/>
        <w:t>、短期借款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10,517,385.00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158,364,297.67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短期贸易融资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10,145,326.48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292,027,009.15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209,800,000.00</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短期借款分类的说明：</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日，公司所属子公司</w:t>
      </w:r>
      <w:r>
        <w:rPr>
          <w:rFonts w:ascii="宋体" w:hAnsi="宋体" w:cs="宋体" w:eastAsia="宋体" w:hint="default"/>
        </w:rPr>
        <w:t>-</w:t>
      </w:r>
      <w:r>
        <w:rPr/>
        <w:t>北京东华合创科技有限公司借款余额</w:t>
      </w:r>
      <w:r>
        <w:rPr>
          <w:spacing w:val="-46"/>
        </w:rPr>
        <w:t> </w:t>
      </w:r>
      <w:r>
        <w:rPr>
          <w:rFonts w:ascii="宋体" w:hAnsi="宋体" w:cs="宋体" w:eastAsia="宋体" w:hint="default"/>
        </w:rPr>
        <w:t>1,700</w:t>
      </w:r>
      <w:r>
        <w:rPr>
          <w:rFonts w:ascii="宋体" w:hAnsi="宋体" w:cs="宋体" w:eastAsia="宋体" w:hint="default"/>
          <w:spacing w:val="-46"/>
        </w:rPr>
        <w:t> </w:t>
      </w:r>
      <w:r>
        <w:rPr/>
        <w:t>万元，公司所属子公司</w:t>
      </w:r>
      <w:r>
        <w:rPr>
          <w:rFonts w:ascii="宋体" w:hAnsi="宋体" w:cs="宋体" w:eastAsia="宋体" w:hint="default"/>
        </w:rPr>
        <w:t>-</w:t>
      </w:r>
      <w:r>
        <w:rPr/>
        <w:t>北京威</w:t>
      </w:r>
    </w:p>
    <w:p>
      <w:pPr>
        <w:pStyle w:val="BodyText"/>
        <w:spacing w:line="240" w:lineRule="auto" w:before="76"/>
        <w:ind w:right="0"/>
        <w:jc w:val="left"/>
      </w:pPr>
      <w:r>
        <w:rPr/>
        <w:t>锐达测控系统有限公司借款余额</w:t>
      </w:r>
      <w:r>
        <w:rPr>
          <w:spacing w:val="-46"/>
        </w:rPr>
        <w:t> </w:t>
      </w:r>
      <w:r>
        <w:rPr>
          <w:rFonts w:ascii="宋体" w:hAnsi="宋体" w:cs="宋体" w:eastAsia="宋体" w:hint="default"/>
        </w:rPr>
        <w:t>1,500</w:t>
      </w:r>
      <w:r>
        <w:rPr>
          <w:rFonts w:ascii="宋体" w:hAnsi="宋体" w:cs="宋体" w:eastAsia="宋体" w:hint="default"/>
          <w:spacing w:val="-46"/>
        </w:rPr>
        <w:t> </w:t>
      </w:r>
      <w:r>
        <w:rPr/>
        <w:t>万元，公司所属子公司</w:t>
      </w:r>
      <w:r>
        <w:rPr>
          <w:rFonts w:ascii="宋体" w:hAnsi="宋体" w:cs="宋体" w:eastAsia="宋体" w:hint="default"/>
        </w:rPr>
        <w:t>-</w:t>
      </w:r>
      <w:r>
        <w:rPr/>
        <w:t>北京神州新桥科技有限公司借款余额</w:t>
      </w:r>
      <w:r>
        <w:rPr>
          <w:spacing w:val="-46"/>
        </w:rPr>
        <w:t> </w:t>
      </w:r>
      <w:r>
        <w:rPr>
          <w:rFonts w:ascii="宋体" w:hAnsi="宋体" w:cs="宋体" w:eastAsia="宋体" w:hint="default"/>
        </w:rPr>
        <w:t>5,300</w:t>
      </w:r>
      <w:r>
        <w:rPr>
          <w:rFonts w:ascii="宋体" w:hAnsi="宋体" w:cs="宋体" w:eastAsia="宋体" w:hint="default"/>
          <w:spacing w:val="-46"/>
        </w:rPr>
        <w:t> </w:t>
      </w:r>
      <w:r>
        <w:rPr/>
        <w:t>万元，由本公司</w:t>
      </w:r>
    </w:p>
    <w:p>
      <w:pPr>
        <w:pStyle w:val="BodyText"/>
        <w:spacing w:line="240" w:lineRule="auto" w:before="77"/>
        <w:ind w:right="0"/>
        <w:jc w:val="left"/>
      </w:pPr>
      <w:r>
        <w:rPr/>
        <w:t>提供连带责任保证。本公司借款余额</w:t>
      </w:r>
      <w:r>
        <w:rPr>
          <w:spacing w:val="-46"/>
        </w:rPr>
        <w:t> </w:t>
      </w:r>
      <w:r>
        <w:rPr>
          <w:rFonts w:ascii="宋体" w:hAnsi="宋体" w:cs="宋体" w:eastAsia="宋体" w:hint="default"/>
        </w:rPr>
        <w:t>2,800</w:t>
      </w:r>
      <w:r>
        <w:rPr>
          <w:rFonts w:ascii="宋体" w:hAnsi="宋体" w:cs="宋体" w:eastAsia="宋体" w:hint="default"/>
          <w:spacing w:val="-46"/>
        </w:rPr>
        <w:t> </w:t>
      </w:r>
      <w:r>
        <w:rPr/>
        <w:t>万元，由公司股东薛向东及妻子郭玉梅提供连带责任保证。</w:t>
      </w:r>
    </w:p>
    <w:p>
      <w:pPr>
        <w:spacing w:line="240" w:lineRule="auto" w:before="0"/>
        <w:rPr>
          <w:rFonts w:ascii="宋体" w:hAnsi="宋体" w:cs="宋体" w:eastAsia="宋体" w:hint="default"/>
          <w:sz w:val="15"/>
          <w:szCs w:val="15"/>
        </w:rPr>
      </w:pPr>
    </w:p>
    <w:p>
      <w:pPr>
        <w:pStyle w:val="BodyText"/>
        <w:spacing w:line="316" w:lineRule="auto"/>
        <w:ind w:right="152" w:firstLine="360"/>
        <w:jc w:val="both"/>
      </w:pP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7</w:t>
      </w:r>
      <w:r>
        <w:rPr>
          <w:rFonts w:ascii="宋体" w:hAnsi="宋体" w:cs="宋体" w:eastAsia="宋体" w:hint="default"/>
          <w:spacing w:val="-45"/>
        </w:rPr>
        <w:t> </w:t>
      </w:r>
      <w:r>
        <w:rPr>
          <w:spacing w:val="-5"/>
        </w:rPr>
        <w:t>日，公司与贵阳银行股份有限公司签订的《质押合同》（编号“</w:t>
      </w:r>
      <w:r>
        <w:rPr>
          <w:rFonts w:ascii="宋体" w:hAnsi="宋体" w:cs="宋体" w:eastAsia="宋体" w:hint="default"/>
          <w:spacing w:val="-5"/>
        </w:rPr>
        <w:t>ZB4120140707001</w:t>
      </w:r>
      <w:r>
        <w:rPr>
          <w:spacing w:val="-5"/>
        </w:rPr>
        <w:t>”），为公司与该行签订</w:t>
      </w:r>
      <w:r>
        <w:rPr/>
        <w:t> 的编号为</w:t>
      </w:r>
      <w:r>
        <w:rPr>
          <w:spacing w:val="-46"/>
        </w:rPr>
        <w:t> </w:t>
      </w:r>
      <w:r>
        <w:rPr>
          <w:rFonts w:ascii="宋体" w:hAnsi="宋体" w:cs="宋体" w:eastAsia="宋体" w:hint="default"/>
        </w:rPr>
        <w:t>JB4120140707001</w:t>
      </w:r>
      <w:r>
        <w:rPr>
          <w:rFonts w:ascii="宋体" w:hAnsi="宋体" w:cs="宋体" w:eastAsia="宋体" w:hint="default"/>
          <w:spacing w:val="-46"/>
        </w:rPr>
        <w:t> </w:t>
      </w:r>
      <w:r>
        <w:rPr>
          <w:spacing w:val="-2"/>
        </w:rPr>
        <w:t>的《流动资金借款合同》提供质押担保，质押物的权利金额为公司与贵阳市公安交通管理局的应</w:t>
      </w:r>
      <w:r>
        <w:rPr/>
        <w:t> 收账款金额</w:t>
      </w:r>
      <w:r>
        <w:rPr>
          <w:spacing w:val="-57"/>
        </w:rPr>
        <w:t> </w:t>
      </w:r>
      <w:r>
        <w:rPr>
          <w:rFonts w:ascii="宋体" w:hAnsi="宋体" w:cs="宋体" w:eastAsia="宋体" w:hint="default"/>
        </w:rPr>
        <w:t>52,586,928.00</w:t>
      </w:r>
      <w:r>
        <w:rPr>
          <w:rFonts w:ascii="宋体" w:hAnsi="宋体" w:cs="宋体" w:eastAsia="宋体" w:hint="default"/>
          <w:spacing w:val="-57"/>
        </w:rPr>
        <w:t> </w:t>
      </w:r>
      <w:r>
        <w:rPr/>
        <w:t>元，担保金额为公司与贵阳市公安交通管理局的应收账款金额</w:t>
      </w:r>
      <w:r>
        <w:rPr>
          <w:spacing w:val="-56"/>
        </w:rPr>
        <w:t> </w:t>
      </w:r>
      <w:r>
        <w:rPr>
          <w:rFonts w:ascii="宋体" w:hAnsi="宋体" w:cs="宋体" w:eastAsia="宋体" w:hint="default"/>
        </w:rPr>
        <w:t>10,517,385.00</w:t>
      </w:r>
      <w:r>
        <w:rPr>
          <w:rFonts w:ascii="宋体" w:hAnsi="宋体" w:cs="宋体" w:eastAsia="宋体" w:hint="default"/>
          <w:spacing w:val="-57"/>
        </w:rPr>
        <w:t> </w:t>
      </w:r>
      <w:r>
        <w:rPr>
          <w:spacing w:val="-5"/>
        </w:rPr>
        <w:t>元。质押期限至被</w:t>
      </w:r>
    </w:p>
    <w:p>
      <w:pPr>
        <w:spacing w:after="0" w:line="316"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担保的债权诉讼时效届满之日，担保金额为主合同项下的本金及利息、违约金、赔偿金等。截止</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日，公司</w:t>
      </w:r>
    </w:p>
    <w:p>
      <w:pPr>
        <w:pStyle w:val="BodyText"/>
        <w:spacing w:line="240" w:lineRule="auto" w:before="76"/>
        <w:ind w:right="0"/>
        <w:jc w:val="left"/>
      </w:pPr>
      <w:r>
        <w:rPr/>
        <w:t>在该合同项下的借款金额为</w:t>
      </w:r>
      <w:r>
        <w:rPr>
          <w:spacing w:val="-46"/>
        </w:rPr>
        <w:t> </w:t>
      </w:r>
      <w:r>
        <w:rPr>
          <w:rFonts w:ascii="宋体" w:hAnsi="宋体" w:cs="宋体" w:eastAsia="宋体" w:hint="default"/>
        </w:rPr>
        <w:t>10,517,385.00</w:t>
      </w:r>
      <w:r>
        <w:rPr>
          <w:rFonts w:ascii="宋体" w:hAnsi="宋体" w:cs="宋体" w:eastAsia="宋体" w:hint="default"/>
          <w:spacing w:val="-46"/>
        </w:rPr>
        <w:t> </w:t>
      </w:r>
      <w:r>
        <w:rPr/>
        <w:t>元。</w:t>
      </w:r>
    </w:p>
    <w:p>
      <w:pPr>
        <w:spacing w:line="240" w:lineRule="auto" w:before="12"/>
        <w:rPr>
          <w:rFonts w:ascii="宋体" w:hAnsi="宋体" w:cs="宋体" w:eastAsia="宋体" w:hint="default"/>
          <w:sz w:val="26"/>
          <w:szCs w:val="26"/>
        </w:rPr>
      </w:pPr>
    </w:p>
    <w:p>
      <w:pPr>
        <w:spacing w:line="578" w:lineRule="auto" w:before="0"/>
        <w:ind w:left="154" w:right="401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 </w:t>
      </w:r>
      <w:r>
        <w:rPr>
          <w:rFonts w:ascii="宋体" w:hAnsi="宋体" w:cs="宋体" w:eastAsia="宋体" w:hint="default"/>
          <w:b/>
          <w:bCs/>
          <w:w w:val="95"/>
          <w:sz w:val="21"/>
          <w:szCs w:val="21"/>
        </w:rPr>
        <w:t>32</w:t>
      </w:r>
      <w:r>
        <w:rPr>
          <w:rFonts w:ascii="宋体" w:hAnsi="宋体" w:cs="宋体" w:eastAsia="宋体" w:hint="default"/>
          <w:b/>
          <w:bCs/>
          <w:w w:val="95"/>
          <w:sz w:val="21"/>
          <w:szCs w:val="21"/>
        </w:rPr>
        <w:t>、以公允价值计量且其变动计入当期损益的金融负债</w:t>
      </w:r>
      <w:r>
        <w:rPr>
          <w:rFonts w:ascii="宋体" w:hAnsi="宋体" w:cs="宋体" w:eastAsia="宋体" w:hint="default"/>
          <w:sz w:val="21"/>
          <w:szCs w:val="21"/>
        </w:rPr>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33</w:t>
      </w:r>
      <w:r>
        <w:rPr/>
        <w:t>、衍生金融负债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34</w:t>
      </w:r>
      <w:r>
        <w:rPr/>
        <w:t>、应付票据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34,168,949.00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136,883,863.90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180,405,128.68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136,883,863.90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214,574,077.68</w:t>
            </w:r>
          </w:p>
        </w:tc>
      </w:tr>
    </w:tbl>
    <w:p>
      <w:pPr>
        <w:pStyle w:val="BodyText"/>
        <w:spacing w:line="240" w:lineRule="auto" w:before="51"/>
        <w:ind w:right="0"/>
        <w:jc w:val="left"/>
      </w:pPr>
      <w:r>
        <w:rPr/>
        <w:t>本期末已到期未支付的应付票据总额为</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35</w:t>
      </w:r>
      <w:r>
        <w:rPr/>
        <w:t>、应付账款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）应付账款列示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371,571,994.98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296,874,951.48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371,571,994.98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296,874,951.48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年的重要应付账款</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北京安氏领信科技发展有限公司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12,722,456.00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北京时代飞扬科技有限公司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8,933,713.25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北京掌控时代科技有限公司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5,613,771.00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4,867,459.60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北京达乐源科技发展有限公司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北京中北万兴国际贸易有限公司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中电广通股份有限公司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2,542,969.57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新疆卓越天成信息科技有限公司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2,322,506.95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深圳市金宏威技术股份有限公司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2,106,801.20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北京清软英泰信息技术有限公司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1,606,800.00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北京郎程科讯科技有限公司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1,493,500.00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1,046,437.00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49,468,414.57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36</w:t>
      </w:r>
      <w:r>
        <w:rPr/>
        <w:t>、预收款项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）预收款项列示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375,853,151.28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494,903,234.51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375,853,151.28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494,903,234.51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年的重要预收款项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中国石油天然气管道局第一工程分公司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4,636,013.51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北京科东电力控制系统有限责任公司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4,594,572.16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中国人民解放军</w:t>
            </w:r>
            <w:r>
              <w:rPr>
                <w:rFonts w:ascii="宋体" w:hAnsi="宋体" w:cs="宋体" w:eastAsia="宋体" w:hint="default"/>
                <w:spacing w:val="-46"/>
                <w:sz w:val="18"/>
                <w:szCs w:val="18"/>
              </w:rPr>
              <w:t> </w:t>
            </w:r>
            <w:r>
              <w:rPr>
                <w:rFonts w:ascii="宋体" w:hAnsi="宋体" w:cs="宋体" w:eastAsia="宋体" w:hint="default"/>
                <w:sz w:val="18"/>
                <w:szCs w:val="18"/>
              </w:rPr>
              <w:t>75210</w:t>
            </w:r>
            <w:r>
              <w:rPr>
                <w:rFonts w:ascii="宋体" w:hAnsi="宋体" w:cs="宋体" w:eastAsia="宋体" w:hint="default"/>
                <w:spacing w:val="-46"/>
                <w:sz w:val="18"/>
                <w:szCs w:val="18"/>
              </w:rPr>
              <w:t> </w:t>
            </w:r>
            <w:r>
              <w:rPr>
                <w:rFonts w:ascii="宋体" w:hAnsi="宋体" w:cs="宋体" w:eastAsia="宋体" w:hint="default"/>
                <w:sz w:val="18"/>
                <w:szCs w:val="18"/>
              </w:rPr>
              <w:t>部队保障部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辽源龙山区检察院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宁夏电力公司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3,456,233.29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武警甘肃总队第三支队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30,526,818.96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3</w:t>
      </w:r>
      <w:r>
        <w:rPr/>
        <w:t>）期末建造合同形成的已结算未完工项目情况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37</w:t>
      </w:r>
      <w:r>
        <w:rPr/>
        <w:t>、应付职工薪酬</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）应付职工薪酬列示</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2,323,368.93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542,129,573.71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540,788,159.85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3,664,782.79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w:t>
            </w:r>
            <w:r>
              <w:rPr>
                <w:rFonts w:ascii="宋体" w:hAnsi="宋体" w:cs="宋体" w:eastAsia="宋体" w:hint="default"/>
                <w:spacing w:val="-80"/>
                <w:sz w:val="18"/>
                <w:szCs w:val="18"/>
              </w:rPr>
              <w:t> </w:t>
            </w:r>
            <w:r>
              <w:rPr>
                <w:rFonts w:ascii="宋体" w:hAnsi="宋体" w:cs="宋体" w:eastAsia="宋体" w:hint="default"/>
                <w:sz w:val="18"/>
                <w:szCs w:val="18"/>
              </w:rPr>
              <w:t>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83,352.90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38,364,352.97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38,321,561.99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126,143.88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92,300.00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2,406,721.83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580,586,226.68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579,202,021.84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3,790,926.67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）短期薪酬列示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2,118,421.69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499,421,638.06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498,457,027.53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3,083,032.22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6,172,113.34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6,172,113.34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27,644.38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19,366,625.18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19,369,896.68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24,372.88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24,306.17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17,153,223.54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17,153,223.54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24,306.17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1,377.79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862,760.64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864,941.64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-803.21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1,960.42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1,350,641.00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1,351,731.50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869.92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34,499.37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14,043,978.64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14,001,740.64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76,737.37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142,803.49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3,125,218.49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2,787,381.66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480,640.32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2,323,368.93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542,129,573.71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540,788,159.85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3,664,782.79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3</w:t>
      </w:r>
      <w:r>
        <w:rPr/>
        <w:t>）设定提存计划列示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76,304.82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36,442,241.82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36,396,905.82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121,640.82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7,048.08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1,922,111.15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1,924,656.17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4,503.06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83,352.90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38,364,352.97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38,321,561.99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126,143.88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38</w:t>
      </w:r>
      <w:r>
        <w:rPr/>
        <w:t>、应交税费</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12,160,128.77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15,892,527.08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4,495,932.65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4,626,231.84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48,649,479.84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52,531,845.55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12,421,591.80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25,457,651.64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1,447,494.64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1,290,358.49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580,780.09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520,459.10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377,264.91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331,926.81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24,250.26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44,026.15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196,535.50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112,306.00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58,653.38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19,375.24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22,789.41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13,306.71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副食品调节基金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7,526.87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1,913.78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80,444,341.90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100,840,230.19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39</w:t>
      </w:r>
      <w:r>
        <w:rPr/>
        <w:t>、应付利息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275,201.33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2,083,333.33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275,201.33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2,083,333.33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40</w:t>
      </w:r>
      <w:r>
        <w:rPr/>
        <w:t>、应付股利</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134,834,877.16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72,498,765.20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134,834,877.16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72,498,765.20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41</w:t>
      </w:r>
      <w:r>
        <w:rPr/>
        <w:t>、其他应付款</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）按款项性质列示其他应付款</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26,684,404.52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23,301,136.02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3,546,775.39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4,131,245.14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10,183,262.59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40,441,933.43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40,414,442.50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67,874,314.59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6"/>
        </w:rPr>
        <w:t> </w:t>
      </w:r>
      <w:r>
        <w:rPr/>
        <w:t>年的重要其他应付款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42</w:t>
      </w:r>
      <w:r>
        <w:rPr/>
        <w:t>、划分为持有待售的负债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43</w:t>
      </w:r>
      <w:r>
        <w:rPr/>
        <w:t>、一年内到期的非流动负债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44</w:t>
      </w:r>
      <w:r>
        <w:rPr/>
        <w:t>、其他流动负债</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45</w:t>
      </w:r>
      <w:r>
        <w:rPr/>
        <w:t>、长期借款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46</w:t>
      </w:r>
      <w:r>
        <w:rPr/>
        <w:t>、应付债券</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）应付债券</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68,096,555.50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765,753,662.33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68,096,555.50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765,753,662.33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）应付债券的增减变动（不包括划分为金融负债的优先股、永续债等其他金融工具）</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1044"/>
        <w:gridCol w:w="709"/>
        <w:gridCol w:w="643"/>
        <w:gridCol w:w="1058"/>
        <w:gridCol w:w="709"/>
        <w:gridCol w:w="625"/>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债券名称</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5" w:right="47"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7" w:right="36"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
              <w:jc w:val="right"/>
              <w:rPr>
                <w:rFonts w:ascii="宋体" w:hAnsi="宋体" w:cs="宋体" w:eastAsia="宋体" w:hint="default"/>
                <w:sz w:val="18"/>
                <w:szCs w:val="18"/>
              </w:rPr>
            </w:pPr>
            <w:r>
              <w:rPr>
                <w:rFonts w:ascii="宋体" w:hAnsi="宋体" w:cs="宋体" w:eastAsia="宋体" w:hint="default"/>
                <w:sz w:val="18"/>
                <w:szCs w:val="18"/>
              </w:rPr>
              <w:t>东华转债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6" w:right="0"/>
              <w:jc w:val="center"/>
              <w:rPr>
                <w:rFonts w:ascii="宋体" w:hAnsi="宋体" w:cs="宋体" w:eastAsia="宋体" w:hint="default"/>
                <w:sz w:val="18"/>
                <w:szCs w:val="18"/>
              </w:rPr>
            </w:pPr>
            <w:r>
              <w:rPr>
                <w:rFonts w:ascii="宋体"/>
                <w:sz w:val="18"/>
              </w:rPr>
              <w:t>1,000,000,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 w:right="0"/>
              <w:jc w:val="center"/>
              <w:rPr>
                <w:rFonts w:ascii="宋体" w:hAnsi="宋体" w:cs="宋体" w:eastAsia="宋体" w:hint="default"/>
                <w:sz w:val="18"/>
                <w:szCs w:val="18"/>
              </w:rPr>
            </w:pPr>
            <w:r>
              <w:rPr>
                <w:rFonts w:ascii="宋体"/>
                <w:sz w:val="18"/>
              </w:rPr>
              <w:t>1,000,000,0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5" w:right="0"/>
              <w:jc w:val="left"/>
              <w:rPr>
                <w:rFonts w:ascii="宋体" w:hAnsi="宋体" w:cs="宋体" w:eastAsia="宋体" w:hint="default"/>
                <w:sz w:val="18"/>
                <w:szCs w:val="18"/>
              </w:rPr>
            </w:pPr>
            <w:r>
              <w:rPr>
                <w:rFonts w:ascii="宋体"/>
                <w:sz w:val="18"/>
              </w:rPr>
              <w:t>765,753</w:t>
            </w:r>
          </w:p>
        </w:tc>
        <w:tc>
          <w:tcPr>
            <w:tcW w:w="62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 w:right="0"/>
              <w:jc w:val="left"/>
              <w:rPr>
                <w:rFonts w:ascii="宋体" w:hAnsi="宋体" w:cs="宋体" w:eastAsia="宋体" w:hint="default"/>
                <w:sz w:val="18"/>
                <w:szCs w:val="18"/>
              </w:rPr>
            </w:pPr>
            <w:r>
              <w:rPr>
                <w:rFonts w:ascii="宋体"/>
                <w:sz w:val="18"/>
              </w:rPr>
              <w:t>4,875,62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center"/>
              <w:rPr>
                <w:rFonts w:ascii="宋体" w:hAnsi="宋体" w:cs="宋体" w:eastAsia="宋体" w:hint="default"/>
                <w:sz w:val="18"/>
                <w:szCs w:val="18"/>
              </w:rPr>
            </w:pPr>
            <w:r>
              <w:rPr>
                <w:rFonts w:ascii="宋体"/>
                <w:sz w:val="18"/>
              </w:rPr>
              <w:t>702,532,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 w:right="0"/>
              <w:jc w:val="left"/>
              <w:rPr>
                <w:rFonts w:ascii="宋体" w:hAnsi="宋体" w:cs="宋体" w:eastAsia="宋体" w:hint="default"/>
                <w:sz w:val="18"/>
                <w:szCs w:val="18"/>
              </w:rPr>
            </w:pPr>
            <w:r>
              <w:rPr>
                <w:rFonts w:ascii="宋体"/>
                <w:sz w:val="18"/>
              </w:rPr>
              <w:t>68,096,5</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1044"/>
        <w:gridCol w:w="709"/>
        <w:gridCol w:w="643"/>
        <w:gridCol w:w="1058"/>
        <w:gridCol w:w="709"/>
        <w:gridCol w:w="625"/>
        <w:gridCol w:w="797"/>
        <w:gridCol w:w="797"/>
        <w:gridCol w:w="797"/>
        <w:gridCol w:w="798"/>
        <w:gridCol w:w="797"/>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6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 w:right="0"/>
              <w:jc w:val="left"/>
              <w:rPr>
                <w:rFonts w:ascii="宋体" w:hAnsi="宋体" w:cs="宋体" w:eastAsia="宋体" w:hint="default"/>
                <w:sz w:val="18"/>
                <w:szCs w:val="18"/>
              </w:rPr>
            </w:pPr>
            <w:r>
              <w:rPr>
                <w:rFonts w:ascii="宋体"/>
                <w:sz w:val="18"/>
              </w:rPr>
              <w:t>,662.33</w:t>
            </w:r>
          </w:p>
        </w:tc>
        <w:tc>
          <w:tcPr>
            <w:tcW w:w="62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4" w:right="0"/>
              <w:jc w:val="left"/>
              <w:rPr>
                <w:rFonts w:ascii="宋体" w:hAnsi="宋体" w:cs="宋体" w:eastAsia="宋体" w:hint="default"/>
                <w:sz w:val="18"/>
                <w:szCs w:val="18"/>
              </w:rPr>
            </w:pPr>
            <w:r>
              <w:rPr>
                <w:rFonts w:ascii="宋体"/>
                <w:sz w:val="18"/>
              </w:rPr>
              <w:t>6.84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5" w:right="0"/>
              <w:jc w:val="left"/>
              <w:rPr>
                <w:rFonts w:ascii="宋体" w:hAnsi="宋体" w:cs="宋体" w:eastAsia="宋体" w:hint="default"/>
                <w:sz w:val="18"/>
                <w:szCs w:val="18"/>
              </w:rPr>
            </w:pPr>
            <w:r>
              <w:rPr>
                <w:rFonts w:ascii="宋体"/>
                <w:sz w:val="18"/>
              </w:rPr>
              <w:t>733.67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18"/>
                <w:szCs w:val="18"/>
              </w:rPr>
            </w:pPr>
            <w:r>
              <w:rPr>
                <w:rFonts w:ascii="宋体"/>
                <w:sz w:val="18"/>
              </w:rPr>
              <w:t>55.50</w:t>
            </w: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765,753</w:t>
            </w:r>
          </w:p>
          <w:p>
            <w:pPr>
              <w:pStyle w:val="TableParagraph"/>
              <w:spacing w:line="240" w:lineRule="auto" w:before="76"/>
              <w:ind w:left="45" w:right="0"/>
              <w:jc w:val="left"/>
              <w:rPr>
                <w:rFonts w:ascii="宋体" w:hAnsi="宋体" w:cs="宋体" w:eastAsia="宋体" w:hint="default"/>
                <w:sz w:val="18"/>
                <w:szCs w:val="18"/>
              </w:rPr>
            </w:pPr>
            <w:r>
              <w:rPr>
                <w:rFonts w:ascii="宋体"/>
                <w:sz w:val="18"/>
              </w:rPr>
              <w:t>,662.33</w:t>
            </w:r>
          </w:p>
        </w:tc>
        <w:tc>
          <w:tcPr>
            <w:tcW w:w="62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4,875,62</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6.84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center"/>
              <w:rPr>
                <w:rFonts w:ascii="宋体" w:hAnsi="宋体" w:cs="宋体" w:eastAsia="宋体" w:hint="default"/>
                <w:sz w:val="18"/>
                <w:szCs w:val="18"/>
              </w:rPr>
            </w:pPr>
            <w:r>
              <w:rPr>
                <w:rFonts w:ascii="宋体"/>
                <w:sz w:val="18"/>
              </w:rPr>
              <w:t>702,532,</w:t>
            </w:r>
          </w:p>
          <w:p>
            <w:pPr>
              <w:pStyle w:val="TableParagraph"/>
              <w:spacing w:line="240" w:lineRule="auto" w:before="76"/>
              <w:ind w:left="202" w:right="0"/>
              <w:jc w:val="center"/>
              <w:rPr>
                <w:rFonts w:ascii="宋体" w:hAnsi="宋体" w:cs="宋体" w:eastAsia="宋体" w:hint="default"/>
                <w:sz w:val="18"/>
                <w:szCs w:val="18"/>
              </w:rPr>
            </w:pPr>
            <w:r>
              <w:rPr>
                <w:rFonts w:ascii="宋体"/>
                <w:sz w:val="18"/>
              </w:rPr>
              <w:t>733.67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sz w:val="18"/>
              </w:rPr>
              <w:t>68,096,5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55.50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7"/>
          <w:szCs w:val="27"/>
        </w:rPr>
      </w:pPr>
    </w:p>
    <w:p>
      <w:pPr>
        <w:pStyle w:val="BodyText"/>
        <w:spacing w:line="316" w:lineRule="auto"/>
        <w:ind w:right="149" w:firstLine="420"/>
        <w:jc w:val="both"/>
      </w:pPr>
      <w:r>
        <w:rPr/>
        <w:t>经中国证券监督管理委员会核准，公司于</w:t>
      </w:r>
      <w:r>
        <w:rPr>
          <w:rFonts w:ascii="宋体" w:hAnsi="宋体" w:cs="宋体" w:eastAsia="宋体" w:hint="default"/>
        </w:rPr>
        <w:t>2013</w:t>
      </w:r>
      <w:r>
        <w:rPr/>
        <w:t>年</w:t>
      </w:r>
      <w:r>
        <w:rPr>
          <w:rFonts w:ascii="宋体" w:hAnsi="宋体" w:cs="宋体" w:eastAsia="宋体" w:hint="default"/>
        </w:rPr>
        <w:t>7</w:t>
      </w:r>
      <w:r>
        <w:rPr/>
        <w:t>月向社会公开发行了票面金额</w:t>
      </w:r>
      <w:r>
        <w:rPr>
          <w:rFonts w:ascii="宋体" w:hAnsi="宋体" w:cs="宋体" w:eastAsia="宋体" w:hint="default"/>
        </w:rPr>
        <w:t>10</w:t>
      </w:r>
      <w:r>
        <w:rPr/>
        <w:t>亿元、期限</w:t>
      </w:r>
      <w:r>
        <w:rPr>
          <w:rFonts w:ascii="宋体" w:hAnsi="宋体" w:cs="宋体" w:eastAsia="宋体" w:hint="default"/>
        </w:rPr>
        <w:t>6</w:t>
      </w:r>
      <w:r>
        <w:rPr/>
        <w:t>年的可转换公司债券， 票面利率分别为：第一年 </w:t>
      </w:r>
      <w:r>
        <w:rPr>
          <w:rFonts w:ascii="宋体" w:hAnsi="宋体" w:cs="宋体" w:eastAsia="宋体" w:hint="default"/>
        </w:rPr>
        <w:t>0.5%</w:t>
      </w:r>
      <w:r>
        <w:rPr/>
        <w:t>、第二年 </w:t>
      </w:r>
      <w:r>
        <w:rPr>
          <w:rFonts w:ascii="宋体" w:hAnsi="宋体" w:cs="宋体" w:eastAsia="宋体" w:hint="default"/>
        </w:rPr>
        <w:t>0.8%</w:t>
      </w:r>
      <w:r>
        <w:rPr/>
        <w:t>、第三年 </w:t>
      </w:r>
      <w:r>
        <w:rPr>
          <w:rFonts w:ascii="宋体" w:hAnsi="宋体" w:cs="宋体" w:eastAsia="宋体" w:hint="default"/>
        </w:rPr>
        <w:t>1.1%</w:t>
      </w:r>
      <w:r>
        <w:rPr/>
        <w:t>、第四年</w:t>
      </w:r>
      <w:r>
        <w:rPr>
          <w:rFonts w:ascii="宋体" w:hAnsi="宋体" w:cs="宋体" w:eastAsia="宋体" w:hint="default"/>
        </w:rPr>
        <w:t>1.5%</w:t>
      </w:r>
      <w:r>
        <w:rPr/>
        <w:t>、第五年 </w:t>
      </w:r>
      <w:r>
        <w:rPr>
          <w:rFonts w:ascii="宋体" w:hAnsi="宋体" w:cs="宋体" w:eastAsia="宋体" w:hint="default"/>
        </w:rPr>
        <w:t>1.5%</w:t>
      </w:r>
      <w:r>
        <w:rPr/>
        <w:t>、第六年</w:t>
      </w:r>
      <w:r>
        <w:rPr>
          <w:spacing w:val="7"/>
        </w:rPr>
        <w:t> </w:t>
      </w:r>
      <w:r>
        <w:rPr>
          <w:rFonts w:ascii="宋体" w:hAnsi="宋体" w:cs="宋体" w:eastAsia="宋体" w:hint="default"/>
        </w:rPr>
        <w:t>2.0%</w:t>
      </w:r>
      <w:r>
        <w:rPr/>
        <w:t>。采用每年付息一 次的付息方式，计息起始日为可转债发行首日，即 </w:t>
      </w:r>
      <w:r>
        <w:rPr>
          <w:rFonts w:ascii="宋体" w:hAnsi="宋体" w:cs="宋体" w:eastAsia="宋体" w:hint="default"/>
        </w:rPr>
        <w:t>2013 </w:t>
      </w:r>
      <w:r>
        <w:rPr/>
        <w:t>年 </w:t>
      </w:r>
      <w:r>
        <w:rPr>
          <w:rFonts w:ascii="宋体" w:hAnsi="宋体" w:cs="宋体" w:eastAsia="宋体" w:hint="default"/>
        </w:rPr>
        <w:t>7 </w:t>
      </w:r>
      <w:r>
        <w:rPr/>
        <w:t>月 </w:t>
      </w:r>
      <w:r>
        <w:rPr>
          <w:rFonts w:ascii="宋体" w:hAnsi="宋体" w:cs="宋体" w:eastAsia="宋体" w:hint="default"/>
        </w:rPr>
        <w:t>26 </w:t>
      </w:r>
      <w:r>
        <w:rPr/>
        <w:t>日。</w:t>
      </w:r>
      <w:r>
        <w:rPr>
          <w:spacing w:val="8"/>
        </w:rPr>
        <w:t> </w:t>
      </w:r>
      <w:r>
        <w:rPr/>
        <w:t>本次发行的可转换公司债券转股期自可转换公</w:t>
      </w:r>
      <w:r>
        <w:rPr/>
        <w:t> 司债券发行结束之日满六个月后的第一个交易日起至可转换公司债券到期日止。</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4</w:t>
      </w:r>
      <w:r>
        <w:rPr/>
        <w:t>）划分为金融负债的其他金融工具说明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47</w:t>
      </w:r>
      <w:r>
        <w:rPr/>
        <w:t>、长期应付款</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48</w:t>
      </w:r>
      <w:r>
        <w:rPr/>
        <w:t>、长期应付职工薪酬</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49</w:t>
      </w:r>
      <w:r>
        <w:rPr/>
        <w:t>、专项应付款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50</w:t>
      </w:r>
      <w:r>
        <w:rPr/>
        <w:t>、预计负债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51</w:t>
      </w:r>
      <w:r>
        <w:rPr/>
        <w:t>、递延收益</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sz w:val="18"/>
              </w:rPr>
              <w:t>67,569,629.63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sz w:val="18"/>
              </w:rPr>
              <w:t>25,342,500.00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8,841,259.50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84,070,870.13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sz w:val="18"/>
              </w:rPr>
              <w:t>67,569,629.63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2" w:right="0"/>
              <w:jc w:val="left"/>
              <w:rPr>
                <w:rFonts w:ascii="宋体" w:hAnsi="宋体" w:cs="宋体" w:eastAsia="宋体" w:hint="default"/>
                <w:sz w:val="18"/>
                <w:szCs w:val="18"/>
              </w:rPr>
            </w:pPr>
            <w:r>
              <w:rPr>
                <w:rFonts w:ascii="宋体"/>
                <w:sz w:val="18"/>
              </w:rPr>
              <w:t>25,342,500.00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8,841,259.50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宋体" w:hAnsi="宋体" w:cs="宋体" w:eastAsia="宋体" w:hint="default"/>
                <w:sz w:val="18"/>
                <w:szCs w:val="18"/>
              </w:rPr>
            </w:pPr>
            <w:r>
              <w:rPr>
                <w:rFonts w:ascii="宋体"/>
                <w:sz w:val="18"/>
              </w:rPr>
              <w:t>84,070,870.13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91" w:hanging="22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 收益相关</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9.100006pt;margin-top:72.47998pt;width:74.2pt;height:66.45pt;mso-position-horizontal-relative:page;mso-position-vertical-relative:page;z-index:-903544"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72.47998pt;width:68pt;height:66.45pt;mso-position-horizontal-relative:page;mso-position-vertical-relative:page;z-index:-903520" coordorigin="2506,1450" coordsize="1360,1329">
            <v:group style="position:absolute;left:2506;top:1450;width:1360;height:1329" coordorigin="2506,1450" coordsize="1360,1329">
              <v:shape style="position:absolute;left:2506;top:1450;width:1360;height:1329" coordorigin="2506,1450" coordsize="1360,1329" path="m2506,2778l3866,2778,3866,1450,2506,1450,2506,2778xe" filled="true" fillcolor="#ffffff" stroked="false">
                <v:path arrowok="t"/>
                <v:fill type="solid"/>
              </v:shape>
            </v:group>
            <v:group style="position:absolute;left:2529;top:1918;width:1314;height:393" coordorigin="2529,1918" coordsize="1314,393">
              <v:shape style="position:absolute;left:2529;top:1918;width:1314;height:393" coordorigin="2529,1918" coordsize="1314,393" path="m2529,2310l3843,2310,3843,1918,2529,1918,2529,23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251"/>
        <w:gridCol w:w="1119"/>
        <w:gridCol w:w="1367"/>
        <w:gridCol w:w="1367"/>
        <w:gridCol w:w="1368"/>
        <w:gridCol w:w="1367"/>
        <w:gridCol w:w="1367"/>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信息系统（政务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医疗）运行维护 支持系统研发及 产业化</w:t>
            </w:r>
          </w:p>
        </w:tc>
        <w:tc>
          <w:tcPr>
            <w:tcW w:w="251" w:type="dxa"/>
            <w:tcBorders>
              <w:top w:val="single" w:sz="4" w:space="0" w:color="000000"/>
              <w:left w:val="single" w:sz="4" w:space="0" w:color="000000"/>
              <w:bottom w:val="single" w:sz="4" w:space="0" w:color="000000"/>
              <w:right w:val="nil" w:sz="6" w:space="0" w:color="auto"/>
            </w:tcBorders>
          </w:tcPr>
          <w:p>
            <w:pPr/>
          </w:p>
        </w:tc>
        <w:tc>
          <w:tcPr>
            <w:tcW w:w="111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9" w:right="0"/>
              <w:jc w:val="left"/>
              <w:rPr>
                <w:rFonts w:ascii="宋体" w:hAnsi="宋体" w:cs="宋体" w:eastAsia="宋体" w:hint="default"/>
                <w:sz w:val="18"/>
                <w:szCs w:val="18"/>
              </w:rPr>
            </w:pPr>
            <w:r>
              <w:rPr>
                <w:rFonts w:ascii="宋体"/>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7"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促进重点创新型 企业发展专项资 金项目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5" w:right="0"/>
              <w:jc w:val="left"/>
              <w:rPr>
                <w:rFonts w:ascii="宋体" w:hAnsi="宋体" w:cs="宋体" w:eastAsia="宋体" w:hint="default"/>
                <w:sz w:val="18"/>
                <w:szCs w:val="18"/>
              </w:rPr>
            </w:pPr>
            <w:r>
              <w:rPr>
                <w:rFonts w:ascii="宋体"/>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391,061.25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608,938.75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东华</w:t>
            </w:r>
            <w:r>
              <w:rPr>
                <w:rFonts w:ascii="宋体" w:hAnsi="宋体" w:cs="宋体" w:eastAsia="宋体" w:hint="default"/>
                <w:spacing w:val="-65"/>
                <w:sz w:val="18"/>
                <w:szCs w:val="18"/>
              </w:rPr>
              <w:t> </w:t>
            </w:r>
            <w:r>
              <w:rPr>
                <w:rFonts w:ascii="宋体" w:hAnsi="宋体" w:cs="宋体" w:eastAsia="宋体" w:hint="default"/>
                <w:sz w:val="18"/>
                <w:szCs w:val="18"/>
              </w:rPr>
              <w:t>IT</w:t>
            </w:r>
            <w:r>
              <w:rPr>
                <w:rFonts w:ascii="宋体" w:hAnsi="宋体" w:cs="宋体" w:eastAsia="宋体" w:hint="default"/>
                <w:spacing w:val="-65"/>
                <w:sz w:val="18"/>
                <w:szCs w:val="18"/>
              </w:rPr>
              <w:t> </w:t>
            </w:r>
            <w:r>
              <w:rPr>
                <w:rFonts w:ascii="宋体" w:hAnsi="宋体" w:cs="宋体" w:eastAsia="宋体" w:hint="default"/>
                <w:sz w:val="18"/>
                <w:szCs w:val="18"/>
              </w:rPr>
              <w:t>服务智能 管理系统深入研 发项目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5" w:right="0"/>
              <w:jc w:val="left"/>
              <w:rPr>
                <w:rFonts w:ascii="宋体" w:hAnsi="宋体" w:cs="宋体" w:eastAsia="宋体" w:hint="default"/>
                <w:sz w:val="18"/>
                <w:szCs w:val="18"/>
              </w:rPr>
            </w:pPr>
            <w:r>
              <w:rPr>
                <w:rFonts w:ascii="宋体"/>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基于传感网和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技术的农产 品质量追溯系统 研发及产业化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5" w:right="0"/>
              <w:jc w:val="left"/>
              <w:rPr>
                <w:rFonts w:ascii="宋体" w:hAnsi="宋体" w:cs="宋体" w:eastAsia="宋体" w:hint="default"/>
                <w:sz w:val="18"/>
                <w:szCs w:val="18"/>
              </w:rPr>
            </w:pPr>
            <w:r>
              <w:rPr>
                <w:rFonts w:ascii="宋体"/>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基于面向服务构 </w:t>
            </w:r>
            <w:r>
              <w:rPr>
                <w:rFonts w:ascii="宋体" w:hAnsi="宋体" w:cs="宋体" w:eastAsia="宋体" w:hint="default"/>
                <w:spacing w:val="-5"/>
                <w:sz w:val="18"/>
                <w:szCs w:val="18"/>
              </w:rPr>
              <w:t>架（</w:t>
            </w:r>
            <w:r>
              <w:rPr>
                <w:rFonts w:ascii="宋体" w:hAnsi="宋体" w:cs="宋体" w:eastAsia="宋体" w:hint="default"/>
                <w:spacing w:val="-5"/>
                <w:sz w:val="18"/>
                <w:szCs w:val="18"/>
              </w:rPr>
              <w:t>SOA</w:t>
            </w:r>
            <w:r>
              <w:rPr>
                <w:rFonts w:ascii="宋体" w:hAnsi="宋体" w:cs="宋体" w:eastAsia="宋体" w:hint="default"/>
                <w:spacing w:val="-5"/>
                <w:sz w:val="18"/>
                <w:szCs w:val="18"/>
              </w:rPr>
              <w:t>）的产品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可追溯的企业管 理系统研发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5" w:right="0"/>
              <w:jc w:val="left"/>
              <w:rPr>
                <w:rFonts w:ascii="宋体" w:hAnsi="宋体" w:cs="宋体" w:eastAsia="宋体" w:hint="default"/>
                <w:sz w:val="18"/>
                <w:szCs w:val="18"/>
              </w:rPr>
            </w:pPr>
            <w:r>
              <w:rPr>
                <w:rFonts w:ascii="宋体"/>
                <w:sz w:val="18"/>
              </w:rPr>
              <w:t>3,150,000.00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1,252,519.09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1,897,480.91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高速流量控制系 统产业化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sz w:val="18"/>
              </w:rPr>
              <w:t>8,380,000.00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8,380,000.00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年度电子信 息产业发展基金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sz w:val="18"/>
              </w:rPr>
              <w:t>11,710,000.00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气象医疗行业核 心软件研发项目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云计算的数字化 医疗和区域医疗 协同系统项目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5" w:right="0"/>
              <w:jc w:val="left"/>
              <w:rPr>
                <w:rFonts w:ascii="宋体" w:hAnsi="宋体" w:cs="宋体" w:eastAsia="宋体" w:hint="default"/>
                <w:sz w:val="18"/>
                <w:szCs w:val="18"/>
              </w:rPr>
            </w:pPr>
            <w:r>
              <w:rPr>
                <w:rFonts w:ascii="宋体"/>
                <w:sz w:val="18"/>
              </w:rPr>
              <w:t>11,020,000.00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4,224,333.33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6,795,666.67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中关村科技园产 业发展专项资金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云计算流量分析 控制北京市工程 实验室创新能力 建设项目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5" w:right="0"/>
              <w:jc w:val="left"/>
              <w:rPr>
                <w:rFonts w:ascii="宋体" w:hAnsi="宋体" w:cs="宋体" w:eastAsia="宋体" w:hint="default"/>
                <w:sz w:val="18"/>
                <w:szCs w:val="18"/>
              </w:rPr>
            </w:pPr>
            <w:r>
              <w:rPr>
                <w:rFonts w:ascii="宋体"/>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中关村科技园产 业发展专项</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5,152,500.00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10,152,500.00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新一代互联网上 网行为管理项目 国家资助金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5" w:right="0"/>
              <w:jc w:val="left"/>
              <w:rPr>
                <w:rFonts w:ascii="宋体" w:hAnsi="宋体" w:cs="宋体" w:eastAsia="宋体" w:hint="default"/>
                <w:sz w:val="18"/>
                <w:szCs w:val="18"/>
              </w:rPr>
            </w:pPr>
            <w:r>
              <w:rPr>
                <w:rFonts w:ascii="宋体"/>
                <w:sz w:val="18"/>
              </w:rPr>
              <w:t>4,900,000.00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1,110,000.00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5" w:right="0"/>
              <w:jc w:val="left"/>
              <w:rPr>
                <w:rFonts w:ascii="宋体" w:hAnsi="宋体" w:cs="宋体" w:eastAsia="宋体" w:hint="default"/>
                <w:sz w:val="18"/>
                <w:szCs w:val="18"/>
              </w:rPr>
            </w:pPr>
            <w:r>
              <w:rPr>
                <w:rFonts w:ascii="宋体"/>
                <w:sz w:val="18"/>
              </w:rPr>
              <w:t>-1,610,000.00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年核高基国 家科技重大专项</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9.100006pt;margin-top:262.099976pt;width:74.2pt;height:66.45pt;mso-position-horizontal-relative:page;mso-position-vertical-relative:page;z-index:-90349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262.099976pt;width:68pt;height:66.45pt;mso-position-horizontal-relative:page;mso-position-vertical-relative:page;z-index:-903472" coordorigin="2506,5242" coordsize="1360,1329">
            <v:group style="position:absolute;left:2506;top:5242;width:1360;height:1329" coordorigin="2506,5242" coordsize="1360,1329">
              <v:shape style="position:absolute;left:2506;top:5242;width:1360;height:1329" coordorigin="2506,5242" coordsize="1360,1329" path="m2506,6570l3866,6570,3866,5242,2506,5242,2506,6570xe" filled="true" fillcolor="#ffffff" stroked="false">
                <v:path arrowok="t"/>
                <v:fill type="solid"/>
              </v:shape>
            </v:group>
            <v:group style="position:absolute;left:2529;top:5710;width:1314;height:393" coordorigin="2529,5710" coordsize="1314,393">
              <v:shape style="position:absolute;left:2529;top:5710;width:1314;height:393" coordorigin="2529,5710" coordsize="1314,393" path="m2529,6102l3843,6102,3843,5710,2529,5710,2529,61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61"/>
        <w:gridCol w:w="120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基于医学知识库 电子病历系统研 发及临床应用</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5" w:right="0"/>
              <w:jc w:val="left"/>
              <w:rPr>
                <w:rFonts w:ascii="宋体" w:hAnsi="宋体" w:cs="宋体" w:eastAsia="宋体" w:hint="default"/>
                <w:sz w:val="18"/>
                <w:szCs w:val="18"/>
              </w:rPr>
            </w:pPr>
            <w:r>
              <w:rPr>
                <w:rFonts w:ascii="宋体"/>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中小商业银行一 体化服务平台</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9,510,000.00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9,510,000.00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数字化医疗区域 协同应用示范</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基于安全可靠软 硬件的系统集成 开发工具（</w:t>
            </w:r>
            <w:r>
              <w:rPr>
                <w:rFonts w:ascii="宋体" w:hAnsi="宋体" w:cs="宋体" w:eastAsia="宋体" w:hint="default"/>
                <w:sz w:val="18"/>
                <w:szCs w:val="18"/>
              </w:rPr>
              <w:t>IDE) </w:t>
            </w:r>
            <w:r>
              <w:rPr>
                <w:rFonts w:ascii="宋体" w:hAnsi="宋体" w:cs="宋体" w:eastAsia="宋体" w:hint="default"/>
                <w:sz w:val="18"/>
                <w:szCs w:val="18"/>
              </w:rPr>
              <w:t>研发</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宋体" w:hAnsi="宋体" w:cs="宋体" w:eastAsia="宋体" w:hint="default"/>
                <w:sz w:val="18"/>
                <w:szCs w:val="18"/>
              </w:rPr>
            </w:pPr>
            <w:r>
              <w:rPr>
                <w:rFonts w:ascii="宋体"/>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信息系统（政务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医疗）运行维护 支持系统研发及 产业化项目</w:t>
            </w:r>
          </w:p>
        </w:tc>
        <w:tc>
          <w:tcPr>
            <w:tcW w:w="161" w:type="dxa"/>
            <w:tcBorders>
              <w:top w:val="single" w:sz="4" w:space="0" w:color="000000"/>
              <w:left w:val="single" w:sz="4" w:space="0" w:color="000000"/>
              <w:bottom w:val="single" w:sz="4" w:space="0" w:color="000000"/>
              <w:right w:val="nil" w:sz="6" w:space="0" w:color="auto"/>
            </w:tcBorders>
          </w:tcPr>
          <w:p>
            <w:pPr/>
          </w:p>
        </w:tc>
        <w:tc>
          <w:tcPr>
            <w:tcW w:w="12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9" w:right="0"/>
              <w:jc w:val="left"/>
              <w:rPr>
                <w:rFonts w:ascii="宋体" w:hAnsi="宋体" w:cs="宋体" w:eastAsia="宋体" w:hint="default"/>
                <w:sz w:val="18"/>
                <w:szCs w:val="18"/>
              </w:rPr>
            </w:pPr>
            <w:r>
              <w:rPr>
                <w:rFonts w:ascii="宋体"/>
                <w:sz w:val="18"/>
              </w:rPr>
              <w:t>1,179,629.63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779,629.63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促进重点创新型 企业发展专项资 金项目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5" w:right="0"/>
              <w:jc w:val="left"/>
              <w:rPr>
                <w:rFonts w:ascii="宋体" w:hAnsi="宋体" w:cs="宋体" w:eastAsia="宋体" w:hint="default"/>
                <w:sz w:val="18"/>
                <w:szCs w:val="18"/>
              </w:rPr>
            </w:pPr>
            <w:r>
              <w:rPr>
                <w:rFonts w:ascii="宋体"/>
                <w:sz w:val="18"/>
              </w:rPr>
              <w:t>1,580,000.00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543,345.83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1,036,654.17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矿用</w:t>
            </w:r>
            <w:r>
              <w:rPr>
                <w:rFonts w:ascii="宋体" w:hAnsi="宋体" w:cs="宋体" w:eastAsia="宋体" w:hint="default"/>
                <w:spacing w:val="-65"/>
                <w:sz w:val="18"/>
                <w:szCs w:val="18"/>
              </w:rPr>
              <w:t> </w:t>
            </w:r>
            <w:r>
              <w:rPr>
                <w:rFonts w:ascii="宋体" w:hAnsi="宋体" w:cs="宋体" w:eastAsia="宋体" w:hint="default"/>
                <w:sz w:val="18"/>
                <w:szCs w:val="18"/>
              </w:rPr>
              <w:t>3G</w:t>
            </w:r>
            <w:r>
              <w:rPr>
                <w:rFonts w:ascii="宋体" w:hAnsi="宋体" w:cs="宋体" w:eastAsia="宋体" w:hint="default"/>
                <w:spacing w:val="-65"/>
                <w:sz w:val="18"/>
                <w:szCs w:val="18"/>
              </w:rPr>
              <w:t> </w:t>
            </w:r>
            <w:r>
              <w:rPr>
                <w:rFonts w:ascii="宋体" w:hAnsi="宋体" w:cs="宋体" w:eastAsia="宋体" w:hint="default"/>
                <w:sz w:val="18"/>
                <w:szCs w:val="18"/>
              </w:rPr>
              <w:t>无线通信 系统</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UWB</w:t>
            </w:r>
            <w:r>
              <w:rPr>
                <w:rFonts w:ascii="宋体" w:hAnsi="宋体" w:cs="宋体" w:eastAsia="宋体" w:hint="default"/>
                <w:spacing w:val="-46"/>
                <w:sz w:val="18"/>
                <w:szCs w:val="18"/>
              </w:rPr>
              <w:t> </w:t>
            </w:r>
            <w:r>
              <w:rPr>
                <w:rFonts w:ascii="宋体" w:hAnsi="宋体" w:cs="宋体" w:eastAsia="宋体" w:hint="default"/>
                <w:sz w:val="18"/>
                <w:szCs w:val="18"/>
              </w:rPr>
              <w:t>技术的 煤矿井下高精度 定位管理系统</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海淀联合重大攻 关项目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年海淀区重 大联合攻关项目</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91" w:hanging="495"/>
              <w:jc w:val="left"/>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 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sz w:val="18"/>
              </w:rPr>
              <w:t>67,569,629.63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25,342,500.00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7,231,259.50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0"/>
              <w:jc w:val="left"/>
              <w:rPr>
                <w:rFonts w:ascii="宋体" w:hAnsi="宋体" w:cs="宋体" w:eastAsia="宋体" w:hint="default"/>
                <w:sz w:val="18"/>
                <w:szCs w:val="18"/>
              </w:rPr>
            </w:pPr>
            <w:r>
              <w:rPr>
                <w:rFonts w:ascii="宋体"/>
                <w:sz w:val="18"/>
              </w:rPr>
              <w:t>-1,610,000.00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84,070,870.13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宋体" w:hAnsi="宋体" w:cs="宋体" w:eastAsia="宋体" w:hint="default"/>
        </w:rPr>
        <w:t>52</w:t>
      </w:r>
      <w:r>
        <w:rPr/>
        <w:t>、其他非流动负债</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53</w:t>
      </w:r>
      <w:r>
        <w:rPr/>
        <w:t>、股本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694,303,610.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44,220,841.0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735,041,371.</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41,241,126.0</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820,503,338.</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1,514,806,94</w:t>
            </w:r>
          </w:p>
          <w:p>
            <w:pPr>
              <w:pStyle w:val="TableParagraph"/>
              <w:spacing w:line="240" w:lineRule="auto" w:before="76"/>
              <w:ind w:right="20"/>
              <w:jc w:val="right"/>
              <w:rPr>
                <w:rFonts w:ascii="宋体" w:hAnsi="宋体" w:cs="宋体" w:eastAsia="宋体" w:hint="default"/>
                <w:sz w:val="18"/>
                <w:szCs w:val="18"/>
              </w:rPr>
            </w:pPr>
            <w:r>
              <w:rPr>
                <w:rFonts w:ascii="宋体"/>
                <w:sz w:val="18"/>
              </w:rPr>
              <w:t>8.00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54</w:t>
      </w:r>
      <w:r>
        <w:rPr/>
        <w:t>、其他权益工具</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55</w:t>
      </w:r>
      <w:r>
        <w:rPr/>
        <w:t>、资本公积</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665,041,780.91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1,505,196,467.52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735,041,371.00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1,435,196,877.43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269,679,369.00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9,220,483.00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227,566,703.11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51,333,148.89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934,721,149.91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1,514,416,950.52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962,608,074.11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1,486,530,026.32</w:t>
            </w:r>
          </w:p>
        </w:tc>
      </w:tr>
    </w:tbl>
    <w:p>
      <w:pPr>
        <w:spacing w:line="240" w:lineRule="auto" w:before="8"/>
        <w:rPr>
          <w:rFonts w:ascii="宋体" w:hAnsi="宋体" w:cs="宋体" w:eastAsia="宋体" w:hint="default"/>
          <w:sz w:val="6"/>
          <w:szCs w:val="6"/>
        </w:rPr>
      </w:pPr>
    </w:p>
    <w:p>
      <w:pPr>
        <w:pStyle w:val="BodyText"/>
        <w:spacing w:line="439" w:lineRule="auto" w:before="44"/>
        <w:ind w:left="514" w:right="5290"/>
        <w:jc w:val="left"/>
      </w:pPr>
      <w:r>
        <w:rPr/>
        <w:t>其他说明，包括本期增减变动情况、变动原因说明： 资本公积</w:t>
      </w:r>
      <w:r>
        <w:rPr>
          <w:rFonts w:ascii="宋体" w:hAnsi="宋体" w:cs="宋体" w:eastAsia="宋体" w:hint="default"/>
        </w:rPr>
        <w:t>-</w:t>
      </w:r>
      <w:r>
        <w:rPr/>
        <w:t>股本溢价增加的原因：</w:t>
      </w:r>
    </w:p>
    <w:p>
      <w:pPr>
        <w:pStyle w:val="BodyText"/>
        <w:spacing w:line="240" w:lineRule="auto" w:before="47"/>
        <w:ind w:left="514" w:right="0"/>
        <w:jc w:val="left"/>
      </w:pPr>
      <w:r>
        <w:rPr/>
        <w:t>（</w:t>
      </w:r>
      <w:r>
        <w:rPr>
          <w:rFonts w:ascii="宋体" w:hAnsi="宋体" w:cs="宋体" w:eastAsia="宋体" w:hint="default"/>
        </w:rPr>
        <w:t>1</w:t>
      </w:r>
      <w:r>
        <w:rPr/>
        <w:t>）公司股权激励第一期行权的</w:t>
      </w:r>
      <w:r>
        <w:rPr>
          <w:spacing w:val="-46"/>
        </w:rPr>
        <w:t> </w:t>
      </w:r>
      <w:r>
        <w:rPr>
          <w:rFonts w:ascii="宋体" w:hAnsi="宋体" w:cs="宋体" w:eastAsia="宋体" w:hint="default"/>
        </w:rPr>
        <w:t>1</w:t>
      </w:r>
      <w:r>
        <w:rPr>
          <w:rFonts w:ascii="宋体" w:hAnsi="宋体" w:cs="宋体" w:eastAsia="宋体" w:hint="default"/>
          <w:spacing w:val="-46"/>
        </w:rPr>
        <w:t> </w:t>
      </w:r>
      <w:r>
        <w:rPr/>
        <w:t>名激励对象和第二期行权的激励对象缴纳出资款形成资本公积</w:t>
      </w:r>
      <w:r>
        <w:rPr>
          <w:rFonts w:ascii="宋体" w:hAnsi="宋体" w:cs="宋体" w:eastAsia="宋体" w:hint="default"/>
        </w:rPr>
        <w:t>-</w:t>
      </w:r>
      <w:r>
        <w:rPr/>
        <w:t>股本溢价</w:t>
      </w:r>
    </w:p>
    <w:p>
      <w:pPr>
        <w:pStyle w:val="BodyText"/>
        <w:spacing w:line="240" w:lineRule="auto" w:before="76"/>
        <w:ind w:right="0"/>
        <w:jc w:val="left"/>
      </w:pPr>
      <w:r>
        <w:rPr>
          <w:rFonts w:ascii="宋体" w:hAnsi="宋体" w:cs="宋体" w:eastAsia="宋体" w:hint="default"/>
        </w:rPr>
        <w:t>65,505,765.00</w:t>
      </w:r>
      <w:r>
        <w:rPr>
          <w:rFonts w:ascii="宋体" w:hAnsi="宋体" w:cs="宋体" w:eastAsia="宋体" w:hint="default"/>
          <w:spacing w:val="-46"/>
        </w:rPr>
        <w:t> </w:t>
      </w:r>
      <w:r>
        <w:rPr/>
        <w:t>元；本期行权部分在等待期间已计入成本费用所对应的资本公积</w:t>
      </w:r>
      <w:r>
        <w:rPr>
          <w:rFonts w:ascii="宋体" w:hAnsi="宋体" w:cs="宋体" w:eastAsia="宋体" w:hint="default"/>
        </w:rPr>
        <w:t>-</w:t>
      </w:r>
      <w:r>
        <w:rPr/>
        <w:t>其他资本公积转入资本公积</w:t>
      </w:r>
      <w:r>
        <w:rPr>
          <w:rFonts w:ascii="宋体" w:hAnsi="宋体" w:cs="宋体" w:eastAsia="宋体" w:hint="default"/>
        </w:rPr>
        <w:t>-</w:t>
      </w:r>
      <w:r>
        <w:rPr/>
        <w:t>股本溢价</w:t>
      </w:r>
    </w:p>
    <w:p>
      <w:pPr>
        <w:pStyle w:val="BodyText"/>
        <w:spacing w:line="240" w:lineRule="auto" w:before="76"/>
        <w:ind w:right="0"/>
        <w:jc w:val="left"/>
      </w:pPr>
      <w:r>
        <w:rPr>
          <w:rFonts w:ascii="宋体" w:hAnsi="宋体" w:cs="宋体" w:eastAsia="宋体" w:hint="default"/>
        </w:rPr>
        <w:t>18,890,600.00</w:t>
      </w:r>
      <w:r>
        <w:rPr>
          <w:rFonts w:ascii="宋体" w:hAnsi="宋体" w:cs="宋体" w:eastAsia="宋体" w:hint="default"/>
          <w:spacing w:val="-46"/>
        </w:rPr>
        <w:t> </w:t>
      </w:r>
      <w:r>
        <w:rPr/>
        <w:t>元。</w:t>
      </w:r>
    </w:p>
    <w:p>
      <w:pPr>
        <w:spacing w:line="240" w:lineRule="auto" w:before="0"/>
        <w:rPr>
          <w:rFonts w:ascii="宋体" w:hAnsi="宋体" w:cs="宋体" w:eastAsia="宋体" w:hint="default"/>
          <w:sz w:val="15"/>
          <w:szCs w:val="15"/>
        </w:rPr>
      </w:pPr>
    </w:p>
    <w:p>
      <w:pPr>
        <w:pStyle w:val="BodyText"/>
        <w:spacing w:line="240" w:lineRule="auto"/>
        <w:ind w:left="514" w:right="0"/>
        <w:jc w:val="left"/>
        <w:rPr>
          <w:rFonts w:ascii="宋体" w:hAnsi="宋体" w:cs="宋体" w:eastAsia="宋体" w:hint="default"/>
        </w:rPr>
      </w:pPr>
      <w:r>
        <w:rPr>
          <w:spacing w:val="-3"/>
        </w:rPr>
        <w:t>（</w:t>
      </w:r>
      <w:r>
        <w:rPr>
          <w:rFonts w:ascii="宋体" w:hAnsi="宋体" w:cs="宋体" w:eastAsia="宋体" w:hint="default"/>
          <w:spacing w:val="-3"/>
        </w:rPr>
        <w:t>2</w:t>
      </w:r>
      <w:r>
        <w:rPr>
          <w:spacing w:val="-3"/>
        </w:rPr>
        <w:t>）公司发行的可转换公司债券本期转股，转股部分债券负债成分的公允价值转入资本公积</w:t>
      </w:r>
      <w:r>
        <w:rPr>
          <w:rFonts w:ascii="宋体" w:hAnsi="宋体" w:cs="宋体" w:eastAsia="宋体" w:hint="default"/>
          <w:spacing w:val="-3"/>
        </w:rPr>
        <w:t>-</w:t>
      </w:r>
      <w:r>
        <w:rPr>
          <w:spacing w:val="-3"/>
        </w:rPr>
        <w:t>股本溢价</w:t>
      </w:r>
      <w:r>
        <w:rPr>
          <w:spacing w:val="-36"/>
        </w:rPr>
        <w:t> </w:t>
      </w:r>
      <w:r>
        <w:rPr>
          <w:rFonts w:ascii="宋体" w:hAnsi="宋体" w:cs="宋体" w:eastAsia="宋体" w:hint="default"/>
        </w:rPr>
        <w:t>662,839,387.95</w:t>
      </w:r>
    </w:p>
    <w:p>
      <w:pPr>
        <w:pStyle w:val="BodyText"/>
        <w:spacing w:line="240" w:lineRule="auto" w:before="76"/>
        <w:ind w:right="0"/>
        <w:jc w:val="left"/>
      </w:pPr>
      <w:r>
        <w:rPr/>
        <w:t>元，权益成分的公允价值转入资本公积</w:t>
      </w:r>
      <w:r>
        <w:rPr>
          <w:rFonts w:ascii="宋体" w:hAnsi="宋体" w:cs="宋体" w:eastAsia="宋体" w:hint="default"/>
        </w:rPr>
        <w:t>-</w:t>
      </w:r>
      <w:r>
        <w:rPr/>
        <w:t>股本溢价</w:t>
      </w:r>
      <w:r>
        <w:rPr>
          <w:spacing w:val="-46"/>
        </w:rPr>
        <w:t> </w:t>
      </w:r>
      <w:r>
        <w:rPr>
          <w:rFonts w:ascii="宋体" w:hAnsi="宋体" w:cs="宋体" w:eastAsia="宋体" w:hint="default"/>
        </w:rPr>
        <w:t>208,676,103.11</w:t>
      </w:r>
      <w:r>
        <w:rPr>
          <w:rFonts w:ascii="宋体" w:hAnsi="宋体" w:cs="宋体" w:eastAsia="宋体" w:hint="default"/>
          <w:spacing w:val="-46"/>
        </w:rPr>
        <w:t> </w:t>
      </w:r>
      <w:r>
        <w:rPr/>
        <w:t>元。</w:t>
      </w:r>
    </w:p>
    <w:p>
      <w:pPr>
        <w:spacing w:line="240" w:lineRule="auto" w:before="0"/>
        <w:rPr>
          <w:rFonts w:ascii="宋体" w:hAnsi="宋体" w:cs="宋体" w:eastAsia="宋体" w:hint="default"/>
          <w:sz w:val="15"/>
          <w:szCs w:val="15"/>
        </w:rPr>
      </w:pPr>
    </w:p>
    <w:p>
      <w:pPr>
        <w:pStyle w:val="BodyText"/>
        <w:spacing w:line="319" w:lineRule="auto"/>
        <w:ind w:right="137" w:firstLine="360"/>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2014</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月，经中国证监会核准，公司定向增发人民币普通股股票，购买北京威锐达测控系统有限公司</w:t>
      </w:r>
      <w:r>
        <w:rPr>
          <w:spacing w:val="-61"/>
        </w:rPr>
        <w:t> </w:t>
      </w:r>
      <w:r>
        <w:rPr>
          <w:rFonts w:ascii="宋体" w:hAnsi="宋体" w:cs="宋体" w:eastAsia="宋体" w:hint="default"/>
        </w:rPr>
        <w:t>100%</w:t>
      </w:r>
      <w:r>
        <w:rPr/>
        <w:t>的股 权，增加资本公积</w:t>
      </w:r>
      <w:r>
        <w:rPr>
          <w:spacing w:val="-46"/>
        </w:rPr>
        <w:t> </w:t>
      </w:r>
      <w:r>
        <w:rPr>
          <w:rFonts w:ascii="宋体" w:hAnsi="宋体" w:cs="宋体" w:eastAsia="宋体" w:hint="default"/>
        </w:rPr>
        <w:t>378,887,408.00</w:t>
      </w:r>
      <w:r>
        <w:rPr>
          <w:rFonts w:ascii="宋体" w:hAnsi="宋体" w:cs="宋体" w:eastAsia="宋体" w:hint="default"/>
          <w:spacing w:val="-46"/>
        </w:rPr>
        <w:t> </w:t>
      </w:r>
      <w:r>
        <w:rPr/>
        <w:t>元；</w:t>
      </w:r>
    </w:p>
    <w:p>
      <w:pPr>
        <w:pStyle w:val="BodyText"/>
        <w:spacing w:line="316" w:lineRule="auto" w:before="137"/>
        <w:ind w:right="140" w:firstLine="360"/>
        <w:jc w:val="left"/>
      </w:pPr>
      <w:r>
        <w:rPr>
          <w:spacing w:val="-13"/>
        </w:rPr>
        <w:t>（</w:t>
      </w:r>
      <w:r>
        <w:rPr>
          <w:rFonts w:ascii="宋体" w:hAnsi="宋体" w:cs="宋体" w:eastAsia="宋体" w:hint="default"/>
          <w:spacing w:val="-13"/>
        </w:rPr>
        <w:t>4</w:t>
      </w:r>
      <w:r>
        <w:rPr>
          <w:spacing w:val="-13"/>
        </w:rPr>
        <w:t>）</w:t>
      </w:r>
      <w:r>
        <w:rPr>
          <w:rFonts w:ascii="宋体" w:hAnsi="宋体" w:cs="宋体" w:eastAsia="宋体" w:hint="default"/>
          <w:spacing w:val="-13"/>
        </w:rPr>
        <w:t>2014</w:t>
      </w:r>
      <w:r>
        <w:rPr>
          <w:rFonts w:ascii="宋体" w:hAnsi="宋体" w:cs="宋体" w:eastAsia="宋体" w:hint="default"/>
          <w:spacing w:val="-42"/>
        </w:rPr>
        <w:t> </w:t>
      </w:r>
      <w:r>
        <w:rPr/>
        <w:t>年</w:t>
      </w:r>
      <w:r>
        <w:rPr>
          <w:spacing w:val="-42"/>
        </w:rPr>
        <w:t> </w:t>
      </w:r>
      <w:r>
        <w:rPr>
          <w:rFonts w:ascii="宋体" w:hAnsi="宋体" w:cs="宋体" w:eastAsia="宋体" w:hint="default"/>
        </w:rPr>
        <w:t>6</w:t>
      </w:r>
      <w:r>
        <w:rPr>
          <w:rFonts w:ascii="宋体" w:hAnsi="宋体" w:cs="宋体" w:eastAsia="宋体" w:hint="default"/>
          <w:spacing w:val="-41"/>
        </w:rPr>
        <w:t> </w:t>
      </w:r>
      <w:r>
        <w:rPr>
          <w:spacing w:val="-7"/>
        </w:rPr>
        <w:t>月，经中国证监会核准，公司募集配套资金发行股票，投资者出资计入资本公积</w:t>
      </w:r>
      <w:r>
        <w:rPr>
          <w:rFonts w:ascii="宋体" w:hAnsi="宋体" w:cs="宋体" w:eastAsia="宋体" w:hint="default"/>
          <w:spacing w:val="-7"/>
        </w:rPr>
        <w:t>-</w:t>
      </w:r>
      <w:r>
        <w:rPr>
          <w:spacing w:val="-7"/>
        </w:rPr>
        <w:t>股本溢价</w:t>
      </w:r>
      <w:r>
        <w:rPr>
          <w:spacing w:val="-42"/>
        </w:rPr>
        <w:t> </w:t>
      </w:r>
      <w:r>
        <w:rPr>
          <w:rFonts w:ascii="宋体" w:hAnsi="宋体" w:cs="宋体" w:eastAsia="宋体" w:hint="default"/>
        </w:rPr>
        <w:t>170,397,203.46 </w:t>
      </w:r>
      <w:r>
        <w:rPr/>
        <w:t>元。</w:t>
      </w:r>
    </w:p>
    <w:p>
      <w:pPr>
        <w:pStyle w:val="BodyText"/>
        <w:spacing w:line="240" w:lineRule="auto" w:before="139"/>
        <w:ind w:left="514" w:right="0"/>
        <w:jc w:val="left"/>
        <w:rPr>
          <w:rFonts w:ascii="宋体" w:hAnsi="宋体" w:cs="宋体" w:eastAsia="宋体" w:hint="default"/>
        </w:rPr>
      </w:pPr>
      <w:r>
        <w:rPr/>
        <w:t>资本公积</w:t>
      </w:r>
      <w:r>
        <w:rPr>
          <w:rFonts w:ascii="宋体" w:hAnsi="宋体" w:cs="宋体" w:eastAsia="宋体" w:hint="default"/>
        </w:rPr>
        <w:t>-</w:t>
      </w:r>
      <w:r>
        <w:rPr/>
        <w:t>股本溢价减少的原因：根据公司于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5</w:t>
      </w:r>
      <w:r>
        <w:rPr>
          <w:rFonts w:ascii="宋体" w:hAnsi="宋体" w:cs="宋体" w:eastAsia="宋体" w:hint="default"/>
          <w:spacing w:val="-46"/>
        </w:rPr>
        <w:t> </w:t>
      </w:r>
      <w:r>
        <w:rPr/>
        <w:t>月</w:t>
      </w:r>
      <w:r>
        <w:rPr>
          <w:spacing w:val="-45"/>
        </w:rPr>
        <w:t> </w:t>
      </w:r>
      <w:r>
        <w:rPr>
          <w:rFonts w:ascii="宋体" w:hAnsi="宋体" w:cs="宋体" w:eastAsia="宋体" w:hint="default"/>
        </w:rPr>
        <w:t>5</w:t>
      </w:r>
      <w:r>
        <w:rPr>
          <w:rFonts w:ascii="宋体" w:hAnsi="宋体" w:cs="宋体" w:eastAsia="宋体" w:hint="default"/>
          <w:spacing w:val="-46"/>
        </w:rPr>
        <w:t> </w:t>
      </w:r>
      <w:r>
        <w:rPr/>
        <w:t>日召开的</w:t>
      </w:r>
      <w:r>
        <w:rPr>
          <w:spacing w:val="-46"/>
        </w:rPr>
        <w:t> </w:t>
      </w:r>
      <w:r>
        <w:rPr>
          <w:rFonts w:ascii="宋体" w:hAnsi="宋体" w:cs="宋体" w:eastAsia="宋体" w:hint="default"/>
        </w:rPr>
        <w:t>2013</w:t>
      </w:r>
      <w:r>
        <w:rPr>
          <w:rFonts w:ascii="宋体" w:hAnsi="宋体" w:cs="宋体" w:eastAsia="宋体" w:hint="default"/>
          <w:spacing w:val="-46"/>
        </w:rPr>
        <w:t> </w:t>
      </w:r>
      <w:r>
        <w:rPr/>
        <w:t>年度股东大会决议，截止股权登记日</w:t>
      </w:r>
      <w:r>
        <w:rPr>
          <w:spacing w:val="-46"/>
        </w:rPr>
        <w:t> </w:t>
      </w:r>
      <w:r>
        <w:rPr>
          <w:rFonts w:ascii="宋体" w:hAnsi="宋体" w:cs="宋体" w:eastAsia="宋体" w:hint="default"/>
        </w:rPr>
        <w:t>2014</w:t>
      </w:r>
    </w:p>
    <w:p>
      <w:pPr>
        <w:pStyle w:val="BodyText"/>
        <w:spacing w:line="240" w:lineRule="auto" w:before="76"/>
        <w:ind w:left="514" w:right="0" w:hanging="360"/>
        <w:jc w:val="left"/>
      </w:pPr>
      <w:r>
        <w:rPr/>
        <w:t>年</w:t>
      </w:r>
      <w:r>
        <w:rPr>
          <w:spacing w:val="-46"/>
        </w:rPr>
        <w:t> </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日，公司总股本 </w:t>
      </w:r>
      <w:r>
        <w:rPr>
          <w:rFonts w:ascii="宋体" w:hAnsi="宋体" w:cs="宋体" w:eastAsia="宋体" w:hint="default"/>
        </w:rPr>
        <w:t>735,041,371</w:t>
      </w:r>
      <w:r>
        <w:rPr>
          <w:rFonts w:ascii="宋体" w:hAnsi="宋体" w:cs="宋体" w:eastAsia="宋体" w:hint="default"/>
          <w:spacing w:val="-46"/>
        </w:rPr>
        <w:t> </w:t>
      </w:r>
      <w:r>
        <w:rPr/>
        <w:t>股，以资本公积金向全体股东每</w:t>
      </w:r>
      <w:r>
        <w:rPr>
          <w:spacing w:val="-46"/>
        </w:rPr>
        <w:t> </w:t>
      </w:r>
      <w:r>
        <w:rPr>
          <w:rFonts w:ascii="宋体" w:hAnsi="宋体" w:cs="宋体" w:eastAsia="宋体" w:hint="default"/>
        </w:rPr>
        <w:t>10</w:t>
      </w:r>
      <w:r>
        <w:rPr>
          <w:rFonts w:ascii="宋体" w:hAnsi="宋体" w:cs="宋体" w:eastAsia="宋体" w:hint="default"/>
          <w:spacing w:val="-46"/>
        </w:rPr>
        <w:t> </w:t>
      </w:r>
      <w:r>
        <w:rPr/>
        <w:t>股转增</w:t>
      </w:r>
      <w:r>
        <w:rPr>
          <w:spacing w:val="-46"/>
        </w:rPr>
        <w:t> </w:t>
      </w:r>
      <w:r>
        <w:rPr>
          <w:rFonts w:ascii="宋体" w:hAnsi="宋体" w:cs="宋体" w:eastAsia="宋体" w:hint="default"/>
        </w:rPr>
        <w:t>10</w:t>
      </w:r>
      <w:r>
        <w:rPr>
          <w:rFonts w:ascii="宋体" w:hAnsi="宋体" w:cs="宋体" w:eastAsia="宋体" w:hint="default"/>
          <w:spacing w:val="-46"/>
        </w:rPr>
        <w:t> </w:t>
      </w:r>
      <w:r>
        <w:rPr/>
        <w:t>股，本期减少</w:t>
      </w:r>
      <w:r>
        <w:rPr>
          <w:spacing w:val="-46"/>
        </w:rPr>
        <w:t> </w:t>
      </w:r>
      <w:r>
        <w:rPr>
          <w:rFonts w:ascii="宋体" w:hAnsi="宋体" w:cs="宋体" w:eastAsia="宋体" w:hint="default"/>
        </w:rPr>
        <w:t>735,041,371.00</w:t>
      </w:r>
      <w:r>
        <w:rPr>
          <w:rFonts w:ascii="宋体" w:hAnsi="宋体" w:cs="宋体" w:eastAsia="宋体" w:hint="default"/>
          <w:spacing w:val="-46"/>
        </w:rPr>
        <w:t> </w:t>
      </w:r>
      <w:r>
        <w:rPr/>
        <w:t>元。</w:t>
      </w:r>
    </w:p>
    <w:p>
      <w:pPr>
        <w:spacing w:line="240" w:lineRule="auto" w:before="0"/>
        <w:rPr>
          <w:rFonts w:ascii="宋体" w:hAnsi="宋体" w:cs="宋体" w:eastAsia="宋体" w:hint="default"/>
          <w:sz w:val="15"/>
          <w:szCs w:val="15"/>
        </w:rPr>
      </w:pPr>
    </w:p>
    <w:p>
      <w:pPr>
        <w:pStyle w:val="BodyText"/>
        <w:spacing w:line="316" w:lineRule="auto"/>
        <w:ind w:right="142" w:firstLine="360"/>
        <w:jc w:val="left"/>
      </w:pPr>
      <w:r>
        <w:rPr/>
        <w:t>资本公积</w:t>
      </w:r>
      <w:r>
        <w:rPr>
          <w:rFonts w:ascii="宋体" w:hAnsi="宋体" w:cs="宋体" w:eastAsia="宋体" w:hint="default"/>
        </w:rPr>
        <w:t>-</w:t>
      </w:r>
      <w:r>
        <w:rPr/>
        <w:t>其他资本公积增加的原因：根据公司股票期权激励计划，将该股票期权在等待期间应计的成本费用金额计入 资本公积 </w:t>
      </w:r>
      <w:r>
        <w:rPr>
          <w:rFonts w:ascii="宋体" w:hAnsi="宋体" w:cs="宋体" w:eastAsia="宋体" w:hint="default"/>
        </w:rPr>
        <w:t>9,220,483.00</w:t>
      </w:r>
      <w:r>
        <w:rPr>
          <w:rFonts w:ascii="宋体" w:hAnsi="宋体" w:cs="宋体" w:eastAsia="宋体" w:hint="default"/>
          <w:spacing w:val="-46"/>
        </w:rPr>
        <w:t> </w:t>
      </w:r>
      <w:r>
        <w:rPr/>
        <w:t>元。</w:t>
      </w:r>
    </w:p>
    <w:p>
      <w:pPr>
        <w:pStyle w:val="BodyText"/>
        <w:spacing w:line="240" w:lineRule="auto" w:before="139"/>
        <w:ind w:left="514" w:right="0"/>
        <w:jc w:val="left"/>
      </w:pPr>
      <w:r>
        <w:rPr/>
        <w:t>资本公积</w:t>
      </w:r>
      <w:r>
        <w:rPr>
          <w:rFonts w:ascii="宋体" w:hAnsi="宋体" w:cs="宋体" w:eastAsia="宋体" w:hint="default"/>
        </w:rPr>
        <w:t>-</w:t>
      </w:r>
      <w:r>
        <w:rPr/>
        <w:t>其他资本公积减少的原因：</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1</w:t>
      </w:r>
      <w:r>
        <w:rPr/>
        <w:t>）公司发行可转换公司债券本期转股</w:t>
      </w:r>
      <w:r>
        <w:rPr>
          <w:rFonts w:ascii="宋体" w:hAnsi="宋体" w:cs="宋体" w:eastAsia="宋体" w:hint="default"/>
        </w:rPr>
        <w:t>,</w:t>
      </w:r>
      <w:r>
        <w:rPr/>
        <w:t>资本公积</w:t>
      </w:r>
      <w:r>
        <w:rPr>
          <w:rFonts w:ascii="宋体" w:hAnsi="宋体" w:cs="宋体" w:eastAsia="宋体" w:hint="default"/>
        </w:rPr>
        <w:t>-</w:t>
      </w:r>
      <w:r>
        <w:rPr/>
        <w:t>其他资本公积转入资本公积</w:t>
      </w:r>
      <w:r>
        <w:rPr>
          <w:rFonts w:ascii="宋体" w:hAnsi="宋体" w:cs="宋体" w:eastAsia="宋体" w:hint="default"/>
        </w:rPr>
        <w:t>-</w:t>
      </w:r>
      <w:r>
        <w:rPr/>
        <w:t>股本溢价</w:t>
      </w:r>
      <w:r>
        <w:rPr>
          <w:spacing w:val="-46"/>
        </w:rPr>
        <w:t> </w:t>
      </w:r>
      <w:r>
        <w:rPr>
          <w:rFonts w:ascii="宋体" w:hAnsi="宋体" w:cs="宋体" w:eastAsia="宋体" w:hint="default"/>
        </w:rPr>
        <w:t>208,676,103.11</w:t>
      </w:r>
      <w:r>
        <w:rPr>
          <w:rFonts w:ascii="宋体" w:hAnsi="宋体" w:cs="宋体" w:eastAsia="宋体" w:hint="default"/>
          <w:spacing w:val="-46"/>
        </w:rPr>
        <w:t> </w:t>
      </w:r>
      <w:r>
        <w:rPr/>
        <w:t>元；</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2</w:t>
      </w:r>
      <w:r>
        <w:rPr/>
        <w:t>）股权激励对象行权，资本公积</w:t>
      </w:r>
      <w:r>
        <w:rPr>
          <w:rFonts w:ascii="宋体" w:hAnsi="宋体" w:cs="宋体" w:eastAsia="宋体" w:hint="default"/>
        </w:rPr>
        <w:t>-</w:t>
      </w:r>
      <w:r>
        <w:rPr/>
        <w:t>其他资本公积转入资本公积</w:t>
      </w:r>
      <w:r>
        <w:rPr>
          <w:rFonts w:ascii="宋体" w:hAnsi="宋体" w:cs="宋体" w:eastAsia="宋体" w:hint="default"/>
        </w:rPr>
        <w:t>-</w:t>
      </w:r>
      <w:r>
        <w:rPr/>
        <w:t>股本溢价</w:t>
      </w:r>
      <w:r>
        <w:rPr>
          <w:spacing w:val="-46"/>
        </w:rPr>
        <w:t> </w:t>
      </w:r>
      <w:r>
        <w:rPr>
          <w:rFonts w:ascii="宋体" w:hAnsi="宋体" w:cs="宋体" w:eastAsia="宋体" w:hint="default"/>
        </w:rPr>
        <w:t>18,890,600.00</w:t>
      </w:r>
      <w:r>
        <w:rPr>
          <w:rFonts w:ascii="宋体" w:hAnsi="宋体" w:cs="宋体" w:eastAsia="宋体" w:hint="default"/>
          <w:spacing w:val="-46"/>
        </w:rPr>
        <w:t> </w:t>
      </w:r>
      <w:r>
        <w:rPr/>
        <w:t>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56</w:t>
      </w:r>
      <w:r>
        <w:rPr/>
        <w:t>、库存股</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57</w:t>
      </w:r>
      <w:r>
        <w:rPr/>
        <w:t>、其他综合收益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4892"/>
        <w:gridCol w:w="799"/>
      </w:tblGrid>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7"/>
      </w:tblGrid>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sz w:val="18"/>
              </w:rPr>
              <w:t>-39,236.56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343,902,2</w:t>
            </w:r>
          </w:p>
          <w:p>
            <w:pPr>
              <w:pStyle w:val="TableParagraph"/>
              <w:spacing w:line="240" w:lineRule="auto" w:before="78"/>
              <w:ind w:left="451" w:right="0"/>
              <w:jc w:val="left"/>
              <w:rPr>
                <w:rFonts w:ascii="宋体" w:hAnsi="宋体" w:cs="宋体" w:eastAsia="宋体" w:hint="default"/>
                <w:sz w:val="18"/>
                <w:szCs w:val="18"/>
              </w:rPr>
            </w:pPr>
            <w:r>
              <w:rPr>
                <w:rFonts w:ascii="宋体"/>
                <w:sz w:val="18"/>
              </w:rPr>
              <w:t>14.21</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34,390,26</w:t>
            </w:r>
          </w:p>
          <w:p>
            <w:pPr>
              <w:pStyle w:val="TableParagraph"/>
              <w:spacing w:line="240" w:lineRule="auto" w:before="78"/>
              <w:ind w:left="541" w:right="0"/>
              <w:jc w:val="left"/>
              <w:rPr>
                <w:rFonts w:ascii="宋体" w:hAnsi="宋体" w:cs="宋体" w:eastAsia="宋体" w:hint="default"/>
                <w:sz w:val="18"/>
                <w:szCs w:val="18"/>
              </w:rPr>
            </w:pPr>
            <w:r>
              <w:rPr>
                <w:rFonts w:ascii="宋体"/>
                <w:sz w:val="18"/>
              </w:rPr>
              <w:t>1.79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309,511,9</w:t>
            </w:r>
          </w:p>
          <w:p>
            <w:pPr>
              <w:pStyle w:val="TableParagraph"/>
              <w:spacing w:line="240" w:lineRule="auto" w:before="78"/>
              <w:ind w:left="452" w:right="0"/>
              <w:jc w:val="left"/>
              <w:rPr>
                <w:rFonts w:ascii="宋体" w:hAnsi="宋体" w:cs="宋体" w:eastAsia="宋体" w:hint="default"/>
                <w:sz w:val="18"/>
                <w:szCs w:val="18"/>
              </w:rPr>
            </w:pPr>
            <w:r>
              <w:rPr>
                <w:rFonts w:ascii="宋体"/>
                <w:sz w:val="18"/>
              </w:rPr>
              <w:t>52.42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309,472,</w:t>
            </w:r>
          </w:p>
          <w:p>
            <w:pPr>
              <w:pStyle w:val="TableParagraph"/>
              <w:spacing w:line="240" w:lineRule="auto" w:before="78"/>
              <w:ind w:left="201" w:right="0"/>
              <w:jc w:val="center"/>
              <w:rPr>
                <w:rFonts w:ascii="宋体" w:hAnsi="宋体" w:cs="宋体" w:eastAsia="宋体" w:hint="default"/>
                <w:sz w:val="18"/>
                <w:szCs w:val="18"/>
              </w:rPr>
            </w:pPr>
            <w:r>
              <w:rPr>
                <w:rFonts w:ascii="宋体"/>
                <w:sz w:val="18"/>
              </w:rPr>
              <w:t>715.86</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343,902,6</w:t>
            </w:r>
          </w:p>
          <w:p>
            <w:pPr>
              <w:pStyle w:val="TableParagraph"/>
              <w:spacing w:line="240" w:lineRule="auto" w:before="77"/>
              <w:ind w:left="451" w:right="0"/>
              <w:jc w:val="left"/>
              <w:rPr>
                <w:rFonts w:ascii="宋体" w:hAnsi="宋体" w:cs="宋体" w:eastAsia="宋体" w:hint="default"/>
                <w:sz w:val="18"/>
                <w:szCs w:val="18"/>
              </w:rPr>
            </w:pPr>
            <w:r>
              <w:rPr>
                <w:rFonts w:ascii="宋体"/>
                <w:sz w:val="18"/>
              </w:rPr>
              <w:t>17.89</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34,390,26</w:t>
            </w:r>
          </w:p>
          <w:p>
            <w:pPr>
              <w:pStyle w:val="TableParagraph"/>
              <w:spacing w:line="240" w:lineRule="auto" w:before="77"/>
              <w:ind w:left="541" w:right="0"/>
              <w:jc w:val="left"/>
              <w:rPr>
                <w:rFonts w:ascii="宋体" w:hAnsi="宋体" w:cs="宋体" w:eastAsia="宋体" w:hint="default"/>
                <w:sz w:val="18"/>
                <w:szCs w:val="18"/>
              </w:rPr>
            </w:pPr>
            <w:r>
              <w:rPr>
                <w:rFonts w:ascii="宋体"/>
                <w:sz w:val="18"/>
              </w:rPr>
              <w:t>1.79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309,512,3</w:t>
            </w:r>
          </w:p>
          <w:p>
            <w:pPr>
              <w:pStyle w:val="TableParagraph"/>
              <w:spacing w:line="240" w:lineRule="auto" w:before="77"/>
              <w:ind w:left="452" w:right="0"/>
              <w:jc w:val="left"/>
              <w:rPr>
                <w:rFonts w:ascii="宋体" w:hAnsi="宋体" w:cs="宋体" w:eastAsia="宋体" w:hint="default"/>
                <w:sz w:val="18"/>
                <w:szCs w:val="18"/>
              </w:rPr>
            </w:pPr>
            <w:r>
              <w:rPr>
                <w:rFonts w:ascii="宋体"/>
                <w:sz w:val="18"/>
              </w:rPr>
              <w:t>56.10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309,512,</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356.10</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-39,236.56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sz w:val="18"/>
              </w:rPr>
              <w:t>-403.68</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sz w:val="18"/>
              </w:rPr>
              <w:t>-403.68</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-39,640.</w:t>
            </w:r>
          </w:p>
          <w:p>
            <w:pPr>
              <w:pStyle w:val="TableParagraph"/>
              <w:spacing w:line="240" w:lineRule="auto" w:before="77"/>
              <w:ind w:right="20"/>
              <w:jc w:val="right"/>
              <w:rPr>
                <w:rFonts w:ascii="宋体" w:hAnsi="宋体" w:cs="宋体" w:eastAsia="宋体" w:hint="default"/>
                <w:sz w:val="18"/>
                <w:szCs w:val="18"/>
              </w:rPr>
            </w:pPr>
            <w:r>
              <w:rPr>
                <w:rFonts w:ascii="宋体"/>
                <w:sz w:val="18"/>
              </w:rPr>
              <w:t>24</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-39,236.56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343,902,2</w:t>
            </w:r>
          </w:p>
          <w:p>
            <w:pPr>
              <w:pStyle w:val="TableParagraph"/>
              <w:spacing w:line="240" w:lineRule="auto" w:before="77"/>
              <w:ind w:left="451" w:right="0"/>
              <w:jc w:val="left"/>
              <w:rPr>
                <w:rFonts w:ascii="宋体" w:hAnsi="宋体" w:cs="宋体" w:eastAsia="宋体" w:hint="default"/>
                <w:sz w:val="18"/>
                <w:szCs w:val="18"/>
              </w:rPr>
            </w:pPr>
            <w:r>
              <w:rPr>
                <w:rFonts w:ascii="宋体"/>
                <w:sz w:val="18"/>
              </w:rPr>
              <w:t>14.21</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51"/>
              <w:ind w:left="91" w:right="0"/>
              <w:jc w:val="left"/>
              <w:rPr>
                <w:rFonts w:ascii="宋体" w:hAnsi="宋体" w:cs="宋体" w:eastAsia="宋体" w:hint="default"/>
                <w:sz w:val="18"/>
                <w:szCs w:val="18"/>
              </w:rPr>
            </w:pPr>
            <w:r>
              <w:rPr>
                <w:rFonts w:ascii="宋体"/>
                <w:sz w:val="18"/>
              </w:rPr>
              <w:t>34,390,26</w:t>
            </w:r>
          </w:p>
          <w:p>
            <w:pPr>
              <w:pStyle w:val="TableParagraph"/>
              <w:spacing w:line="240" w:lineRule="auto" w:before="77"/>
              <w:ind w:left="541" w:right="0"/>
              <w:jc w:val="left"/>
              <w:rPr>
                <w:rFonts w:ascii="宋体" w:hAnsi="宋体" w:cs="宋体" w:eastAsia="宋体" w:hint="default"/>
                <w:sz w:val="18"/>
                <w:szCs w:val="18"/>
              </w:rPr>
            </w:pPr>
            <w:r>
              <w:rPr>
                <w:rFonts w:ascii="宋体"/>
                <w:sz w:val="18"/>
              </w:rPr>
              <w:t>1.79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sz w:val="18"/>
              </w:rPr>
              <w:t>309,511,9</w:t>
            </w:r>
          </w:p>
          <w:p>
            <w:pPr>
              <w:pStyle w:val="TableParagraph"/>
              <w:spacing w:line="240" w:lineRule="auto" w:before="77"/>
              <w:ind w:left="452" w:right="0"/>
              <w:jc w:val="left"/>
              <w:rPr>
                <w:rFonts w:ascii="宋体" w:hAnsi="宋体" w:cs="宋体" w:eastAsia="宋体" w:hint="default"/>
                <w:sz w:val="18"/>
                <w:szCs w:val="18"/>
              </w:rPr>
            </w:pPr>
            <w:r>
              <w:rPr>
                <w:rFonts w:ascii="宋体"/>
                <w:sz w:val="18"/>
              </w:rPr>
              <w:t>52.42</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309,472,</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715.86</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58</w:t>
      </w:r>
      <w:r>
        <w:rPr/>
        <w:t>、专项储备</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59</w:t>
      </w:r>
      <w:r>
        <w:rPr/>
        <w:t>、盈余公积</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211,226,935.74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82,649,729.19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293,876,664.93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3" w:right="0"/>
              <w:jc w:val="left"/>
              <w:rPr>
                <w:rFonts w:ascii="宋体" w:hAnsi="宋体" w:cs="宋体" w:eastAsia="宋体" w:hint="default"/>
                <w:sz w:val="18"/>
                <w:szCs w:val="18"/>
              </w:rPr>
            </w:pPr>
            <w:r>
              <w:rPr>
                <w:rFonts w:ascii="宋体"/>
                <w:sz w:val="18"/>
              </w:rPr>
              <w:t>211,226,935.74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82,649,729.19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0" w:right="0"/>
              <w:jc w:val="left"/>
              <w:rPr>
                <w:rFonts w:ascii="宋体" w:hAnsi="宋体" w:cs="宋体" w:eastAsia="宋体" w:hint="default"/>
                <w:sz w:val="18"/>
                <w:szCs w:val="18"/>
              </w:rPr>
            </w:pPr>
            <w:r>
              <w:rPr>
                <w:rFonts w:ascii="宋体"/>
                <w:sz w:val="18"/>
              </w:rPr>
              <w:t>293,876,664.93</w:t>
            </w:r>
          </w:p>
        </w:tc>
      </w:tr>
    </w:tbl>
    <w:p>
      <w:pPr>
        <w:pStyle w:val="BodyText"/>
        <w:spacing w:line="357" w:lineRule="auto" w:before="51"/>
        <w:ind w:left="574" w:right="0" w:hanging="420"/>
        <w:jc w:val="left"/>
      </w:pPr>
      <w:r>
        <w:rPr/>
        <w:t>盈余公积说明，包括本期增减变动情况、变动原因说明： 根据公司法、章程的规定，本公司按净利润的</w:t>
      </w:r>
      <w:r>
        <w:rPr>
          <w:rFonts w:ascii="宋体" w:hAnsi="宋体" w:cs="宋体" w:eastAsia="宋体" w:hint="default"/>
        </w:rPr>
        <w:t>10%</w:t>
      </w:r>
      <w:r>
        <w:rPr/>
        <w:t>提取法定盈余公积金。法定盈余公积累计额为本公司注册资本</w:t>
      </w:r>
      <w:r>
        <w:rPr>
          <w:rFonts w:ascii="宋体" w:hAnsi="宋体" w:cs="宋体" w:eastAsia="宋体" w:hint="default"/>
        </w:rPr>
        <w:t>50%</w:t>
      </w:r>
      <w:r>
        <w:rPr/>
        <w:t>以</w:t>
      </w:r>
    </w:p>
    <w:p>
      <w:pPr>
        <w:pStyle w:val="BodyText"/>
        <w:spacing w:line="224" w:lineRule="exact"/>
        <w:ind w:right="0"/>
        <w:jc w:val="left"/>
      </w:pPr>
      <w:r>
        <w:rPr/>
        <w:t>上的，可不再提取。在提取法定盈余公积金后，可提取任意盈余公积金。经批准，任意盈余公积金可用于弥补以前年度亏损</w:t>
      </w:r>
    </w:p>
    <w:p>
      <w:pPr>
        <w:pStyle w:val="BodyText"/>
        <w:spacing w:line="240" w:lineRule="auto" w:before="76"/>
        <w:ind w:right="0"/>
        <w:jc w:val="left"/>
      </w:pPr>
      <w:r>
        <w:rPr/>
        <w:t>或增加股本。</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60</w:t>
      </w:r>
      <w:r>
        <w:rPr/>
        <w:t>、未分配利润</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1,874,213,461.86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1,293,970,465.40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1,874,213,461.86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1,293,970,465.40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1,038,654,013.57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770,870,494.95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82,649,729.19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52,634,058.49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147,008,274.20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137,993,440.00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2,683,209,472.04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1,874,213,461.86</w:t>
            </w:r>
          </w:p>
        </w:tc>
      </w:tr>
    </w:tbl>
    <w:p>
      <w:pPr>
        <w:pStyle w:val="BodyText"/>
        <w:spacing w:line="357" w:lineRule="auto" w:before="51"/>
        <w:ind w:right="2842"/>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45"/>
        </w:rPr>
        <w:t> </w:t>
      </w:r>
      <w:r>
        <w:rPr>
          <w:rFonts w:ascii="宋体" w:hAnsi="宋体" w:cs="宋体" w:eastAsia="宋体" w:hint="default"/>
        </w:rPr>
        <w:t>0.00</w:t>
      </w:r>
      <w:r>
        <w:rPr>
          <w:rFonts w:ascii="宋体" w:hAnsi="宋体" w:cs="宋体" w:eastAsia="宋体" w:hint="default"/>
          <w:spacing w:val="-45"/>
        </w:rPr>
        <w:t> </w:t>
      </w:r>
      <w:r>
        <w:rPr/>
        <w:t>元。</w:t>
      </w:r>
    </w:p>
    <w:p>
      <w:pPr>
        <w:spacing w:after="0" w:line="357"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宋体" w:hAnsi="宋体" w:cs="宋体" w:eastAsia="宋体" w:hint="default"/>
        </w:rPr>
        <w:t>2)</w:t>
      </w:r>
      <w:r>
        <w:rPr/>
        <w:t>由于会计政策变更，影响期初未分配利润</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6"/>
        <w:ind w:right="0"/>
        <w:jc w:val="left"/>
      </w:pPr>
      <w:r>
        <w:rPr>
          <w:rFonts w:ascii="宋体" w:hAnsi="宋体" w:cs="宋体" w:eastAsia="宋体" w:hint="default"/>
        </w:rPr>
        <w:t>3)</w:t>
      </w:r>
      <w:r>
        <w:rPr/>
        <w:t>由于重大会计差错更正，影响期初未分配利润</w:t>
      </w:r>
      <w:r>
        <w:rPr>
          <w:spacing w:val="-44"/>
        </w:rPr>
        <w:t> </w:t>
      </w:r>
      <w:r>
        <w:rPr>
          <w:rFonts w:ascii="宋体" w:hAnsi="宋体" w:cs="宋体" w:eastAsia="宋体" w:hint="default"/>
        </w:rPr>
        <w:t>0.00</w:t>
      </w:r>
      <w:r>
        <w:rPr>
          <w:rFonts w:ascii="宋体" w:hAnsi="宋体" w:cs="宋体" w:eastAsia="宋体" w:hint="default"/>
          <w:spacing w:val="-45"/>
        </w:rPr>
        <w:t> </w:t>
      </w:r>
      <w:r>
        <w:rPr/>
        <w:t>元。</w:t>
      </w:r>
    </w:p>
    <w:p>
      <w:pPr>
        <w:pStyle w:val="BodyText"/>
        <w:spacing w:line="240" w:lineRule="auto" w:before="117"/>
        <w:ind w:right="0"/>
        <w:jc w:val="left"/>
      </w:pPr>
      <w:r>
        <w:rPr>
          <w:rFonts w:ascii="宋体" w:hAnsi="宋体" w:cs="宋体" w:eastAsia="宋体" w:hint="default"/>
        </w:rPr>
        <w:t>4)</w:t>
      </w:r>
      <w:r>
        <w:rPr/>
        <w:t>由于同一控制导致的合并范围变更，影响期初未分配利润</w:t>
      </w:r>
      <w:r>
        <w:rPr>
          <w:spacing w:val="-45"/>
        </w:rPr>
        <w:t> </w:t>
      </w:r>
      <w:r>
        <w:rPr>
          <w:rFonts w:ascii="宋体" w:hAnsi="宋体" w:cs="宋体" w:eastAsia="宋体" w:hint="default"/>
        </w:rPr>
        <w:t>0.00</w:t>
      </w:r>
      <w:r>
        <w:rPr>
          <w:rFonts w:ascii="宋体" w:hAnsi="宋体" w:cs="宋体" w:eastAsia="宋体" w:hint="default"/>
          <w:spacing w:val="-46"/>
        </w:rPr>
        <w:t> </w:t>
      </w:r>
      <w:r>
        <w:rPr/>
        <w:t>元。</w:t>
      </w:r>
    </w:p>
    <w:p>
      <w:pPr>
        <w:pStyle w:val="BodyText"/>
        <w:spacing w:line="240" w:lineRule="auto" w:before="116"/>
        <w:ind w:right="0"/>
        <w:jc w:val="left"/>
      </w:pPr>
      <w:r>
        <w:rPr>
          <w:rFonts w:ascii="宋体" w:hAnsi="宋体" w:cs="宋体" w:eastAsia="宋体" w:hint="default"/>
        </w:rPr>
        <w:t>5)</w:t>
      </w:r>
      <w:r>
        <w:rPr/>
        <w:t>其他调整合计影响期初未分配利润</w:t>
      </w:r>
      <w:r>
        <w:rPr>
          <w:spacing w:val="-46"/>
        </w:rPr>
        <w:t> </w:t>
      </w:r>
      <w:r>
        <w:rPr>
          <w:rFonts w:ascii="宋体" w:hAnsi="宋体" w:cs="宋体" w:eastAsia="宋体" w:hint="default"/>
        </w:rPr>
        <w:t>0.00</w:t>
      </w:r>
      <w:r>
        <w:rPr>
          <w:rFonts w:ascii="宋体" w:hAnsi="宋体" w:cs="宋体" w:eastAsia="宋体" w:hint="default"/>
          <w:spacing w:val="-45"/>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61</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5,059,371,526.05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3,250,820,704.08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4,353,791,430.76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2,860,195,714.06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111,677,133.95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95,512,940.82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69,123,011.59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60,177,598.03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5,171,048,660.00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3,346,333,644.90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4,422,914,442.35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2,920,373,312.09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62</w:t>
      </w:r>
      <w:r>
        <w:rPr/>
        <w:t>、营业税金及附加</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1,682,108.13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3,504,419.27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6,066,510.36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5,421,197.46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2,602,037.33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2,336,399.05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1,734,694.66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1,545,209.09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32,272.39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70,843.14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75,255.99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20,092.89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防洪保安费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41,772.01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15,619.65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73,142.40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3,997.42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12,308,243.11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12,935,777.97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63</w:t>
      </w:r>
      <w:r>
        <w:rPr/>
        <w:t>、销售费用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73,353,839.51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53,180,003.58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45,075,542.21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51,452,572.41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31,720,201.13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27,179,649.38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11,602,165.69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10,537,658.14</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5,164,146.78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3,127,459.82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2,226,351.99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2,102,801.74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26,150,120.56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22,844,694.37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195,292,367.87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170,424,839.44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64</w:t>
      </w:r>
      <w:r>
        <w:rPr/>
        <w:t>、管理费用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144,940,647.93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117,094,672.20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180,812,390.42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192,897,146.04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2,440,037.45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2,203,813.96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11,778,214.83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8,796,919.85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100,509,128.01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51,119,447.48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18,130,087.62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4,793,648.77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3,086,490.09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5,498,727.26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29,214,670.30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43,237,318.63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9,220,483.00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17,728,301.00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500,132,149.65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443,369,995.19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65</w:t>
      </w:r>
      <w:r>
        <w:rPr/>
        <w:t>、财务费用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13,016,143.16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18,433,568.90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5,150,828.17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19,891,863.66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贴现利息支出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77,555.56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448,609.00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12,627,484.98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2,311,414.05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22,289.20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17,974.89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352,354.55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1,655,036.68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2,051,787.37</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7,702,874.65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37,735,740.53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66</w:t>
      </w:r>
      <w:r>
        <w:rPr/>
        <w:t>、资产减值损失</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after="0" w:line="240" w:lineRule="auto"/>
        <w:jc w:val="right"/>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37,623,741.52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37,360,876.89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1,610,043.03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1,675,460.22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39,233,784.55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39,036,337.11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67</w:t>
      </w:r>
      <w:r>
        <w:rPr/>
        <w:t>、公允价值变动收益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68</w:t>
      </w:r>
      <w:r>
        <w:rPr/>
        <w:t>、投资收益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420,499.07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10,855,321.29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6,612.17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11,282,432.53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69</w:t>
      </w:r>
      <w:r>
        <w:rPr/>
        <w:t>、营业外收入</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vMerge/>
            <w:tcBorders>
              <w:left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28,992.58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182,797.12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28,992.58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28,992.58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182,797.12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28,992.58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13,738,372.10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8,999,685.88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13,738,372.10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30,841,086.76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45,236,532.78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99,245.75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476,654.20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99,245.75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44,707,697.19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54,895,669.98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13,866,610.43</w:t>
            </w:r>
          </w:p>
        </w:tc>
      </w:tr>
    </w:tbl>
    <w:p>
      <w:pPr>
        <w:pStyle w:val="BodyText"/>
        <w:spacing w:line="240" w:lineRule="auto" w:before="51"/>
        <w:ind w:right="0"/>
        <w:jc w:val="left"/>
      </w:pPr>
      <w:r>
        <w:rPr/>
        <w:t>计入当期损益的政府补助：</w:t>
      </w:r>
    </w:p>
    <w:p>
      <w:pPr>
        <w:pStyle w:val="BodyText"/>
        <w:spacing w:line="240" w:lineRule="auto" w:before="117"/>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基于传感网和</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技术的农 产品质量追溯系统研发及产 业化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391,061.25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年度电子信息产业发展 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1,252,519.09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w:t>
            </w:r>
            <w:r>
              <w:rPr>
                <w:rFonts w:ascii="宋体" w:hAnsi="宋体" w:cs="宋体" w:eastAsia="宋体" w:hint="default"/>
                <w:sz w:val="18"/>
                <w:szCs w:val="18"/>
              </w:rPr>
              <w:t>/</w:t>
            </w:r>
            <w:r>
              <w:rPr>
                <w:rFonts w:ascii="宋体" w:hAnsi="宋体" w:cs="宋体" w:eastAsia="宋体" w:hint="default"/>
                <w:sz w:val="18"/>
                <w:szCs w:val="18"/>
              </w:rPr>
              <w:t>收益相关</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云计算流量分析控制北京市 工程实验室创新能力建设项 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4,224,333.33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4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信息系统（政务、医疗）运行 维护支持系统研发及产业化 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4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促进重点创新型企业发展专 项资金项目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543,345.83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东华</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服务智能管理系统深 入研发项目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年北京市高新技术成果 转化项目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年企业研发投入补贴款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年重点培育企业奖资金 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中关村科技园产业发展专项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703,320.00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年度特色产业中小企业 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年度软件企业税收返还</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（区级配套资金）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319,600.00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年应用技术研究与开发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年文化强省建设专项资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中关村科技园区小企业创新 支持资金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财源建设配套资金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729,289.00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招收毕业生补助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毕业生就业见习市级补助资 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促进现代服务业发展奖励专 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2,010,000.00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联银通多渠道信息接入平台 升级项目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455,839.66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科技型中小企业技术创新基 金无偿资助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东方易维运营型轻量级企业 服务总线（</w:t>
            </w:r>
            <w:r>
              <w:rPr>
                <w:rFonts w:ascii="宋体" w:hAnsi="宋体" w:cs="宋体" w:eastAsia="宋体" w:hint="default"/>
                <w:sz w:val="18"/>
                <w:szCs w:val="18"/>
              </w:rPr>
              <w:t>ESB</w:t>
            </w:r>
            <w:r>
              <w:rPr>
                <w:rFonts w:ascii="宋体" w:hAnsi="宋体" w:cs="宋体" w:eastAsia="宋体" w:hint="default"/>
                <w:sz w:val="18"/>
                <w:szCs w:val="18"/>
              </w:rPr>
              <w:t>）中间件项目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西安高新区促进软件及服务 外包产业发展扶持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884,192.60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881,286.85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信息系统（政务、医疗）运行 维护支持系统研发及产业化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2,820,370.37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促进重点创新型企业发展专 项资金项目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1,420,000.00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13,738,372.10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8,999,685.88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宋体" w:hAnsi="宋体" w:cs="宋体" w:eastAsia="宋体" w:hint="default"/>
        </w:rPr>
        <w:t>70</w:t>
      </w:r>
      <w:r>
        <w:rPr/>
        <w:t>、营业外支出</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vMerge/>
            <w:tcBorders>
              <w:left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77,259.42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77,259.42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312.90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116,688.36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15,981.00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116,688.36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900,298.37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900,298.37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1,197,299.63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193,240.42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1,197,299.63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71</w:t>
      </w:r>
      <w:r>
        <w:rPr/>
        <w:t>、所得税费用</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）所得税费用表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92,924,960.89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84,958,298.14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-6,706,034.86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-2,054,490.93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86,218,926.03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82,903,807.21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1,124,838,425.36</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112,483,842.54</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1,107,245.68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-1,670,346.60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-2,473,857.76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2,579,731.57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-537,365.13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13,916,144.83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技术开发费及残疾人工资加计扣除的影响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-24,949,969.83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-14,179,434.13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宋体" w:hAnsi="宋体" w:cs="宋体" w:eastAsia="宋体" w:hint="default"/>
                <w:sz w:val="18"/>
                <w:szCs w:val="18"/>
              </w:rPr>
              <w:t>/</w:t>
            </w:r>
            <w:r>
              <w:rPr>
                <w:rFonts w:ascii="宋体" w:hAnsi="宋体" w:cs="宋体" w:eastAsia="宋体" w:hint="default"/>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57,065.15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86,218,926.03</w:t>
            </w:r>
          </w:p>
        </w:tc>
      </w:tr>
    </w:tbl>
    <w:p>
      <w:pPr>
        <w:spacing w:line="240" w:lineRule="auto" w:before="2"/>
        <w:rPr>
          <w:rFonts w:ascii="宋体" w:hAnsi="宋体" w:cs="宋体" w:eastAsia="宋体" w:hint="default"/>
          <w:sz w:val="19"/>
          <w:szCs w:val="19"/>
        </w:rPr>
      </w:pPr>
    </w:p>
    <w:p>
      <w:pPr>
        <w:spacing w:line="578" w:lineRule="auto" w:before="35"/>
        <w:ind w:left="154" w:right="7252"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pacing w:val="-12"/>
          <w:sz w:val="18"/>
          <w:szCs w:val="18"/>
        </w:rPr>
        <w:t>详见审计报告附注六、（三十）。</w:t>
      </w:r>
      <w:r>
        <w:rPr>
          <w:rFonts w:ascii="宋体" w:hAnsi="宋体" w:cs="宋体" w:eastAsia="宋体" w:hint="default"/>
          <w:sz w:val="18"/>
          <w:szCs w:val="18"/>
        </w:rPr>
        <w:t> </w:t>
      </w:r>
      <w:r>
        <w:rPr>
          <w:rFonts w:ascii="宋体" w:hAnsi="宋体" w:cs="宋体" w:eastAsia="宋体"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42"/>
        <w:ind w:right="0"/>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12,627,484.98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2,311,414.05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33,049,612.60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21,443,475.85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89,168,803.50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144,183,731.05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193,578.78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214,152.95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538,088.83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11,750,553.45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146,990,033.31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168,690,862.73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技术服务成本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26,149,807.49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42,556,262.16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88,008,568.35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112,840,306.69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110,605,733.10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103,395,700.94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1,555,036.68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2,051,787.37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212,886,891.74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116,021,412.54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154,752.80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739,288.82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11,750,553.45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296,927.72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115,981.00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447,657,717.88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389,471,292.97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发行可转换公司债券承销费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定向增发费用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23,600,000.00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74</w:t>
      </w:r>
      <w:r>
        <w:rPr/>
        <w:t>、现金流量表补充资料</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1,038,619,499.33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770,837,062.37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39,233,784.55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39,036,337.11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106,900,082.84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57,201,937.99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24,505,930.08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5,553,847.41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1,096,563.70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1,001,250.67</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90.160004pt;margin-top:108.179985pt;width:185.55pt;height:19.650pt;mso-position-horizontal-relative:page;mso-position-vertical-relative:page;z-index:-903448"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1275"/>
        <w:gridCol w:w="1782"/>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-28,992.58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-105,537.70</w:t>
            </w:r>
          </w:p>
        </w:tc>
      </w:tr>
      <w:tr>
        <w:trPr>
          <w:trHeight w:val="402" w:hRule="exact"/>
        </w:trPr>
        <w:tc>
          <w:tcPr>
            <w:tcW w:w="3328"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w:t>
            </w:r>
          </w:p>
        </w:tc>
        <w:tc>
          <w:tcPr>
            <w:tcW w:w="1275" w:type="dxa"/>
            <w:tcBorders>
              <w:top w:val="single" w:sz="4" w:space="0" w:color="000000"/>
              <w:left w:val="single" w:sz="9" w:space="0" w:color="FFFFFF"/>
              <w:bottom w:val="single" w:sz="4" w:space="0" w:color="000000"/>
              <w:right w:val="nil" w:sz="6" w:space="0" w:color="auto"/>
            </w:tcBorders>
          </w:tcPr>
          <w:p>
            <w:pPr/>
          </w:p>
        </w:tc>
        <w:tc>
          <w:tcPr>
            <w:tcW w:w="1782"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312.90</w:t>
            </w:r>
          </w:p>
        </w:tc>
        <w:tc>
          <w:tcPr>
            <w:tcW w:w="3184" w:type="dxa"/>
            <w:tcBorders>
              <w:top w:val="single" w:sz="4" w:space="0" w:color="000000"/>
              <w:left w:val="single" w:sz="9" w:space="0" w:color="FFFFFF"/>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18,615,580.33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38,325,432.56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-11,282,432.53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42" w:right="0"/>
              <w:jc w:val="left"/>
              <w:rPr>
                <w:rFonts w:ascii="宋体" w:hAnsi="宋体" w:cs="宋体" w:eastAsia="宋体" w:hint="default"/>
                <w:sz w:val="18"/>
                <w:szCs w:val="18"/>
              </w:rPr>
            </w:pPr>
            <w:r>
              <w:rPr>
                <w:rFonts w:ascii="宋体"/>
                <w:sz w:val="18"/>
              </w:rPr>
              <w:t>-6,004,582.16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-2,054,490.93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2" w:right="0"/>
              <w:jc w:val="left"/>
              <w:rPr>
                <w:rFonts w:ascii="宋体" w:hAnsi="宋体" w:cs="宋体" w:eastAsia="宋体" w:hint="default"/>
                <w:sz w:val="18"/>
                <w:szCs w:val="18"/>
              </w:rPr>
            </w:pPr>
            <w:r>
              <w:rPr>
                <w:rFonts w:ascii="宋体"/>
                <w:sz w:val="18"/>
              </w:rPr>
              <w:t>-701,452.70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54" w:right="0"/>
              <w:jc w:val="left"/>
              <w:rPr>
                <w:rFonts w:ascii="宋体" w:hAnsi="宋体" w:cs="宋体" w:eastAsia="宋体" w:hint="default"/>
                <w:sz w:val="18"/>
                <w:szCs w:val="18"/>
              </w:rPr>
            </w:pPr>
            <w:r>
              <w:rPr>
                <w:rFonts w:ascii="宋体"/>
                <w:sz w:val="18"/>
              </w:rPr>
              <w:t>87,416,829.66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79,135,549.16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82" w:right="0"/>
              <w:jc w:val="left"/>
              <w:rPr>
                <w:rFonts w:ascii="宋体" w:hAnsi="宋体" w:cs="宋体" w:eastAsia="宋体" w:hint="default"/>
                <w:sz w:val="18"/>
                <w:szCs w:val="18"/>
              </w:rPr>
            </w:pPr>
            <w:r>
              <w:rPr>
                <w:rFonts w:ascii="宋体"/>
                <w:sz w:val="18"/>
              </w:rPr>
              <w:t>-1,177,642,508.04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-894,412,517.32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2" w:right="0"/>
              <w:jc w:val="left"/>
              <w:rPr>
                <w:rFonts w:ascii="宋体" w:hAnsi="宋体" w:cs="宋体" w:eastAsia="宋体" w:hint="default"/>
                <w:sz w:val="18"/>
                <w:szCs w:val="18"/>
              </w:rPr>
            </w:pPr>
            <w:r>
              <w:rPr>
                <w:rFonts w:ascii="宋体"/>
                <w:sz w:val="18"/>
              </w:rPr>
              <w:t>-145,077,919.38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189,091,267.00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4" w:right="0"/>
              <w:jc w:val="left"/>
              <w:rPr>
                <w:rFonts w:ascii="宋体" w:hAnsi="宋体" w:cs="宋体" w:eastAsia="宋体" w:hint="default"/>
                <w:sz w:val="18"/>
                <w:szCs w:val="18"/>
              </w:rPr>
            </w:pPr>
            <w:r>
              <w:rPr>
                <w:rFonts w:ascii="宋体"/>
                <w:sz w:val="18"/>
              </w:rPr>
              <w:t>9,205,229.88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17,726,274.73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4" w:right="0"/>
              <w:jc w:val="left"/>
              <w:rPr>
                <w:rFonts w:ascii="宋体" w:hAnsi="宋体" w:cs="宋体" w:eastAsia="宋体" w:hint="default"/>
                <w:sz w:val="18"/>
                <w:szCs w:val="18"/>
              </w:rPr>
            </w:pPr>
            <w:r>
              <w:rPr>
                <w:rFonts w:ascii="宋体"/>
                <w:sz w:val="18"/>
              </w:rPr>
              <w:t>-15,144,074.12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301,336,413.05</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 动：</w:t>
            </w:r>
          </w:p>
        </w:tc>
        <w:tc>
          <w:tcPr>
            <w:tcW w:w="30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28" w:type="dxa"/>
            <w:vMerge/>
            <w:tcBorders>
              <w:left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6" w:right="0"/>
              <w:jc w:val="left"/>
              <w:rPr>
                <w:rFonts w:ascii="宋体" w:hAnsi="宋体" w:cs="宋体" w:eastAsia="宋体" w:hint="default"/>
                <w:sz w:val="18"/>
                <w:szCs w:val="18"/>
              </w:rPr>
            </w:pPr>
            <w:r>
              <w:rPr>
                <w:rFonts w:ascii="宋体"/>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4" w:right="0"/>
              <w:jc w:val="left"/>
              <w:rPr>
                <w:rFonts w:ascii="宋体" w:hAnsi="宋体" w:cs="宋体" w:eastAsia="宋体" w:hint="default"/>
                <w:sz w:val="18"/>
                <w:szCs w:val="18"/>
              </w:rPr>
            </w:pPr>
            <w:r>
              <w:rPr>
                <w:rFonts w:ascii="宋体"/>
                <w:sz w:val="18"/>
              </w:rPr>
              <w:t>1,087,721,047.23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1,289,111,539.44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4" w:right="0"/>
              <w:jc w:val="left"/>
              <w:rPr>
                <w:rFonts w:ascii="宋体" w:hAnsi="宋体" w:cs="宋体" w:eastAsia="宋体" w:hint="default"/>
                <w:sz w:val="18"/>
                <w:szCs w:val="18"/>
              </w:rPr>
            </w:pPr>
            <w:r>
              <w:rPr>
                <w:rFonts w:ascii="宋体"/>
                <w:sz w:val="18"/>
              </w:rPr>
              <w:t>1,289,111,539.44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475,473,637.95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74" w:right="0"/>
              <w:jc w:val="left"/>
              <w:rPr>
                <w:rFonts w:ascii="宋体" w:hAnsi="宋体" w:cs="宋体" w:eastAsia="宋体" w:hint="default"/>
                <w:sz w:val="18"/>
                <w:szCs w:val="18"/>
              </w:rPr>
            </w:pPr>
            <w:r>
              <w:rPr>
                <w:rFonts w:ascii="宋体"/>
                <w:sz w:val="18"/>
              </w:rPr>
              <w:t>-201,390,492.21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813,637,901.49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174,900,000.00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174,900,000.00</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17,099,829.87</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17,099,829.87</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157,800,170.13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宋体" w:hAnsi="宋体" w:cs="宋体" w:eastAsia="宋体" w:hint="default"/>
        </w:rPr>
        <w:t>3</w:t>
      </w:r>
      <w:r>
        <w:rPr/>
        <w:t>）本期收到的处置子公司的现金净额</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）现金和现金等价物的构成</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1,087,721,047.23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1,289,111,539.44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1,368,704.77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2,132,008.65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1,086,030,097.79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1,184,605,357.61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322,244.67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102,374,173.18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1,087,721,047.23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1,289,111,539.44</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0" w:firstLine="420"/>
        <w:jc w:val="left"/>
      </w:pPr>
      <w:r>
        <w:rPr/>
        <w:t>现金流量表中现金的期初、期末余额以本公司货币资金减去其他货币资金中不可以随时用于支付的银行承兑汇票保证 金、保函保证金列示：</w:t>
      </w:r>
    </w:p>
    <w:p>
      <w:pPr>
        <w:spacing w:line="240" w:lineRule="auto" w:before="12"/>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3262"/>
        <w:gridCol w:w="3118"/>
        <w:gridCol w:w="3119"/>
      </w:tblGrid>
      <w:tr>
        <w:trPr>
          <w:trHeight w:val="338" w:hRule="exact"/>
        </w:trPr>
        <w:tc>
          <w:tcPr>
            <w:tcW w:w="32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19"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货币资金余额</w:t>
            </w:r>
          </w:p>
        </w:tc>
        <w:tc>
          <w:tcPr>
            <w:tcW w:w="31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1,096,415,088.85</w:t>
            </w:r>
          </w:p>
        </w:tc>
        <w:tc>
          <w:tcPr>
            <w:tcW w:w="31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1,301,601,381.71</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减：保证金</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8,694,041.62</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12,489,842.27</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现金流量中列示的现金</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1,087,721,047.23</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1,289,111,539.44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75</w:t>
      </w:r>
      <w:r>
        <w:rPr/>
        <w:t>、所有者权益变动表项目注释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76</w:t>
      </w:r>
      <w:r>
        <w:rPr/>
        <w:t>、所有权或使用权受到限制的资产</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8,694,041.62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见审计报告附注六</w:t>
            </w:r>
            <w:r>
              <w:rPr>
                <w:rFonts w:ascii="宋体" w:hAnsi="宋体" w:cs="宋体" w:eastAsia="宋体" w:hint="default"/>
                <w:spacing w:val="-90"/>
                <w:sz w:val="18"/>
                <w:szCs w:val="18"/>
              </w:rPr>
              <w:t>、</w:t>
            </w:r>
            <w:r>
              <w:rPr>
                <w:rFonts w:ascii="宋体" w:hAnsi="宋体" w:cs="宋体" w:eastAsia="宋体" w:hint="default"/>
                <w:sz w:val="18"/>
                <w:szCs w:val="18"/>
              </w:rPr>
              <w:t>（一）</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10,517,385.00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见审计报告附注六</w:t>
            </w:r>
            <w:r>
              <w:rPr>
                <w:rFonts w:ascii="宋体" w:hAnsi="宋体" w:cs="宋体" w:eastAsia="宋体" w:hint="default"/>
                <w:spacing w:val="-90"/>
                <w:sz w:val="18"/>
                <w:szCs w:val="18"/>
              </w:rPr>
              <w:t>、</w:t>
            </w:r>
            <w:r>
              <w:rPr>
                <w:rFonts w:ascii="宋体" w:hAnsi="宋体" w:cs="宋体" w:eastAsia="宋体" w:hint="default"/>
                <w:sz w:val="18"/>
                <w:szCs w:val="18"/>
              </w:rPr>
              <w:t>（十七）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19,211,426.62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77</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）外币货币性项目</w:t>
      </w:r>
      <w:r>
        <w:rPr>
          <w:b w:val="0"/>
          <w:bCs w:val="0"/>
        </w:rPr>
      </w:r>
    </w:p>
    <w:p>
      <w:pPr>
        <w:spacing w:line="240" w:lineRule="auto" w:before="6"/>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3,750,152.93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563,013.93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3,445,082.24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14,435.76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11,387.94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246,819.60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4.6396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41,515.14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5,348.01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2,249.41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2,249.41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1,090,046.86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178,141.34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1,090,046.86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145,700.27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184,694.91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0.78887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145,700.27</w:t>
            </w:r>
          </w:p>
        </w:tc>
      </w:tr>
    </w:tbl>
    <w:p>
      <w:pPr>
        <w:spacing w:line="240" w:lineRule="auto" w:before="2"/>
        <w:rPr>
          <w:rFonts w:ascii="宋体" w:hAnsi="宋体" w:cs="宋体" w:eastAsia="宋体" w:hint="default"/>
          <w:sz w:val="19"/>
          <w:szCs w:val="19"/>
        </w:rPr>
      </w:pPr>
    </w:p>
    <w:p>
      <w:pPr>
        <w:pStyle w:val="Heading3"/>
        <w:spacing w:line="273" w:lineRule="auto" w:before="35"/>
        <w:ind w:right="0"/>
        <w:jc w:val="left"/>
        <w:rPr>
          <w:b w:val="0"/>
          <w:bCs w:val="0"/>
        </w:rPr>
      </w:pPr>
      <w:r>
        <w:rPr/>
        <w:t>（</w:t>
      </w:r>
      <w:r>
        <w:rPr>
          <w:rFonts w:ascii="宋体" w:hAnsi="宋体" w:cs="宋体" w:eastAsia="宋体"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8"/>
        <w:rPr>
          <w:rFonts w:ascii="宋体" w:hAnsi="宋体" w:cs="宋体" w:eastAsia="宋体" w:hint="default"/>
          <w:b/>
          <w:bCs/>
          <w:sz w:val="25"/>
          <w:szCs w:val="25"/>
        </w:rPr>
      </w:pPr>
    </w:p>
    <w:p>
      <w:pPr>
        <w:pStyle w:val="BodyText"/>
        <w:spacing w:line="240" w:lineRule="auto"/>
        <w:ind w:right="0"/>
        <w:jc w:val="left"/>
      </w:pPr>
      <w:r>
        <w:rPr/>
        <w:t>√ 适用 □ 不适用</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公司的境外子公司</w:t>
      </w:r>
      <w:r>
        <w:rPr>
          <w:rFonts w:ascii="宋体" w:hAnsi="宋体" w:cs="宋体" w:eastAsia="宋体" w:hint="default"/>
        </w:rPr>
        <w:t>-</w:t>
      </w:r>
      <w:r>
        <w:rPr/>
        <w:t>北京东华合创香港有限公司，主要经营地香港，记账本位币港币。</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78</w:t>
      </w:r>
      <w:r>
        <w:rPr/>
        <w:t>、套期</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spacing w:line="501" w:lineRule="auto" w:before="0"/>
        <w:ind w:left="154" w:right="7347" w:firstLine="0"/>
        <w:jc w:val="left"/>
        <w:rPr>
          <w:rFonts w:ascii="宋体" w:hAnsi="宋体" w:cs="宋体" w:eastAsia="宋体" w:hint="default"/>
          <w:sz w:val="21"/>
          <w:szCs w:val="21"/>
        </w:rPr>
      </w:pPr>
      <w:r>
        <w:rPr>
          <w:rFonts w:ascii="宋体" w:hAnsi="宋体" w:cs="宋体" w:eastAsia="宋体"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109"/>
        <w:ind w:right="0"/>
        <w:jc w:val="left"/>
        <w:rPr>
          <w:b w:val="0"/>
          <w:bCs w:val="0"/>
        </w:rPr>
      </w:pPr>
      <w:r>
        <w:rPr/>
        <w:t>（</w:t>
      </w:r>
      <w:r>
        <w:rPr>
          <w:rFonts w:ascii="宋体" w:hAnsi="宋体" w:cs="宋体" w:eastAsia="宋体" w:hint="default"/>
        </w:rPr>
        <w:t>1</w:t>
      </w:r>
      <w:r>
        <w:rPr/>
        <w:t>）本期发生的非同一控制下企业合并</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922"/>
        <w:gridCol w:w="1417"/>
        <w:gridCol w:w="854"/>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75" w:right="95"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1" w:right="60"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北京威锐达 测控系统有</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sz w:val="18"/>
              </w:rPr>
              <w:t>583,000,000.00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发行股份及 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07</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104,177,239</w:t>
            </w:r>
          </w:p>
          <w:p>
            <w:pPr>
              <w:pStyle w:val="TableParagraph"/>
              <w:spacing w:line="240" w:lineRule="auto" w:before="76"/>
              <w:ind w:right="23"/>
              <w:jc w:val="right"/>
              <w:rPr>
                <w:rFonts w:ascii="宋体" w:hAnsi="宋体" w:cs="宋体" w:eastAsia="宋体" w:hint="default"/>
                <w:sz w:val="18"/>
                <w:szCs w:val="18"/>
              </w:rPr>
            </w:pPr>
            <w:r>
              <w:rPr>
                <w:rFonts w:ascii="宋体"/>
                <w:sz w:val="18"/>
              </w:rPr>
              <w:t>.68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57,558,672.</w:t>
            </w:r>
          </w:p>
          <w:p>
            <w:pPr>
              <w:pStyle w:val="TableParagraph"/>
              <w:spacing w:line="240" w:lineRule="auto" w:before="76"/>
              <w:ind w:right="23"/>
              <w:jc w:val="right"/>
              <w:rPr>
                <w:rFonts w:ascii="宋体" w:hAnsi="宋体" w:cs="宋体" w:eastAsia="宋体" w:hint="default"/>
                <w:sz w:val="18"/>
                <w:szCs w:val="18"/>
              </w:rPr>
            </w:pPr>
            <w:r>
              <w:rPr>
                <w:rFonts w:ascii="宋体"/>
                <w:sz w:val="18"/>
              </w:rPr>
              <w:t>23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922"/>
        <w:gridCol w:w="1417"/>
        <w:gridCol w:w="854"/>
        <w:gridCol w:w="1064"/>
        <w:gridCol w:w="1063"/>
        <w:gridCol w:w="1062"/>
        <w:gridCol w:w="1062"/>
        <w:gridCol w:w="1062"/>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12"/>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5901"/>
        <w:gridCol w:w="3740"/>
      </w:tblGrid>
      <w:tr>
        <w:trPr>
          <w:trHeight w:val="352" w:hRule="exact"/>
        </w:trPr>
        <w:tc>
          <w:tcPr>
            <w:tcW w:w="590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74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688"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r>
      <w:tr>
        <w:trPr>
          <w:trHeight w:val="353"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现金</w:t>
            </w:r>
          </w:p>
        </w:tc>
        <w:tc>
          <w:tcPr>
            <w:tcW w:w="3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174,900,000.00</w:t>
            </w:r>
          </w:p>
        </w:tc>
      </w:tr>
      <w:tr>
        <w:trPr>
          <w:trHeight w:val="352"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非现金资产的公允价值</w:t>
            </w:r>
          </w:p>
        </w:tc>
        <w:tc>
          <w:tcPr>
            <w:tcW w:w="3740"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发行或承担的债务的公允价值</w:t>
            </w:r>
          </w:p>
        </w:tc>
        <w:tc>
          <w:tcPr>
            <w:tcW w:w="3740"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发行的权益性证券的公允价值</w:t>
            </w:r>
          </w:p>
        </w:tc>
        <w:tc>
          <w:tcPr>
            <w:tcW w:w="3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408,100,000.00</w:t>
            </w:r>
          </w:p>
        </w:tc>
      </w:tr>
      <w:tr>
        <w:trPr>
          <w:trHeight w:val="352"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或有对价的公允价值</w:t>
            </w:r>
          </w:p>
        </w:tc>
        <w:tc>
          <w:tcPr>
            <w:tcW w:w="3740"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购买日之前持有的股权于购买日的公允价值</w:t>
            </w:r>
          </w:p>
        </w:tc>
        <w:tc>
          <w:tcPr>
            <w:tcW w:w="3740"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3740"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583,000,000.00</w:t>
            </w:r>
          </w:p>
        </w:tc>
      </w:tr>
      <w:tr>
        <w:trPr>
          <w:trHeight w:val="352"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113,660,404.14</w:t>
            </w:r>
          </w:p>
        </w:tc>
      </w:tr>
      <w:tr>
        <w:trPr>
          <w:trHeight w:val="353" w:hRule="exact"/>
        </w:trPr>
        <w:tc>
          <w:tcPr>
            <w:tcW w:w="5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w:t>
            </w:r>
            <w:r>
              <w:rPr>
                <w:rFonts w:ascii="宋体" w:hAnsi="宋体" w:cs="宋体" w:eastAsia="宋体" w:hint="default"/>
                <w:sz w:val="18"/>
                <w:szCs w:val="18"/>
              </w:rPr>
              <w:t>合并成本小于取得的可辨认净资产公允价值份额的金额</w:t>
            </w:r>
          </w:p>
        </w:tc>
        <w:tc>
          <w:tcPr>
            <w:tcW w:w="3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469,339,595.86</w:t>
            </w:r>
          </w:p>
        </w:tc>
      </w:tr>
    </w:tbl>
    <w:p>
      <w:pPr>
        <w:pStyle w:val="BodyText"/>
        <w:spacing w:line="240" w:lineRule="auto" w:before="51"/>
        <w:ind w:right="0"/>
        <w:jc w:val="left"/>
      </w:pPr>
      <w:r>
        <w:rPr/>
        <w:t>合并成本公允价值的确定方法、或有对价及其变动的说明：</w:t>
      </w:r>
    </w:p>
    <w:p>
      <w:pPr>
        <w:spacing w:line="240" w:lineRule="auto" w:before="0"/>
        <w:rPr>
          <w:rFonts w:ascii="宋体" w:hAnsi="宋体" w:cs="宋体" w:eastAsia="宋体" w:hint="default"/>
          <w:sz w:val="15"/>
          <w:szCs w:val="15"/>
        </w:rPr>
      </w:pPr>
    </w:p>
    <w:p>
      <w:pPr>
        <w:pStyle w:val="BodyText"/>
        <w:spacing w:line="316" w:lineRule="auto"/>
        <w:ind w:right="150" w:firstLine="420"/>
        <w:jc w:val="both"/>
      </w:pPr>
      <w:r>
        <w:rPr/>
        <w:t>本公司以发行股份及支付现金为对价，合并成本的公允价值为</w:t>
      </w:r>
      <w:r>
        <w:rPr>
          <w:rFonts w:ascii="宋体" w:hAnsi="宋体" w:cs="宋体" w:eastAsia="宋体" w:hint="default"/>
        </w:rPr>
        <w:t>583,000,000.00</w:t>
      </w:r>
      <w:r>
        <w:rPr/>
        <w:t>元，在合并中取得北京威锐达测控系统 </w:t>
      </w:r>
      <w:r>
        <w:rPr>
          <w:spacing w:val="-2"/>
        </w:rPr>
        <w:t>有限公司</w:t>
      </w:r>
      <w:r>
        <w:rPr>
          <w:rFonts w:ascii="宋体" w:hAnsi="宋体" w:cs="宋体" w:eastAsia="宋体" w:hint="default"/>
          <w:spacing w:val="-2"/>
        </w:rPr>
        <w:t>100%</w:t>
      </w:r>
      <w:r>
        <w:rPr>
          <w:spacing w:val="-2"/>
        </w:rPr>
        <w:t>的权益，北京威锐达测控系统有限公司可辨认净资产在购买日的公允价值为人民币</w:t>
      </w:r>
      <w:r>
        <w:rPr>
          <w:rFonts w:ascii="宋体" w:hAnsi="宋体" w:cs="宋体" w:eastAsia="宋体" w:hint="default"/>
          <w:spacing w:val="-2"/>
        </w:rPr>
        <w:t>113,660,404.14</w:t>
      </w:r>
      <w:r>
        <w:rPr>
          <w:spacing w:val="-2"/>
        </w:rPr>
        <w:t>元，其中归</w:t>
      </w:r>
      <w:r>
        <w:rPr>
          <w:spacing w:val="-46"/>
        </w:rPr>
        <w:t> </w:t>
      </w:r>
      <w:r>
        <w:rPr>
          <w:spacing w:val="-46"/>
        </w:rPr>
      </w:r>
      <w:r>
        <w:rPr/>
        <w:t>本公司享有的份额为人民币</w:t>
      </w:r>
      <w:r>
        <w:rPr>
          <w:rFonts w:ascii="宋体" w:hAnsi="宋体" w:cs="宋体" w:eastAsia="宋体" w:hint="default"/>
        </w:rPr>
        <w:t>113,660,404.14</w:t>
      </w:r>
      <w:r>
        <w:rPr/>
        <w:t>元，两者的差额</w:t>
      </w:r>
      <w:r>
        <w:rPr>
          <w:rFonts w:ascii="宋体" w:hAnsi="宋体" w:cs="宋体" w:eastAsia="宋体" w:hint="default"/>
        </w:rPr>
        <w:t>469,339,595.86</w:t>
      </w:r>
      <w:r>
        <w:rPr/>
        <w:t>元确认为商誉。</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3</w:t>
      </w:r>
      <w:r>
        <w:rPr/>
        <w:t>）被购买方于购买日可辨认资产、负债</w:t>
      </w:r>
      <w:r>
        <w:rPr>
          <w:b w:val="0"/>
          <w:bCs w:val="0"/>
        </w:rPr>
      </w:r>
    </w:p>
    <w:p>
      <w:pPr>
        <w:spacing w:line="240" w:lineRule="auto" w:before="4"/>
        <w:rPr>
          <w:rFonts w:ascii="宋体" w:hAnsi="宋体" w:cs="宋体" w:eastAsia="宋体" w:hint="default"/>
          <w:b/>
          <w:bCs/>
          <w:sz w:val="27"/>
          <w:szCs w:val="27"/>
        </w:rPr>
      </w:pPr>
    </w:p>
    <w:tbl>
      <w:tblPr>
        <w:tblW w:w="0" w:type="auto"/>
        <w:jc w:val="left"/>
        <w:tblInd w:w="144" w:type="dxa"/>
        <w:tblLayout w:type="fixed"/>
        <w:tblCellMar>
          <w:top w:w="0" w:type="dxa"/>
          <w:left w:w="0" w:type="dxa"/>
          <w:bottom w:w="0" w:type="dxa"/>
          <w:right w:w="0" w:type="dxa"/>
        </w:tblCellMar>
        <w:tblLook w:val="01E0"/>
      </w:tblPr>
      <w:tblGrid>
        <w:gridCol w:w="2141"/>
        <w:gridCol w:w="3228"/>
        <w:gridCol w:w="4271"/>
      </w:tblGrid>
      <w:tr>
        <w:trPr>
          <w:trHeight w:val="346" w:hRule="exact"/>
        </w:trPr>
        <w:tc>
          <w:tcPr>
            <w:tcW w:w="2141" w:type="dxa"/>
            <w:vMerge w:val="restart"/>
            <w:tcBorders>
              <w:top w:val="single" w:sz="8" w:space="0" w:color="000000"/>
              <w:left w:val="single" w:sz="8" w:space="0" w:color="000000"/>
              <w:right w:val="single" w:sz="8" w:space="0" w:color="000000"/>
            </w:tcBorders>
            <w:shd w:val="clear" w:color="auto" w:fill="BEBEB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00" w:type="dxa"/>
            <w:gridSpan w:val="2"/>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北京威锐达测控系统有限公司</w:t>
            </w:r>
          </w:p>
        </w:tc>
      </w:tr>
      <w:tr>
        <w:trPr>
          <w:trHeight w:val="352" w:hRule="exact"/>
        </w:trPr>
        <w:tc>
          <w:tcPr>
            <w:tcW w:w="2141" w:type="dxa"/>
            <w:vMerge/>
            <w:tcBorders>
              <w:left w:val="single" w:sz="8" w:space="0" w:color="000000"/>
              <w:bottom w:val="single" w:sz="8" w:space="0" w:color="000000"/>
              <w:right w:val="single" w:sz="8" w:space="0" w:color="000000"/>
            </w:tcBorders>
            <w:shd w:val="clear" w:color="auto" w:fill="BEBEBE"/>
          </w:tcPr>
          <w:p>
            <w:pPr/>
          </w:p>
        </w:tc>
        <w:tc>
          <w:tcPr>
            <w:tcW w:w="322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974"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427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28" w:type="dxa"/>
            <w:tcBorders>
              <w:top w:val="single" w:sz="12" w:space="0" w:color="000000"/>
              <w:left w:val="single" w:sz="8" w:space="0" w:color="000000"/>
              <w:bottom w:val="single" w:sz="8" w:space="0" w:color="000000"/>
              <w:right w:val="single" w:sz="8" w:space="0" w:color="000000"/>
            </w:tcBorders>
          </w:tcPr>
          <w:p>
            <w:pPr/>
          </w:p>
        </w:tc>
        <w:tc>
          <w:tcPr>
            <w:tcW w:w="4271" w:type="dxa"/>
            <w:tcBorders>
              <w:top w:val="single" w:sz="12" w:space="0" w:color="000000"/>
              <w:left w:val="single" w:sz="8" w:space="0" w:color="000000"/>
              <w:bottom w:val="single" w:sz="8" w:space="0" w:color="000000"/>
              <w:right w:val="single" w:sz="8" w:space="0" w:color="000000"/>
            </w:tcBorders>
          </w:tcPr>
          <w:p>
            <w:pP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17,099,829.87</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17,099,829.87</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45,042,659.07</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45,042,659.07</w:t>
            </w: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16,501,866.43</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16,501,866.43</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1,097,932.65</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1,097,932.65</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1,765,748.44</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1,765,748.44</w:t>
            </w: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48,492,105.00</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1,728,591.55</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263,614.74</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263,614.74</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269,354.39</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269,354.39</w:t>
            </w: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2,537,776.47</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2,537,776.47</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w w:val="200"/>
                <w:sz w:val="18"/>
                <w:szCs w:val="18"/>
              </w:rPr>
              <w:t>„</w:t>
            </w:r>
            <w:r>
              <w:rPr>
                <w:rFonts w:ascii="宋体" w:hAnsi="宋体" w:cs="宋体" w:eastAsia="宋体" w:hint="default"/>
                <w:sz w:val="18"/>
                <w:szCs w:val="18"/>
              </w:rPr>
            </w:r>
          </w:p>
        </w:tc>
        <w:tc>
          <w:tcPr>
            <w:tcW w:w="3228" w:type="dxa"/>
            <w:tcBorders>
              <w:top w:val="single" w:sz="8" w:space="0" w:color="000000"/>
              <w:left w:val="single" w:sz="8" w:space="0" w:color="000000"/>
              <w:bottom w:val="single" w:sz="8" w:space="0" w:color="000000"/>
              <w:right w:val="single" w:sz="8" w:space="0" w:color="000000"/>
            </w:tcBorders>
          </w:tcPr>
          <w:p>
            <w:pPr/>
          </w:p>
        </w:tc>
        <w:tc>
          <w:tcPr>
            <w:tcW w:w="4271"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28" w:type="dxa"/>
            <w:tcBorders>
              <w:top w:val="single" w:sz="8" w:space="0" w:color="000000"/>
              <w:left w:val="single" w:sz="8" w:space="0" w:color="000000"/>
              <w:bottom w:val="single" w:sz="8" w:space="0" w:color="000000"/>
              <w:right w:val="single" w:sz="8" w:space="0" w:color="000000"/>
            </w:tcBorders>
          </w:tcPr>
          <w:p>
            <w:pPr/>
          </w:p>
        </w:tc>
        <w:tc>
          <w:tcPr>
            <w:tcW w:w="4271"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28" w:type="dxa"/>
            <w:tcBorders>
              <w:top w:val="single" w:sz="8" w:space="0" w:color="000000"/>
              <w:left w:val="single" w:sz="8" w:space="0" w:color="000000"/>
              <w:bottom w:val="single" w:sz="8" w:space="0" w:color="000000"/>
              <w:right w:val="single" w:sz="8" w:space="0" w:color="000000"/>
            </w:tcBorders>
          </w:tcPr>
          <w:p>
            <w:pPr/>
          </w:p>
        </w:tc>
        <w:tc>
          <w:tcPr>
            <w:tcW w:w="4271"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8,973,154.86</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8,973,154.86</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374,094.92</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374,094.92</w:t>
            </w: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3,048,706.12</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3,048,706.12</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4" w:type="dxa"/>
        <w:tblLayout w:type="fixed"/>
        <w:tblCellMar>
          <w:top w:w="0" w:type="dxa"/>
          <w:left w:w="0" w:type="dxa"/>
          <w:bottom w:w="0" w:type="dxa"/>
          <w:right w:w="0" w:type="dxa"/>
        </w:tblCellMar>
        <w:tblLook w:val="01E0"/>
      </w:tblPr>
      <w:tblGrid>
        <w:gridCol w:w="2141"/>
        <w:gridCol w:w="3228"/>
        <w:gridCol w:w="4271"/>
      </w:tblGrid>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7,014,527.02</w:t>
            </w:r>
          </w:p>
        </w:tc>
        <w:tc>
          <w:tcPr>
            <w:tcW w:w="4271"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w w:val="200"/>
                <w:sz w:val="18"/>
                <w:szCs w:val="18"/>
              </w:rPr>
              <w:t>„</w:t>
            </w:r>
            <w:r>
              <w:rPr>
                <w:rFonts w:ascii="宋体" w:hAnsi="宋体" w:cs="宋体" w:eastAsia="宋体" w:hint="default"/>
                <w:sz w:val="18"/>
                <w:szCs w:val="18"/>
              </w:rPr>
            </w:r>
          </w:p>
        </w:tc>
        <w:tc>
          <w:tcPr>
            <w:tcW w:w="3228" w:type="dxa"/>
            <w:tcBorders>
              <w:top w:val="single" w:sz="8" w:space="0" w:color="000000"/>
              <w:left w:val="single" w:sz="8" w:space="0" w:color="000000"/>
              <w:bottom w:val="single" w:sz="8" w:space="0" w:color="000000"/>
              <w:right w:val="single" w:sz="8" w:space="0" w:color="000000"/>
            </w:tcBorders>
          </w:tcPr>
          <w:p>
            <w:pPr/>
          </w:p>
        </w:tc>
        <w:tc>
          <w:tcPr>
            <w:tcW w:w="4271"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113,660,404.14</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73,911,417.71</w:t>
            </w:r>
          </w:p>
        </w:tc>
      </w:tr>
      <w:tr>
        <w:trPr>
          <w:trHeight w:val="352"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28" w:type="dxa"/>
            <w:tcBorders>
              <w:top w:val="single" w:sz="8" w:space="0" w:color="000000"/>
              <w:left w:val="single" w:sz="8" w:space="0" w:color="000000"/>
              <w:bottom w:val="single" w:sz="8" w:space="0" w:color="000000"/>
              <w:right w:val="single" w:sz="8" w:space="0" w:color="000000"/>
            </w:tcBorders>
          </w:tcPr>
          <w:p>
            <w:pPr/>
          </w:p>
        </w:tc>
        <w:tc>
          <w:tcPr>
            <w:tcW w:w="4271"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14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113,660,404.14</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73,911,417.71</w:t>
            </w:r>
          </w:p>
        </w:tc>
      </w:tr>
    </w:tbl>
    <w:p>
      <w:pPr>
        <w:pStyle w:val="BodyText"/>
        <w:spacing w:line="439" w:lineRule="auto" w:before="51"/>
        <w:ind w:left="574" w:right="1612" w:hanging="420"/>
        <w:jc w:val="left"/>
      </w:pPr>
      <w:r>
        <w:rPr/>
        <w:t>可辨认资产、负债公允价值的确定方法： 可辨认资产、负债公允价值确定方法：根据评估机构对被购买方资产的评估价值进行调整后确定。</w:t>
      </w:r>
    </w:p>
    <w:p>
      <w:pPr>
        <w:pStyle w:val="BodyText"/>
        <w:spacing w:line="240" w:lineRule="auto" w:before="48"/>
        <w:ind w:right="0"/>
        <w:jc w:val="left"/>
      </w:pPr>
      <w:r>
        <w:rPr/>
        <w:t>企业合并中承担的被购买方的或有负债：无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5</w:t>
      </w:r>
      <w:r>
        <w:rPr/>
        <w:t>）购买日或合并当期期末无法合理确定合并对价或被购买方可辨认资产、负债公允价值的相关说明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535" w:lineRule="auto"/>
        <w:ind w:right="7558"/>
        <w:jc w:val="left"/>
        <w:rPr>
          <w:b w:val="0"/>
          <w:bCs w:val="0"/>
        </w:rPr>
      </w:pPr>
      <w:r>
        <w:rPr/>
        <w:t>（</w:t>
      </w:r>
      <w:r>
        <w:rPr>
          <w:rFonts w:ascii="宋体" w:hAnsi="宋体" w:cs="宋体" w:eastAsia="宋体" w:hint="default"/>
        </w:rPr>
        <w:t>6</w:t>
      </w:r>
      <w:r>
        <w:rPr/>
        <w:t>）其他说明</w:t>
      </w:r>
      <w:r>
        <w:rPr>
          <w:w w:val="99"/>
        </w:rPr>
        <w:t> </w:t>
      </w:r>
      <w:r>
        <w:rPr>
          <w:rFonts w:ascii="宋体" w:hAnsi="宋体" w:cs="宋体" w:eastAsia="宋体" w:hint="default"/>
        </w:rPr>
        <w:t>2</w:t>
      </w:r>
      <w:r>
        <w:rPr/>
        <w:t>、同一控制下企业合并</w:t>
      </w:r>
      <w:r>
        <w:rPr>
          <w:b w:val="0"/>
          <w:bCs w:val="0"/>
        </w:rPr>
      </w:r>
    </w:p>
    <w:p>
      <w:pPr>
        <w:pStyle w:val="Heading3"/>
        <w:spacing w:line="240" w:lineRule="auto" w:before="80"/>
        <w:ind w:right="0"/>
        <w:jc w:val="left"/>
        <w:rPr>
          <w:b w:val="0"/>
          <w:bCs w:val="0"/>
        </w:rPr>
      </w:pPr>
      <w:r>
        <w:rPr/>
        <w:t>（</w:t>
      </w:r>
      <w:r>
        <w:rPr>
          <w:rFonts w:ascii="宋体" w:hAnsi="宋体" w:cs="宋体" w:eastAsia="宋体" w:hint="default"/>
        </w:rPr>
        <w:t>1</w:t>
      </w:r>
      <w:r>
        <w:rPr/>
        <w:t>）本期发生的同一控制下企业合并</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）合并成本</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）合并日被合并方资产、负债的账面价值</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w:t>
      </w:r>
      <w:r>
        <w:rPr/>
        <w:t>、反向购买</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、处置子公司</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是否存在单次处置对子公司投资即丧失控制权的情形</w:t>
      </w:r>
    </w:p>
    <w:p>
      <w:pPr>
        <w:pStyle w:val="BodyText"/>
        <w:spacing w:line="360" w:lineRule="auto" w:before="116"/>
        <w:ind w:right="4012"/>
        <w:jc w:val="left"/>
      </w:pPr>
      <w:r>
        <w:rPr/>
        <w:t>□ 是 √ 否 是否存在通过多次交易分步处置对子公司投资且在本期丧失控制权的情形</w:t>
      </w:r>
    </w:p>
    <w:p>
      <w:pPr>
        <w:spacing w:after="0" w:line="360" w:lineRule="auto"/>
        <w:jc w:val="left"/>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w:t>
      </w:r>
      <w:r>
        <w:rPr/>
        <w:t>、其他原因的合并范围变动</w:t>
      </w:r>
      <w:r>
        <w:rPr>
          <w:b w:val="0"/>
          <w:bCs w:val="0"/>
        </w:rPr>
      </w:r>
    </w:p>
    <w:p>
      <w:pPr>
        <w:spacing w:line="240" w:lineRule="auto" w:before="12"/>
        <w:rPr>
          <w:rFonts w:ascii="宋体" w:hAnsi="宋体" w:cs="宋体" w:eastAsia="宋体" w:hint="default"/>
          <w:b/>
          <w:bCs/>
          <w:sz w:val="27"/>
          <w:szCs w:val="27"/>
        </w:rPr>
      </w:pPr>
    </w:p>
    <w:p>
      <w:pPr>
        <w:pStyle w:val="BodyText"/>
        <w:spacing w:line="439" w:lineRule="auto"/>
        <w:ind w:right="2950"/>
        <w:jc w:val="left"/>
      </w:pPr>
      <w:r>
        <w:rPr/>
        <w:t>说明其他原因导致的合并范围变动（如，新设子公司、清算子公司等）及其相关情况： 公司所属子公司</w:t>
      </w:r>
      <w:r>
        <w:rPr>
          <w:rFonts w:ascii="宋体" w:hAnsi="宋体" w:cs="宋体" w:eastAsia="宋体" w:hint="default"/>
        </w:rPr>
        <w:t>-</w:t>
      </w:r>
      <w:r>
        <w:rPr/>
        <w:t>北京东华软件开发有限公司完成相关注销手续，不纳入合并范围。</w:t>
      </w:r>
    </w:p>
    <w:p>
      <w:pPr>
        <w:spacing w:line="240" w:lineRule="auto" w:before="7"/>
        <w:rPr>
          <w:rFonts w:ascii="宋体" w:hAnsi="宋体" w:cs="宋体" w:eastAsia="宋体" w:hint="default"/>
          <w:sz w:val="15"/>
          <w:szCs w:val="15"/>
        </w:rPr>
      </w:pPr>
    </w:p>
    <w:p>
      <w:pPr>
        <w:spacing w:line="501" w:lineRule="auto" w:before="0"/>
        <w:ind w:left="154" w:right="7072"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109"/>
        <w:ind w:right="0"/>
        <w:jc w:val="left"/>
        <w:rPr>
          <w:b w:val="0"/>
          <w:bCs w:val="0"/>
        </w:rPr>
      </w:pP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广州东华合创数 码科技有限公司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泰安东华合创软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东华软件工程有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哈尔滨东华软件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东华合创软件有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东华软件技术有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北京东华合创香 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东华合创科技有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北京东华厚盾软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北京东华易时科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沈阳普林科技有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西安东华软件有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南昌东华软件有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山西东华软件有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东华软件开发有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天津东华博雅软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东华星联科技有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东华云计算有限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北京光明数据信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健康乐软件有限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东华智慧城市股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兰州东华软件有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北京厚盾科技有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北京卓讯科信技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风电机组振动监 测诊断系统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t>（</w:t>
      </w:r>
      <w:r>
        <w:rPr>
          <w:rFonts w:ascii="宋体" w:hAnsi="宋体" w:cs="宋体" w:eastAsia="宋体" w:hint="default"/>
        </w:rPr>
        <w:t>2</w:t>
      </w:r>
      <w:r>
        <w:rPr/>
        <w:t>）重要的非全资子公司</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）重要非全资子公司的主要财务信息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w:t>
      </w:r>
      <w:r>
        <w:rPr/>
        <w:t>、在合营安排或联营企业中的权益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、重要的共同经营</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w:t>
      </w:r>
      <w:r>
        <w:rPr/>
        <w:t>、在未纳入合并财务报表范围的结构化主体中的权益</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w:t>
      </w:r>
      <w:r>
        <w:rPr/>
        <w:t>、其他</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8" w:firstLine="420"/>
        <w:jc w:val="both"/>
      </w:pPr>
      <w:r>
        <w:rPr/>
        <w:t>本公司主要金融工具包括应收款项、应付款项、短期借款等，各项金融工具的详细情况说明见审计报告附注六相关项 </w:t>
      </w:r>
      <w:r>
        <w:rPr>
          <w:spacing w:val="-2"/>
        </w:rPr>
        <w:t>目。与这些金融工具有关的风险，以及本公司为降低这些风险采取的风险管理政策如下所述。本公司管理层对这些风险敞口</w:t>
      </w:r>
      <w:r>
        <w:rPr>
          <w:spacing w:val="-66"/>
        </w:rPr>
        <w:t> </w:t>
      </w:r>
      <w:r>
        <w:rPr>
          <w:spacing w:val="-66"/>
        </w:rPr>
      </w:r>
      <w:r>
        <w:rPr/>
        <w:t>进行管理和监控以确保将上述风险控制在限定的范围之内。</w:t>
      </w:r>
    </w:p>
    <w:p>
      <w:pPr>
        <w:pStyle w:val="Heading3"/>
        <w:spacing w:line="240" w:lineRule="auto" w:before="113"/>
        <w:ind w:right="0"/>
        <w:jc w:val="left"/>
        <w:rPr>
          <w:b w:val="0"/>
          <w:bCs w:val="0"/>
        </w:rPr>
      </w:pPr>
      <w:r>
        <w:rPr/>
        <w:t>（一）风险管理目标和政策</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52" w:firstLine="420"/>
        <w:jc w:val="both"/>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spacing w:after="0" w:line="316" w:lineRule="auto"/>
        <w:jc w:val="both"/>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Heading4"/>
        <w:spacing w:line="240" w:lineRule="auto"/>
        <w:ind w:left="576" w:right="87"/>
        <w:jc w:val="left"/>
        <w:rPr>
          <w:b w:val="0"/>
          <w:bCs w:val="0"/>
        </w:rPr>
      </w:pPr>
      <w:r>
        <w:rPr>
          <w:rFonts w:ascii="宋体" w:hAnsi="宋体" w:cs="宋体" w:eastAsia="宋体" w:hint="default"/>
        </w:rPr>
        <w:t>1</w:t>
      </w:r>
      <w:r>
        <w:rPr/>
        <w:t>、市场风险</w:t>
      </w:r>
      <w:r>
        <w:rPr>
          <w:b w:val="0"/>
          <w:bCs w:val="0"/>
        </w:rPr>
      </w:r>
    </w:p>
    <w:p>
      <w:pPr>
        <w:pStyle w:val="BodyText"/>
        <w:spacing w:line="430" w:lineRule="atLeast" w:before="2"/>
        <w:ind w:left="574" w:right="87"/>
        <w:jc w:val="left"/>
      </w:pPr>
      <w:r>
        <w:rPr/>
        <w:t>（</w:t>
      </w:r>
      <w:r>
        <w:rPr>
          <w:rFonts w:ascii="宋体" w:hAnsi="宋体" w:cs="宋体" w:eastAsia="宋体" w:hint="default"/>
        </w:rPr>
        <w:t>1</w:t>
      </w:r>
      <w:r>
        <w:rPr/>
        <w:t>）外汇风险 外汇风险，是指金融工具的公允价值或未来现金流量因外汇汇率变动而发生波动的风险。本公司面临的汇率变动的风</w:t>
      </w:r>
    </w:p>
    <w:p>
      <w:pPr>
        <w:pStyle w:val="BodyText"/>
        <w:spacing w:line="439" w:lineRule="auto" w:before="77"/>
        <w:ind w:left="574" w:right="272" w:hanging="420"/>
        <w:jc w:val="left"/>
      </w:pPr>
      <w:r>
        <w:rPr/>
        <w:t>险主要与公司外币货币性资产、负债及境外经营实体有关。本公司尽可能将外币收入与外币支出相匹配以降低外汇风险。 公司期末外币金融资产和外币金融负债列示见审计报告附注五（四十七）之说明。</w:t>
      </w:r>
    </w:p>
    <w:p>
      <w:pPr>
        <w:pStyle w:val="BodyText"/>
        <w:spacing w:line="240" w:lineRule="auto" w:before="47"/>
        <w:ind w:left="574" w:right="87"/>
        <w:jc w:val="left"/>
      </w:pPr>
      <w:r>
        <w:rPr/>
        <w:t>（</w:t>
      </w:r>
      <w:r>
        <w:rPr>
          <w:rFonts w:ascii="宋体" w:hAnsi="宋体" w:cs="宋体" w:eastAsia="宋体" w:hint="default"/>
        </w:rPr>
        <w:t>2</w:t>
      </w:r>
      <w:r>
        <w:rPr/>
        <w:t>）利率风险</w:t>
      </w:r>
    </w:p>
    <w:p>
      <w:pPr>
        <w:spacing w:line="240" w:lineRule="auto" w:before="0"/>
        <w:rPr>
          <w:rFonts w:ascii="宋体" w:hAnsi="宋体" w:cs="宋体" w:eastAsia="宋体" w:hint="default"/>
          <w:sz w:val="15"/>
          <w:szCs w:val="15"/>
        </w:rPr>
      </w:pPr>
    </w:p>
    <w:p>
      <w:pPr>
        <w:pStyle w:val="BodyText"/>
        <w:spacing w:line="316" w:lineRule="auto"/>
        <w:ind w:right="189" w:firstLine="420"/>
        <w:jc w:val="both"/>
      </w:pPr>
      <w:r>
        <w:rPr/>
        <w:t>利率风险，是指金融工具的公允价值或未来现金流量因市场利率变动而发生波动的风险。本公司面临的利率风险主要 </w:t>
      </w:r>
      <w:r>
        <w:rPr>
          <w:spacing w:val="-2"/>
        </w:rPr>
        <w:t>与公司的浮动利率借款有关。在货币政策稳健偏紧和融资供求关系相对偏紧的条件下，会推动银行贷款利率水平上升，从而</w:t>
      </w:r>
      <w:r>
        <w:rPr>
          <w:spacing w:val="-66"/>
        </w:rPr>
        <w:t> </w:t>
      </w:r>
      <w:r>
        <w:rPr>
          <w:spacing w:val="-66"/>
        </w:rPr>
      </w:r>
      <w:r>
        <w:rPr>
          <w:spacing w:val="-2"/>
        </w:rPr>
        <w:t>增加公司的融资成本。公司通过建立良好的银企关系，对授信额度、授信品种以及授信期限进行合理的设计，保障银行授信</w:t>
      </w:r>
      <w:r>
        <w:rPr>
          <w:spacing w:val="-66"/>
        </w:rPr>
        <w:t> </w:t>
      </w:r>
      <w:r>
        <w:rPr>
          <w:spacing w:val="-66"/>
        </w:rPr>
      </w:r>
      <w:r>
        <w:rPr/>
        <w:t>额度充足，满足公司各类期限融资需求，合理降低利率波动风险。</w:t>
      </w:r>
    </w:p>
    <w:p>
      <w:pPr>
        <w:pStyle w:val="BodyText"/>
        <w:spacing w:line="316" w:lineRule="auto" w:before="139"/>
        <w:ind w:right="99" w:firstLine="420"/>
        <w:jc w:val="both"/>
      </w:pPr>
      <w:r>
        <w:rPr/>
        <w:t>截至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8"/>
        </w:rPr>
        <w:t> </w:t>
      </w:r>
      <w:r>
        <w:rPr>
          <w:spacing w:val="-3"/>
        </w:rPr>
        <w:t>日，公司短期借款</w:t>
      </w:r>
      <w:r>
        <w:rPr>
          <w:rFonts w:ascii="宋体" w:hAnsi="宋体" w:cs="宋体" w:eastAsia="宋体" w:hint="default"/>
          <w:spacing w:val="-3"/>
        </w:rPr>
        <w:t>292,027,009.15</w:t>
      </w:r>
      <w:r>
        <w:rPr>
          <w:spacing w:val="-3"/>
        </w:rPr>
        <w:t>元，在其他变量不变的假设下，利率发生可能的</w:t>
      </w:r>
      <w:r>
        <w:rPr>
          <w:rFonts w:ascii="宋体" w:hAnsi="宋体" w:cs="宋体" w:eastAsia="宋体" w:hint="default"/>
          <w:spacing w:val="-3"/>
        </w:rPr>
        <w:t>20%</w:t>
      </w:r>
      <w:r>
        <w:rPr>
          <w:spacing w:val="-3"/>
        </w:rPr>
        <w:t>变动时，</w:t>
      </w:r>
      <w:r>
        <w:rPr/>
        <w:t> 将不会对公司的营业利润和股东权益产生重大的影响。</w:t>
      </w:r>
    </w:p>
    <w:p>
      <w:pPr>
        <w:pStyle w:val="BodyText"/>
        <w:spacing w:line="432" w:lineRule="exact" w:before="3"/>
        <w:ind w:left="574" w:right="87" w:firstLine="2"/>
        <w:jc w:val="left"/>
      </w:pPr>
      <w:r>
        <w:rPr>
          <w:rFonts w:ascii="宋体" w:hAnsi="宋体" w:cs="宋体" w:eastAsia="宋体" w:hint="default"/>
          <w:b/>
          <w:bCs/>
        </w:rPr>
        <w:t>2</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信用风险，是指金融工具的一方不履行义务，造成另一方发生财务损失的风险。本公司的信用风险主要与应收款项有</w:t>
      </w:r>
    </w:p>
    <w:p>
      <w:pPr>
        <w:pStyle w:val="BodyText"/>
        <w:spacing w:line="316" w:lineRule="auto" w:before="15"/>
        <w:ind w:right="190"/>
        <w:jc w:val="both"/>
      </w:pPr>
      <w:r>
        <w:rPr>
          <w:spacing w:val="-2"/>
        </w:rPr>
        <w:t>关。在客户信用考察方面，本公司首先从客户的经营情况、资金来源、与本公司合作的历史记录等方面进行信用考察，选择</w:t>
      </w:r>
      <w:r>
        <w:rPr>
          <w:spacing w:val="-66"/>
        </w:rPr>
        <w:t> </w:t>
      </w:r>
      <w:r>
        <w:rPr>
          <w:spacing w:val="-66"/>
        </w:rPr>
      </w:r>
      <w:r>
        <w:rPr>
          <w:spacing w:val="-2"/>
        </w:rPr>
        <w:t>商业信誉良好、支付能力较高的客户进行业务合作，如各级行政机关及事业单位、大中型国有企业等；其次，在项目实施过</w:t>
      </w:r>
      <w:r>
        <w:rPr>
          <w:spacing w:val="-66"/>
        </w:rPr>
        <w:t> </w:t>
      </w:r>
      <w:r>
        <w:rPr>
          <w:spacing w:val="-66"/>
        </w:rPr>
      </w:r>
      <w:r>
        <w:rPr>
          <w:spacing w:val="-2"/>
        </w:rPr>
        <w:t>程中要求销售人员密切关注客户的经营情况和财务状况并及时反馈信息，以便在客户出现经营恶化、支付能力下降等情况时</w:t>
      </w:r>
      <w:r>
        <w:rPr>
          <w:spacing w:val="-64"/>
        </w:rPr>
        <w:t> </w:t>
      </w:r>
      <w:r>
        <w:rPr>
          <w:spacing w:val="-64"/>
        </w:rPr>
      </w:r>
      <w:r>
        <w:rPr>
          <w:spacing w:val="-2"/>
        </w:rPr>
        <w:t>能及时采取补救措施。在应收账款控制管理方面，本公司在签订销售合同前均由法律部对合同条款进行审查，防止错漏、歧</w:t>
      </w:r>
      <w:r>
        <w:rPr>
          <w:spacing w:val="-86"/>
        </w:rPr>
        <w:t> </w:t>
      </w:r>
      <w:r>
        <w:rPr>
          <w:spacing w:val="-86"/>
        </w:rPr>
      </w:r>
      <w:r>
        <w:rPr>
          <w:spacing w:val="-2"/>
        </w:rPr>
        <w:t>义发生，并在合同签订时根据客户的信用情况具体确定应收账款的信用额度和信用期间，尽量争取对本公司收取账款有利的</w:t>
      </w:r>
      <w:r>
        <w:rPr>
          <w:spacing w:val="-64"/>
        </w:rPr>
        <w:t> </w:t>
      </w:r>
      <w:r>
        <w:rPr>
          <w:spacing w:val="-64"/>
        </w:rPr>
      </w:r>
      <w:r>
        <w:rPr>
          <w:spacing w:val="-2"/>
        </w:rPr>
        <w:t>条款；其次，对于信用期内的应收账款，要求财务部专门人员定期对账并及时抄报销售部和公司有关高管，以督促销售人员</w:t>
      </w:r>
      <w:r>
        <w:rPr>
          <w:spacing w:val="-66"/>
        </w:rPr>
        <w:t> </w:t>
      </w:r>
      <w:r>
        <w:rPr>
          <w:spacing w:val="-66"/>
        </w:rPr>
      </w:r>
      <w:r>
        <w:rPr>
          <w:spacing w:val="-2"/>
        </w:rPr>
        <w:t>及时做好与客户之间的对账、催收工作；第三，对于超过信用期的应收账款，除财务部继续作好对账工作外，由法律部、销</w:t>
      </w:r>
      <w:r>
        <w:rPr>
          <w:spacing w:val="-67"/>
        </w:rPr>
        <w:t> </w:t>
      </w:r>
      <w:r>
        <w:rPr>
          <w:spacing w:val="-67"/>
        </w:rPr>
      </w:r>
      <w:r>
        <w:rPr>
          <w:spacing w:val="-2"/>
        </w:rPr>
        <w:t>售部会同公司有关高管根据客户的具体情况研究确定催收方案；第四，将货款的回笼作为考核相关销售人员的主要指标，奖</w:t>
      </w:r>
      <w:r>
        <w:rPr>
          <w:spacing w:val="-66"/>
        </w:rPr>
        <w:t> </w:t>
      </w:r>
      <w:r>
        <w:rPr>
          <w:spacing w:val="-66"/>
        </w:rPr>
      </w:r>
      <w:r>
        <w:rPr/>
        <w:t>金的提取直接与回款的进度和额度挂钩。</w:t>
      </w:r>
    </w:p>
    <w:p>
      <w:pPr>
        <w:pStyle w:val="BodyText"/>
        <w:spacing w:line="432" w:lineRule="exact" w:before="3"/>
        <w:ind w:left="574" w:right="87" w:firstLine="2"/>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本公司加强资金的预测和监控，同时在</w:t>
      </w:r>
      <w:r>
        <w:rPr>
          <w:rFonts w:ascii="宋体" w:hAnsi="宋体" w:cs="宋体" w:eastAsia="宋体" w:hint="default"/>
          <w:spacing w:val="-2"/>
        </w:rPr>
        <w:t>8</w:t>
      </w:r>
      <w:r>
        <w:rPr>
          <w:spacing w:val="-2"/>
        </w:rPr>
        <w:t>家商业银行取得综合授信，银行信贷信誉良好，融资渠道畅通，未来资金来源</w:t>
      </w:r>
    </w:p>
    <w:p>
      <w:pPr>
        <w:pStyle w:val="BodyText"/>
        <w:spacing w:line="316" w:lineRule="auto" w:before="15"/>
        <w:ind w:right="192"/>
        <w:jc w:val="both"/>
      </w:pPr>
      <w:r>
        <w:rPr>
          <w:spacing w:val="-2"/>
        </w:rPr>
        <w:t>有充足保证。截止</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日，本公司资产负债率</w:t>
      </w:r>
      <w:r>
        <w:rPr>
          <w:rFonts w:ascii="宋体" w:hAnsi="宋体" w:cs="宋体" w:eastAsia="宋体" w:hint="default"/>
          <w:spacing w:val="-2"/>
        </w:rPr>
        <w:t>20.56%</w:t>
      </w:r>
      <w:r>
        <w:rPr>
          <w:spacing w:val="-2"/>
        </w:rPr>
        <w:t>，流动比率</w:t>
      </w:r>
      <w:r>
        <w:rPr>
          <w:rFonts w:ascii="宋体" w:hAnsi="宋体" w:cs="宋体" w:eastAsia="宋体" w:hint="default"/>
          <w:spacing w:val="-2"/>
        </w:rPr>
        <w:t>4.05</w:t>
      </w:r>
      <w:r>
        <w:rPr>
          <w:spacing w:val="-2"/>
        </w:rPr>
        <w:t>，有充足的资金偿还债务，不存在重大流动性</w:t>
      </w:r>
      <w:r>
        <w:rPr>
          <w:spacing w:val="-49"/>
        </w:rPr>
        <w:t> </w:t>
      </w:r>
      <w:r>
        <w:rPr>
          <w:spacing w:val="-49"/>
        </w:rPr>
      </w:r>
      <w:r>
        <w:rPr/>
        <w:t>风险。</w:t>
      </w:r>
    </w:p>
    <w:p>
      <w:pPr>
        <w:pStyle w:val="Heading3"/>
        <w:spacing w:line="376" w:lineRule="auto" w:before="113"/>
        <w:ind w:left="574" w:right="7915" w:hanging="420"/>
        <w:jc w:val="left"/>
        <w:rPr>
          <w:rFonts w:ascii="宋体" w:hAnsi="宋体" w:cs="宋体" w:eastAsia="宋体" w:hint="default"/>
          <w:b w:val="0"/>
          <w:bCs w:val="0"/>
        </w:rPr>
      </w:pPr>
      <w:r>
        <w:rPr/>
        <w:t>（二）金融资产转移</w:t>
      </w:r>
      <w:r>
        <w:rPr>
          <w:w w:val="99"/>
        </w:rPr>
        <w:t> </w:t>
      </w:r>
      <w:r>
        <w:rPr>
          <w:rFonts w:ascii="宋体" w:hAnsi="宋体" w:cs="宋体" w:eastAsia="宋体" w:hint="default"/>
          <w:b w:val="0"/>
          <w:bCs w:val="0"/>
        </w:rPr>
        <w:t>无。</w:t>
      </w:r>
    </w:p>
    <w:p>
      <w:pPr>
        <w:pStyle w:val="Heading3"/>
        <w:spacing w:line="376" w:lineRule="auto" w:before="37"/>
        <w:ind w:left="574" w:right="6650" w:hanging="420"/>
        <w:jc w:val="left"/>
        <w:rPr>
          <w:rFonts w:ascii="宋体" w:hAnsi="宋体" w:cs="宋体" w:eastAsia="宋体" w:hint="default"/>
          <w:b w:val="0"/>
          <w:bCs w:val="0"/>
        </w:rPr>
      </w:pPr>
      <w:r>
        <w:rPr/>
        <w:t>（三）金融资产与金融负债的抵销</w:t>
      </w:r>
      <w:r>
        <w:rPr>
          <w:w w:val="99"/>
        </w:rPr>
        <w:t> </w:t>
      </w:r>
      <w:r>
        <w:rPr>
          <w:rFonts w:ascii="宋体" w:hAnsi="宋体" w:cs="宋体" w:eastAsia="宋体" w:hint="default"/>
          <w:b w:val="0"/>
          <w:bCs w:val="0"/>
        </w:rPr>
        <w:t>无。</w:t>
      </w:r>
    </w:p>
    <w:p>
      <w:pPr>
        <w:spacing w:line="240" w:lineRule="auto" w:before="12"/>
        <w:rPr>
          <w:rFonts w:ascii="宋体" w:hAnsi="宋体" w:cs="宋体" w:eastAsia="宋体" w:hint="default"/>
          <w:sz w:val="14"/>
          <w:szCs w:val="14"/>
        </w:rPr>
      </w:pPr>
    </w:p>
    <w:p>
      <w:pPr>
        <w:pStyle w:val="Heading2"/>
        <w:spacing w:line="240" w:lineRule="auto"/>
        <w:ind w:right="87"/>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7"/>
        <w:jc w:val="left"/>
        <w:rPr>
          <w:b w:val="0"/>
          <w:bCs w:val="0"/>
        </w:rPr>
      </w:pPr>
      <w:r>
        <w:rPr>
          <w:rFonts w:ascii="宋体" w:hAnsi="宋体" w:cs="宋体" w:eastAsia="宋体" w:hint="default"/>
        </w:rPr>
        <w:t>1</w:t>
      </w:r>
      <w:r>
        <w:rPr/>
        <w:t>、</w:t>
      </w:r>
      <w:r>
        <w:rPr>
          <w:spacing w:val="-69"/>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ind w:left="0" w:right="190"/>
        <w:jc w:val="right"/>
      </w:pPr>
      <w:r>
        <w:rPr/>
        <w:t>单位： 元</w:t>
      </w:r>
    </w:p>
    <w:p>
      <w:pPr>
        <w:spacing w:after="0" w:line="240" w:lineRule="auto"/>
        <w:jc w:val="right"/>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368,419,101.60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368,419,101.60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368,419,101.60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368,419,101.60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368,419,101.60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368,419,101.60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公司以期末股票收盘价作为第一层次公允价值计量项目市价的确定依据。</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3</w:t>
      </w:r>
      <w:r>
        <w:rPr/>
        <w:t>、持续和非持续第二层次公允价值计量项目，采用的估值技术和重要参数的定性及定量信息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5</w:t>
      </w:r>
      <w:r>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w:t>
      </w:r>
      <w:r>
        <w:rPr/>
        <w:t>、持续的公允价值计量项目，本期内发生各层级之间转换的，转换的原因及确定转换时点的政策</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7</w:t>
      </w:r>
      <w:r>
        <w:rPr/>
        <w:t>、本期内发生的估值技术变更及变更原因</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8</w:t>
      </w:r>
      <w:r>
        <w:rPr/>
        <w:t>、不以公允价值计量的金融资产和金融负债的公允价值情况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spacing w:line="501" w:lineRule="auto" w:before="0"/>
        <w:ind w:left="154" w:right="7072"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北京东华诚信电脑 科技发展有限公司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1" w:right="0"/>
              <w:jc w:val="left"/>
              <w:rPr>
                <w:rFonts w:ascii="宋体" w:hAnsi="宋体" w:cs="宋体" w:eastAsia="宋体" w:hint="default"/>
                <w:sz w:val="18"/>
                <w:szCs w:val="18"/>
              </w:rPr>
            </w:pPr>
            <w:r>
              <w:rPr>
                <w:rFonts w:ascii="宋体"/>
                <w:sz w:val="18"/>
              </w:rPr>
              <w:t>20.99%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1" w:right="0"/>
              <w:jc w:val="left"/>
              <w:rPr>
                <w:rFonts w:ascii="宋体" w:hAnsi="宋体" w:cs="宋体" w:eastAsia="宋体" w:hint="default"/>
                <w:sz w:val="18"/>
                <w:szCs w:val="18"/>
              </w:rPr>
            </w:pPr>
            <w:r>
              <w:rPr>
                <w:rFonts w:ascii="宋体"/>
                <w:sz w:val="18"/>
              </w:rPr>
              <w:t>20.99%</w:t>
            </w:r>
          </w:p>
        </w:tc>
      </w:tr>
    </w:tbl>
    <w:p>
      <w:pPr>
        <w:spacing w:line="578" w:lineRule="auto" w:before="51"/>
        <w:ind w:left="154" w:right="5816" w:firstLine="0"/>
        <w:jc w:val="left"/>
        <w:rPr>
          <w:rFonts w:ascii="宋体" w:hAnsi="宋体" w:cs="宋体" w:eastAsia="宋体" w:hint="default"/>
          <w:sz w:val="18"/>
          <w:szCs w:val="18"/>
        </w:rPr>
      </w:pPr>
      <w:r>
        <w:rPr>
          <w:rFonts w:ascii="宋体" w:hAnsi="宋体" w:cs="宋体" w:eastAsia="宋体" w:hint="default"/>
          <w:sz w:val="18"/>
          <w:szCs w:val="18"/>
        </w:rPr>
        <w:t>本企业最终控制方是薛向东。 </w:t>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8"/>
          <w:sz w:val="18"/>
          <w:szCs w:val="18"/>
        </w:rPr>
        <w:t>本企业子公司的情况详见审计报告附注八、（一）。</w:t>
      </w:r>
    </w:p>
    <w:p>
      <w:pPr>
        <w:pStyle w:val="Heading3"/>
        <w:spacing w:line="240" w:lineRule="auto" w:before="96"/>
        <w:ind w:right="0"/>
        <w:jc w:val="left"/>
        <w:rPr>
          <w:b w:val="0"/>
          <w:bCs w:val="0"/>
        </w:rPr>
      </w:pPr>
      <w:r>
        <w:rPr>
          <w:rFonts w:ascii="宋体" w:hAnsi="宋体" w:cs="宋体" w:eastAsia="宋体" w:hint="default"/>
        </w:rPr>
        <w:t>3</w:t>
      </w:r>
      <w:r>
        <w:rPr/>
        <w:t>、本企业合营和联营企业情况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本企业重要的合营或联营企业详见审计报告附注。</w:t>
      </w:r>
    </w:p>
    <w:p>
      <w:pPr>
        <w:spacing w:after="0" w:line="240" w:lineRule="auto"/>
        <w:jc w:val="left"/>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宋体" w:hAnsi="宋体" w:cs="宋体" w:eastAsia="宋体" w:hint="default"/>
        </w:rPr>
        <w:t>4</w:t>
      </w:r>
      <w:r>
        <w:rPr/>
        <w:t>、其他关联方情况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北京东华诚信工业设备有限公司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宋体" w:hAnsi="宋体" w:cs="宋体" w:eastAsia="宋体" w:hint="default"/>
        </w:rPr>
        <w:t>5</w:t>
      </w:r>
      <w:r>
        <w:rPr/>
        <w:t>、关联交易情况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）购销商品、提供和接受劳务的关联交易</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）关联担保情况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本公司作为担保方</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北京东华合创科技有限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北京威锐达测控系统有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北京联银通科技有限公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北京神州新桥科技有限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36,262,686.67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北京东华合创科技有限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580,000.00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1,908,990.00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北京神州新桥科技有限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72,000,000.00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3,659,119.12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北京联银通科技有限公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8,061,500.00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87"/>
        <w:jc w:val="left"/>
      </w:pPr>
      <w:r>
        <w:rPr/>
        <w:t>本公司作为被担保方</w:t>
      </w:r>
    </w:p>
    <w:p>
      <w:pPr>
        <w:pStyle w:val="BodyText"/>
        <w:spacing w:line="240" w:lineRule="auto" w:before="117"/>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79"/>
              <w:jc w:val="right"/>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8"/>
              <w:jc w:val="right"/>
              <w:rPr>
                <w:rFonts w:ascii="宋体" w:hAnsi="宋体" w:cs="宋体" w:eastAsia="宋体" w:hint="default"/>
                <w:sz w:val="18"/>
                <w:szCs w:val="18"/>
              </w:rPr>
            </w:pPr>
            <w:r>
              <w:rPr>
                <w:rFonts w:ascii="宋体" w:hAnsi="宋体" w:cs="宋体" w:eastAsia="宋体" w:hint="default"/>
                <w:sz w:val="18"/>
                <w:szCs w:val="18"/>
              </w:rPr>
              <w:t>薛向东、郭玉梅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2,897,284.00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关联担保情况说明</w:t>
      </w:r>
    </w:p>
    <w:p>
      <w:pPr>
        <w:spacing w:line="240" w:lineRule="auto" w:before="12"/>
        <w:rPr>
          <w:rFonts w:ascii="宋体" w:hAnsi="宋体" w:cs="宋体" w:eastAsia="宋体" w:hint="default"/>
          <w:sz w:val="14"/>
          <w:szCs w:val="14"/>
        </w:rPr>
      </w:pPr>
    </w:p>
    <w:p>
      <w:pPr>
        <w:pStyle w:val="BodyText"/>
        <w:spacing w:line="316" w:lineRule="auto"/>
        <w:ind w:right="190" w:firstLine="420"/>
        <w:jc w:val="both"/>
      </w:pPr>
      <w:r>
        <w:rPr/>
        <w:t>①</w:t>
      </w:r>
      <w:r>
        <w:rPr>
          <w:spacing w:val="25"/>
        </w:rPr>
        <w:t> </w:t>
      </w:r>
      <w:r>
        <w:rPr>
          <w:rFonts w:ascii="宋体" w:hAnsi="宋体" w:cs="宋体" w:eastAsia="宋体" w:hint="default"/>
          <w:spacing w:val="3"/>
        </w:rPr>
        <w:t>2014</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25</w:t>
      </w:r>
      <w:r>
        <w:rPr>
          <w:spacing w:val="3"/>
        </w:rPr>
        <w:t>日，公司与中国民生银行股份有限公司总行营业部签订的《最高额保证合同》（编号“公高保字第</w:t>
      </w:r>
      <w:r>
        <w:rPr/>
        <w:t> </w:t>
      </w:r>
      <w:r>
        <w:rPr>
          <w:rFonts w:ascii="宋体" w:hAnsi="宋体" w:cs="宋体" w:eastAsia="宋体" w:hint="default"/>
          <w:spacing w:val="-2"/>
        </w:rPr>
        <w:t>1400000157482</w:t>
      </w:r>
      <w:r>
        <w:rPr>
          <w:spacing w:val="-2"/>
        </w:rPr>
        <w:t>号”），为公司与该行签订的编号为“公授信字第</w:t>
      </w:r>
      <w:r>
        <w:rPr>
          <w:rFonts w:ascii="宋体" w:hAnsi="宋体" w:cs="宋体" w:eastAsia="宋体" w:hint="default"/>
          <w:spacing w:val="-2"/>
        </w:rPr>
        <w:t>1400000157482</w:t>
      </w:r>
      <w:r>
        <w:rPr>
          <w:spacing w:val="-2"/>
        </w:rPr>
        <w:t>”号《综合授信合同》项下</w:t>
      </w:r>
      <w:r>
        <w:rPr>
          <w:rFonts w:ascii="宋体" w:hAnsi="宋体" w:cs="宋体" w:eastAsia="宋体" w:hint="default"/>
          <w:spacing w:val="-2"/>
        </w:rPr>
        <w:t>,</w:t>
      </w:r>
      <w:r>
        <w:rPr>
          <w:rFonts w:ascii="宋体" w:hAnsi="宋体" w:cs="宋体" w:eastAsia="宋体" w:hint="default"/>
          <w:spacing w:val="34"/>
        </w:rPr>
        <w:t> </w:t>
      </w:r>
      <w:r>
        <w:rPr/>
        <w:t>公司所属子公</w:t>
      </w:r>
      <w:r>
        <w:rPr>
          <w:spacing w:val="-87"/>
        </w:rPr>
        <w:t> </w:t>
      </w:r>
      <w:r>
        <w:rPr/>
        <w:t>司</w:t>
      </w:r>
      <w:r>
        <w:rPr>
          <w:rFonts w:ascii="宋体" w:hAnsi="宋体" w:cs="宋体" w:eastAsia="宋体" w:hint="default"/>
        </w:rPr>
        <w:t>-</w:t>
      </w:r>
      <w:r>
        <w:rPr/>
        <w:t>北京东华合创科技有限公司、北京联银通科技有限公司、北京神州新桥科技有限公司、北京威锐达测控系统有限公司在</w:t>
      </w:r>
      <w:r>
        <w:rPr>
          <w:spacing w:val="-83"/>
        </w:rPr>
        <w:t> </w:t>
      </w:r>
      <w:r>
        <w:rPr>
          <w:spacing w:val="-83"/>
        </w:rPr>
      </w:r>
      <w:r>
        <w:rPr>
          <w:spacing w:val="-2"/>
        </w:rPr>
        <w:t>该行的全部债务提供最高额保证，保证期限为</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25</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25</w:t>
      </w:r>
      <w:r>
        <w:rPr>
          <w:spacing w:val="-2"/>
        </w:rPr>
        <w:t>日，最高限额为</w:t>
      </w:r>
      <w:r>
        <w:rPr>
          <w:rFonts w:ascii="宋体" w:hAnsi="宋体" w:cs="宋体" w:eastAsia="宋体" w:hint="default"/>
          <w:spacing w:val="-2"/>
        </w:rPr>
        <w:t>20,000</w:t>
      </w:r>
      <w:r>
        <w:rPr>
          <w:spacing w:val="-2"/>
        </w:rPr>
        <w:t>万元。截止</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39"/>
        </w:rPr>
        <w:t> </w:t>
      </w:r>
      <w:r>
        <w:rPr/>
        <w:t>日，北京神州新桥科技有限公司在该合同项下借款余额为</w:t>
      </w:r>
      <w:r>
        <w:rPr>
          <w:rFonts w:ascii="宋体" w:hAnsi="宋体" w:cs="宋体" w:eastAsia="宋体" w:hint="default"/>
        </w:rPr>
        <w:t>13,000,000.00</w:t>
      </w:r>
      <w:r>
        <w:rPr/>
        <w:t>元，北京威锐达测控系统有限公司在该合同项下借</w:t>
      </w:r>
      <w:r>
        <w:rPr>
          <w:spacing w:val="-83"/>
        </w:rPr>
        <w:t> </w:t>
      </w:r>
      <w:r>
        <w:rPr>
          <w:spacing w:val="-83"/>
        </w:rPr>
      </w:r>
      <w:r>
        <w:rPr/>
        <w:t>款余额为</w:t>
      </w:r>
      <w:r>
        <w:rPr>
          <w:rFonts w:ascii="宋体" w:hAnsi="宋体" w:cs="宋体" w:eastAsia="宋体" w:hint="default"/>
        </w:rPr>
        <w:t>15,000,000.00</w:t>
      </w:r>
      <w:r>
        <w:rPr/>
        <w:t>元，北京东华合创科技有限公司在该合同项下借款余额为</w:t>
      </w:r>
      <w:r>
        <w:rPr>
          <w:rFonts w:ascii="宋体" w:hAnsi="宋体" w:cs="宋体" w:eastAsia="宋体" w:hint="default"/>
        </w:rPr>
        <w:t>17,000,000.00</w:t>
      </w:r>
      <w:r>
        <w:rPr/>
        <w:t>元。</w:t>
      </w:r>
    </w:p>
    <w:p>
      <w:pPr>
        <w:pStyle w:val="BodyText"/>
        <w:spacing w:line="316" w:lineRule="auto" w:before="139"/>
        <w:ind w:right="100" w:firstLine="420"/>
        <w:jc w:val="both"/>
      </w:pPr>
      <w:r>
        <w:rPr/>
        <w:t>②</w:t>
      </w:r>
      <w:r>
        <w:rPr>
          <w:spacing w:val="18"/>
        </w:rPr>
        <w:t> </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18</w:t>
      </w:r>
      <w:r>
        <w:rPr/>
        <w:t>日，公司与中国民生银行股份有限公司签订《最高额保证合同》，为公司与该行签订的编号为“公授</w:t>
      </w:r>
      <w:r>
        <w:rPr>
          <w:spacing w:val="1"/>
        </w:rPr>
        <w:t> </w:t>
      </w:r>
      <w:r>
        <w:rPr>
          <w:spacing w:val="-2"/>
        </w:rPr>
        <w:t>信字第</w:t>
      </w:r>
      <w:r>
        <w:rPr>
          <w:rFonts w:ascii="宋体" w:hAnsi="宋体" w:cs="宋体" w:eastAsia="宋体" w:hint="default"/>
          <w:spacing w:val="-2"/>
        </w:rPr>
        <w:t>1300000186973</w:t>
      </w:r>
      <w:r>
        <w:rPr>
          <w:spacing w:val="-2"/>
        </w:rPr>
        <w:t>号”的《综合授信合同》项下，公司所属子公司</w:t>
      </w:r>
      <w:r>
        <w:rPr>
          <w:rFonts w:ascii="宋体" w:hAnsi="宋体" w:cs="宋体" w:eastAsia="宋体" w:hint="default"/>
          <w:spacing w:val="-2"/>
        </w:rPr>
        <w:t>-</w:t>
      </w:r>
      <w:r>
        <w:rPr>
          <w:spacing w:val="-2"/>
        </w:rPr>
        <w:t>北京东华合创科技有限公司、北京联银通科技有限公</w:t>
      </w:r>
      <w:r>
        <w:rPr>
          <w:spacing w:val="-52"/>
        </w:rPr>
        <w:t> </w:t>
      </w:r>
      <w:r>
        <w:rPr>
          <w:spacing w:val="-52"/>
        </w:rPr>
      </w:r>
      <w:r>
        <w:rPr>
          <w:spacing w:val="-2"/>
        </w:rPr>
        <w:t>司、北京神州新桥科技有限公司在该行的全部债务提供最高额保证，保证期限为债务履行期限届满之日后两年止。截至</w:t>
      </w:r>
      <w:r>
        <w:rPr>
          <w:rFonts w:ascii="宋体" w:hAnsi="宋体" w:cs="宋体" w:eastAsia="宋体" w:hint="default"/>
          <w:spacing w:val="-2"/>
        </w:rPr>
        <w:t>2014</w:t>
      </w:r>
      <w:r>
        <w:rPr>
          <w:rFonts w:ascii="宋体" w:hAnsi="宋体" w:cs="宋体" w:eastAsia="宋体" w:hint="default"/>
          <w:spacing w:val="-61"/>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日，北京神州新桥科技有限公司在该行的借款余额为</w:t>
      </w:r>
      <w:r>
        <w:rPr>
          <w:spacing w:val="56"/>
        </w:rPr>
        <w:t> </w:t>
      </w:r>
      <w:r>
        <w:rPr>
          <w:rFonts w:ascii="宋体" w:hAnsi="宋体" w:cs="宋体" w:eastAsia="宋体" w:hint="default"/>
          <w:spacing w:val="-2"/>
        </w:rPr>
        <w:t>40,000,000.00</w:t>
      </w:r>
      <w:r>
        <w:rPr>
          <w:spacing w:val="-2"/>
        </w:rPr>
        <w:t>元，未结清的信用证余额为</w:t>
      </w:r>
      <w:r>
        <w:rPr>
          <w:rFonts w:ascii="宋体" w:hAnsi="宋体" w:cs="宋体" w:eastAsia="宋体" w:hint="default"/>
          <w:spacing w:val="-2"/>
        </w:rPr>
        <w:t>36,262,686.67</w:t>
      </w:r>
      <w:r>
        <w:rPr>
          <w:spacing w:val="-2"/>
        </w:rPr>
        <w:t>元。</w:t>
      </w:r>
    </w:p>
    <w:p>
      <w:pPr>
        <w:pStyle w:val="BodyText"/>
        <w:spacing w:line="316" w:lineRule="auto" w:before="139"/>
        <w:ind w:right="102" w:firstLine="420"/>
        <w:jc w:val="left"/>
      </w:pPr>
      <w:r>
        <w:rPr/>
        <w:t>③</w:t>
      </w:r>
      <w:r>
        <w:rPr>
          <w:spacing w:val="-51"/>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8</w:t>
      </w:r>
      <w:r>
        <w:rPr/>
        <w:t>日，公司与广发银行股份有限公司北京奥运村支行签订《最高额保证合同》（编号“</w:t>
      </w:r>
      <w:r>
        <w:rPr>
          <w:rFonts w:ascii="宋体" w:hAnsi="宋体" w:cs="宋体" w:eastAsia="宋体" w:hint="default"/>
        </w:rPr>
        <w:t>2714CF(014/015</w:t>
      </w:r>
      <w:r>
        <w:rPr/>
        <w:t>） </w:t>
      </w:r>
      <w:r>
        <w:rPr>
          <w:rFonts w:ascii="宋体" w:hAnsi="宋体" w:cs="宋体" w:eastAsia="宋体" w:hint="default"/>
          <w:spacing w:val="2"/>
        </w:rPr>
        <w:t>BZ</w:t>
      </w:r>
      <w:r>
        <w:rPr>
          <w:spacing w:val="2"/>
        </w:rPr>
        <w:t>”</w:t>
      </w:r>
      <w:r>
        <w:rPr>
          <w:rFonts w:ascii="宋体" w:hAnsi="宋体" w:cs="宋体" w:eastAsia="宋体" w:hint="default"/>
          <w:spacing w:val="2"/>
        </w:rPr>
        <w:t>)</w:t>
      </w:r>
      <w:r>
        <w:rPr>
          <w:spacing w:val="2"/>
        </w:rPr>
        <w:t>，公司为所属子公司</w:t>
      </w:r>
      <w:r>
        <w:rPr>
          <w:rFonts w:ascii="宋体" w:hAnsi="宋体" w:cs="宋体" w:eastAsia="宋体" w:hint="default"/>
          <w:spacing w:val="2"/>
        </w:rPr>
        <w:t>-</w:t>
      </w:r>
      <w:r>
        <w:rPr>
          <w:spacing w:val="2"/>
        </w:rPr>
        <w:t>北京东华合创科技有限公司、北京神州新桥科技有限公司与该行签订的编号为“</w:t>
      </w:r>
      <w:r>
        <w:rPr>
          <w:rFonts w:ascii="宋体" w:hAnsi="宋体" w:cs="宋体" w:eastAsia="宋体" w:hint="default"/>
          <w:spacing w:val="2"/>
        </w:rPr>
        <w:t>2714CF014</w:t>
      </w:r>
      <w:r>
        <w:rPr>
          <w:spacing w:val="2"/>
        </w:rPr>
        <w:t>、</w:t>
      </w:r>
      <w:r>
        <w:rPr>
          <w:spacing w:val="-43"/>
        </w:rPr>
        <w:t> </w:t>
      </w:r>
      <w:r>
        <w:rPr>
          <w:rFonts w:ascii="宋体" w:hAnsi="宋体" w:cs="宋体" w:eastAsia="宋体" w:hint="default"/>
        </w:rPr>
        <w:t>2714CF015</w:t>
      </w:r>
      <w:r>
        <w:rPr/>
        <w:t>”的《授信额度合同》提供连带责任保证，保证期限为主合同债务人履行债务期限届满之日起两年，最高限额为</w:t>
      </w:r>
    </w:p>
    <w:p>
      <w:pPr>
        <w:pStyle w:val="BodyText"/>
        <w:spacing w:line="316" w:lineRule="auto" w:before="19"/>
        <w:ind w:right="190"/>
        <w:jc w:val="both"/>
      </w:pPr>
      <w:r>
        <w:rPr>
          <w:rFonts w:ascii="宋体" w:hAnsi="宋体" w:cs="宋体" w:eastAsia="宋体" w:hint="default"/>
        </w:rPr>
        <w:t>9,000</w:t>
      </w:r>
      <w:r>
        <w:rPr/>
        <w:t>万元。截至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日，北京东华合创科技有限公司在该行未结清的银行承兑汇票余额为 </w:t>
      </w:r>
      <w:r>
        <w:rPr>
          <w:rFonts w:ascii="宋体" w:hAnsi="宋体" w:cs="宋体" w:eastAsia="宋体" w:hint="default"/>
        </w:rPr>
        <w:t>580,000.00</w:t>
      </w:r>
      <w:r>
        <w:rPr>
          <w:rFonts w:ascii="宋体" w:hAnsi="宋体" w:cs="宋体" w:eastAsia="宋体" w:hint="default"/>
          <w:spacing w:val="7"/>
        </w:rPr>
        <w:t> </w:t>
      </w:r>
      <w:r>
        <w:rPr/>
        <w:t>元，未结 </w:t>
      </w:r>
      <w:r>
        <w:rPr>
          <w:spacing w:val="-2"/>
        </w:rPr>
        <w:t>清的保函余额为</w:t>
      </w:r>
      <w:r>
        <w:rPr>
          <w:rFonts w:ascii="宋体" w:hAnsi="宋体" w:cs="宋体" w:eastAsia="宋体" w:hint="default"/>
          <w:spacing w:val="-2"/>
        </w:rPr>
        <w:t>1,908,990.00</w:t>
      </w:r>
      <w:r>
        <w:rPr>
          <w:spacing w:val="-2"/>
        </w:rPr>
        <w:t>元；北京神州新桥科技有限公司在该行未结清银行承兑汇票余额为</w:t>
      </w:r>
      <w:r>
        <w:rPr>
          <w:rFonts w:ascii="宋体" w:hAnsi="宋体" w:cs="宋体" w:eastAsia="宋体" w:hint="default"/>
          <w:spacing w:val="-2"/>
        </w:rPr>
        <w:t>72000,000.00</w:t>
      </w:r>
      <w:r>
        <w:rPr>
          <w:spacing w:val="-2"/>
        </w:rPr>
        <w:t>元，未结清的</w:t>
      </w:r>
      <w:r>
        <w:rPr>
          <w:spacing w:val="-40"/>
        </w:rPr>
        <w:t> </w:t>
      </w:r>
      <w:r>
        <w:rPr>
          <w:spacing w:val="-40"/>
        </w:rPr>
      </w:r>
      <w:r>
        <w:rPr/>
        <w:t>保函余额为</w:t>
      </w:r>
      <w:r>
        <w:rPr>
          <w:rFonts w:ascii="宋体" w:hAnsi="宋体" w:cs="宋体" w:eastAsia="宋体" w:hint="default"/>
        </w:rPr>
        <w:t>3,659,119.12</w:t>
      </w:r>
      <w:r>
        <w:rPr/>
        <w:t>元。</w:t>
      </w:r>
    </w:p>
    <w:p>
      <w:pPr>
        <w:pStyle w:val="BodyText"/>
        <w:spacing w:line="319" w:lineRule="auto" w:before="139"/>
        <w:ind w:right="188" w:firstLine="420"/>
        <w:jc w:val="both"/>
      </w:pPr>
      <w:r>
        <w:rPr/>
        <w:t>④</w:t>
      </w:r>
      <w:r>
        <w:rPr>
          <w:spacing w:val="-49"/>
        </w:rPr>
        <w:t> </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25</w:t>
      </w:r>
      <w:r>
        <w:rPr/>
        <w:t>日，公司与中国建设银行股份有限公司北京北环支行签订《最高额保证合同》（编号“建京北环</w:t>
      </w:r>
      <w:r>
        <w:rPr>
          <w:rFonts w:ascii="宋体" w:hAnsi="宋体" w:cs="宋体" w:eastAsia="宋体" w:hint="default"/>
        </w:rPr>
        <w:t>2013 </w:t>
      </w:r>
      <w:r>
        <w:rPr/>
        <w:t>年最高额保证字第</w:t>
      </w:r>
      <w:r>
        <w:rPr>
          <w:rFonts w:ascii="宋体" w:hAnsi="宋体" w:cs="宋体" w:eastAsia="宋体" w:hint="default"/>
        </w:rPr>
        <w:t>003</w:t>
      </w:r>
      <w:r>
        <w:rPr/>
        <w:t>号”），公司为所属子公司</w:t>
      </w:r>
      <w:r>
        <w:rPr>
          <w:rFonts w:ascii="宋体" w:hAnsi="宋体" w:cs="宋体" w:eastAsia="宋体" w:hint="default"/>
        </w:rPr>
        <w:t>-</w:t>
      </w:r>
      <w:r>
        <w:rPr/>
        <w:t>北京联银通科技有限公司在该行的债务提供最高额保证，保证期限</w:t>
      </w:r>
      <w:r>
        <w:rPr>
          <w:rFonts w:ascii="宋体" w:hAnsi="宋体" w:cs="宋体" w:eastAsia="宋体" w:hint="default"/>
        </w:rPr>
        <w:t>2013</w:t>
      </w:r>
      <w:r>
        <w:rPr>
          <w:rFonts w:ascii="宋体" w:hAnsi="宋体" w:cs="宋体" w:eastAsia="宋体" w:hint="default"/>
          <w:spacing w:val="2"/>
        </w:rPr>
        <w:t> </w:t>
      </w:r>
      <w:r>
        <w:rPr>
          <w:rFonts w:ascii="宋体" w:hAnsi="宋体" w:cs="宋体" w:eastAsia="宋体" w:hint="default"/>
          <w:spacing w:val="2"/>
        </w:rPr>
      </w:r>
      <w:r>
        <w:rPr/>
        <w:t>年</w:t>
      </w:r>
      <w:r>
        <w:rPr>
          <w:rFonts w:ascii="宋体" w:hAnsi="宋体" w:cs="宋体" w:eastAsia="宋体" w:hint="default"/>
        </w:rPr>
        <w:t>10</w:t>
      </w:r>
      <w:r>
        <w:rPr/>
        <w:t>月</w:t>
      </w:r>
      <w:r>
        <w:rPr>
          <w:rFonts w:ascii="宋体" w:hAnsi="宋体" w:cs="宋体" w:eastAsia="宋体" w:hint="default"/>
        </w:rPr>
        <w:t>25</w:t>
      </w:r>
      <w:r>
        <w:rPr/>
        <w:t>日至</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25</w:t>
      </w:r>
      <w:r>
        <w:rPr/>
        <w:t>日，保证方式为连带责任保证，最高限额为</w:t>
      </w:r>
      <w:r>
        <w:rPr>
          <w:rFonts w:ascii="宋体" w:hAnsi="宋体" w:cs="宋体" w:eastAsia="宋体" w:hint="default"/>
        </w:rPr>
        <w:t>5,000</w:t>
      </w:r>
      <w:r>
        <w:rPr/>
        <w:t>万元。截止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日北京联银通科技有</w:t>
      </w:r>
      <w:r>
        <w:rPr>
          <w:spacing w:val="-83"/>
        </w:rPr>
        <w:t> </w:t>
      </w:r>
      <w:r>
        <w:rPr>
          <w:spacing w:val="-83"/>
        </w:rPr>
      </w:r>
      <w:r>
        <w:rPr/>
        <w:t>限公司在该行未结清的保函余额为</w:t>
      </w:r>
      <w:r>
        <w:rPr>
          <w:rFonts w:ascii="宋体" w:hAnsi="宋体" w:cs="宋体" w:eastAsia="宋体" w:hint="default"/>
        </w:rPr>
        <w:t>8,061,500.00</w:t>
      </w:r>
      <w:r>
        <w:rPr/>
        <w:t>元。</w:t>
      </w:r>
    </w:p>
    <w:p>
      <w:pPr>
        <w:spacing w:after="0" w:line="319"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51" w:firstLine="420"/>
        <w:jc w:val="both"/>
      </w:pPr>
      <w:r>
        <w:rPr/>
        <w:t>⑤</w:t>
      </w:r>
      <w:r>
        <w:rPr>
          <w:spacing w:val="33"/>
        </w:rPr>
        <w:t> </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24</w:t>
      </w:r>
      <w:r>
        <w:rPr/>
        <w:t>日，公司股东薛向东及妻子郭玉梅分别与北京银行中关村科技园支行签订《最高额保证合同》（合 同编号“</w:t>
      </w:r>
      <w:r>
        <w:rPr>
          <w:rFonts w:ascii="宋体" w:hAnsi="宋体" w:cs="宋体" w:eastAsia="宋体" w:hint="default"/>
        </w:rPr>
        <w:t>0194396-001</w:t>
      </w:r>
      <w:r>
        <w:rPr/>
        <w:t>、</w:t>
      </w:r>
      <w:r>
        <w:rPr>
          <w:rFonts w:ascii="宋体" w:hAnsi="宋体" w:cs="宋体" w:eastAsia="宋体" w:hint="default"/>
        </w:rPr>
        <w:t>0194396-002</w:t>
      </w:r>
      <w:r>
        <w:rPr/>
        <w:t>”），薛向东、郭玉梅为本公司与该行签订的编号为“</w:t>
      </w:r>
      <w:r>
        <w:rPr>
          <w:rFonts w:ascii="宋体" w:hAnsi="宋体" w:cs="宋体" w:eastAsia="宋体" w:hint="default"/>
        </w:rPr>
        <w:t>0194396</w:t>
      </w:r>
      <w:r>
        <w:rPr/>
        <w:t>号”《综合授信合同》</w:t>
      </w:r>
      <w:r>
        <w:rPr>
          <w:spacing w:val="-84"/>
        </w:rPr>
        <w:t> </w:t>
      </w:r>
      <w:r>
        <w:rPr>
          <w:spacing w:val="-84"/>
        </w:rPr>
      </w:r>
      <w:r>
        <w:rPr>
          <w:spacing w:val="-2"/>
        </w:rPr>
        <w:t>项下的全部债务提供全程保证，保证期限为</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日，公司在该行借款余额</w:t>
      </w:r>
      <w:r>
        <w:rPr>
          <w:spacing w:val="-43"/>
        </w:rPr>
        <w:t> </w:t>
      </w:r>
      <w:r>
        <w:rPr>
          <w:spacing w:val="-43"/>
        </w:rPr>
      </w:r>
      <w:r>
        <w:rPr/>
        <w:t>为</w:t>
      </w:r>
      <w:r>
        <w:rPr>
          <w:rFonts w:ascii="宋体" w:hAnsi="宋体" w:cs="宋体" w:eastAsia="宋体" w:hint="default"/>
        </w:rPr>
        <w:t>28,000,000.00</w:t>
      </w:r>
      <w:r>
        <w:rPr/>
        <w:t>元，未结清银行承兑汇票金额为</w:t>
      </w:r>
      <w:r>
        <w:rPr>
          <w:rFonts w:ascii="宋体" w:hAnsi="宋体" w:cs="宋体" w:eastAsia="宋体" w:hint="default"/>
        </w:rPr>
        <w:t>2,897,284.00</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5</w:t>
      </w:r>
      <w:r>
        <w:rPr/>
        <w:t>）关联方资金拆借</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7</w:t>
      </w:r>
      <w:r>
        <w:rPr/>
        <w:t>）关键管理人员报酬</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7" w:right="0"/>
              <w:jc w:val="left"/>
              <w:rPr>
                <w:rFonts w:ascii="宋体" w:hAnsi="宋体" w:cs="宋体" w:eastAsia="宋体" w:hint="default"/>
                <w:sz w:val="18"/>
                <w:szCs w:val="18"/>
              </w:rPr>
            </w:pPr>
            <w:r>
              <w:rPr>
                <w:rFonts w:ascii="宋体"/>
                <w:sz w:val="18"/>
              </w:rPr>
              <w:t>7,843,200.00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8" w:right="0"/>
              <w:jc w:val="left"/>
              <w:rPr>
                <w:rFonts w:ascii="宋体" w:hAnsi="宋体" w:cs="宋体" w:eastAsia="宋体" w:hint="default"/>
                <w:sz w:val="18"/>
                <w:szCs w:val="18"/>
              </w:rPr>
            </w:pPr>
            <w:r>
              <w:rPr>
                <w:rFonts w:ascii="宋体"/>
                <w:sz w:val="18"/>
              </w:rPr>
              <w:t>5,938,500.00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8</w:t>
      </w:r>
      <w:r>
        <w:rPr/>
        <w:t>）其他关联交易</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）应收项目</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）应付项目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北京东华诚信工业设备有限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9" w:right="0"/>
              <w:jc w:val="left"/>
              <w:rPr>
                <w:rFonts w:ascii="宋体" w:hAnsi="宋体" w:cs="宋体" w:eastAsia="宋体" w:hint="default"/>
                <w:sz w:val="18"/>
                <w:szCs w:val="18"/>
              </w:rPr>
            </w:pPr>
            <w:r>
              <w:rPr>
                <w:rFonts w:ascii="宋体"/>
                <w:sz w:val="18"/>
              </w:rPr>
              <w:t>31,184,204.31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7</w:t>
      </w:r>
      <w:r>
        <w:rPr/>
        <w:t>、关联方承诺</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line="501" w:lineRule="auto" w:before="35"/>
        <w:ind w:left="154" w:right="7809"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35"/>
        <w:ind w:right="87"/>
        <w:jc w:val="left"/>
      </w:pPr>
      <w:r>
        <w:rPr/>
        <w:t>√ 适用 □ 不适用</w:t>
      </w:r>
    </w:p>
    <w:p>
      <w:pPr>
        <w:pStyle w:val="BodyText"/>
        <w:spacing w:line="240" w:lineRule="auto" w:before="117"/>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4,295,460.00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sz w:val="18"/>
                <w:szCs w:val="18"/>
              </w:rPr>
              <w:t>8.03</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87"/>
        <w:jc w:val="left"/>
        <w:rPr>
          <w:b w:val="0"/>
          <w:bCs w:val="0"/>
        </w:rPr>
      </w:pPr>
      <w:r>
        <w:rPr>
          <w:rFonts w:ascii="宋体" w:hAnsi="宋体" w:cs="宋体" w:eastAsia="宋体" w:hint="default"/>
        </w:rPr>
        <w:t>2</w:t>
      </w:r>
      <w:r>
        <w:rPr/>
        <w:t>、以权益结算的股份支付情况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87"/>
        <w:jc w:val="left"/>
      </w:pPr>
      <w:r>
        <w:rPr/>
        <w:t>√ 适用 □ 不适用</w:t>
      </w:r>
    </w:p>
    <w:p>
      <w:pPr>
        <w:pStyle w:val="BodyText"/>
        <w:spacing w:line="240" w:lineRule="auto" w:before="117"/>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Black-Scholes</w:t>
            </w:r>
            <w:r>
              <w:rPr>
                <w:rFonts w:ascii="宋体" w:hAnsi="宋体" w:cs="宋体" w:eastAsia="宋体" w:hint="default"/>
                <w:spacing w:val="-46"/>
                <w:sz w:val="18"/>
                <w:szCs w:val="18"/>
              </w:rPr>
              <w:t> </w:t>
            </w:r>
            <w:r>
              <w:rPr>
                <w:rFonts w:ascii="宋体" w:hAnsi="宋体" w:cs="宋体" w:eastAsia="宋体" w:hint="default"/>
                <w:sz w:val="18"/>
                <w:szCs w:val="18"/>
              </w:rPr>
              <w:t>模型</w:t>
            </w:r>
          </w:p>
        </w:tc>
      </w:tr>
      <w:tr>
        <w:trPr>
          <w:trHeight w:val="133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激励对象包括目前担任公司董事（不含独立董事）、高级管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理人员、核心业务（技术）骨干人员以及董事会认为需要 以此方式进行激励的子公司管理层和骨干员工。公司估计 该部分职工在等待期内离职的可能性较小。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62,430,084.00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9,220,483.00</w:t>
            </w:r>
          </w:p>
        </w:tc>
      </w:tr>
    </w:tbl>
    <w:p>
      <w:pPr>
        <w:spacing w:line="240" w:lineRule="auto" w:before="8"/>
        <w:rPr>
          <w:rFonts w:ascii="宋体" w:hAnsi="宋体" w:cs="宋体" w:eastAsia="宋体" w:hint="default"/>
          <w:sz w:val="6"/>
          <w:szCs w:val="6"/>
        </w:rPr>
      </w:pPr>
    </w:p>
    <w:p>
      <w:pPr>
        <w:pStyle w:val="BodyText"/>
        <w:spacing w:line="240" w:lineRule="auto" w:before="44"/>
        <w:ind w:left="514" w:right="87"/>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89" w:firstLine="360"/>
        <w:jc w:val="both"/>
      </w:pP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7</w:t>
      </w:r>
      <w:r>
        <w:rPr/>
        <w:t>日，公司第四届董事会第十四次会议审议通过了《东华软件股份公司股票期权激励计划</w:t>
      </w:r>
      <w:r>
        <w:rPr>
          <w:spacing w:val="-35"/>
        </w:rPr>
        <w:t> </w:t>
      </w:r>
      <w:r>
        <w:rPr>
          <w:rFonts w:ascii="宋体" w:hAnsi="宋体" w:cs="宋体" w:eastAsia="宋体" w:hint="default"/>
          <w:spacing w:val="-5"/>
        </w:rPr>
        <w:t>(</w:t>
      </w:r>
      <w:r>
        <w:rPr>
          <w:spacing w:val="-5"/>
        </w:rPr>
        <w:t>草案</w:t>
      </w:r>
      <w:r>
        <w:rPr>
          <w:rFonts w:ascii="宋体" w:hAnsi="宋体" w:cs="宋体" w:eastAsia="宋体" w:hint="default"/>
          <w:spacing w:val="-5"/>
        </w:rPr>
        <w:t>)</w:t>
      </w:r>
      <w:r>
        <w:rPr>
          <w:spacing w:val="-5"/>
        </w:rPr>
        <w:t>》，并报中</w:t>
      </w:r>
      <w:r>
        <w:rPr/>
        <w:t> 国证券监督管理委员会备案通过。</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17</w:t>
      </w:r>
      <w:r>
        <w:rPr/>
        <w:t>日，公司</w:t>
      </w:r>
      <w:r>
        <w:rPr>
          <w:rFonts w:ascii="宋体" w:hAnsi="宋体" w:cs="宋体" w:eastAsia="宋体" w:hint="default"/>
        </w:rPr>
        <w:t>2012</w:t>
      </w:r>
      <w:r>
        <w:rPr/>
        <w:t>年第一次临时股东大会审议通过了《东华软件股份公司股票期</w:t>
      </w:r>
      <w:r>
        <w:rPr>
          <w:spacing w:val="-83"/>
        </w:rPr>
        <w:t> </w:t>
      </w:r>
      <w:r>
        <w:rPr>
          <w:spacing w:val="-83"/>
        </w:rPr>
      </w:r>
      <w:r>
        <w:rPr>
          <w:spacing w:val="-5"/>
        </w:rPr>
        <w:t>权激励计划（草案）修订稿》，本次股票期权激励计划获得批准。根据公司股票期权激励计划，公司授予激励对象</w:t>
      </w:r>
      <w:r>
        <w:rPr>
          <w:rFonts w:ascii="宋体" w:hAnsi="宋体" w:cs="宋体" w:eastAsia="宋体" w:hint="default"/>
          <w:spacing w:val="-5"/>
        </w:rPr>
        <w:t>1,173.9</w:t>
      </w:r>
      <w:r>
        <w:rPr>
          <w:rFonts w:ascii="宋体" w:hAnsi="宋体" w:cs="宋体" w:eastAsia="宋体" w:hint="default"/>
          <w:spacing w:val="18"/>
        </w:rPr>
        <w:t> </w:t>
      </w:r>
      <w:r>
        <w:rPr/>
        <w:t>万</w:t>
      </w:r>
      <w:r>
        <w:rPr>
          <w:spacing w:val="-88"/>
        </w:rPr>
        <w:t> </w:t>
      </w:r>
      <w:r>
        <w:rPr/>
        <w:t>份股票期权，每份股票期权拥有在可行权日以预先确定的行权价格和行权条件购买</w:t>
      </w:r>
      <w:r>
        <w:rPr>
          <w:rFonts w:ascii="宋体" w:hAnsi="宋体" w:cs="宋体" w:eastAsia="宋体" w:hint="default"/>
        </w:rPr>
        <w:t>1 </w:t>
      </w:r>
      <w:r>
        <w:rPr/>
        <w:t>股本公司人民币普通股的权利，</w:t>
      </w:r>
      <w:r>
        <w:rPr>
          <w:spacing w:val="8"/>
        </w:rPr>
        <w:t> </w:t>
      </w:r>
      <w:r>
        <w:rPr/>
        <w:t>涉及</w:t>
      </w:r>
      <w:r>
        <w:rPr/>
        <w:t> 标的股票数量为</w:t>
      </w:r>
      <w:r>
        <w:rPr>
          <w:rFonts w:ascii="宋体" w:hAnsi="宋体" w:cs="宋体" w:eastAsia="宋体" w:hint="default"/>
        </w:rPr>
        <w:t>1,173.9 </w:t>
      </w:r>
      <w:r>
        <w:rPr/>
        <w:t>万股，占本激励计划批准时公司股本总额</w:t>
      </w:r>
      <w:r>
        <w:rPr>
          <w:rFonts w:ascii="宋体" w:hAnsi="宋体" w:cs="宋体" w:eastAsia="宋体" w:hint="default"/>
        </w:rPr>
        <w:t>53,074.40</w:t>
      </w:r>
      <w:r>
        <w:rPr>
          <w:rFonts w:ascii="宋体" w:hAnsi="宋体" w:cs="宋体" w:eastAsia="宋体" w:hint="default"/>
          <w:spacing w:val="6"/>
        </w:rPr>
        <w:t> </w:t>
      </w:r>
      <w:r>
        <w:rPr/>
        <w:t>万股的</w:t>
      </w:r>
      <w:r>
        <w:rPr>
          <w:rFonts w:ascii="宋体" w:hAnsi="宋体" w:cs="宋体" w:eastAsia="宋体" w:hint="default"/>
        </w:rPr>
        <w:t>2.2118%</w:t>
      </w:r>
      <w:r>
        <w:rPr/>
        <w:t>。本次股票期权授予日为</w:t>
      </w:r>
      <w:r>
        <w:rPr>
          <w:rFonts w:ascii="宋体" w:hAnsi="宋体" w:cs="宋体" w:eastAsia="宋体" w:hint="default"/>
        </w:rPr>
        <w:t>2012 </w:t>
      </w:r>
      <w:r>
        <w:rPr/>
        <w:t>年</w:t>
      </w:r>
      <w:r>
        <w:rPr>
          <w:rFonts w:ascii="宋体" w:hAnsi="宋体" w:cs="宋体" w:eastAsia="宋体" w:hint="default"/>
        </w:rPr>
        <w:t>1 </w:t>
      </w:r>
      <w:r>
        <w:rPr/>
        <w:t>月</w:t>
      </w:r>
      <w:r>
        <w:rPr>
          <w:rFonts w:ascii="宋体" w:hAnsi="宋体" w:cs="宋体" w:eastAsia="宋体" w:hint="default"/>
        </w:rPr>
        <w:t>18 </w:t>
      </w:r>
      <w:r>
        <w:rPr/>
        <w:t>日，行权价格为</w:t>
      </w:r>
      <w:r>
        <w:rPr>
          <w:rFonts w:ascii="宋体" w:hAnsi="宋体" w:cs="宋体" w:eastAsia="宋体" w:hint="default"/>
        </w:rPr>
        <w:t>21.59</w:t>
      </w:r>
      <w:r>
        <w:rPr>
          <w:rFonts w:ascii="宋体" w:hAnsi="宋体" w:cs="宋体" w:eastAsia="宋体" w:hint="default"/>
          <w:spacing w:val="7"/>
        </w:rPr>
        <w:t> </w:t>
      </w:r>
      <w:r>
        <w:rPr/>
        <w:t>元。股票期权激励计划有效期为授予股票期权的授权日起五年。本激励计划授予的股票期 权自授权日起满</w:t>
      </w:r>
      <w:r>
        <w:rPr>
          <w:rFonts w:ascii="宋体" w:hAnsi="宋体" w:cs="宋体" w:eastAsia="宋体" w:hint="default"/>
        </w:rPr>
        <w:t>12</w:t>
      </w:r>
      <w:r>
        <w:rPr>
          <w:rFonts w:ascii="宋体" w:hAnsi="宋体" w:cs="宋体" w:eastAsia="宋体" w:hint="default"/>
          <w:spacing w:val="-27"/>
        </w:rPr>
        <w:t> </w:t>
      </w:r>
      <w:r>
        <w:rPr/>
        <w:t>个月后可以开始行权，激励对象在可行权日内按</w:t>
      </w:r>
      <w:r>
        <w:rPr>
          <w:rFonts w:ascii="宋体" w:hAnsi="宋体" w:cs="宋体" w:eastAsia="宋体" w:hint="default"/>
        </w:rPr>
        <w:t>30%</w:t>
      </w:r>
      <w:r>
        <w:rPr/>
        <w:t>、</w:t>
      </w:r>
      <w:r>
        <w:rPr>
          <w:rFonts w:ascii="宋体" w:hAnsi="宋体" w:cs="宋体" w:eastAsia="宋体" w:hint="default"/>
        </w:rPr>
        <w:t>30%</w:t>
      </w:r>
      <w:r>
        <w:rPr/>
        <w:t>、</w:t>
      </w:r>
      <w:r>
        <w:rPr>
          <w:rFonts w:ascii="宋体" w:hAnsi="宋体" w:cs="宋体" w:eastAsia="宋体" w:hint="default"/>
        </w:rPr>
        <w:t>20%</w:t>
      </w:r>
      <w:r>
        <w:rPr/>
        <w:t>、</w:t>
      </w:r>
      <w:r>
        <w:rPr>
          <w:rFonts w:ascii="宋体" w:hAnsi="宋体" w:cs="宋体" w:eastAsia="宋体" w:hint="default"/>
        </w:rPr>
        <w:t>20%</w:t>
      </w:r>
      <w:r>
        <w:rPr/>
        <w:t>的行权比例分四期行权。</w:t>
      </w:r>
      <w:r>
        <w:rPr>
          <w:rFonts w:ascii="宋体" w:hAnsi="宋体" w:cs="宋体" w:eastAsia="宋体" w:hint="default"/>
        </w:rPr>
        <w:t>2012</w:t>
      </w:r>
      <w:r>
        <w:rPr>
          <w:rFonts w:ascii="宋体" w:hAnsi="宋体" w:cs="宋体" w:eastAsia="宋体" w:hint="default"/>
          <w:spacing w:val="-27"/>
        </w:rPr>
        <w:t> </w:t>
      </w:r>
      <w:r>
        <w:rPr/>
        <w:t>年</w:t>
      </w:r>
      <w:r>
        <w:rPr>
          <w:spacing w:val="-27"/>
        </w:rPr>
        <w:t> </w:t>
      </w:r>
      <w:r>
        <w:rPr>
          <w:rFonts w:ascii="宋体" w:hAnsi="宋体" w:cs="宋体" w:eastAsia="宋体" w:hint="default"/>
        </w:rPr>
        <w:t>9 </w:t>
      </w:r>
      <w:r>
        <w:rPr/>
        <w:t>月</w:t>
      </w:r>
      <w:r>
        <w:rPr>
          <w:spacing w:val="-42"/>
        </w:rPr>
        <w:t> </w:t>
      </w:r>
      <w:r>
        <w:rPr>
          <w:rFonts w:ascii="宋体" w:hAnsi="宋体" w:cs="宋体" w:eastAsia="宋体" w:hint="default"/>
        </w:rPr>
        <w:t>13</w:t>
      </w:r>
      <w:r>
        <w:rPr>
          <w:rFonts w:ascii="宋体" w:hAnsi="宋体" w:cs="宋体" w:eastAsia="宋体" w:hint="default"/>
          <w:spacing w:val="-42"/>
        </w:rPr>
        <w:t> </w:t>
      </w:r>
      <w:r>
        <w:rPr/>
        <w:t>日，公司第四届董事会第二十次会议审议通过了《关于调整股票期权激励计划股票期权数量和行权价格的议案》，公</w:t>
      </w:r>
    </w:p>
    <w:p>
      <w:pPr>
        <w:pStyle w:val="BodyText"/>
        <w:spacing w:line="319" w:lineRule="auto" w:before="19"/>
        <w:ind w:right="102"/>
        <w:jc w:val="both"/>
      </w:pPr>
      <w:r>
        <w:rPr/>
        <w:t>司因实施 </w:t>
      </w:r>
      <w:r>
        <w:rPr>
          <w:rFonts w:ascii="宋体" w:hAnsi="宋体" w:cs="宋体" w:eastAsia="宋体" w:hint="default"/>
        </w:rPr>
        <w:t>2011 </w:t>
      </w:r>
      <w:r>
        <w:rPr/>
        <w:t>年度利润分配方案，股票期权数量调整为 </w:t>
      </w:r>
      <w:r>
        <w:rPr>
          <w:rFonts w:ascii="宋体" w:hAnsi="宋体" w:cs="宋体" w:eastAsia="宋体" w:hint="default"/>
        </w:rPr>
        <w:t>1,526.07 </w:t>
      </w:r>
      <w:r>
        <w:rPr>
          <w:spacing w:val="-3"/>
        </w:rPr>
        <w:t>万份。行权价格调整为 </w:t>
      </w:r>
      <w:r>
        <w:rPr>
          <w:rFonts w:ascii="宋体" w:hAnsi="宋体" w:cs="宋体" w:eastAsia="宋体" w:hint="default"/>
        </w:rPr>
        <w:t>16.45</w:t>
      </w:r>
      <w:r>
        <w:rPr>
          <w:rFonts w:ascii="宋体" w:hAnsi="宋体" w:cs="宋体" w:eastAsia="宋体" w:hint="default"/>
          <w:spacing w:val="-8"/>
        </w:rPr>
        <w:t> </w:t>
      </w:r>
      <w:r>
        <w:rPr>
          <w:spacing w:val="-3"/>
        </w:rPr>
        <w:t>元。</w:t>
      </w:r>
      <w:r>
        <w:rPr>
          <w:rFonts w:ascii="宋体" w:hAnsi="宋体" w:cs="宋体" w:eastAsia="宋体" w:hint="default"/>
          <w:spacing w:val="-3"/>
        </w:rPr>
        <w:t>2013</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22</w:t>
      </w:r>
      <w:r>
        <w:rPr>
          <w:spacing w:val="-3"/>
        </w:rPr>
        <w:t>日，公</w:t>
      </w:r>
      <w:r>
        <w:rPr/>
        <w:t> </w:t>
      </w:r>
      <w:r>
        <w:rPr>
          <w:spacing w:val="-2"/>
        </w:rPr>
        <w:t>司第四届董事会第二十七次会议审议通过了《关于调整股票期权激励计划激励对象、期权数量及行权价格的议案》，</w:t>
      </w:r>
      <w:r>
        <w:rPr>
          <w:rFonts w:ascii="宋体" w:hAnsi="宋体" w:cs="宋体" w:eastAsia="宋体" w:hint="default"/>
          <w:spacing w:val="-2"/>
        </w:rPr>
        <w:t>16</w:t>
      </w:r>
      <w:r>
        <w:rPr>
          <w:spacing w:val="-2"/>
        </w:rPr>
        <w:t>名原</w:t>
      </w:r>
      <w:r>
        <w:rPr>
          <w:spacing w:val="-63"/>
        </w:rPr>
        <w:t> </w:t>
      </w:r>
      <w:r>
        <w:rPr/>
        <w:t>激励对象因个人原因离职，公司对激励对象进行相应的调整，激励对象由</w:t>
      </w:r>
      <w:r>
        <w:rPr>
          <w:rFonts w:ascii="宋体" w:hAnsi="宋体" w:cs="宋体" w:eastAsia="宋体" w:hint="default"/>
        </w:rPr>
        <w:t>361</w:t>
      </w:r>
      <w:r>
        <w:rPr/>
        <w:t>名调整为</w:t>
      </w:r>
      <w:r>
        <w:rPr>
          <w:rFonts w:ascii="宋体" w:hAnsi="宋体" w:cs="宋体" w:eastAsia="宋体" w:hint="default"/>
        </w:rPr>
        <w:t>345</w:t>
      </w:r>
      <w:r>
        <w:rPr/>
        <w:t>名，授予期权数量由</w:t>
      </w:r>
      <w:r>
        <w:rPr>
          <w:rFonts w:ascii="宋体" w:hAnsi="宋体" w:cs="宋体" w:eastAsia="宋体" w:hint="default"/>
        </w:rPr>
        <w:t>1526.07</w:t>
      </w:r>
      <w:r>
        <w:rPr/>
        <w:t>万份</w:t>
      </w:r>
      <w:r>
        <w:rPr>
          <w:spacing w:val="-82"/>
        </w:rPr>
        <w:t> </w:t>
      </w:r>
      <w:r>
        <w:rPr>
          <w:spacing w:val="-2"/>
        </w:rPr>
        <w:t>变更为</w:t>
      </w:r>
      <w:r>
        <w:rPr>
          <w:rFonts w:ascii="宋体" w:hAnsi="宋体" w:cs="宋体" w:eastAsia="宋体" w:hint="default"/>
          <w:spacing w:val="-2"/>
        </w:rPr>
        <w:t>1463.67</w:t>
      </w:r>
      <w:r>
        <w:rPr>
          <w:spacing w:val="-2"/>
        </w:rPr>
        <w:t>万份。同时，公司因实施</w:t>
      </w:r>
      <w:r>
        <w:rPr>
          <w:rFonts w:ascii="宋体" w:hAnsi="宋体" w:cs="宋体" w:eastAsia="宋体" w:hint="default"/>
          <w:spacing w:val="-2"/>
        </w:rPr>
        <w:t>2012</w:t>
      </w:r>
      <w:r>
        <w:rPr>
          <w:spacing w:val="-2"/>
        </w:rPr>
        <w:t>年度利润分配方案，股票期权行权价格调整为</w:t>
      </w:r>
      <w:r>
        <w:rPr>
          <w:rFonts w:ascii="宋体" w:hAnsi="宋体" w:cs="宋体" w:eastAsia="宋体" w:hint="default"/>
          <w:spacing w:val="-2"/>
        </w:rPr>
        <w:t>16.25</w:t>
      </w:r>
      <w:r>
        <w:rPr>
          <w:spacing w:val="-2"/>
        </w:rPr>
        <w:t>元。</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28</w:t>
      </w:r>
      <w:r>
        <w:rPr>
          <w:spacing w:val="-2"/>
        </w:rPr>
        <w:t>日，公司</w:t>
      </w:r>
      <w:r>
        <w:rPr>
          <w:spacing w:val="-42"/>
        </w:rPr>
        <w:t> </w:t>
      </w:r>
      <w:r>
        <w:rPr>
          <w:spacing w:val="-42"/>
        </w:rPr>
      </w:r>
      <w:r>
        <w:rPr>
          <w:spacing w:val="-2"/>
        </w:rPr>
        <w:t>第四届董事会第三十一次会议审议通过了《关于调整股票期权激励计划激励对象和期权数量的议案》，因</w:t>
      </w:r>
      <w:r>
        <w:rPr>
          <w:rFonts w:ascii="宋体" w:hAnsi="宋体" w:cs="宋体" w:eastAsia="宋体" w:hint="default"/>
          <w:spacing w:val="-2"/>
        </w:rPr>
        <w:t>1</w:t>
      </w:r>
      <w:r>
        <w:rPr>
          <w:spacing w:val="-2"/>
        </w:rPr>
        <w:t>名激励对象离职，</w:t>
      </w:r>
    </w:p>
    <w:p>
      <w:pPr>
        <w:spacing w:after="0" w:line="319" w:lineRule="auto"/>
        <w:jc w:val="both"/>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87"/>
        <w:jc w:val="left"/>
        <w:rPr>
          <w:rFonts w:ascii="宋体" w:hAnsi="宋体" w:cs="宋体" w:eastAsia="宋体" w:hint="default"/>
        </w:rPr>
      </w:pPr>
      <w:r>
        <w:rPr>
          <w:rFonts w:ascii="宋体" w:hAnsi="宋体" w:cs="宋体" w:eastAsia="宋体" w:hint="default"/>
          <w:spacing w:val="-2"/>
        </w:rPr>
        <w:t>1</w:t>
      </w:r>
      <w:r>
        <w:rPr>
          <w:spacing w:val="-2"/>
        </w:rPr>
        <w:t>名激励对象考核不合格，不再满足成为激励对象的条件，公司对激励对象进行相应的调整，激励对象由</w:t>
      </w:r>
      <w:r>
        <w:rPr>
          <w:rFonts w:ascii="宋体" w:hAnsi="宋体" w:cs="宋体" w:eastAsia="宋体" w:hint="default"/>
          <w:spacing w:val="-2"/>
        </w:rPr>
        <w:t>345</w:t>
      </w:r>
      <w:r>
        <w:rPr>
          <w:spacing w:val="-2"/>
        </w:rPr>
        <w:t>名调整为</w:t>
      </w:r>
      <w:r>
        <w:rPr>
          <w:rFonts w:ascii="宋体" w:hAnsi="宋体" w:cs="宋体" w:eastAsia="宋体" w:hint="default"/>
          <w:spacing w:val="-2"/>
        </w:rPr>
        <w:t>343</w:t>
      </w:r>
      <w:r>
        <w:rPr>
          <w:spacing w:val="-2"/>
        </w:rPr>
        <w:t>名，</w:t>
      </w:r>
      <w:r>
        <w:rPr>
          <w:spacing w:val="-58"/>
        </w:rPr>
        <w:t> </w:t>
      </w:r>
      <w:r>
        <w:rPr>
          <w:spacing w:val="-2"/>
        </w:rPr>
        <w:t>期权数量由</w:t>
      </w:r>
      <w:r>
        <w:rPr>
          <w:rFonts w:ascii="宋体" w:hAnsi="宋体" w:cs="宋体" w:eastAsia="宋体" w:hint="default"/>
          <w:spacing w:val="-2"/>
        </w:rPr>
        <w:t>1463.67</w:t>
      </w:r>
      <w:r>
        <w:rPr>
          <w:spacing w:val="-2"/>
        </w:rPr>
        <w:t>万份调整为</w:t>
      </w:r>
      <w:r>
        <w:rPr>
          <w:rFonts w:ascii="宋体" w:hAnsi="宋体" w:cs="宋体" w:eastAsia="宋体" w:hint="default"/>
          <w:spacing w:val="-2"/>
        </w:rPr>
        <w:t>1455.87</w:t>
      </w:r>
      <w:r>
        <w:rPr>
          <w:spacing w:val="-2"/>
        </w:rPr>
        <w:t>万份。同时，审议通过了《关于股票期权激励计划第一个行权期可行权的议案》。根</w:t>
      </w:r>
      <w:r>
        <w:rPr>
          <w:spacing w:val="-52"/>
        </w:rPr>
        <w:t> </w:t>
      </w:r>
      <w:r>
        <w:rPr>
          <w:spacing w:val="-52"/>
        </w:rPr>
      </w:r>
      <w:r>
        <w:rPr>
          <w:spacing w:val="-2"/>
        </w:rPr>
        <w:t>据《东华软件股份公司股票期权激励计划（修订稿）》的有关规定，第一个行权期已满足行权条件，激励对象在第一个行权</w:t>
      </w:r>
      <w:r>
        <w:rPr>
          <w:spacing w:val="-68"/>
        </w:rPr>
        <w:t> </w:t>
      </w:r>
      <w:r>
        <w:rPr>
          <w:spacing w:val="-68"/>
        </w:rPr>
      </w:r>
      <w:r>
        <w:rPr>
          <w:spacing w:val="-11"/>
        </w:rPr>
        <w:t>期内（自授权日起</w:t>
      </w:r>
      <w:r>
        <w:rPr/>
        <w:t> </w:t>
      </w:r>
      <w:r>
        <w:rPr>
          <w:rFonts w:ascii="宋体" w:hAnsi="宋体" w:cs="宋体" w:eastAsia="宋体" w:hint="default"/>
        </w:rPr>
        <w:t>12 </w:t>
      </w:r>
      <w:r>
        <w:rPr/>
        <w:t>月后的首个交易日起至授权日起 </w:t>
      </w:r>
      <w:r>
        <w:rPr>
          <w:rFonts w:ascii="宋体" w:hAnsi="宋体" w:cs="宋体" w:eastAsia="宋体" w:hint="default"/>
        </w:rPr>
        <w:t>24 </w:t>
      </w:r>
      <w:r>
        <w:rPr>
          <w:spacing w:val="-6"/>
        </w:rPr>
        <w:t>个月内的最后一个交易日当日止，即</w:t>
      </w:r>
      <w:r>
        <w:rPr/>
        <w:t> </w:t>
      </w:r>
      <w:r>
        <w:rPr>
          <w:rFonts w:ascii="宋体" w:hAnsi="宋体" w:cs="宋体" w:eastAsia="宋体" w:hint="default"/>
        </w:rPr>
        <w:t>2013 </w:t>
      </w:r>
      <w:r>
        <w:rPr/>
        <w:t>年 </w:t>
      </w:r>
      <w:r>
        <w:rPr>
          <w:rFonts w:ascii="宋体" w:hAnsi="宋体" w:cs="宋体" w:eastAsia="宋体" w:hint="default"/>
        </w:rPr>
        <w:t>1</w:t>
      </w:r>
      <w:r>
        <w:rPr/>
        <w:t>月 </w:t>
      </w:r>
      <w:r>
        <w:rPr>
          <w:rFonts w:ascii="宋体" w:hAnsi="宋体" w:cs="宋体" w:eastAsia="宋体" w:hint="default"/>
        </w:rPr>
        <w:t>18 </w:t>
      </w:r>
      <w:r>
        <w:rPr/>
        <w:t>日至</w:t>
      </w:r>
      <w:r>
        <w:rPr>
          <w:spacing w:val="10"/>
        </w:rPr>
        <w:t> </w:t>
      </w:r>
      <w:r>
        <w:rPr>
          <w:rFonts w:ascii="宋体" w:hAnsi="宋体" w:cs="宋体" w:eastAsia="宋体" w:hint="default"/>
        </w:rPr>
        <w:t>2014</w:t>
      </w:r>
    </w:p>
    <w:p>
      <w:pPr>
        <w:pStyle w:val="BodyText"/>
        <w:spacing w:line="316" w:lineRule="auto" w:before="19"/>
        <w:ind w:right="92"/>
        <w:jc w:val="left"/>
      </w:pPr>
      <w:r>
        <w:rPr/>
        <w:t>年 </w:t>
      </w:r>
      <w:r>
        <w:rPr>
          <w:rFonts w:ascii="宋体" w:hAnsi="宋体" w:cs="宋体" w:eastAsia="宋体" w:hint="default"/>
        </w:rPr>
        <w:t>1 </w:t>
      </w:r>
      <w:r>
        <w:rPr/>
        <w:t>月 </w:t>
      </w:r>
      <w:r>
        <w:rPr>
          <w:rFonts w:ascii="宋体" w:hAnsi="宋体" w:cs="宋体" w:eastAsia="宋体" w:hint="default"/>
        </w:rPr>
        <w:t>17 </w:t>
      </w:r>
      <w:r>
        <w:rPr/>
        <w:t>日止）可行权总数量为 </w:t>
      </w:r>
      <w:r>
        <w:rPr>
          <w:rFonts w:ascii="宋体" w:hAnsi="宋体" w:cs="宋体" w:eastAsia="宋体" w:hint="default"/>
        </w:rPr>
        <w:t>436.761</w:t>
      </w:r>
      <w:r>
        <w:rPr>
          <w:rFonts w:ascii="宋体" w:hAnsi="宋体" w:cs="宋体" w:eastAsia="宋体" w:hint="default"/>
          <w:spacing w:val="6"/>
        </w:rPr>
        <w:t> </w:t>
      </w:r>
      <w:r>
        <w:rPr/>
        <w:t>万份，并不在不得行权期行权。</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21</w:t>
      </w:r>
      <w:r>
        <w:rPr/>
        <w:t>日，公司第四届董事会第三十八 </w:t>
      </w:r>
      <w:r>
        <w:rPr>
          <w:spacing w:val="-2"/>
        </w:rPr>
        <w:t>次会议审议通过了《关于股票期权激励计划第二个行权期可行权的议案》。根据《东华软件股份公司股票期权激励计划（修</w:t>
      </w:r>
      <w:r>
        <w:rPr>
          <w:spacing w:val="-66"/>
        </w:rPr>
        <w:t> </w:t>
      </w:r>
      <w:r>
        <w:rPr>
          <w:spacing w:val="-66"/>
        </w:rPr>
      </w:r>
      <w:r>
        <w:rPr/>
        <w:t>订稿）》的有关规定，第二个行权期已满足行权条件，激励对象在第二个行权期内（自授权日起</w:t>
      </w:r>
      <w:r>
        <w:rPr>
          <w:rFonts w:ascii="宋体" w:hAnsi="宋体" w:cs="宋体" w:eastAsia="宋体" w:hint="default"/>
        </w:rPr>
        <w:t>24 </w:t>
      </w:r>
      <w:r>
        <w:rPr/>
        <w:t>月后的首个交易日起至</w:t>
      </w:r>
      <w:r>
        <w:rPr>
          <w:spacing w:val="-82"/>
        </w:rPr>
        <w:t> </w:t>
      </w:r>
      <w:r>
        <w:rPr>
          <w:spacing w:val="-82"/>
        </w:rPr>
      </w:r>
      <w:r>
        <w:rPr/>
        <w:t>授权日起 </w:t>
      </w:r>
      <w:r>
        <w:rPr>
          <w:rFonts w:ascii="宋体" w:hAnsi="宋体" w:cs="宋体" w:eastAsia="宋体" w:hint="default"/>
        </w:rPr>
        <w:t>36 </w:t>
      </w:r>
      <w:r>
        <w:rPr>
          <w:spacing w:val="-6"/>
        </w:rPr>
        <w:t>个月内的最后一个交易日当日止，即</w:t>
      </w:r>
      <w:r>
        <w:rPr/>
        <w:t> </w:t>
      </w:r>
      <w:r>
        <w:rPr>
          <w:rFonts w:ascii="宋体" w:hAnsi="宋体" w:cs="宋体" w:eastAsia="宋体" w:hint="default"/>
        </w:rPr>
        <w:t>2014 </w:t>
      </w:r>
      <w:r>
        <w:rPr/>
        <w:t>年 </w:t>
      </w:r>
      <w:r>
        <w:rPr>
          <w:rFonts w:ascii="宋体" w:hAnsi="宋体" w:cs="宋体" w:eastAsia="宋体" w:hint="default"/>
        </w:rPr>
        <w:t>1</w:t>
      </w:r>
      <w:r>
        <w:rPr/>
        <w:t>月 </w:t>
      </w:r>
      <w:r>
        <w:rPr>
          <w:rFonts w:ascii="宋体" w:hAnsi="宋体" w:cs="宋体" w:eastAsia="宋体" w:hint="default"/>
        </w:rPr>
        <w:t>18 </w:t>
      </w:r>
      <w:r>
        <w:rPr/>
        <w:t>日至 </w:t>
      </w:r>
      <w:r>
        <w:rPr>
          <w:rFonts w:ascii="宋体" w:hAnsi="宋体" w:cs="宋体" w:eastAsia="宋体" w:hint="default"/>
        </w:rPr>
        <w:t>2015 </w:t>
      </w:r>
      <w:r>
        <w:rPr/>
        <w:t>年 </w:t>
      </w:r>
      <w:r>
        <w:rPr>
          <w:rFonts w:ascii="宋体" w:hAnsi="宋体" w:cs="宋体" w:eastAsia="宋体" w:hint="default"/>
        </w:rPr>
        <w:t>1 </w:t>
      </w:r>
      <w:r>
        <w:rPr/>
        <w:t>月 </w:t>
      </w:r>
      <w:r>
        <w:rPr>
          <w:rFonts w:ascii="宋体" w:hAnsi="宋体" w:cs="宋体" w:eastAsia="宋体" w:hint="default"/>
        </w:rPr>
        <w:t>17 </w:t>
      </w:r>
      <w:r>
        <w:rPr>
          <w:spacing w:val="-9"/>
        </w:rPr>
        <w:t>日止）可行权总数量为</w:t>
      </w:r>
      <w:r>
        <w:rPr>
          <w:spacing w:val="11"/>
        </w:rPr>
        <w:t> </w:t>
      </w:r>
      <w:r>
        <w:rPr>
          <w:rFonts w:ascii="宋体" w:hAnsi="宋体" w:cs="宋体" w:eastAsia="宋体" w:hint="default"/>
        </w:rPr>
        <w:t>426.426 </w:t>
      </w:r>
      <w:r>
        <w:rPr/>
        <w:t>万份，并不在不得行权期行权。</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27</w:t>
      </w:r>
      <w:r>
        <w:rPr/>
        <w:t>日，公司第五届董事会第十一次会议审议通过了《关于调整股票期权激励计划</w:t>
      </w:r>
      <w:r>
        <w:rPr>
          <w:spacing w:val="-83"/>
        </w:rPr>
        <w:t> </w:t>
      </w:r>
      <w:r>
        <w:rPr>
          <w:spacing w:val="-83"/>
        </w:rPr>
      </w:r>
      <w:r>
        <w:rPr>
          <w:spacing w:val="-2"/>
        </w:rPr>
        <w:t>股票期权数量及行权价格的议案》，公司因实施</w:t>
      </w:r>
      <w:r>
        <w:rPr>
          <w:rFonts w:ascii="宋体" w:hAnsi="宋体" w:cs="宋体" w:eastAsia="宋体" w:hint="default"/>
          <w:spacing w:val="-2"/>
        </w:rPr>
        <w:t>2013</w:t>
      </w:r>
      <w:r>
        <w:rPr>
          <w:spacing w:val="-2"/>
        </w:rPr>
        <w:t>年度利润分配方案，股票期权数量调整为</w:t>
      </w:r>
      <w:r>
        <w:rPr>
          <w:rFonts w:ascii="宋体" w:hAnsi="宋体" w:cs="宋体" w:eastAsia="宋体" w:hint="default"/>
          <w:spacing w:val="-2"/>
        </w:rPr>
        <w:t>1185.366</w:t>
      </w:r>
      <w:r>
        <w:rPr>
          <w:spacing w:val="-2"/>
        </w:rPr>
        <w:t>万份，行权价格调整</w:t>
      </w:r>
      <w:r>
        <w:rPr>
          <w:spacing w:val="-54"/>
        </w:rPr>
        <w:t> </w:t>
      </w:r>
      <w:r>
        <w:rPr>
          <w:spacing w:val="-54"/>
        </w:rPr>
      </w:r>
      <w:r>
        <w:rPr/>
        <w:t>为</w:t>
      </w:r>
      <w:r>
        <w:rPr>
          <w:rFonts w:ascii="宋体" w:hAnsi="宋体" w:cs="宋体" w:eastAsia="宋体" w:hint="default"/>
        </w:rPr>
        <w:t>8.03</w:t>
      </w:r>
      <w:r>
        <w:rPr/>
        <w:t>元。公司股票期权激励计划部分原激励对象因个人原因离职、业绩考核不合格，其已不再满足成为激励对象的条件， </w:t>
      </w:r>
      <w:r>
        <w:rPr>
          <w:spacing w:val="-2"/>
        </w:rPr>
        <w:t>因此公司根据《股权激励计划（草案）修订稿》的相关规定，对本次激励对象和期权数量做出相应调整，调整后公司股票期</w:t>
      </w:r>
      <w:r>
        <w:rPr>
          <w:spacing w:val="-68"/>
        </w:rPr>
        <w:t> </w:t>
      </w:r>
      <w:r>
        <w:rPr>
          <w:spacing w:val="-68"/>
        </w:rPr>
      </w:r>
      <w:r>
        <w:rPr/>
        <w:t>权的激励对象调整为 </w:t>
      </w:r>
      <w:r>
        <w:rPr>
          <w:rFonts w:ascii="宋体" w:hAnsi="宋体" w:cs="宋体" w:eastAsia="宋体" w:hint="default"/>
        </w:rPr>
        <w:t>335 </w:t>
      </w:r>
      <w:r>
        <w:rPr/>
        <w:t>名，已授予未行权的数量调整为 </w:t>
      </w:r>
      <w:r>
        <w:rPr>
          <w:rFonts w:ascii="宋体" w:hAnsi="宋体" w:cs="宋体" w:eastAsia="宋体" w:hint="default"/>
        </w:rPr>
        <w:t>1132.456 </w:t>
      </w:r>
      <w:r>
        <w:rPr/>
        <w:t>万份。</w:t>
      </w:r>
      <w:r>
        <w:rPr>
          <w:spacing w:val="5"/>
        </w:rPr>
        <w:t>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20</w:t>
      </w:r>
      <w:r>
        <w:rPr/>
        <w:t>日，公司第五届董事会第十五次 </w:t>
      </w:r>
      <w:r>
        <w:rPr>
          <w:spacing w:val="-2"/>
        </w:rPr>
        <w:t>会议审议通过了《关于股票期权激励计划第三个行权期可行权的议案》。根据《东华软件股份公司股票期权激励计划（修订</w:t>
      </w:r>
      <w:r>
        <w:rPr>
          <w:spacing w:val="-66"/>
        </w:rPr>
        <w:t> </w:t>
      </w:r>
      <w:r>
        <w:rPr>
          <w:spacing w:val="-66"/>
        </w:rPr>
      </w:r>
      <w:r>
        <w:rPr/>
        <w:t>稿）》的有关规定，第三个行权期已满足行权条件，公司股权激励计划</w:t>
      </w:r>
      <w:r>
        <w:rPr>
          <w:rFonts w:ascii="宋体" w:hAnsi="宋体" w:cs="宋体" w:eastAsia="宋体" w:hint="default"/>
        </w:rPr>
        <w:t>335</w:t>
      </w:r>
      <w:r>
        <w:rPr/>
        <w:t>名激励对象在公司的第三个行权期内（自授权日</w:t>
      </w:r>
      <w:r>
        <w:rPr>
          <w:spacing w:val="-82"/>
        </w:rPr>
        <w:t> </w:t>
      </w:r>
      <w:r>
        <w:rPr>
          <w:spacing w:val="-82"/>
        </w:rPr>
      </w:r>
      <w:r>
        <w:rPr>
          <w:spacing w:val="-2"/>
        </w:rPr>
        <w:t>起</w:t>
      </w:r>
      <w:r>
        <w:rPr>
          <w:rFonts w:ascii="宋体" w:hAnsi="宋体" w:cs="宋体" w:eastAsia="宋体" w:hint="default"/>
          <w:spacing w:val="-2"/>
        </w:rPr>
        <w:t>36</w:t>
      </w:r>
      <w:r>
        <w:rPr>
          <w:spacing w:val="-2"/>
        </w:rPr>
        <w:t>月后的首个交易日起至授权日起</w:t>
      </w:r>
      <w:r>
        <w:rPr>
          <w:rFonts w:ascii="宋体" w:hAnsi="宋体" w:cs="宋体" w:eastAsia="宋体" w:hint="default"/>
          <w:spacing w:val="-2"/>
        </w:rPr>
        <w:t>48</w:t>
      </w:r>
      <w:r>
        <w:rPr>
          <w:spacing w:val="-2"/>
        </w:rPr>
        <w:t>个月内的最后一个交易日当日止，即</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日至</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17</w:t>
      </w:r>
      <w:r>
        <w:rPr>
          <w:spacing w:val="-2"/>
        </w:rPr>
        <w:t>日止）可行权总数</w:t>
      </w:r>
      <w:r>
        <w:rPr>
          <w:spacing w:val="-46"/>
        </w:rPr>
        <w:t> </w:t>
      </w:r>
      <w:r>
        <w:rPr>
          <w:spacing w:val="-46"/>
        </w:rPr>
      </w:r>
      <w:r>
        <w:rPr/>
        <w:t>量为</w:t>
      </w:r>
      <w:r>
        <w:rPr>
          <w:rFonts w:ascii="宋体" w:hAnsi="宋体" w:cs="宋体" w:eastAsia="宋体" w:hint="default"/>
        </w:rPr>
        <w:t>566.228</w:t>
      </w:r>
      <w:r>
        <w:rPr/>
        <w:t>万份，并不在不得行权期行权。</w:t>
      </w:r>
    </w:p>
    <w:p>
      <w:pPr>
        <w:pStyle w:val="BodyText"/>
        <w:spacing w:line="240" w:lineRule="auto" w:before="139"/>
        <w:ind w:left="514" w:right="87"/>
        <w:jc w:val="left"/>
      </w:pPr>
      <w:r>
        <w:rPr/>
        <w:t>截止本报告日，公司股权激励第一期、第二期激励对象均已行权完毕，第三期激励对象已行权</w:t>
      </w:r>
      <w:r>
        <w:rPr>
          <w:rFonts w:ascii="宋体" w:hAnsi="宋体" w:cs="宋体" w:eastAsia="宋体" w:hint="default"/>
        </w:rPr>
        <w:t>333</w:t>
      </w:r>
      <w:r>
        <w:rPr/>
        <w:t>名。</w:t>
      </w:r>
    </w:p>
    <w:p>
      <w:pPr>
        <w:spacing w:line="240" w:lineRule="auto" w:before="12"/>
        <w:rPr>
          <w:rFonts w:ascii="宋体" w:hAnsi="宋体" w:cs="宋体" w:eastAsia="宋体" w:hint="default"/>
          <w:sz w:val="26"/>
          <w:szCs w:val="26"/>
        </w:rPr>
      </w:pPr>
    </w:p>
    <w:p>
      <w:pPr>
        <w:pStyle w:val="Heading3"/>
        <w:spacing w:line="240" w:lineRule="auto"/>
        <w:ind w:right="87"/>
        <w:jc w:val="left"/>
        <w:rPr>
          <w:b w:val="0"/>
          <w:bCs w:val="0"/>
        </w:rPr>
      </w:pPr>
      <w:r>
        <w:rPr>
          <w:rFonts w:ascii="宋体" w:hAnsi="宋体" w:cs="宋体" w:eastAsia="宋体" w:hint="default"/>
        </w:rPr>
        <w:t>3</w:t>
      </w:r>
      <w:r>
        <w:rPr/>
        <w:t>、以现金结算的股份支付情况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87"/>
        <w:jc w:val="left"/>
      </w:pPr>
      <w:r>
        <w:rPr/>
        <w:t>□ 适用 √ 不适用</w:t>
      </w:r>
    </w:p>
    <w:p>
      <w:pPr>
        <w:spacing w:line="240" w:lineRule="auto" w:before="10"/>
        <w:rPr>
          <w:rFonts w:ascii="宋体" w:hAnsi="宋体" w:cs="宋体" w:eastAsia="宋体" w:hint="default"/>
          <w:sz w:val="26"/>
          <w:szCs w:val="26"/>
        </w:rPr>
      </w:pPr>
    </w:p>
    <w:p>
      <w:pPr>
        <w:spacing w:line="578" w:lineRule="auto" w:before="0"/>
        <w:ind w:left="154" w:right="513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本报告期未发生股份支付修改、终止情况详见上述（一）。 </w:t>
      </w:r>
      <w:r>
        <w:rPr>
          <w:rFonts w:ascii="宋体" w:hAnsi="宋体" w:cs="宋体" w:eastAsia="宋体"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240" w:lineRule="auto" w:before="19"/>
        <w:ind w:right="87"/>
        <w:jc w:val="left"/>
        <w:rPr>
          <w:b w:val="0"/>
          <w:bCs w:val="0"/>
        </w:rPr>
      </w:pP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7"/>
        <w:jc w:val="left"/>
        <w:rPr>
          <w:b w:val="0"/>
          <w:bCs w:val="0"/>
        </w:rPr>
      </w:pPr>
      <w:r>
        <w:rPr>
          <w:rFonts w:ascii="宋体" w:hAnsi="宋体" w:cs="宋体" w:eastAsia="宋体" w:hint="default"/>
        </w:rPr>
        <w:t>1</w:t>
      </w:r>
      <w:r>
        <w:rPr/>
        <w:t>、重要承诺事项</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87"/>
        <w:jc w:val="left"/>
      </w:pPr>
      <w:r>
        <w:rPr/>
        <w:t>无</w:t>
      </w:r>
    </w:p>
    <w:p>
      <w:pPr>
        <w:spacing w:line="240" w:lineRule="auto" w:before="12"/>
        <w:rPr>
          <w:rFonts w:ascii="宋体" w:hAnsi="宋体" w:cs="宋体" w:eastAsia="宋体" w:hint="default"/>
          <w:sz w:val="26"/>
          <w:szCs w:val="26"/>
        </w:rPr>
      </w:pPr>
    </w:p>
    <w:p>
      <w:pPr>
        <w:pStyle w:val="Heading3"/>
        <w:spacing w:line="240" w:lineRule="auto"/>
        <w:ind w:right="87"/>
        <w:jc w:val="left"/>
        <w:rPr>
          <w:b w:val="0"/>
          <w:bCs w:val="0"/>
        </w:rPr>
      </w:pPr>
      <w:r>
        <w:rPr>
          <w:rFonts w:ascii="宋体" w:hAnsi="宋体" w:cs="宋体" w:eastAsia="宋体" w:hint="default"/>
        </w:rPr>
        <w:t>2</w:t>
      </w:r>
      <w:r>
        <w:rPr/>
        <w:t>、或有事项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87"/>
        <w:jc w:val="left"/>
        <w:rPr>
          <w:b w:val="0"/>
          <w:bCs w:val="0"/>
        </w:rPr>
      </w:pPr>
      <w:r>
        <w:rPr/>
        <w:t>（</w:t>
      </w:r>
      <w:r>
        <w:rPr>
          <w:rFonts w:ascii="宋体" w:hAnsi="宋体" w:cs="宋体" w:eastAsia="宋体" w:hint="default"/>
        </w:rPr>
        <w:t>1</w:t>
      </w:r>
      <w:r>
        <w:rPr/>
        <w:t>）资产负债表日存在的重要或有事项</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87"/>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日，本公司不存在应披露的重要的未决诉讼、对外担保等或有事项。</w:t>
      </w:r>
    </w:p>
    <w:p>
      <w:pPr>
        <w:spacing w:line="240" w:lineRule="auto" w:before="12"/>
        <w:rPr>
          <w:rFonts w:ascii="宋体" w:hAnsi="宋体" w:cs="宋体" w:eastAsia="宋体" w:hint="default"/>
          <w:sz w:val="26"/>
          <w:szCs w:val="26"/>
        </w:rPr>
      </w:pPr>
    </w:p>
    <w:p>
      <w:pPr>
        <w:pStyle w:val="Heading3"/>
        <w:spacing w:line="240" w:lineRule="auto"/>
        <w:ind w:right="87"/>
        <w:jc w:val="left"/>
        <w:rPr>
          <w:b w:val="0"/>
          <w:bCs w:val="0"/>
        </w:rPr>
      </w:pPr>
      <w:r>
        <w:rPr/>
        <w:t>（</w:t>
      </w:r>
      <w:r>
        <w:rPr>
          <w:rFonts w:ascii="宋体" w:hAnsi="宋体" w:cs="宋体" w:eastAsia="宋体" w:hint="default"/>
        </w:rPr>
        <w:t>2</w:t>
      </w:r>
      <w:r>
        <w:rPr/>
        <w:t>）公司没有需要披露的重要或有事项，也应予以说明</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87"/>
        <w:jc w:val="left"/>
      </w:pPr>
      <w:r>
        <w:rPr/>
        <w:t>公司不存在需要披露的重要或有事项。</w:t>
      </w:r>
    </w:p>
    <w:p>
      <w:pPr>
        <w:spacing w:after="0" w:line="240" w:lineRule="auto"/>
        <w:jc w:val="left"/>
        <w:sectPr>
          <w:pgSz w:w="11910" w:h="16840"/>
          <w:pgMar w:header="747" w:footer="979" w:top="1060" w:bottom="1160" w:left="980" w:right="940"/>
        </w:sectPr>
      </w:pPr>
    </w:p>
    <w:p>
      <w:pPr>
        <w:spacing w:line="240" w:lineRule="auto" w:before="9"/>
        <w:rPr>
          <w:rFonts w:ascii="宋体" w:hAnsi="宋体" w:cs="宋体" w:eastAsia="宋体" w:hint="default"/>
          <w:sz w:val="24"/>
          <w:szCs w:val="24"/>
        </w:rPr>
      </w:pPr>
    </w:p>
    <w:p>
      <w:pPr>
        <w:spacing w:line="501" w:lineRule="auto" w:before="35"/>
        <w:ind w:left="154" w:right="635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35"/>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、利润分配情况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14" w:right="0"/>
        <w:jc w:val="left"/>
      </w:pPr>
      <w:r>
        <w:rPr/>
        <w:t>拟以公司权益分派登记日的公司股本为股份基数（注：公司自</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6"/>
        </w:rPr>
        <w:t> </w:t>
      </w:r>
      <w:r>
        <w:rPr>
          <w:rFonts w:ascii="宋体" w:hAnsi="宋体" w:cs="宋体" w:eastAsia="宋体" w:hint="default"/>
        </w:rPr>
        <w:t>2</w:t>
      </w:r>
      <w:r>
        <w:rPr>
          <w:rFonts w:ascii="宋体" w:hAnsi="宋体" w:cs="宋体" w:eastAsia="宋体" w:hint="default"/>
          <w:spacing w:val="-45"/>
        </w:rPr>
        <w:t> </w:t>
      </w:r>
      <w:r>
        <w:rPr/>
        <w:t>月</w:t>
      </w:r>
      <w:r>
        <w:rPr>
          <w:spacing w:val="-45"/>
        </w:rPr>
        <w:t> </w:t>
      </w:r>
      <w:r>
        <w:rPr>
          <w:rFonts w:ascii="宋体" w:hAnsi="宋体" w:cs="宋体" w:eastAsia="宋体" w:hint="default"/>
        </w:rPr>
        <w:t>7</w:t>
      </w:r>
      <w:r>
        <w:rPr>
          <w:rFonts w:ascii="宋体" w:hAnsi="宋体" w:cs="宋体" w:eastAsia="宋体" w:hint="default"/>
          <w:spacing w:val="-45"/>
        </w:rPr>
        <w:t> </w:t>
      </w:r>
      <w:r>
        <w:rPr/>
        <w:t>日起进入可转债转股期，公司股本随转股</w:t>
      </w:r>
    </w:p>
    <w:p>
      <w:pPr>
        <w:pStyle w:val="BodyText"/>
        <w:spacing w:line="240" w:lineRule="auto" w:before="77"/>
        <w:ind w:right="0"/>
        <w:jc w:val="left"/>
      </w:pPr>
      <w:r>
        <w:rPr/>
        <w:t>数的增加随时发生变化），向全体股东每</w:t>
      </w:r>
      <w:r>
        <w:rPr>
          <w:spacing w:val="-46"/>
        </w:rPr>
        <w:t> </w:t>
      </w:r>
      <w:r>
        <w:rPr>
          <w:rFonts w:ascii="宋体" w:hAnsi="宋体" w:cs="宋体" w:eastAsia="宋体" w:hint="default"/>
        </w:rPr>
        <w:t>10</w:t>
      </w:r>
      <w:r>
        <w:rPr>
          <w:rFonts w:ascii="宋体" w:hAnsi="宋体" w:cs="宋体" w:eastAsia="宋体" w:hint="default"/>
          <w:spacing w:val="-46"/>
        </w:rPr>
        <w:t> </w:t>
      </w:r>
      <w:r>
        <w:rPr/>
        <w:t>股派发现金红利</w:t>
      </w:r>
      <w:r>
        <w:rPr>
          <w:spacing w:val="-46"/>
        </w:rPr>
        <w:t> </w:t>
      </w:r>
      <w:r>
        <w:rPr>
          <w:rFonts w:ascii="宋体" w:hAnsi="宋体" w:cs="宋体" w:eastAsia="宋体" w:hint="default"/>
        </w:rPr>
        <w:t>1.50</w:t>
      </w:r>
      <w:r>
        <w:rPr>
          <w:rFonts w:ascii="宋体" w:hAnsi="宋体" w:cs="宋体" w:eastAsia="宋体" w:hint="default"/>
          <w:spacing w:val="-46"/>
        </w:rPr>
        <w:t> </w:t>
      </w:r>
      <w:r>
        <w:rPr/>
        <w:t>元（含税）。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w:t>
      </w:r>
      <w:r>
        <w:rPr/>
        <w:t>、销售退回</w:t>
      </w:r>
      <w:r>
        <w:rPr>
          <w:b w:val="0"/>
          <w:bCs w:val="0"/>
        </w:rPr>
      </w:r>
    </w:p>
    <w:p>
      <w:pPr>
        <w:spacing w:line="240" w:lineRule="auto" w:before="11"/>
        <w:rPr>
          <w:rFonts w:ascii="宋体" w:hAnsi="宋体" w:cs="宋体" w:eastAsia="宋体" w:hint="default"/>
          <w:b/>
          <w:bCs/>
          <w:sz w:val="27"/>
          <w:szCs w:val="27"/>
        </w:rPr>
      </w:pPr>
    </w:p>
    <w:p>
      <w:pPr>
        <w:spacing w:line="578" w:lineRule="auto" w:before="0"/>
        <w:ind w:left="154" w:right="6715" w:firstLine="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74"/>
        <w:ind w:right="0"/>
        <w:jc w:val="left"/>
        <w:rPr>
          <w:b w:val="0"/>
          <w:bCs w:val="0"/>
        </w:rPr>
      </w:pPr>
      <w:r>
        <w:rPr/>
        <w:t>十六、其他重要事项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、前期会计差错更正</w:t>
      </w:r>
      <w:r>
        <w:rPr>
          <w:b w:val="0"/>
          <w:bCs w:val="0"/>
        </w:rPr>
      </w:r>
    </w:p>
    <w:p>
      <w:pPr>
        <w:spacing w:line="240" w:lineRule="auto" w:before="11"/>
        <w:rPr>
          <w:rFonts w:ascii="宋体" w:hAnsi="宋体" w:cs="宋体" w:eastAsia="宋体" w:hint="default"/>
          <w:b/>
          <w:bCs/>
          <w:sz w:val="27"/>
          <w:szCs w:val="27"/>
        </w:rPr>
      </w:pPr>
    </w:p>
    <w:p>
      <w:pPr>
        <w:spacing w:line="576" w:lineRule="auto" w:before="0"/>
        <w:ind w:left="154" w:right="8612"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00"/>
        <w:ind w:right="0"/>
        <w:jc w:val="left"/>
        <w:rPr>
          <w:b w:val="0"/>
          <w:bCs w:val="0"/>
        </w:rPr>
      </w:pPr>
      <w:r>
        <w:rPr>
          <w:rFonts w:ascii="宋体" w:hAnsi="宋体" w:cs="宋体" w:eastAsia="宋体" w:hint="default"/>
        </w:rPr>
        <w:t>3</w:t>
      </w:r>
      <w:r>
        <w:rPr/>
        <w:t>、资产置换</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）非货币性资产交换</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）其他资产置换</w:t>
      </w:r>
      <w:r>
        <w:rPr>
          <w:b w:val="0"/>
          <w:bCs w:val="0"/>
        </w:rPr>
      </w:r>
    </w:p>
    <w:p>
      <w:pPr>
        <w:spacing w:line="240" w:lineRule="auto" w:before="9"/>
        <w:rPr>
          <w:rFonts w:ascii="宋体" w:hAnsi="宋体" w:cs="宋体" w:eastAsia="宋体" w:hint="default"/>
          <w:b/>
          <w:bCs/>
          <w:sz w:val="27"/>
          <w:szCs w:val="27"/>
        </w:rPr>
      </w:pPr>
    </w:p>
    <w:p>
      <w:pPr>
        <w:spacing w:line="578" w:lineRule="auto" w:before="0"/>
        <w:ind w:left="154" w:right="8612" w:firstLine="0"/>
        <w:jc w:val="left"/>
        <w:rPr>
          <w:rFonts w:ascii="宋体" w:hAnsi="宋体" w:cs="宋体" w:eastAsia="宋体" w:hint="default"/>
          <w:sz w:val="18"/>
          <w:szCs w:val="18"/>
        </w:rPr>
      </w:pPr>
      <w:r>
        <w:rPr>
          <w:rFonts w:ascii="宋体" w:hAnsi="宋体" w:cs="宋体" w:eastAsia="宋体" w:hint="default"/>
          <w:sz w:val="18"/>
          <w:szCs w:val="18"/>
        </w:rPr>
        <w:t>无 </w:t>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7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宋体" w:hAnsi="宋体" w:cs="宋体" w:eastAsia="宋体" w:hint="default"/>
        </w:rPr>
        <w:t>5</w:t>
      </w:r>
      <w:r>
        <w:rPr/>
        <w:t>、终止经营</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6</w:t>
      </w:r>
      <w:r>
        <w:rPr/>
        <w:t>、分部信息</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7</w:t>
      </w:r>
      <w:r>
        <w:rPr/>
        <w:t>、其他对投资者决策有影响的重要交易和事项</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spacing w:line="501" w:lineRule="auto" w:before="0"/>
        <w:ind w:left="154" w:right="563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109"/>
        <w:ind w:right="0"/>
        <w:jc w:val="left"/>
        <w:rPr>
          <w:b w:val="0"/>
          <w:bCs w:val="0"/>
        </w:rPr>
      </w:pPr>
      <w:r>
        <w:rPr/>
        <w:t>（</w:t>
      </w:r>
      <w:r>
        <w:rPr>
          <w:rFonts w:ascii="宋体" w:hAnsi="宋体" w:cs="宋体" w:eastAsia="宋体" w:hint="default"/>
        </w:rPr>
        <w:t>1</w:t>
      </w:r>
      <w:r>
        <w:rPr/>
        <w:t>）应收账款分类披露</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2,317,8</w:t>
            </w:r>
          </w:p>
          <w:p>
            <w:pPr>
              <w:pStyle w:val="TableParagraph"/>
              <w:spacing w:line="240" w:lineRule="auto" w:before="76"/>
              <w:ind w:right="23"/>
              <w:jc w:val="right"/>
              <w:rPr>
                <w:rFonts w:ascii="宋体" w:hAnsi="宋体" w:cs="宋体" w:eastAsia="宋体" w:hint="default"/>
                <w:sz w:val="18"/>
                <w:szCs w:val="18"/>
              </w:rPr>
            </w:pPr>
            <w:r>
              <w:rPr>
                <w:rFonts w:ascii="宋体"/>
                <w:sz w:val="18"/>
              </w:rPr>
              <w:t>74,826.</w:t>
            </w:r>
          </w:p>
          <w:p>
            <w:pPr>
              <w:pStyle w:val="TableParagraph"/>
              <w:spacing w:line="240" w:lineRule="auto" w:before="77"/>
              <w:ind w:right="23"/>
              <w:jc w:val="right"/>
              <w:rPr>
                <w:rFonts w:ascii="宋体" w:hAnsi="宋体" w:cs="宋体" w:eastAsia="宋体" w:hint="default"/>
                <w:sz w:val="18"/>
                <w:szCs w:val="18"/>
              </w:rPr>
            </w:pPr>
            <w:r>
              <w:rPr>
                <w:rFonts w:ascii="宋体"/>
                <w:sz w:val="18"/>
              </w:rPr>
              <w:t>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79,414,</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536.71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2,238,46</w:t>
            </w:r>
          </w:p>
          <w:p>
            <w:pPr>
              <w:pStyle w:val="TableParagraph"/>
              <w:spacing w:line="240" w:lineRule="auto" w:before="77"/>
              <w:ind w:left="37" w:right="0"/>
              <w:jc w:val="left"/>
              <w:rPr>
                <w:rFonts w:ascii="宋体" w:hAnsi="宋体" w:cs="宋体" w:eastAsia="宋体" w:hint="default"/>
                <w:sz w:val="18"/>
                <w:szCs w:val="18"/>
              </w:rPr>
            </w:pPr>
            <w:r>
              <w:rPr>
                <w:rFonts w:ascii="宋体"/>
                <w:sz w:val="18"/>
              </w:rPr>
              <w:t>0,289.59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center"/>
              <w:rPr>
                <w:rFonts w:ascii="宋体" w:hAnsi="宋体" w:cs="宋体" w:eastAsia="宋体" w:hint="default"/>
                <w:sz w:val="18"/>
                <w:szCs w:val="18"/>
              </w:rPr>
            </w:pPr>
            <w:r>
              <w:rPr>
                <w:rFonts w:ascii="宋体"/>
                <w:sz w:val="18"/>
              </w:rPr>
              <w:t>1,469,</w:t>
            </w:r>
          </w:p>
          <w:p>
            <w:pPr>
              <w:pStyle w:val="TableParagraph"/>
              <w:spacing w:line="240" w:lineRule="auto" w:before="76"/>
              <w:ind w:left="56" w:right="0"/>
              <w:jc w:val="center"/>
              <w:rPr>
                <w:rFonts w:ascii="宋体" w:hAnsi="宋体" w:cs="宋体" w:eastAsia="宋体" w:hint="default"/>
                <w:sz w:val="18"/>
                <w:szCs w:val="18"/>
              </w:rPr>
            </w:pPr>
            <w:r>
              <w:rPr>
                <w:rFonts w:ascii="宋体"/>
                <w:sz w:val="18"/>
              </w:rPr>
              <w:t>605,13</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52,557,4</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73.20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sz w:val="18"/>
              </w:rPr>
              <w:t>1,417,047</w:t>
            </w:r>
          </w:p>
          <w:p>
            <w:pPr>
              <w:pStyle w:val="TableParagraph"/>
              <w:spacing w:line="240" w:lineRule="auto" w:before="77"/>
              <w:ind w:left="244" w:right="0"/>
              <w:jc w:val="center"/>
              <w:rPr>
                <w:rFonts w:ascii="宋体" w:hAnsi="宋体" w:cs="宋体" w:eastAsia="宋体" w:hint="default"/>
                <w:sz w:val="18"/>
                <w:szCs w:val="18"/>
              </w:rPr>
            </w:pPr>
            <w:r>
              <w:rPr>
                <w:rFonts w:ascii="宋体"/>
                <w:sz w:val="18"/>
              </w:rPr>
              <w:t>,663.53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2,317,8</w:t>
            </w:r>
          </w:p>
          <w:p>
            <w:pPr>
              <w:pStyle w:val="TableParagraph"/>
              <w:spacing w:line="240" w:lineRule="auto" w:before="76"/>
              <w:ind w:right="23"/>
              <w:jc w:val="right"/>
              <w:rPr>
                <w:rFonts w:ascii="宋体" w:hAnsi="宋体" w:cs="宋体" w:eastAsia="宋体" w:hint="default"/>
                <w:sz w:val="18"/>
                <w:szCs w:val="18"/>
              </w:rPr>
            </w:pPr>
            <w:r>
              <w:rPr>
                <w:rFonts w:ascii="宋体"/>
                <w:sz w:val="18"/>
              </w:rPr>
              <w:t>74,826.</w:t>
            </w:r>
          </w:p>
          <w:p>
            <w:pPr>
              <w:pStyle w:val="TableParagraph"/>
              <w:spacing w:line="240" w:lineRule="auto" w:before="77"/>
              <w:ind w:right="23"/>
              <w:jc w:val="right"/>
              <w:rPr>
                <w:rFonts w:ascii="宋体" w:hAnsi="宋体" w:cs="宋体" w:eastAsia="宋体" w:hint="default"/>
                <w:sz w:val="18"/>
                <w:szCs w:val="18"/>
              </w:rPr>
            </w:pPr>
            <w:r>
              <w:rPr>
                <w:rFonts w:ascii="宋体"/>
                <w:sz w:val="18"/>
              </w:rPr>
              <w:t>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79,414,</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536.71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sz w:val="18"/>
              </w:rPr>
              <w:t>2,238,46</w:t>
            </w:r>
          </w:p>
          <w:p>
            <w:pPr>
              <w:pStyle w:val="TableParagraph"/>
              <w:spacing w:line="240" w:lineRule="auto" w:before="77"/>
              <w:ind w:left="37" w:right="0"/>
              <w:jc w:val="left"/>
              <w:rPr>
                <w:rFonts w:ascii="宋体" w:hAnsi="宋体" w:cs="宋体" w:eastAsia="宋体" w:hint="default"/>
                <w:sz w:val="18"/>
                <w:szCs w:val="18"/>
              </w:rPr>
            </w:pPr>
            <w:r>
              <w:rPr>
                <w:rFonts w:ascii="宋体"/>
                <w:sz w:val="18"/>
              </w:rPr>
              <w:t>0,289.59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center"/>
              <w:rPr>
                <w:rFonts w:ascii="宋体" w:hAnsi="宋体" w:cs="宋体" w:eastAsia="宋体" w:hint="default"/>
                <w:sz w:val="18"/>
                <w:szCs w:val="18"/>
              </w:rPr>
            </w:pPr>
            <w:r>
              <w:rPr>
                <w:rFonts w:ascii="宋体"/>
                <w:sz w:val="18"/>
              </w:rPr>
              <w:t>1,469,</w:t>
            </w:r>
          </w:p>
          <w:p>
            <w:pPr>
              <w:pStyle w:val="TableParagraph"/>
              <w:spacing w:line="240" w:lineRule="auto" w:before="76"/>
              <w:ind w:left="56" w:right="0"/>
              <w:jc w:val="center"/>
              <w:rPr>
                <w:rFonts w:ascii="宋体" w:hAnsi="宋体" w:cs="宋体" w:eastAsia="宋体" w:hint="default"/>
                <w:sz w:val="18"/>
                <w:szCs w:val="18"/>
              </w:rPr>
            </w:pPr>
            <w:r>
              <w:rPr>
                <w:rFonts w:ascii="宋体"/>
                <w:sz w:val="18"/>
              </w:rPr>
              <w:t>605,13</w:t>
            </w:r>
          </w:p>
          <w:p>
            <w:pPr>
              <w:pStyle w:val="TableParagraph"/>
              <w:spacing w:line="240" w:lineRule="auto" w:before="77"/>
              <w:ind w:left="236" w:right="0"/>
              <w:jc w:val="center"/>
              <w:rPr>
                <w:rFonts w:ascii="宋体" w:hAnsi="宋体" w:cs="宋体" w:eastAsia="宋体" w:hint="default"/>
                <w:sz w:val="18"/>
                <w:szCs w:val="18"/>
              </w:rPr>
            </w:pPr>
            <w:r>
              <w:rPr>
                <w:rFonts w:ascii="宋体"/>
                <w:sz w:val="18"/>
              </w:rPr>
              <w:t>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52,557,4</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73.20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3.58%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sz w:val="18"/>
              </w:rPr>
              <w:t>1,417,047</w:t>
            </w:r>
          </w:p>
          <w:p>
            <w:pPr>
              <w:pStyle w:val="TableParagraph"/>
              <w:spacing w:line="240" w:lineRule="auto" w:before="77"/>
              <w:ind w:left="244" w:right="0"/>
              <w:jc w:val="center"/>
              <w:rPr>
                <w:rFonts w:ascii="宋体" w:hAnsi="宋体" w:cs="宋体" w:eastAsia="宋体" w:hint="default"/>
                <w:sz w:val="18"/>
                <w:szCs w:val="18"/>
              </w:rPr>
            </w:pPr>
            <w:r>
              <w:rPr>
                <w:rFonts w:ascii="宋体"/>
                <w:sz w:val="18"/>
              </w:rPr>
              <w:t>,663.53</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1,760,888,468.59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17,608,884.69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373,663,053.25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18,683,152.66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73,384,011.63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7,338,401.16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71,548,391.99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21,464,517.60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34,387,600.34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10,316,280.10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4,003,300.50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4,003,300.50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2,317,874,826.30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79,414,536.71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w:t>
            </w:r>
          </w:p>
        </w:tc>
      </w:tr>
    </w:tbl>
    <w:p>
      <w:pPr>
        <w:pStyle w:val="BodyText"/>
        <w:spacing w:line="240" w:lineRule="auto" w:before="51"/>
        <w:ind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316" w:lineRule="auto"/>
        <w:ind w:right="0" w:firstLine="420"/>
        <w:jc w:val="left"/>
      </w:pPr>
      <w:r>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pStyle w:val="BodyText"/>
        <w:spacing w:line="240" w:lineRule="auto" w:before="140"/>
        <w:ind w:right="0"/>
        <w:jc w:val="left"/>
      </w:pPr>
      <w:r>
        <w:rPr/>
        <w:t>组合中，采用余额百分比法计提坏账准备的应收账款：</w:t>
      </w:r>
    </w:p>
    <w:p>
      <w:pPr>
        <w:pStyle w:val="BodyText"/>
        <w:spacing w:line="357" w:lineRule="auto" w:before="116"/>
        <w:ind w:right="5812"/>
        <w:jc w:val="left"/>
      </w:pPr>
      <w:r>
        <w:rPr/>
        <w:t>□ 适用 √ 不适用 组合中，采用其他方法计提坏账准备的应收账款：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46"/>
        </w:rPr>
        <w:t> </w:t>
      </w:r>
      <w:r>
        <w:rPr>
          <w:rFonts w:ascii="宋体" w:hAnsi="宋体" w:cs="宋体" w:eastAsia="宋体" w:hint="default"/>
        </w:rPr>
        <w:t>26,857,063.51</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）本期实际核销的应收账款情况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p>
      <w:pPr>
        <w:pStyle w:val="BodyText"/>
        <w:spacing w:line="316" w:lineRule="auto"/>
        <w:ind w:right="0" w:firstLine="420"/>
        <w:jc w:val="left"/>
      </w:pPr>
      <w:r>
        <w:rPr>
          <w:spacing w:val="3"/>
        </w:rPr>
        <w:t>本报告期按欠款方归集的期末余额前五名应收账款汇总金额</w:t>
      </w:r>
      <w:r>
        <w:rPr>
          <w:rFonts w:ascii="宋体" w:hAnsi="宋体" w:cs="宋体" w:eastAsia="宋体" w:hint="default"/>
          <w:spacing w:val="3"/>
        </w:rPr>
        <w:t>361,678,400.99</w:t>
      </w:r>
      <w:r>
        <w:rPr>
          <w:spacing w:val="3"/>
        </w:rPr>
        <w:t>元，占应收账款期末余额合计数的比例</w:t>
      </w:r>
      <w:r>
        <w:rPr/>
        <w:t> </w:t>
      </w:r>
      <w:r>
        <w:rPr>
          <w:rFonts w:ascii="宋体" w:hAnsi="宋体" w:cs="宋体" w:eastAsia="宋体" w:hint="default"/>
        </w:rPr>
        <w:t>15.60%</w:t>
      </w:r>
      <w:r>
        <w:rPr/>
        <w:t>，相应计提的坏账准备期末余额汇总金额 </w:t>
      </w:r>
      <w:r>
        <w:rPr>
          <w:rFonts w:ascii="宋体" w:hAnsi="宋体" w:cs="宋体" w:eastAsia="宋体" w:hint="default"/>
        </w:rPr>
        <w:t>3,616,784.01</w:t>
      </w:r>
      <w:r>
        <w:rPr/>
        <w:t>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宋体" w:hAnsi="宋体" w:cs="宋体" w:eastAsia="宋体" w:hint="default"/>
        </w:rPr>
        <w:t>5</w:t>
      </w:r>
      <w:r>
        <w:rPr/>
        <w:t>）因金融资产转移而终止确认的应收账款</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6</w:t>
      </w:r>
      <w:r>
        <w:rPr/>
        <w:t>）转移应收账款且继续涉入形成的资产、负债金额</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、其他应收款</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）其他应收款分类披露</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307,787</w:t>
            </w:r>
          </w:p>
          <w:p>
            <w:pPr>
              <w:pStyle w:val="TableParagraph"/>
              <w:spacing w:line="240" w:lineRule="auto" w:before="78"/>
              <w:ind w:left="99" w:right="0"/>
              <w:jc w:val="left"/>
              <w:rPr>
                <w:rFonts w:ascii="宋体" w:hAnsi="宋体" w:cs="宋体" w:eastAsia="宋体" w:hint="default"/>
                <w:sz w:val="18"/>
                <w:szCs w:val="18"/>
              </w:rPr>
            </w:pPr>
            <w:r>
              <w:rPr>
                <w:rFonts w:ascii="宋体"/>
                <w:sz w:val="18"/>
              </w:rPr>
              <w:t>,589.68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32,187,</w:t>
            </w:r>
          </w:p>
          <w:p>
            <w:pPr>
              <w:pStyle w:val="TableParagraph"/>
              <w:spacing w:line="240" w:lineRule="auto" w:before="78"/>
              <w:ind w:left="188" w:right="0"/>
              <w:jc w:val="left"/>
              <w:rPr>
                <w:rFonts w:ascii="宋体" w:hAnsi="宋体" w:cs="宋体" w:eastAsia="宋体" w:hint="default"/>
                <w:sz w:val="18"/>
                <w:szCs w:val="18"/>
              </w:rPr>
            </w:pPr>
            <w:r>
              <w:rPr>
                <w:rFonts w:ascii="宋体"/>
                <w:sz w:val="18"/>
              </w:rPr>
              <w:t>770.12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275,599,</w:t>
            </w:r>
          </w:p>
          <w:p>
            <w:pPr>
              <w:pStyle w:val="TableParagraph"/>
              <w:spacing w:line="240" w:lineRule="auto" w:before="78"/>
              <w:ind w:left="194" w:right="0"/>
              <w:jc w:val="center"/>
              <w:rPr>
                <w:rFonts w:ascii="宋体" w:hAnsi="宋体" w:cs="宋体" w:eastAsia="宋体" w:hint="default"/>
                <w:sz w:val="18"/>
                <w:szCs w:val="18"/>
              </w:rPr>
            </w:pPr>
            <w:r>
              <w:rPr>
                <w:rFonts w:ascii="宋体"/>
                <w:sz w:val="18"/>
              </w:rPr>
              <w:t>819.56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253,60</w:t>
            </w:r>
          </w:p>
          <w:p>
            <w:pPr>
              <w:pStyle w:val="TableParagraph"/>
              <w:spacing w:line="240" w:lineRule="auto" w:before="76"/>
              <w:ind w:right="23"/>
              <w:jc w:val="right"/>
              <w:rPr>
                <w:rFonts w:ascii="宋体" w:hAnsi="宋体" w:cs="宋体" w:eastAsia="宋体" w:hint="default"/>
                <w:sz w:val="18"/>
                <w:szCs w:val="18"/>
              </w:rPr>
            </w:pPr>
            <w:r>
              <w:rPr>
                <w:rFonts w:ascii="宋体"/>
                <w:sz w:val="18"/>
              </w:rPr>
              <w:t>5,439.</w:t>
            </w:r>
          </w:p>
          <w:p>
            <w:pPr>
              <w:pStyle w:val="TableParagraph"/>
              <w:spacing w:line="240" w:lineRule="auto" w:before="78"/>
              <w:ind w:right="23"/>
              <w:jc w:val="right"/>
              <w:rPr>
                <w:rFonts w:ascii="宋体" w:hAnsi="宋体" w:cs="宋体" w:eastAsia="宋体" w:hint="default"/>
                <w:sz w:val="18"/>
                <w:szCs w:val="18"/>
              </w:rPr>
            </w:pPr>
            <w:r>
              <w:rPr>
                <w:rFonts w:ascii="宋体"/>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28,519,5</w:t>
            </w:r>
          </w:p>
          <w:p>
            <w:pPr>
              <w:pStyle w:val="TableParagraph"/>
              <w:spacing w:line="240" w:lineRule="auto" w:before="78"/>
              <w:ind w:left="330" w:right="0"/>
              <w:jc w:val="left"/>
              <w:rPr>
                <w:rFonts w:ascii="宋体" w:hAnsi="宋体" w:cs="宋体" w:eastAsia="宋体" w:hint="default"/>
                <w:sz w:val="18"/>
                <w:szCs w:val="18"/>
              </w:rPr>
            </w:pPr>
            <w:r>
              <w:rPr>
                <w:rFonts w:ascii="宋体"/>
                <w:sz w:val="18"/>
              </w:rPr>
              <w:t>18.82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225,085,9</w:t>
            </w:r>
          </w:p>
          <w:p>
            <w:pPr>
              <w:pStyle w:val="TableParagraph"/>
              <w:spacing w:line="240" w:lineRule="auto" w:before="78"/>
              <w:ind w:left="448" w:right="0"/>
              <w:jc w:val="left"/>
              <w:rPr>
                <w:rFonts w:ascii="宋体" w:hAnsi="宋体" w:cs="宋体" w:eastAsia="宋体" w:hint="default"/>
                <w:sz w:val="18"/>
                <w:szCs w:val="18"/>
              </w:rPr>
            </w:pPr>
            <w:r>
              <w:rPr>
                <w:rFonts w:ascii="宋体"/>
                <w:sz w:val="18"/>
              </w:rPr>
              <w:t>20.98</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sz w:val="18"/>
              </w:rPr>
              <w:t>307,787</w:t>
            </w:r>
          </w:p>
          <w:p>
            <w:pPr>
              <w:pStyle w:val="TableParagraph"/>
              <w:spacing w:line="240" w:lineRule="auto" w:before="77"/>
              <w:ind w:left="99" w:right="0"/>
              <w:jc w:val="left"/>
              <w:rPr>
                <w:rFonts w:ascii="宋体" w:hAnsi="宋体" w:cs="宋体" w:eastAsia="宋体" w:hint="default"/>
                <w:sz w:val="18"/>
                <w:szCs w:val="18"/>
              </w:rPr>
            </w:pPr>
            <w:r>
              <w:rPr>
                <w:rFonts w:ascii="宋体"/>
                <w:sz w:val="18"/>
              </w:rPr>
              <w:t>,589.68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32,187,</w:t>
            </w:r>
          </w:p>
          <w:p>
            <w:pPr>
              <w:pStyle w:val="TableParagraph"/>
              <w:spacing w:line="240" w:lineRule="auto" w:before="77"/>
              <w:ind w:left="188" w:right="0"/>
              <w:jc w:val="left"/>
              <w:rPr>
                <w:rFonts w:ascii="宋体" w:hAnsi="宋体" w:cs="宋体" w:eastAsia="宋体" w:hint="default"/>
                <w:sz w:val="18"/>
                <w:szCs w:val="18"/>
              </w:rPr>
            </w:pPr>
            <w:r>
              <w:rPr>
                <w:rFonts w:ascii="宋体"/>
                <w:sz w:val="18"/>
              </w:rPr>
              <w:t>770.12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275,599,</w:t>
            </w:r>
          </w:p>
          <w:p>
            <w:pPr>
              <w:pStyle w:val="TableParagraph"/>
              <w:spacing w:line="240" w:lineRule="auto" w:before="77"/>
              <w:ind w:left="194" w:right="0"/>
              <w:jc w:val="center"/>
              <w:rPr>
                <w:rFonts w:ascii="宋体" w:hAnsi="宋体" w:cs="宋体" w:eastAsia="宋体" w:hint="default"/>
                <w:sz w:val="18"/>
                <w:szCs w:val="18"/>
              </w:rPr>
            </w:pPr>
            <w:r>
              <w:rPr>
                <w:rFonts w:ascii="宋体"/>
                <w:sz w:val="18"/>
              </w:rPr>
              <w:t>819.56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253,60</w:t>
            </w:r>
          </w:p>
          <w:p>
            <w:pPr>
              <w:pStyle w:val="TableParagraph"/>
              <w:spacing w:line="240" w:lineRule="auto" w:before="76"/>
              <w:ind w:right="23"/>
              <w:jc w:val="right"/>
              <w:rPr>
                <w:rFonts w:ascii="宋体" w:hAnsi="宋体" w:cs="宋体" w:eastAsia="宋体" w:hint="default"/>
                <w:sz w:val="18"/>
                <w:szCs w:val="18"/>
              </w:rPr>
            </w:pPr>
            <w:r>
              <w:rPr>
                <w:rFonts w:ascii="宋体"/>
                <w:sz w:val="18"/>
              </w:rPr>
              <w:t>5,439.</w:t>
            </w:r>
          </w:p>
          <w:p>
            <w:pPr>
              <w:pStyle w:val="TableParagraph"/>
              <w:spacing w:line="240" w:lineRule="auto" w:before="77"/>
              <w:ind w:right="23"/>
              <w:jc w:val="right"/>
              <w:rPr>
                <w:rFonts w:ascii="宋体" w:hAnsi="宋体" w:cs="宋体" w:eastAsia="宋体" w:hint="default"/>
                <w:sz w:val="18"/>
                <w:szCs w:val="18"/>
              </w:rPr>
            </w:pPr>
            <w:r>
              <w:rPr>
                <w:rFonts w:ascii="宋体"/>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center"/>
              <w:rPr>
                <w:rFonts w:ascii="宋体" w:hAnsi="宋体" w:cs="宋体" w:eastAsia="宋体" w:hint="default"/>
                <w:sz w:val="18"/>
                <w:szCs w:val="18"/>
              </w:rPr>
            </w:pPr>
            <w:r>
              <w:rPr>
                <w:rFonts w:ascii="宋体"/>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sz w:val="18"/>
              </w:rPr>
              <w:t>28,519,5</w:t>
            </w:r>
          </w:p>
          <w:p>
            <w:pPr>
              <w:pStyle w:val="TableParagraph"/>
              <w:spacing w:line="240" w:lineRule="auto" w:before="77"/>
              <w:ind w:left="330" w:right="0"/>
              <w:jc w:val="left"/>
              <w:rPr>
                <w:rFonts w:ascii="宋体" w:hAnsi="宋体" w:cs="宋体" w:eastAsia="宋体" w:hint="default"/>
                <w:sz w:val="18"/>
                <w:szCs w:val="18"/>
              </w:rPr>
            </w:pPr>
            <w:r>
              <w:rPr>
                <w:rFonts w:ascii="宋体"/>
                <w:sz w:val="18"/>
              </w:rPr>
              <w:t>18.82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11.25%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225,085,9</w:t>
            </w:r>
          </w:p>
          <w:p>
            <w:pPr>
              <w:pStyle w:val="TableParagraph"/>
              <w:spacing w:line="240" w:lineRule="auto" w:before="77"/>
              <w:ind w:left="448" w:right="0"/>
              <w:jc w:val="left"/>
              <w:rPr>
                <w:rFonts w:ascii="宋体" w:hAnsi="宋体" w:cs="宋体" w:eastAsia="宋体" w:hint="default"/>
                <w:sz w:val="18"/>
                <w:szCs w:val="18"/>
              </w:rPr>
            </w:pPr>
            <w:r>
              <w:rPr>
                <w:rFonts w:ascii="宋体"/>
                <w:sz w:val="18"/>
              </w:rPr>
              <w:t>20.98</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188,468,290.70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1,884,682.91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46,251,034.12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2,312,551.71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35,781,784.57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3,578,178.46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8,522,160.00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2,556,648.00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9,869,444.65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2,960,833.40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18,894,875.64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18,894,875.64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307,787,589.68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32,187,770.12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10.46%</w:t>
            </w:r>
          </w:p>
        </w:tc>
      </w:tr>
    </w:tbl>
    <w:p>
      <w:pPr>
        <w:pStyle w:val="BodyText"/>
        <w:spacing w:line="240" w:lineRule="auto" w:before="51"/>
        <w:ind w:right="0"/>
        <w:jc w:val="left"/>
      </w:pPr>
      <w:r>
        <w:rPr/>
        <w:t>确定该组合依据的说明：</w:t>
      </w:r>
    </w:p>
    <w:p>
      <w:pPr>
        <w:spacing w:line="240" w:lineRule="auto" w:before="12"/>
        <w:rPr>
          <w:rFonts w:ascii="宋体" w:hAnsi="宋体" w:cs="宋体" w:eastAsia="宋体" w:hint="default"/>
          <w:sz w:val="14"/>
          <w:szCs w:val="14"/>
        </w:rPr>
      </w:pPr>
    </w:p>
    <w:p>
      <w:pPr>
        <w:pStyle w:val="BodyText"/>
        <w:spacing w:line="316" w:lineRule="auto"/>
        <w:ind w:right="0" w:firstLine="420"/>
        <w:jc w:val="left"/>
      </w:pPr>
      <w:r>
        <w:rPr/>
        <w:t>已单独计提坏账准备的其他应收款除外，公司根据以前年度与之相同或相类似的、按账龄段划分的具有类似信用风险 特征的其他应收款组合的实际损失率为基础，结合现时情况确定本期坏账准备的计提比例。</w:t>
      </w:r>
    </w:p>
    <w:p>
      <w:pPr>
        <w:pStyle w:val="BodyText"/>
        <w:spacing w:line="240" w:lineRule="auto" w:before="140"/>
        <w:ind w:right="0"/>
        <w:jc w:val="left"/>
      </w:pPr>
      <w:r>
        <w:rPr/>
        <w:t>组合中，采用余额百分比法计提坏账准备的其他应收款：</w:t>
      </w:r>
    </w:p>
    <w:p>
      <w:pPr>
        <w:pStyle w:val="BodyText"/>
        <w:spacing w:line="360" w:lineRule="auto" w:before="116"/>
        <w:ind w:right="5632"/>
        <w:jc w:val="left"/>
      </w:pPr>
      <w:r>
        <w:rPr/>
        <w:t>□ 适用 √ 不适用 组合中，采用其他方法计提坏账准备的其他应收款：</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46"/>
        </w:rPr>
        <w:t> </w:t>
      </w:r>
      <w:r>
        <w:rPr>
          <w:rFonts w:ascii="宋体" w:hAnsi="宋体" w:cs="宋体" w:eastAsia="宋体" w:hint="default"/>
        </w:rPr>
        <w:t>3,668,251.30</w:t>
      </w:r>
      <w:r>
        <w:rPr>
          <w:rFonts w:ascii="宋体" w:hAnsi="宋体" w:cs="宋体" w:eastAsia="宋体" w:hint="default"/>
          <w:spacing w:val="-46"/>
        </w:rPr>
        <w:t> </w:t>
      </w:r>
      <w:r>
        <w:rPr/>
        <w:t>元；本期收回或转回坏账准备金额</w:t>
      </w:r>
      <w:r>
        <w:rPr>
          <w:spacing w:val="-46"/>
        </w:rPr>
        <w:t> </w:t>
      </w:r>
      <w:r>
        <w:rPr>
          <w:rFonts w:ascii="宋体" w:hAnsi="宋体" w:cs="宋体" w:eastAsia="宋体" w:hint="default"/>
        </w:rPr>
        <w:t>0.00</w:t>
      </w:r>
      <w:r>
        <w:rPr>
          <w:rFonts w:ascii="宋体" w:hAnsi="宋体" w:cs="宋体" w:eastAsia="宋体" w:hint="default"/>
          <w:spacing w:val="-46"/>
        </w:rPr>
        <w:t> </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）本期实际核销的其他应收款情况</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宋体" w:hAnsi="宋体" w:cs="宋体" w:eastAsia="宋体" w:hint="default"/>
        </w:rPr>
        <w:t>4</w:t>
      </w:r>
      <w:r>
        <w:rPr/>
        <w:t>）其他应收款按款项性质分类情况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86,533,185.66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66,033,547.54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45,554,067.44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42,705,499.86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66,052,845.77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64,997,708.44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96,805,935.25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72,369,048.19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12,841,555.56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7,499,635.77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307,787,589.68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253,605,439.80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泰安东华合创软件有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34,378,655.97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536,719.78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北京东华易时科技有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22,424,406.90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837,971.43</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北京卓讯科信技术有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18,810,230.00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609,323.00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北京东华信息技术有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9,831,345.00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1,207,922.25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北京老年医院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8,227,339.08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82,273.39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93,671,976.95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3,274,209.85</w:t>
            </w:r>
          </w:p>
        </w:tc>
      </w:tr>
    </w:tbl>
    <w:p>
      <w:pPr>
        <w:pStyle w:val="BodyText"/>
        <w:spacing w:line="360" w:lineRule="auto" w:before="51"/>
        <w:ind w:left="514" w:right="2679"/>
        <w:jc w:val="left"/>
      </w:pPr>
      <w:r>
        <w:rPr/>
        <w:t>注</w:t>
      </w:r>
      <w:r>
        <w:rPr>
          <w:rFonts w:ascii="宋体" w:hAnsi="宋体" w:cs="宋体" w:eastAsia="宋体" w:hint="default"/>
        </w:rPr>
        <w:t>1</w:t>
      </w:r>
      <w:r>
        <w:rPr/>
        <w:t>、其中</w:t>
      </w:r>
      <w:r>
        <w:rPr>
          <w:rFonts w:ascii="宋体" w:hAnsi="宋体" w:cs="宋体" w:eastAsia="宋体" w:hint="default"/>
        </w:rPr>
        <w:t>1</w:t>
      </w:r>
      <w:r>
        <w:rPr/>
        <w:t>年以内</w:t>
      </w:r>
      <w:r>
        <w:rPr>
          <w:rFonts w:ascii="宋体" w:hAnsi="宋体" w:cs="宋体" w:eastAsia="宋体" w:hint="default"/>
        </w:rPr>
        <w:t>29,555,325.38</w:t>
      </w:r>
      <w:r>
        <w:rPr/>
        <w:t>元、</w:t>
      </w:r>
      <w:r>
        <w:rPr>
          <w:rFonts w:ascii="宋体" w:hAnsi="宋体" w:cs="宋体" w:eastAsia="宋体" w:hint="default"/>
        </w:rPr>
        <w:t>1-2</w:t>
      </w:r>
      <w:r>
        <w:rPr/>
        <w:t>年</w:t>
      </w:r>
      <w:r>
        <w:rPr>
          <w:rFonts w:ascii="宋体" w:hAnsi="宋体" w:cs="宋体" w:eastAsia="宋体" w:hint="default"/>
        </w:rPr>
        <w:t>4,823,330.59</w:t>
      </w:r>
      <w:r>
        <w:rPr/>
        <w:t>元。 注</w:t>
      </w:r>
      <w:r>
        <w:rPr>
          <w:rFonts w:ascii="宋体" w:hAnsi="宋体" w:cs="宋体" w:eastAsia="宋体" w:hint="default"/>
        </w:rPr>
        <w:t>2</w:t>
      </w:r>
      <w:r>
        <w:rPr/>
        <w:t>、其中</w:t>
      </w:r>
      <w:r>
        <w:rPr>
          <w:rFonts w:ascii="宋体" w:hAnsi="宋体" w:cs="宋体" w:eastAsia="宋体" w:hint="default"/>
        </w:rPr>
        <w:t>1</w:t>
      </w:r>
      <w:r>
        <w:rPr/>
        <w:t>年以内</w:t>
      </w:r>
      <w:r>
        <w:rPr>
          <w:rFonts w:ascii="宋体" w:hAnsi="宋体" w:cs="宋体" w:eastAsia="宋体" w:hint="default"/>
        </w:rPr>
        <w:t>10,105,214.00</w:t>
      </w:r>
      <w:r>
        <w:rPr/>
        <w:t>元、</w:t>
      </w:r>
      <w:r>
        <w:rPr>
          <w:rFonts w:ascii="宋体" w:hAnsi="宋体" w:cs="宋体" w:eastAsia="宋体" w:hint="default"/>
        </w:rPr>
        <w:t>1-2</w:t>
      </w:r>
      <w:r>
        <w:rPr/>
        <w:t>年</w:t>
      </w:r>
      <w:r>
        <w:rPr>
          <w:rFonts w:ascii="宋体" w:hAnsi="宋体" w:cs="宋体" w:eastAsia="宋体" w:hint="default"/>
        </w:rPr>
        <w:t>9,900,000.00</w:t>
      </w:r>
      <w:r>
        <w:rPr/>
        <w:t>元、</w:t>
      </w:r>
      <w:r>
        <w:rPr>
          <w:rFonts w:ascii="宋体" w:hAnsi="宋体" w:cs="宋体" w:eastAsia="宋体" w:hint="default"/>
        </w:rPr>
        <w:t>2-3</w:t>
      </w:r>
      <w:r>
        <w:rPr/>
        <w:t>年</w:t>
      </w:r>
      <w:r>
        <w:rPr>
          <w:rFonts w:ascii="宋体" w:hAnsi="宋体" w:cs="宋体" w:eastAsia="宋体" w:hint="default"/>
        </w:rPr>
        <w:t>2,419,192.90</w:t>
      </w:r>
      <w:r>
        <w:rPr/>
        <w:t>元。 注</w:t>
      </w:r>
      <w:r>
        <w:rPr>
          <w:rFonts w:ascii="宋体" w:hAnsi="宋体" w:cs="宋体" w:eastAsia="宋体" w:hint="default"/>
        </w:rPr>
        <w:t>3</w:t>
      </w:r>
      <w:r>
        <w:rPr/>
        <w:t>、其中</w:t>
      </w:r>
      <w:r>
        <w:rPr>
          <w:rFonts w:ascii="宋体" w:hAnsi="宋体" w:cs="宋体" w:eastAsia="宋体" w:hint="default"/>
        </w:rPr>
        <w:t>1</w:t>
      </w:r>
      <w:r>
        <w:rPr/>
        <w:t>年以内</w:t>
      </w:r>
      <w:r>
        <w:rPr>
          <w:rFonts w:ascii="宋体" w:hAnsi="宋体" w:cs="宋体" w:eastAsia="宋体" w:hint="default"/>
        </w:rPr>
        <w:t>10,380,000.00</w:t>
      </w:r>
      <w:r>
        <w:rPr/>
        <w:t>元、</w:t>
      </w:r>
      <w:r>
        <w:rPr>
          <w:rFonts w:ascii="宋体" w:hAnsi="宋体" w:cs="宋体" w:eastAsia="宋体" w:hint="default"/>
        </w:rPr>
        <w:t>1-2</w:t>
      </w:r>
      <w:r>
        <w:rPr/>
        <w:t>年</w:t>
      </w:r>
      <w:r>
        <w:rPr>
          <w:rFonts w:ascii="宋体" w:hAnsi="宋体" w:cs="宋体" w:eastAsia="宋体" w:hint="default"/>
        </w:rPr>
        <w:t>6,750,000.00</w:t>
      </w:r>
      <w:r>
        <w:rPr/>
        <w:t>元、</w:t>
      </w:r>
      <w:r>
        <w:rPr>
          <w:rFonts w:ascii="宋体" w:hAnsi="宋体" w:cs="宋体" w:eastAsia="宋体" w:hint="default"/>
        </w:rPr>
        <w:t>2-3</w:t>
      </w:r>
      <w:r>
        <w:rPr/>
        <w:t>年</w:t>
      </w:r>
      <w:r>
        <w:rPr>
          <w:rFonts w:ascii="宋体" w:hAnsi="宋体" w:cs="宋体" w:eastAsia="宋体" w:hint="default"/>
        </w:rPr>
        <w:t>1,680,230.00</w:t>
      </w:r>
      <w:r>
        <w:rPr/>
        <w:t>元。</w:t>
      </w:r>
    </w:p>
    <w:p>
      <w:pPr>
        <w:pStyle w:val="BodyText"/>
        <w:spacing w:line="240" w:lineRule="auto" w:before="27"/>
        <w:ind w:left="514" w:right="0"/>
        <w:jc w:val="left"/>
      </w:pPr>
      <w:r>
        <w:rPr/>
        <w:t>注</w:t>
      </w:r>
      <w:r>
        <w:rPr>
          <w:rFonts w:ascii="宋体" w:hAnsi="宋体" w:cs="宋体" w:eastAsia="宋体" w:hint="default"/>
        </w:rPr>
        <w:t>4</w:t>
      </w:r>
      <w:r>
        <w:rPr/>
        <w:t>、其中</w:t>
      </w:r>
      <w:r>
        <w:rPr>
          <w:rFonts w:ascii="宋体" w:hAnsi="宋体" w:cs="宋体" w:eastAsia="宋体" w:hint="default"/>
        </w:rPr>
        <w:t>1</w:t>
      </w:r>
      <w:r>
        <w:rPr/>
        <w:t>年以内</w:t>
      </w:r>
      <w:r>
        <w:rPr>
          <w:rFonts w:ascii="宋体" w:hAnsi="宋体" w:cs="宋体" w:eastAsia="宋体" w:hint="default"/>
        </w:rPr>
        <w:t>1,520,000.00</w:t>
      </w:r>
      <w:r>
        <w:rPr/>
        <w:t>元、</w:t>
      </w:r>
      <w:r>
        <w:rPr>
          <w:rFonts w:ascii="宋体" w:hAnsi="宋体" w:cs="宋体" w:eastAsia="宋体" w:hint="default"/>
        </w:rPr>
        <w:t>1-2</w:t>
      </w:r>
      <w:r>
        <w:rPr/>
        <w:t>年</w:t>
      </w:r>
      <w:r>
        <w:rPr>
          <w:rFonts w:ascii="宋体" w:hAnsi="宋体" w:cs="宋体" w:eastAsia="宋体" w:hint="default"/>
        </w:rPr>
        <w:t>1,216,625.00</w:t>
      </w:r>
      <w:r>
        <w:rPr/>
        <w:t>元、</w:t>
      </w:r>
      <w:r>
        <w:rPr>
          <w:rFonts w:ascii="宋体" w:hAnsi="宋体" w:cs="宋体" w:eastAsia="宋体" w:hint="default"/>
        </w:rPr>
        <w:t>2-3</w:t>
      </w:r>
      <w:r>
        <w:rPr/>
        <w:t>年</w:t>
      </w:r>
      <w:r>
        <w:rPr>
          <w:rFonts w:ascii="宋体" w:hAnsi="宋体" w:cs="宋体" w:eastAsia="宋体" w:hint="default"/>
        </w:rPr>
        <w:t>4,982,625.00</w:t>
      </w:r>
      <w:r>
        <w:rPr/>
        <w:t>元、</w:t>
      </w:r>
      <w:r>
        <w:rPr>
          <w:rFonts w:ascii="宋体" w:hAnsi="宋体" w:cs="宋体" w:eastAsia="宋体" w:hint="default"/>
        </w:rPr>
        <w:t>3-4</w:t>
      </w:r>
      <w:r>
        <w:rPr/>
        <w:t>年</w:t>
      </w:r>
      <w:r>
        <w:rPr>
          <w:rFonts w:ascii="宋体" w:hAnsi="宋体" w:cs="宋体" w:eastAsia="宋体" w:hint="default"/>
        </w:rPr>
        <w:t>2,112,095.00</w:t>
      </w:r>
      <w:r>
        <w:rPr/>
        <w:t>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6</w:t>
      </w:r>
      <w:r>
        <w:rPr/>
        <w:t>）涉及政府补助的应收款项</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7</w:t>
      </w:r>
      <w:r>
        <w:rPr/>
        <w:t>）因金融资产转移而终止确认的其他应收款</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宋体" w:hAnsi="宋体" w:cs="宋体" w:eastAsia="宋体" w:hint="default"/>
        </w:rPr>
        <w:t>8</w:t>
      </w:r>
      <w:r>
        <w:rPr/>
        <w:t>）转移其他应收款且继续涉入形成的资产、负债金额</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851"/>
        <w:gridCol w:w="1642"/>
        <w:gridCol w:w="1619"/>
        <w:gridCol w:w="850"/>
        <w:gridCol w:w="1633"/>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2,005,474,849.04</w:t>
            </w:r>
          </w:p>
        </w:tc>
        <w:tc>
          <w:tcPr>
            <w:tcW w:w="851"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2,005,474,849.04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center"/>
              <w:rPr>
                <w:rFonts w:ascii="宋体" w:hAnsi="宋体" w:cs="宋体" w:eastAsia="宋体" w:hint="default"/>
                <w:sz w:val="18"/>
                <w:szCs w:val="18"/>
              </w:rPr>
            </w:pPr>
            <w:r>
              <w:rPr>
                <w:rFonts w:ascii="宋体"/>
                <w:sz w:val="18"/>
              </w:rPr>
              <w:t>1,199,274,849.04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center"/>
              <w:rPr>
                <w:rFonts w:ascii="宋体" w:hAnsi="宋体" w:cs="宋体" w:eastAsia="宋体" w:hint="default"/>
                <w:sz w:val="18"/>
                <w:szCs w:val="18"/>
              </w:rPr>
            </w:pPr>
            <w:r>
              <w:rPr>
                <w:rFonts w:ascii="宋体"/>
                <w:sz w:val="18"/>
              </w:rPr>
              <w:t>1,199,274,849.04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2,005,474,849.04</w:t>
            </w:r>
          </w:p>
        </w:tc>
        <w:tc>
          <w:tcPr>
            <w:tcW w:w="851"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2,005,474,849.04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center"/>
              <w:rPr>
                <w:rFonts w:ascii="宋体" w:hAnsi="宋体" w:cs="宋体" w:eastAsia="宋体" w:hint="default"/>
                <w:sz w:val="18"/>
                <w:szCs w:val="18"/>
              </w:rPr>
            </w:pPr>
            <w:r>
              <w:rPr>
                <w:rFonts w:ascii="宋体"/>
                <w:sz w:val="18"/>
              </w:rPr>
              <w:t>1,199,274,849.04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center"/>
              <w:rPr>
                <w:rFonts w:ascii="宋体" w:hAnsi="宋体" w:cs="宋体" w:eastAsia="宋体" w:hint="default"/>
                <w:sz w:val="18"/>
                <w:szCs w:val="18"/>
              </w:rPr>
            </w:pPr>
            <w:r>
              <w:rPr>
                <w:rFonts w:ascii="宋体"/>
                <w:sz w:val="18"/>
              </w:rPr>
              <w:t>1,199,274,849.04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宋体" w:hAnsi="宋体" w:cs="宋体" w:eastAsia="宋体" w:hint="default"/>
        </w:rPr>
        <w:t>1</w:t>
      </w:r>
      <w:r>
        <w:rPr/>
        <w:t>）对子公司投资</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广州东华合创数 码科技有限公司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872,155.63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872,155.63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泰安东华合创软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27,998,593.90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27,998,593.90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292,675,400.00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292,675,400.00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北京东华合创香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88,699.51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88,699.51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北京厚盾科技有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东华软件工程有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哈尔滨东华软件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东华合创软件有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东华软件技术有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北京东华厚盾软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北京东华易时科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东华合创科技有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北京东华软件开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沈阳普林科技有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西安东华软件有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南昌东华软件有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山西东华软件有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49,500,000.00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49,500,000.00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北京卓讯科信技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东华软件开发有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9,900,000.00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天津东华博雅软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29,700,000.00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29,700,000.00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东华星联科技有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158,400,000.00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东华云计算有限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19,800,000.00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39,600,000.00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59,400,000.00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北京光明数据信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健康乐软件有限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13,860,000.00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13,860,000.00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东华智慧城市股 份有限公司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583,000,000.00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583,000,000.00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1,199,274,849.</w:t>
            </w:r>
          </w:p>
          <w:p>
            <w:pPr>
              <w:pStyle w:val="TableParagraph"/>
              <w:spacing w:line="240" w:lineRule="auto" w:before="77"/>
              <w:ind w:right="20"/>
              <w:jc w:val="right"/>
              <w:rPr>
                <w:rFonts w:ascii="宋体" w:hAnsi="宋体" w:cs="宋体" w:eastAsia="宋体" w:hint="default"/>
                <w:sz w:val="18"/>
                <w:szCs w:val="18"/>
              </w:rPr>
            </w:pPr>
            <w:r>
              <w:rPr>
                <w:rFonts w:ascii="宋体"/>
                <w:sz w:val="18"/>
              </w:rPr>
              <w:t>04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810,160,000.00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3,960,000.00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2,005,474,849.</w:t>
            </w:r>
          </w:p>
          <w:p>
            <w:pPr>
              <w:pStyle w:val="TableParagraph"/>
              <w:spacing w:line="240" w:lineRule="auto" w:before="77"/>
              <w:ind w:right="23"/>
              <w:jc w:val="right"/>
              <w:rPr>
                <w:rFonts w:ascii="宋体" w:hAnsi="宋体" w:cs="宋体" w:eastAsia="宋体" w:hint="default"/>
                <w:sz w:val="18"/>
                <w:szCs w:val="18"/>
              </w:rPr>
            </w:pPr>
            <w:r>
              <w:rPr>
                <w:rFonts w:ascii="宋体"/>
                <w:sz w:val="18"/>
              </w:rPr>
              <w:t>04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t>（</w:t>
      </w:r>
      <w:r>
        <w:rPr>
          <w:rFonts w:ascii="宋体" w:hAnsi="宋体" w:cs="宋体" w:eastAsia="宋体" w:hint="default"/>
        </w:rPr>
        <w:t>2</w:t>
      </w:r>
      <w:r>
        <w:rPr/>
        <w:t>）对联营、合营企业投资</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3</w:t>
      </w:r>
      <w:r>
        <w:rPr/>
        <w:t>）其他说明</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3,028,037,158.18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1,790,815,539.04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2,784,848,915.56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1,813,251,991.16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36,413,963.20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34,358,883.04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32,407,846.10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29,587,665.52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3,064,451,121.38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1,825,174,422.08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2,817,256,761.66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1,842,839,656.68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5</w:t>
      </w:r>
      <w:r>
        <w:rPr/>
        <w:t>、投资收益</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-106,543.73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10,855,321.29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10,748,777.56</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宋体" w:hAnsi="宋体" w:cs="宋体" w:eastAsia="宋体" w:hint="default"/>
        </w:rPr>
        <w:t>6</w:t>
      </w:r>
      <w:r>
        <w:rPr/>
        <w:t>、其他</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t>、当期非经常性损益明细表</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 适用 □ 不适用</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10,884,000.97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股权转让收益及固定资产清理</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13,738,372.10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427,111.24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98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-1,097,740.98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2,436,596.98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21,515,177.63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宋体" w:hAnsi="宋体" w:cs="宋体" w:eastAsia="宋体" w:hint="default"/>
        </w:rPr>
        <w:t>1</w:t>
      </w:r>
      <w:r>
        <w:rPr>
          <w:rFonts w:ascii="宋体" w:hAnsi="宋体" w:cs="宋体" w:eastAsia="宋体" w:hint="default"/>
          <w:spacing w:val="-40"/>
        </w:rPr>
        <w:t> </w:t>
      </w:r>
      <w:r>
        <w:rPr>
          <w:spacing w:val="-7"/>
        </w:rPr>
        <w:t>号——非经常性损益》定义界定的非经常性损益项目，以及把《公</w:t>
      </w:r>
    </w:p>
    <w:p>
      <w:pPr>
        <w:pStyle w:val="BodyText"/>
        <w:spacing w:line="319" w:lineRule="auto" w:before="75"/>
        <w:ind w:right="138"/>
        <w:jc w:val="left"/>
      </w:pPr>
      <w:r>
        <w:rPr/>
        <w:t>开发行证券的公司信息披露解释性公告第 </w:t>
      </w:r>
      <w:r>
        <w:rPr>
          <w:rFonts w:ascii="宋体" w:hAnsi="宋体" w:cs="宋体" w:eastAsia="宋体" w:hint="default"/>
        </w:rPr>
        <w:t>1</w:t>
      </w:r>
      <w:r>
        <w:rPr>
          <w:rFonts w:ascii="宋体" w:hAnsi="宋体" w:cs="宋体" w:eastAsia="宋体" w:hint="default"/>
          <w:spacing w:val="-71"/>
        </w:rPr>
        <w:t> </w:t>
      </w:r>
      <w:r>
        <w:rPr>
          <w:spacing w:val="-3"/>
        </w:rPr>
        <w:t>号——非经常性损益》中列举的非经常性损益项目界定为经常性损益的项目，应</w:t>
      </w:r>
      <w:r>
        <w:rPr/>
        <w:t> 说明原因。</w:t>
      </w:r>
    </w:p>
    <w:p>
      <w:pPr>
        <w:pStyle w:val="BodyText"/>
        <w:spacing w:line="240" w:lineRule="auto" w:before="58"/>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2</w:t>
      </w:r>
      <w:r>
        <w:rPr/>
        <w:t>、净资产收益率及每股收益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0.6981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0.6868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0.6837</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r>
        <w:rPr>
          <w:rFonts w:ascii="宋体" w:hAnsi="宋体" w:cs="宋体" w:eastAsia="宋体" w:hint="default"/>
        </w:rPr>
        <w:t>3</w:t>
      </w:r>
      <w:r>
        <w:rPr/>
        <w:t>、境内外会计准则下会计数据差异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73" w:lineRule="auto"/>
        <w:ind w:right="0"/>
        <w:jc w:val="left"/>
        <w:rPr>
          <w:b w:val="0"/>
          <w:bCs w:val="0"/>
        </w:rPr>
      </w:pPr>
      <w:r>
        <w:rPr/>
        <w:t>（</w:t>
      </w:r>
      <w:r>
        <w:rPr>
          <w:rFonts w:ascii="宋体" w:hAnsi="宋体" w:cs="宋体" w:eastAsia="宋体"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宋体" w:hAnsi="宋体" w:cs="宋体" w:eastAsia="宋体" w:hint="default"/>
        </w:rPr>
        <w:t>4</w:t>
      </w:r>
      <w:r>
        <w:rPr/>
        <w:t>、会计政策变更相关补充资料</w:t>
      </w:r>
      <w:r>
        <w:rPr>
          <w:b w:val="0"/>
          <w:bCs w:val="0"/>
        </w:rPr>
      </w:r>
    </w:p>
    <w:p>
      <w:pPr>
        <w:spacing w:line="240" w:lineRule="auto" w:before="12"/>
        <w:rPr>
          <w:rFonts w:ascii="宋体" w:hAnsi="宋体" w:cs="宋体" w:eastAsia="宋体" w:hint="default"/>
          <w:b/>
          <w:bCs/>
          <w:sz w:val="27"/>
          <w:szCs w:val="27"/>
        </w:rPr>
      </w:pPr>
    </w:p>
    <w:p>
      <w:pPr>
        <w:pStyle w:val="BodyText"/>
        <w:spacing w:line="240" w:lineRule="auto"/>
        <w:ind w:right="0"/>
        <w:jc w:val="left"/>
      </w:pPr>
      <w:r>
        <w:rPr/>
        <w:t>√ 适用 □ 不适用</w:t>
      </w:r>
    </w:p>
    <w:p>
      <w:pPr>
        <w:pStyle w:val="BodyText"/>
        <w:spacing w:line="240" w:lineRule="auto" w:before="115"/>
        <w:ind w:left="514" w:right="0"/>
        <w:jc w:val="left"/>
      </w:pPr>
      <w:r>
        <w:rPr/>
        <w:t>公司根据财政部</w:t>
      </w:r>
      <w:r>
        <w:rPr>
          <w:spacing w:val="-46"/>
        </w:rPr>
        <w:t> </w:t>
      </w:r>
      <w:r>
        <w:rPr>
          <w:rFonts w:ascii="宋体" w:hAnsi="宋体" w:cs="宋体" w:eastAsia="宋体" w:hint="default"/>
        </w:rPr>
        <w:t>2014</w:t>
      </w:r>
      <w:r>
        <w:rPr>
          <w:rFonts w:ascii="宋体" w:hAnsi="宋体" w:cs="宋体" w:eastAsia="宋体" w:hint="default"/>
          <w:spacing w:val="-46"/>
        </w:rPr>
        <w:t> </w:t>
      </w:r>
      <w:r>
        <w:rPr/>
        <w:t>年发布的《企业会计准则第</w:t>
      </w:r>
      <w:r>
        <w:rPr>
          <w:spacing w:val="-46"/>
        </w:rPr>
        <w:t> </w:t>
      </w:r>
      <w:r>
        <w:rPr>
          <w:rFonts w:ascii="宋体" w:hAnsi="宋体" w:cs="宋体" w:eastAsia="宋体" w:hint="default"/>
        </w:rPr>
        <w:t>2</w:t>
      </w:r>
      <w:r>
        <w:rPr>
          <w:rFonts w:ascii="宋体" w:hAnsi="宋体" w:cs="宋体" w:eastAsia="宋体" w:hint="default"/>
          <w:spacing w:val="-46"/>
        </w:rPr>
        <w:t> </w:t>
      </w:r>
      <w:r>
        <w:rPr/>
        <w:t>号——长期股权投资》等八项会计准则变更了相关会计政策并对比</w:t>
      </w:r>
    </w:p>
    <w:p>
      <w:pPr>
        <w:pStyle w:val="BodyText"/>
        <w:spacing w:line="240" w:lineRule="auto" w:before="77"/>
        <w:ind w:right="0"/>
        <w:jc w:val="left"/>
      </w:pPr>
      <w:r>
        <w:rPr/>
        <w:t>较财务报表进行了追溯重述，重述后的</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6"/>
        </w:rPr>
        <w:t> </w:t>
      </w:r>
      <w:r>
        <w:rPr>
          <w:rFonts w:ascii="宋体" w:hAnsi="宋体" w:cs="宋体" w:eastAsia="宋体" w:hint="default"/>
        </w:rPr>
        <w:t>1</w:t>
      </w:r>
      <w:r>
        <w:rPr>
          <w:rFonts w:ascii="宋体" w:hAnsi="宋体" w:cs="宋体" w:eastAsia="宋体" w:hint="default"/>
          <w:spacing w:val="-46"/>
        </w:rPr>
        <w:t> </w:t>
      </w:r>
      <w:r>
        <w:rPr/>
        <w:t>日、</w:t>
      </w:r>
      <w:r>
        <w:rPr>
          <w:rFonts w:ascii="宋体" w:hAnsi="宋体" w:cs="宋体" w:eastAsia="宋体" w:hint="default"/>
        </w:rPr>
        <w:t>2013</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日合并资产负债表如下：</w:t>
      </w:r>
    </w:p>
    <w:p>
      <w:pPr>
        <w:pStyle w:val="BodyText"/>
        <w:spacing w:line="240" w:lineRule="auto" w:before="116"/>
        <w:ind w:left="0" w:right="150"/>
        <w:jc w:val="right"/>
      </w:pPr>
      <w:r>
        <w:rPr/>
        <w:t>单位：元</w:t>
      </w:r>
    </w:p>
    <w:p>
      <w:pPr>
        <w:spacing w:after="0" w:line="240" w:lineRule="auto"/>
        <w:jc w:val="right"/>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476,011,726.78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1,301,601,381.71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1,096,415,088.85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71,083,055.00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23,450,531.00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51,327,190.65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1,005,465,724.62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1,817,558,354.68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2,952,086,558.85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137,640,176.12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220,184,232.52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194,413,333.24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173,583,276.95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205,314,688.52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235,377,312.94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1,339,763,310.05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1,260,627,760.89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1,189,712,797.66</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8,706.77</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64,332,898.76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102,185,625.01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3,203,555,976.29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4,893,069,848.08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5,821,517,907.20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40,617,000.00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38,941,539.78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380,150,598.35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5,496,740.48</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235,612,301.80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501,663,159.47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531,706,339.22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16,085,996.00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21,575,893.87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22,110,496.83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16,380,888.53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68,453,586.11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170,039,301.57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9,143,795.44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7,322,827.17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474,828,463.00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474,828,463.00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944,168,058.86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2,127,495.63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2,423,257.97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1,835,902.25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6,613,480.49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8,667,971.42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17,210,330.05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806,906,161.37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1,116,553,871.62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2,102,443,854.30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4,010,462,137.66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6,009,623,719.70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7,923,961,761.50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236,287,601.76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209,800,000.00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292,027,009.15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116,602,845.00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214,574,077.68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136,883,863.90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244,398,602.69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296,874,951.48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371,571,994.98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491,430,458.55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494,903,234.51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375,853,151.28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435,873.38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2,406,721.83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3,790,926.67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35,271,656.24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100,840,230.19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80,444,341.90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2,083,333.33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275,201.33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40,369,158.00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72,498,765.20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134,834,877.16</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25,278,679.01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67,874,314.59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40,414,442.50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1,190,074,874.63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1,461,855,628.81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1,436,095,808.87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765,753,662.33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68,096,555.50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54,425,839.66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67,569,629.63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84,070,870.13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135.81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40,703,471.92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54,425,975.47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833,323,427.77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192,870,897.55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1,244,500,850.10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2,295,179,056.58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1,628,966,706.42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689,967,200.00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694,303,610.00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1,514,806,948.00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623,407,728.41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934,721,149.91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1,486,530,026.32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-29,158.25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-39,236.56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309,472,715.86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158,592,877.25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211,226,935.74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293,876,664.93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1,293,970,465.40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1,874,213,461.86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2,683,209,472.04</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2,765,909,112.81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3,714,425,920.95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6,287,895,827.15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52,174.75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18,742.17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7,099,227.93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2,765,961,287.56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3,714,444,663.12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6,294,995,055.08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4,010,462,137.66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6,009,623,719.70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7,923,961,761.50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宋体" w:hAnsi="宋体" w:cs="宋体" w:eastAsia="宋体" w:hint="default"/>
        </w:rPr>
        <w:t>5</w:t>
      </w:r>
      <w:r>
        <w:rPr/>
        <w:t>、其他</w:t>
      </w:r>
      <w:r>
        <w:rPr>
          <w:b w:val="0"/>
          <w:bCs w:val="0"/>
        </w:rPr>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12"/>
      <w:r>
        <w:rPr/>
        <w:t>第十二节</w:t>
      </w:r>
      <w:r>
        <w:rPr>
          <w:spacing w:val="-8"/>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宋体" w:hAnsi="宋体" w:cs="宋体" w:eastAsia="宋体" w:hint="default"/>
        </w:rPr>
        <w:t>1</w:t>
      </w:r>
      <w:r>
        <w:rPr/>
        <w:t>、载有公司法定代表人签名的</w:t>
      </w:r>
      <w:r>
        <w:rPr>
          <w:rFonts w:ascii="宋体" w:hAnsi="宋体" w:cs="宋体" w:eastAsia="宋体" w:hint="default"/>
        </w:rPr>
        <w:t>2014</w:t>
      </w:r>
      <w:r>
        <w:rPr/>
        <w:t>年年度报告文本原件。</w:t>
      </w:r>
    </w:p>
    <w:p>
      <w:pPr>
        <w:pStyle w:val="BodyText"/>
        <w:spacing w:line="240" w:lineRule="auto" w:before="77"/>
        <w:ind w:right="0"/>
        <w:jc w:val="left"/>
      </w:pPr>
      <w:r>
        <w:rPr>
          <w:rFonts w:ascii="宋体" w:hAnsi="宋体" w:cs="宋体" w:eastAsia="宋体" w:hint="default"/>
        </w:rPr>
        <w:t>2</w:t>
      </w:r>
      <w:r>
        <w:rPr/>
        <w:t>、载有公司法定代表人、主管会计工作负责人及会计机构负责人签名并盖章的会计报表。</w:t>
      </w:r>
    </w:p>
    <w:p>
      <w:pPr>
        <w:pStyle w:val="BodyText"/>
        <w:spacing w:line="240" w:lineRule="auto" w:before="76"/>
        <w:ind w:right="0"/>
        <w:jc w:val="left"/>
      </w:pPr>
      <w:r>
        <w:rPr>
          <w:rFonts w:ascii="宋体" w:hAnsi="宋体" w:cs="宋体" w:eastAsia="宋体" w:hint="default"/>
        </w:rPr>
        <w:t>3</w:t>
      </w:r>
      <w:r>
        <w:rPr/>
        <w:t>、载有会计师事务所盖章、注册会计师签名并盖章的审计报告原件。</w:t>
      </w:r>
    </w:p>
    <w:p>
      <w:pPr>
        <w:pStyle w:val="BodyText"/>
        <w:spacing w:line="240" w:lineRule="auto" w:before="76"/>
        <w:ind w:right="0"/>
        <w:jc w:val="left"/>
      </w:pPr>
      <w:r>
        <w:rPr>
          <w:rFonts w:ascii="宋体" w:hAnsi="宋体" w:cs="宋体" w:eastAsia="宋体" w:hint="default"/>
        </w:rPr>
        <w:t>4</w:t>
      </w:r>
      <w:r>
        <w:rPr/>
        <w:t>、报告期内在中国证监会指定报纸上公开披露过的所有公司文件的正本及公告的原稿。</w:t>
      </w:r>
    </w:p>
    <w:p>
      <w:pPr>
        <w:pStyle w:val="BodyText"/>
        <w:spacing w:line="240" w:lineRule="auto" w:before="76"/>
        <w:ind w:right="0"/>
        <w:jc w:val="left"/>
      </w:pPr>
      <w:r>
        <w:rPr>
          <w:rFonts w:ascii="宋体" w:hAnsi="宋体" w:cs="宋体" w:eastAsia="宋体" w:hint="default"/>
        </w:rPr>
        <w:t>5</w:t>
      </w:r>
      <w:r>
        <w:rPr/>
        <w:t>、其他备查文件。</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905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05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05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905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905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04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904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905128" type="#_x0000_t202" filled="false" stroked="false">
          <v:textbox inset="0,0,0,0">
            <w:txbxContent>
              <w:p>
                <w:pPr>
                  <w:pStyle w:val="BodyText"/>
                  <w:spacing w:line="214" w:lineRule="exact"/>
                  <w:ind w:left="20" w:right="0"/>
                  <w:jc w:val="left"/>
                </w:pPr>
                <w:r>
                  <w:rPr/>
                  <w:t>东华软件股份公司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44"/>
      <w:ind w:left="15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dhcc.com.cn/" TargetMode="External"/><Relationship Id="rId10" Type="http://schemas.openxmlformats.org/officeDocument/2006/relationships/hyperlink" Target="mailto:strongyang@dhcc.com.cn" TargetMode="External"/><Relationship Id="rId11" Type="http://schemas.openxmlformats.org/officeDocument/2006/relationships/hyperlink" Target="mailto:gaohan@dhcc.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www/" TargetMode="External"/><Relationship Id="rId16" Type="http://schemas.openxmlformats.org/officeDocument/2006/relationships/hyperlink" Target="http://www.cninfo.c/" TargetMode="External"/><Relationship Id="rId17" Type="http://schemas.openxmlformats.org/officeDocument/2006/relationships/hyperlink" Target="http://www.cninfo.com.cn/finalpage/2014-07-15/1200053392.PDF"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yperlink" Target="http://www.cninfo.com/" TargetMode="External"/><Relationship Id="rId30" Type="http://schemas.openxmlformats.org/officeDocument/2006/relationships/hyperlink" Target="http://www.cninfo.com.cn/)%E4%B8%8A%E7%9A%84" TargetMode="External"/><Relationship Id="rId31" Type="http://schemas.openxmlformats.org/officeDocument/2006/relationships/footer" Target="footer5.xml"/><Relationship Id="rId32" Type="http://schemas.openxmlformats.org/officeDocument/2006/relationships/footer" Target="footer6.xml"/><Relationship Id="rId33"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东华软件股份公司</dc:creator>
  <dc:title>东华软件股份公司2014年年度报告全文</dc:title>
  <dcterms:created xsi:type="dcterms:W3CDTF">2020-05-06T15:46:17Z</dcterms:created>
  <dcterms:modified xsi:type="dcterms:W3CDTF">2020-05-06T15:46:17Z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2015-04-28T00:00:00Z</vt:filetime>
  </property>
  <property fmtid="{D5CDD505-2E9C-101B-9397-08002B2CF9AE}" pid="3" name="Creator">
    <vt:lpwstr>Microsoft® Word 2010</vt:lpwstr>
  </property>
  <property fmtid="{D5CDD505-2E9C-101B-9397-08002B2CF9AE}" pid="4" name="LastSaved">
    <vt:filetime>2020-05-06T00:00:00Z</vt:filetime>
  </property>
</Properties>
</file>