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316" w:right="318"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东华软件股份公司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16" w:right="315"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line="3055" w:lineRule="exact"/>
        <w:ind w:left="3248"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2203640" cy="19404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03640" cy="1940432"/>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33"/>
        <w:ind w:left="316" w:right="316"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4" w:right="153"/>
        <w:jc w:val="left"/>
        <w:rPr>
          <w:b w:val="0"/>
          <w:bCs w:val="0"/>
        </w:rPr>
      </w:pP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08" w:lineRule="auto" w:before="162"/>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公司负责人薛向东、主管会计工作负责人叶莉及会计机构负责人</w:t>
      </w:r>
      <w:r>
        <w:rPr>
          <w:rFonts w:ascii="宋体" w:hAnsi="宋体" w:cs="宋体" w:eastAsia="宋体" w:hint="default"/>
          <w:b/>
          <w:bCs/>
          <w:spacing w:val="-2"/>
          <w:sz w:val="28"/>
          <w:szCs w:val="28"/>
        </w:rPr>
        <w:t>(</w:t>
      </w:r>
      <w:r>
        <w:rPr>
          <w:rFonts w:ascii="宋体" w:hAnsi="宋体" w:cs="宋体" w:eastAsia="宋体" w:hint="default"/>
          <w:b/>
          <w:bCs/>
          <w:spacing w:val="-2"/>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初美伶声明：保证年度报告中财务报告的真实、准确、完整。</w:t>
      </w:r>
      <w:r>
        <w:rPr>
          <w:rFonts w:ascii="宋体" w:hAnsi="宋体" w:cs="宋体" w:eastAsia="宋体" w:hint="default"/>
          <w:sz w:val="28"/>
          <w:szCs w:val="28"/>
        </w:rPr>
      </w:r>
    </w:p>
    <w:p>
      <w:pPr>
        <w:spacing w:line="472" w:lineRule="auto" w:before="162"/>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公司未来经营过程中可能存在市场风险、研发风险、并购整合风险、人力</w:t>
      </w:r>
      <w:r>
        <w:rPr>
          <w:rFonts w:ascii="宋体" w:hAnsi="宋体" w:cs="宋体" w:eastAsia="宋体" w:hint="default"/>
          <w:spacing w:val="2"/>
          <w:sz w:val="28"/>
          <w:szCs w:val="28"/>
        </w:rPr>
      </w:r>
    </w:p>
    <w:p>
      <w:pPr>
        <w:spacing w:line="408" w:lineRule="auto" w:before="0"/>
        <w:ind w:left="152" w:right="149" w:firstLine="0"/>
        <w:jc w:val="left"/>
        <w:rPr>
          <w:rFonts w:ascii="宋体" w:hAnsi="宋体" w:cs="宋体" w:eastAsia="宋体" w:hint="default"/>
          <w:sz w:val="28"/>
          <w:szCs w:val="28"/>
        </w:rPr>
      </w:pPr>
      <w:r>
        <w:rPr>
          <w:rFonts w:ascii="宋体" w:hAnsi="宋体" w:cs="宋体" w:eastAsia="宋体" w:hint="default"/>
          <w:b/>
          <w:bCs/>
          <w:spacing w:val="2"/>
          <w:sz w:val="28"/>
          <w:szCs w:val="28"/>
        </w:rPr>
        <w:t>资源风险，有关风险因素内容与对策措施已在本报告第四节“管理层讨论与分</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z w:val="28"/>
          <w:szCs w:val="28"/>
        </w:rPr>
        <w:t>析”部分予以详细描述。敬请广大投资者注意风险。</w:t>
      </w:r>
      <w:r>
        <w:rPr>
          <w:rFonts w:ascii="宋体" w:hAnsi="宋体" w:cs="宋体" w:eastAsia="宋体" w:hint="default"/>
          <w:sz w:val="28"/>
          <w:szCs w:val="28"/>
        </w:rPr>
      </w:r>
    </w:p>
    <w:p>
      <w:pPr>
        <w:spacing w:line="408" w:lineRule="auto" w:before="162"/>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公司经本次董事会审议通过的利润分配预案为：以公司权益分派登记日的</w:t>
      </w:r>
      <w:r>
        <w:rPr>
          <w:rFonts w:ascii="宋体" w:hAnsi="宋体" w:cs="宋体" w:eastAsia="宋体" w:hint="default"/>
          <w:b/>
          <w:bCs/>
          <w:w w:val="99"/>
          <w:sz w:val="28"/>
          <w:szCs w:val="28"/>
        </w:rPr>
        <w:t> </w:t>
      </w:r>
      <w:r>
        <w:rPr>
          <w:rFonts w:ascii="宋体" w:hAnsi="宋体" w:cs="宋体" w:eastAsia="宋体" w:hint="default"/>
          <w:b/>
          <w:bCs/>
          <w:w w:val="99"/>
          <w:sz w:val="28"/>
          <w:szCs w:val="28"/>
        </w:rPr>
        <w:t>公司股本为基数，向全体股东每</w:t>
      </w:r>
      <w:r>
        <w:rPr>
          <w:rFonts w:ascii="宋体" w:hAnsi="宋体" w:cs="宋体" w:eastAsia="宋体" w:hint="default"/>
          <w:b/>
          <w:bCs/>
          <w:spacing w:val="-68"/>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68"/>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8"/>
          <w:w w:val="99"/>
          <w:sz w:val="28"/>
          <w:szCs w:val="28"/>
        </w:rPr>
        <w:t> </w:t>
      </w:r>
      <w:r>
        <w:rPr>
          <w:rFonts w:ascii="宋体" w:hAnsi="宋体" w:cs="宋体" w:eastAsia="宋体" w:hint="default"/>
          <w:b/>
          <w:bCs/>
          <w:w w:val="99"/>
          <w:sz w:val="28"/>
          <w:szCs w:val="28"/>
        </w:rPr>
        <w:t>1.5</w:t>
      </w:r>
      <w:r>
        <w:rPr>
          <w:rFonts w:ascii="宋体" w:hAnsi="宋体" w:cs="宋体" w:eastAsia="宋体" w:hint="default"/>
          <w:b/>
          <w:bCs/>
          <w:spacing w:val="-68"/>
          <w:w w:val="99"/>
          <w:sz w:val="28"/>
          <w:szCs w:val="28"/>
        </w:rPr>
        <w:t> </w:t>
      </w:r>
      <w:r>
        <w:rPr>
          <w:rFonts w:ascii="宋体" w:hAnsi="宋体" w:cs="宋体" w:eastAsia="宋体" w:hint="default"/>
          <w:b/>
          <w:bCs/>
          <w:spacing w:val="-24"/>
          <w:w w:val="99"/>
          <w:sz w:val="28"/>
          <w:szCs w:val="28"/>
        </w:rPr>
        <w:t>元（含税）。</w:t>
      </w:r>
      <w:r>
        <w:rPr>
          <w:rFonts w:ascii="宋体" w:hAnsi="宋体" w:cs="宋体" w:eastAsia="宋体" w:hint="default"/>
          <w:spacing w:val="-24"/>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16" w:right="31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hyperlink w:history="true" w:anchor="_bookmark0">
            <w:r>
              <w:rPr/>
              <w:t>第一节重要提示、目录和释义</w:t>
            </w:r>
            <w:r>
              <w:rPr>
                <w:rFonts w:ascii="宋体" w:hAnsi="宋体" w:cs="宋体" w:eastAsia="宋体" w:hint="default"/>
              </w:rPr>
              <w:tab/>
              <w:t>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
            <w:r>
              <w:rPr/>
              <w:t>第二节公司简介和主要财务指标</w:t>
            </w:r>
            <w:r>
              <w:rPr>
                <w:rFonts w:ascii="宋体" w:hAnsi="宋体" w:cs="宋体" w:eastAsia="宋体" w:hint="default"/>
              </w:rPr>
              <w:tab/>
              <w:t>11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2">
            <w:r>
              <w:rPr/>
              <w:t>第三节公司业务概要</w:t>
            </w:r>
            <w:r>
              <w:rPr>
                <w:rFonts w:ascii="宋体" w:hAnsi="宋体" w:cs="宋体" w:eastAsia="宋体" w:hint="default"/>
              </w:rPr>
              <w:tab/>
              <w:t>14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第四节管理层讨论与分析</w:t>
            </w:r>
            <w:r>
              <w:rPr>
                <w:rFonts w:ascii="宋体" w:hAnsi="宋体" w:cs="宋体" w:eastAsia="宋体" w:hint="default"/>
              </w:rPr>
              <w:tab/>
              <w:t>44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第五节重要事项</w:t>
            </w:r>
            <w:r>
              <w:rPr>
                <w:rFonts w:ascii="宋体" w:hAnsi="宋体" w:cs="宋体" w:eastAsia="宋体" w:hint="default"/>
              </w:rPr>
              <w:tab/>
              <w:t>57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第六节股份变动及股东情况</w:t>
            </w:r>
            <w:r>
              <w:rPr>
                <w:rFonts w:ascii="宋体" w:hAnsi="宋体" w:cs="宋体" w:eastAsia="宋体" w:hint="default"/>
              </w:rPr>
              <w:tab/>
              <w:t>66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5">
            <w:r>
              <w:rPr/>
              <w:t>第七节优先股相关情况</w:t>
            </w:r>
            <w:r>
              <w:rPr>
                <w:rFonts w:ascii="宋体" w:hAnsi="宋体" w:cs="宋体" w:eastAsia="宋体" w:hint="default"/>
              </w:rPr>
              <w:tab/>
              <w:t>66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第八节董事、监事、高级管理人员和员工情况</w:t>
            </w:r>
            <w:r>
              <w:rPr>
                <w:rFonts w:ascii="宋体" w:hAnsi="宋体" w:cs="宋体" w:eastAsia="宋体" w:hint="default"/>
              </w:rPr>
              <w:tab/>
              <w:t>67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7">
            <w:r>
              <w:rPr/>
              <w:t>第九节公司治理</w:t>
            </w:r>
            <w:r>
              <w:rPr>
                <w:rFonts w:ascii="宋体" w:hAnsi="宋体" w:cs="宋体" w:eastAsia="宋体" w:hint="default"/>
              </w:rPr>
              <w:tab/>
              <w:t>78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8">
            <w:r>
              <w:rPr/>
              <w:t>第十节财务报告</w:t>
            </w:r>
            <w:r>
              <w:rPr>
                <w:rFonts w:ascii="宋体" w:hAnsi="宋体" w:cs="宋体" w:eastAsia="宋体" w:hint="default"/>
              </w:rPr>
              <w:tab/>
              <w:t>85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第十一节备查文件目录</w:t>
            </w:r>
            <w:r>
              <w:rPr>
                <w:rFonts w:ascii="宋体" w:hAnsi="宋体" w:cs="宋体" w:eastAsia="宋体" w:hint="default"/>
              </w:rPr>
              <w:tab/>
              <w:t>199</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5" w:footer="980" w:top="1060" w:bottom="1160" w:left="980" w:right="980"/>
        </w:sectPr>
      </w:pPr>
    </w:p>
    <w:p>
      <w:pPr>
        <w:spacing w:before="945"/>
        <w:ind w:left="316" w:right="31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北京兴华</w:t>
            </w:r>
            <w:r>
              <w:rPr>
                <w:rFonts w:ascii="宋体" w:hAnsi="宋体" w:cs="宋体" w:eastAsia="宋体" w:hint="default"/>
                <w:sz w:val="18"/>
                <w:szCs w:val="18"/>
              </w:rPr>
              <w:t>/</w:t>
            </w:r>
            <w:r>
              <w:rPr>
                <w:rFonts w:ascii="宋体" w:hAnsi="宋体" w:cs="宋体" w:eastAsia="宋体" w:hint="default"/>
                <w:sz w:val="18"/>
                <w:szCs w:val="18"/>
              </w:rPr>
              <w:t>审计</w:t>
            </w:r>
            <w:r>
              <w:rPr>
                <w:rFonts w:ascii="宋体" w:hAnsi="宋体" w:cs="宋体" w:eastAsia="宋体" w:hint="default"/>
                <w:sz w:val="18"/>
                <w:szCs w:val="18"/>
              </w:rPr>
              <w:t>/</w:t>
            </w:r>
            <w:r>
              <w:rPr>
                <w:rFonts w:ascii="宋体" w:hAnsi="宋体" w:cs="宋体" w:eastAsia="宋体" w:hint="default"/>
                <w:sz w:val="18"/>
                <w:szCs w:val="18"/>
              </w:rPr>
              <w:t>公司会计师</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东华合创</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120"/>
              <w:jc w:val="left"/>
              <w:rPr>
                <w:rFonts w:ascii="宋体" w:hAnsi="宋体" w:cs="宋体" w:eastAsia="宋体" w:hint="default"/>
                <w:sz w:val="18"/>
                <w:szCs w:val="18"/>
              </w:rPr>
            </w:pPr>
            <w:r>
              <w:rPr>
                <w:rFonts w:ascii="宋体" w:hAnsi="宋体" w:cs="宋体" w:eastAsia="宋体" w:hint="default"/>
                <w:sz w:val="18"/>
                <w:szCs w:val="18"/>
              </w:rPr>
              <w:t>北京东华合创数码科技股份有限公司（发行人曾用名，</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日更名为东华软件股份公司）</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诚信电脑</w:t>
            </w:r>
            <w:r>
              <w:rPr>
                <w:rFonts w:ascii="宋体" w:hAnsi="宋体" w:cs="宋体" w:eastAsia="宋体" w:hint="default"/>
                <w:sz w:val="18"/>
                <w:szCs w:val="18"/>
              </w:rPr>
              <w:t>/</w:t>
            </w:r>
            <w:r>
              <w:rPr>
                <w:rFonts w:ascii="宋体" w:hAnsi="宋体" w:cs="宋体" w:eastAsia="宋体" w:hint="default"/>
                <w:sz w:val="18"/>
                <w:szCs w:val="18"/>
              </w:rPr>
              <w:t>控股股东</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9" w:lineRule="auto" w:before="49"/>
              <w:ind w:left="17" w:right="19"/>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w:t>
            </w:r>
            <w:r>
              <w:rPr>
                <w:rFonts w:ascii="宋体" w:hAnsi="宋体" w:cs="宋体" w:eastAsia="宋体" w:hint="default"/>
                <w:spacing w:val="-77"/>
                <w:sz w:val="18"/>
                <w:szCs w:val="18"/>
              </w:rPr>
              <w:t>司</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更</w:t>
            </w:r>
            <w:r>
              <w:rPr>
                <w:rFonts w:ascii="宋体" w:hAnsi="宋体" w:cs="宋体" w:eastAsia="宋体" w:hint="default"/>
                <w:sz w:val="18"/>
                <w:szCs w:val="18"/>
              </w:rPr>
              <w:t>名为北京</w:t>
            </w:r>
            <w:r>
              <w:rPr>
                <w:rFonts w:ascii="宋体" w:hAnsi="宋体" w:cs="宋体" w:eastAsia="宋体" w:hint="default"/>
                <w:sz w:val="18"/>
                <w:szCs w:val="18"/>
              </w:rPr>
              <w:t> 东华工业设备中心（有限合伙</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工业设备</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合创电商</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z w:val="18"/>
                <w:szCs w:val="18"/>
              </w:rPr>
              <w:t>北京合创电商投资顾问有限公</w:t>
            </w:r>
            <w:r>
              <w:rPr>
                <w:rFonts w:ascii="宋体" w:hAnsi="宋体" w:cs="宋体" w:eastAsia="宋体" w:hint="default"/>
                <w:spacing w:val="-77"/>
                <w:sz w:val="18"/>
                <w:szCs w:val="18"/>
              </w:rPr>
              <w:t>司</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日更名</w:t>
            </w:r>
            <w:r>
              <w:rPr>
                <w:rFonts w:ascii="宋体" w:hAnsi="宋体" w:cs="宋体" w:eastAsia="宋体" w:hint="default"/>
                <w:spacing w:val="-3"/>
                <w:sz w:val="18"/>
                <w:szCs w:val="18"/>
              </w:rPr>
              <w:t>为</w:t>
            </w:r>
            <w:r>
              <w:rPr>
                <w:rFonts w:ascii="宋体" w:hAnsi="宋体" w:cs="宋体" w:eastAsia="宋体" w:hint="default"/>
                <w:sz w:val="18"/>
                <w:szCs w:val="18"/>
              </w:rPr>
              <w:t>北京合创</w:t>
            </w:r>
            <w:r>
              <w:rPr>
                <w:rFonts w:ascii="宋体" w:hAnsi="宋体" w:cs="宋体" w:eastAsia="宋体" w:hint="default"/>
                <w:sz w:val="18"/>
                <w:szCs w:val="18"/>
              </w:rPr>
              <w:t> 电商投资顾问中心（有限合伙</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合创科技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联银通科技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厚盾科技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东华软件工程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东华合创软件</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东华软件技术</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东华合创科技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厚盾软件</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易时科技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普林科技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南昌东华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山西东华</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东华信息技术</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卓讯科技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厚盾鸿远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神州新桥软件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北京神州新桥软件技术有限公司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东华软件开发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东华博雅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天津东华博雅软件有限公司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东华星联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健康乐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光明数据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兰州东华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东华智慧城市股份有限公司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东华万兴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合力东华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博育云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威海东华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绵阳东华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东华软件（绵阳）有限公司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内蒙古东华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发思特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广东东华发思特软件有限公司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惠生活</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东华惠生活（北京）信息技术有限公司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互联宜家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海南东华软件有限公司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智中能源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东华炜如</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安徽五星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安徽五星食品股份有限公司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中科前程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海南银行股份有限公司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首创金融</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北京首创金融资产交易信息服务股份有限公司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南大通用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天津南大通用数据技术股份有限公司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瑞客东华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瑞客东华转化医学研究中心有限公司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东华之星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东华之星（北京）软件有限公司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发改委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8598pt;width:361.55pt;height:19.6pt;mso-position-horizontal-relative:page;mso-position-vertical-relative:page;z-index:-106122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53"/>
        <w:jc w:val="left"/>
        <w:rPr>
          <w:b w:val="0"/>
          <w:bCs w:val="0"/>
        </w:rPr>
      </w:pPr>
      <w:bookmarkStart w:name="_bookmark0" w:id="1"/>
      <w:bookmarkEnd w:id="1"/>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sz w:val="18"/>
              </w:rPr>
              <w:t>002065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东华软件</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DHC Software</w:t>
            </w:r>
            <w:r>
              <w:rPr>
                <w:rFonts w:ascii="宋体"/>
                <w:spacing w:val="-8"/>
                <w:sz w:val="18"/>
              </w:rPr>
              <w:t> </w:t>
            </w:r>
            <w:r>
              <w:rPr>
                <w:rFonts w:ascii="宋体"/>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sz w:val="18"/>
              </w:rPr>
              <w:t>DHCC</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100190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100190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9">
              <w:r>
                <w:rPr>
                  <w:rFonts w:ascii="宋体"/>
                  <w:sz w:val="18"/>
                </w:rPr>
                <w:t>http://www.dhcc.com.cn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hyperlink r:id="rId10">
              <w:r>
                <w:rPr>
                  <w:rFonts w:ascii="宋体"/>
                  <w:sz w:val="18"/>
                </w:rPr>
                <w:t>strongyang@dhcc.com.cn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高晗</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010-62662188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010-62662188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010-62662299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010-62662299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strongyang@dhcc.com.cn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1">
              <w:r>
                <w:rPr>
                  <w:rFonts w:ascii="宋体"/>
                  <w:sz w:val="18"/>
                </w:rPr>
                <w:t>gaohan@dhcc.com.cn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层公司证券部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统一社会信用代码：</w:t>
            </w:r>
            <w:r>
              <w:rPr>
                <w:rFonts w:ascii="宋体" w:hAnsi="宋体" w:cs="宋体" w:eastAsia="宋体" w:hint="default"/>
                <w:sz w:val="18"/>
                <w:szCs w:val="18"/>
              </w:rPr>
              <w:t>911100007226188818</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2211</w:t>
            </w:r>
            <w:r>
              <w:rPr>
                <w:rFonts w:ascii="宋体" w:hAnsi="宋体" w:cs="宋体" w:eastAsia="宋体" w:hint="default"/>
                <w:spacing w:val="-44"/>
                <w:sz w:val="18"/>
                <w:szCs w:val="18"/>
              </w:rPr>
              <w:t> </w:t>
            </w:r>
            <w:r>
              <w:rPr>
                <w:rFonts w:ascii="宋体" w:hAnsi="宋体" w:cs="宋体" w:eastAsia="宋体" w:hint="default"/>
                <w:sz w:val="18"/>
                <w:szCs w:val="18"/>
              </w:rPr>
              <w:t>房间</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胡毅、叶立萍</w:t>
            </w:r>
          </w:p>
        </w:tc>
      </w:tr>
    </w:tbl>
    <w:p>
      <w:pPr>
        <w:pStyle w:val="BodyText"/>
        <w:spacing w:line="240" w:lineRule="auto" w:before="49"/>
        <w:ind w:right="153"/>
        <w:jc w:val="left"/>
      </w:pPr>
      <w:r>
        <w:rPr/>
        <w:t>公司聘请的报告期内履行持续督导职责的保荐机构</w:t>
      </w:r>
    </w:p>
    <w:p>
      <w:pPr>
        <w:pStyle w:val="BodyText"/>
        <w:spacing w:line="360" w:lineRule="auto" w:before="115"/>
        <w:ind w:right="5814"/>
        <w:jc w:val="left"/>
      </w:pPr>
      <w:r>
        <w:rPr/>
        <w:t>□ 适用 √</w:t>
      </w:r>
      <w:r>
        <w:rPr>
          <w:spacing w:val="3"/>
        </w:rPr>
        <w:t> </w:t>
      </w:r>
      <w:r>
        <w:rPr/>
        <w:t>不适用</w:t>
      </w:r>
      <w:r>
        <w:rPr/>
        <w:t> 公司聘请的报告期内履行持续督导职责的财务顾问</w:t>
      </w:r>
    </w:p>
    <w:p>
      <w:pPr>
        <w:pStyle w:val="BodyText"/>
        <w:spacing w:line="240" w:lineRule="auto" w:before="27"/>
        <w:ind w:right="15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号 丰铭国际大厦</w:t>
            </w:r>
            <w:r>
              <w:rPr>
                <w:rFonts w:ascii="宋体" w:hAnsi="宋体" w:cs="宋体" w:eastAsia="宋体" w:hint="default"/>
                <w:spacing w:val="-44"/>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高景奇、吴学孔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号 丰铭国际大厦</w:t>
            </w:r>
            <w:r>
              <w:rPr>
                <w:rFonts w:ascii="宋体" w:hAnsi="宋体" w:cs="宋体" w:eastAsia="宋体" w:hint="default"/>
                <w:spacing w:val="-44"/>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高景奇、吴学孔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公司是否因会计政策变更及会计差错更正等追溯调整或重述以前年度会计数据</w:t>
      </w:r>
    </w:p>
    <w:p>
      <w:pPr>
        <w:pStyle w:val="BodyText"/>
        <w:spacing w:line="240" w:lineRule="auto" w:before="115"/>
        <w:ind w:right="15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5,629,416,583.02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5,171,048,660.00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4,422,914,442.35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1,141,878,403.18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1,038,654,013.57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770,870,494.95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936,583,557.45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1,017,138,835.94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762,218,669.34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-34,556,857.73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-15,144,074.12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-128.19%</w:t>
            </w:r>
            <w:r>
              <w:rPr>
                <w:rFonts w:ascii="宋体"/>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301,336,413.05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0.7416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0.7013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0.5583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0.7397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0.6981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0.5571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24.36%</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11,156,713,729.02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7,923,961,761.50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6,009,623,719.70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8,503,772,488.42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6,287,895,827.15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3,714,425,920.95</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□适用 √</w:t>
      </w:r>
      <w:r>
        <w:rPr>
          <w:spacing w:val="2"/>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952,411,162.10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727,773,643.00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1,438,551,948.88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2,510,679,829.04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166,633,722.43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242,552,775.82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192,523,418.78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540,168,486.15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164,142,050.07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56,692,536.89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186,923,709.92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528,825,260.58</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-480,421,080.87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-45,089,542.06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106,982,514.30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383,971,250.90</w:t>
            </w:r>
          </w:p>
        </w:tc>
      </w:tr>
    </w:tbl>
    <w:p>
      <w:pPr>
        <w:spacing w:line="240" w:lineRule="auto" w:before="5"/>
        <w:rPr>
          <w:rFonts w:ascii="宋体" w:hAnsi="宋体" w:cs="宋体" w:eastAsia="宋体" w:hint="default"/>
          <w:sz w:val="6"/>
          <w:szCs w:val="6"/>
        </w:rPr>
      </w:pPr>
    </w:p>
    <w:p>
      <w:pPr>
        <w:pStyle w:val="BodyText"/>
        <w:spacing w:line="240" w:lineRule="auto" w:before="44"/>
        <w:ind w:right="153"/>
        <w:jc w:val="left"/>
      </w:pPr>
      <w:r>
        <w:rPr/>
        <w:t>上述财务指标或其加总数是否与公司已披露季度报告、半年度报告相关财务指标存在重大差异</w:t>
      </w:r>
    </w:p>
    <w:p>
      <w:pPr>
        <w:spacing w:line="240" w:lineRule="auto" w:before="0"/>
        <w:rPr>
          <w:rFonts w:ascii="宋体" w:hAnsi="宋体" w:cs="宋体" w:eastAsia="宋体" w:hint="default"/>
          <w:sz w:val="15"/>
          <w:szCs w:val="15"/>
        </w:rPr>
      </w:pPr>
    </w:p>
    <w:p>
      <w:pPr>
        <w:pStyle w:val="BodyText"/>
        <w:spacing w:line="240" w:lineRule="auto"/>
        <w:ind w:right="153"/>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t>√ 适用□</w:t>
      </w:r>
      <w:r>
        <w:rPr>
          <w:spacing w:val="2"/>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-13,211.78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10,884,000.97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105,537.70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25,861,152.29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13,738,372.10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8,999,685.88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202,226,916.31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427,111.24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993,602.06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-1,097,740.98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360,673.20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23,418,507.47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2,436,596.98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814,444.57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355,105.68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-373.40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205,294,845.73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21,515,177.63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8,651,825.61</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6"/>
          <w:szCs w:val="6"/>
        </w:rPr>
      </w:pPr>
    </w:p>
    <w:p>
      <w:pPr>
        <w:pStyle w:val="BodyText"/>
        <w:spacing w:line="240" w:lineRule="auto" w:before="44"/>
        <w:ind w:left="513" w:right="0"/>
        <w:jc w:val="left"/>
      </w:pPr>
      <w:r>
        <w:rPr/>
        <w:t>对公司根据《公开发行证券的公司信息披露解释性公告第</w:t>
      </w:r>
      <w:r>
        <w:rPr>
          <w:spacing w:val="-46"/>
        </w:rPr>
        <w:t> </w:t>
      </w:r>
      <w:r>
        <w:rPr>
          <w:rFonts w:ascii="宋体" w:hAnsi="宋体" w:cs="宋体" w:eastAsia="宋体" w:hint="default"/>
        </w:rPr>
        <w:t>1</w:t>
      </w:r>
      <w:r>
        <w:rPr>
          <w:rFonts w:ascii="宋体" w:hAnsi="宋体" w:cs="宋体" w:eastAsia="宋体" w:hint="default"/>
          <w:spacing w:val="-48"/>
        </w:rPr>
        <w:t> </w:t>
      </w:r>
      <w:r>
        <w:rPr>
          <w:spacing w:val="-3"/>
        </w:rPr>
        <w:t>号——非经常性损益》定义界定的非经常性损益项目，以及</w:t>
      </w:r>
    </w:p>
    <w:p>
      <w:pPr>
        <w:pStyle w:val="BodyText"/>
        <w:spacing w:line="316" w:lineRule="auto" w:before="76"/>
        <w:ind w:right="139"/>
        <w:jc w:val="left"/>
      </w:pPr>
      <w:r>
        <w:rPr>
          <w:spacing w:val="-2"/>
        </w:rPr>
        <w:t>把《公开发行证券的公司信息披露解释性公告第</w:t>
      </w:r>
      <w:r>
        <w:rPr/>
        <w:t> </w:t>
      </w:r>
      <w:r>
        <w:rPr>
          <w:rFonts w:ascii="宋体" w:hAnsi="宋体" w:cs="宋体" w:eastAsia="宋体" w:hint="default"/>
        </w:rPr>
        <w:t>1</w:t>
      </w:r>
      <w:r>
        <w:rPr>
          <w:rFonts w:ascii="宋体" w:hAnsi="宋体" w:cs="宋体" w:eastAsia="宋体" w:hint="default"/>
          <w:spacing w:val="-69"/>
        </w:rPr>
        <w:t> </w:t>
      </w:r>
      <w:r>
        <w:rPr>
          <w:spacing w:val="-2"/>
        </w:rPr>
        <w:t>号——非经常性损益》中列举的非经常性损益项目界定为经常性损益的项</w:t>
      </w:r>
      <w:r>
        <w:rPr/>
        <w:t> 目，应说明原因</w:t>
      </w:r>
    </w:p>
    <w:p>
      <w:pPr>
        <w:pStyle w:val="BodyText"/>
        <w:spacing w:line="240" w:lineRule="auto" w:before="139"/>
        <w:ind w:right="153"/>
        <w:jc w:val="left"/>
      </w:pPr>
      <w:r>
        <w:rPr/>
        <w:t>□ 适用 √</w:t>
      </w:r>
      <w:r>
        <w:rPr>
          <w:spacing w:val="3"/>
        </w:rPr>
        <w:t> </w:t>
      </w:r>
      <w:r>
        <w:rPr/>
        <w:t>不适用</w:t>
      </w:r>
    </w:p>
    <w:p>
      <w:pPr>
        <w:spacing w:line="240" w:lineRule="auto" w:before="3"/>
        <w:rPr>
          <w:rFonts w:ascii="宋体" w:hAnsi="宋体" w:cs="宋体" w:eastAsia="宋体" w:hint="default"/>
          <w:sz w:val="15"/>
          <w:szCs w:val="15"/>
        </w:rPr>
      </w:pPr>
    </w:p>
    <w:p>
      <w:pPr>
        <w:pStyle w:val="BodyText"/>
        <w:spacing w:line="316" w:lineRule="auto"/>
        <w:ind w:right="134" w:firstLine="360"/>
        <w:jc w:val="left"/>
      </w:pPr>
      <w:r>
        <w:rPr/>
        <w:t>公司报告期不存在将根据《公开发行证券的公司信息披露解释性公告第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spacing w:val="-3"/>
        </w:rPr>
        <w:t>号——非经常性损益》定义、列举的非经常性</w:t>
      </w:r>
      <w:r>
        <w:rPr/>
        <w:t> 损益项目界定为经常性损益的项目的情形。</w:t>
      </w:r>
    </w:p>
    <w:p>
      <w:pPr>
        <w:spacing w:after="0" w:line="31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0"/>
        <w:jc w:val="center"/>
        <w:rPr>
          <w:b w:val="0"/>
          <w:bCs w:val="0"/>
        </w:rPr>
      </w:pPr>
      <w:bookmarkStart w:name="_bookmark1" w:id="2"/>
      <w:bookmarkEnd w:id="2"/>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1" w:firstLine="360"/>
        <w:jc w:val="both"/>
      </w:pPr>
      <w:r>
        <w:rPr>
          <w:spacing w:val="-2"/>
        </w:rPr>
        <w:t>公司是国内领先的综合性行业应用软件、计算机信息系统集成及相关技术服务的提供商，为客户持续提供行业整体解决</w:t>
      </w:r>
      <w:r>
        <w:rPr/>
        <w:t> </w:t>
      </w:r>
      <w:r>
        <w:rPr>
          <w:spacing w:val="-2"/>
        </w:rPr>
        <w:t>方案和长期的信息化服务。近年来，公司紧跟行业发展趋势，全面布局“云计算”、“互联网”、“大数据”、“物联网”</w:t>
      </w:r>
      <w:r>
        <w:rPr>
          <w:spacing w:val="-67"/>
        </w:rPr>
        <w:t> </w:t>
      </w:r>
      <w:r>
        <w:rPr>
          <w:spacing w:val="-67"/>
        </w:rPr>
      </w:r>
      <w:r>
        <w:rPr>
          <w:spacing w:val="-2"/>
        </w:rPr>
        <w:t>等前瞻性行业，逐步转变经营理念，注重业务模式创新，不断升级现有软件产品，完善产品性能。坚持内生式和外延式并举</w:t>
      </w:r>
      <w:r>
        <w:rPr>
          <w:spacing w:val="-66"/>
        </w:rPr>
        <w:t> </w:t>
      </w:r>
      <w:r>
        <w:rPr>
          <w:spacing w:val="-66"/>
        </w:rPr>
      </w:r>
      <w:r>
        <w:rPr/>
        <w:t>的发展战略，在专注主营业务的基础上，充分借助资本市场，实现公司业绩飞速发展。</w:t>
      </w:r>
    </w:p>
    <w:p>
      <w:pPr>
        <w:pStyle w:val="BodyText"/>
        <w:spacing w:line="316" w:lineRule="auto" w:before="19"/>
        <w:ind w:right="149" w:firstLine="360"/>
        <w:jc w:val="both"/>
      </w:pPr>
      <w:r>
        <w:rPr>
          <w:spacing w:val="-2"/>
        </w:rPr>
        <w:t>公司经过十余年的发展，积累了丰富的行业资源和客户资源，在金融、医疗、电力、通讯、交通运输、政府、农产品物</w:t>
      </w:r>
      <w:r>
        <w:rPr/>
        <w:t> </w:t>
      </w:r>
      <w:r>
        <w:rPr>
          <w:spacing w:val="-5"/>
        </w:rPr>
        <w:t>流等</w:t>
      </w:r>
      <w:r>
        <w:rPr>
          <w:rFonts w:ascii="宋体" w:hAnsi="宋体" w:cs="宋体" w:eastAsia="宋体" w:hint="default"/>
          <w:spacing w:val="-5"/>
        </w:rPr>
        <w:t>20</w:t>
      </w:r>
      <w:r>
        <w:rPr>
          <w:spacing w:val="-5"/>
        </w:rPr>
        <w:t>多个行业深度拓展，为客户提供一体化解决方案。公司在做好传统信息技术服务的同时，不断突破公司传统业务瓶颈，</w:t>
      </w:r>
    </w:p>
    <w:p>
      <w:pPr>
        <w:pStyle w:val="BodyText"/>
        <w:spacing w:line="319" w:lineRule="auto" w:before="19"/>
        <w:ind w:right="151"/>
        <w:jc w:val="both"/>
      </w:pPr>
      <w:r>
        <w:rPr>
          <w:spacing w:val="-2"/>
        </w:rPr>
        <w:t>（</w:t>
      </w:r>
      <w:r>
        <w:rPr>
          <w:rFonts w:ascii="宋体" w:hAnsi="宋体" w:cs="宋体" w:eastAsia="宋体" w:hint="default"/>
          <w:spacing w:val="-2"/>
        </w:rPr>
        <w:t>1</w:t>
      </w:r>
      <w:r>
        <w:rPr>
          <w:spacing w:val="-2"/>
        </w:rPr>
        <w:t>）布局互联网行业，研发“互联网金融”、“互联网医疗”、“互联网教育”等一系列互联网产品；（</w:t>
      </w:r>
      <w:r>
        <w:rPr>
          <w:rFonts w:ascii="宋体" w:hAnsi="宋体" w:cs="宋体" w:eastAsia="宋体" w:hint="default"/>
          <w:spacing w:val="-2"/>
        </w:rPr>
        <w:t>2</w:t>
      </w:r>
      <w:r>
        <w:rPr>
          <w:spacing w:val="-2"/>
        </w:rPr>
        <w:t>）转变传统项目</w:t>
      </w:r>
      <w:r>
        <w:rPr>
          <w:spacing w:val="-65"/>
        </w:rPr>
        <w:t> </w:t>
      </w:r>
      <w:r>
        <w:rPr>
          <w:spacing w:val="-65"/>
        </w:rPr>
      </w:r>
      <w:r>
        <w:rPr/>
        <w:t>型经营模式，推出公司“金融云”、“医疗云”、“企业云”等云模式产品；（</w:t>
      </w:r>
      <w:r>
        <w:rPr>
          <w:rFonts w:ascii="宋体" w:hAnsi="宋体" w:cs="宋体" w:eastAsia="宋体" w:hint="default"/>
        </w:rPr>
        <w:t>3</w:t>
      </w:r>
      <w:r>
        <w:rPr/>
        <w:t>）全面布局公司智慧城市业务，相继与十 </w:t>
      </w:r>
      <w:r>
        <w:rPr>
          <w:spacing w:val="-4"/>
        </w:rPr>
        <w:t>几个省、市政府签订合作框架协议，落地智慧城市项目，大力推广“智慧社区”业务；</w:t>
      </w:r>
      <w:r>
        <w:rPr>
          <w:rFonts w:ascii="宋体" w:hAnsi="宋体" w:cs="宋体" w:eastAsia="宋体" w:hint="default"/>
          <w:spacing w:val="-4"/>
        </w:rPr>
        <w:t>(4)</w:t>
      </w:r>
      <w:r>
        <w:rPr>
          <w:spacing w:val="-4"/>
        </w:rPr>
        <w:t>深度开发“大数据”、“物联网”</w:t>
      </w:r>
      <w:r>
        <w:rPr>
          <w:spacing w:val="-42"/>
        </w:rPr>
        <w:t> </w:t>
      </w:r>
      <w:r>
        <w:rPr>
          <w:spacing w:val="-42"/>
        </w:rPr>
      </w:r>
      <w:r>
        <w:rPr/>
        <w:t>等行业领域。上述各项业务的具体发展情况详见“第四节管理层讨论与分析”。</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、主要资产重大变化情况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6"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股权资产较上年末增加</w:t>
            </w:r>
            <w:r>
              <w:rPr>
                <w:rFonts w:ascii="宋体" w:hAnsi="宋体" w:cs="宋体" w:eastAsia="宋体" w:hint="default"/>
                <w:spacing w:val="-46"/>
                <w:sz w:val="18"/>
                <w:szCs w:val="18"/>
              </w:rPr>
              <w:t> </w:t>
            </w:r>
            <w:r>
              <w:rPr>
                <w:rFonts w:ascii="宋体" w:hAnsi="宋体" w:cs="宋体" w:eastAsia="宋体" w:hint="default"/>
                <w:sz w:val="18"/>
                <w:szCs w:val="18"/>
              </w:rPr>
              <w:t>199.20%</w:t>
            </w:r>
            <w:r>
              <w:rPr>
                <w:rFonts w:ascii="宋体" w:hAnsi="宋体" w:cs="宋体" w:eastAsia="宋体" w:hint="default"/>
                <w:sz w:val="18"/>
                <w:szCs w:val="18"/>
              </w:rPr>
              <w:t>，主要原因系公司对东方通增资，对海南银行、北 京首创金融资产交易信息服务股份有限公司、天津南大通用数据技术投资所致。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固定资产较上年末减少</w:t>
            </w:r>
            <w:r>
              <w:rPr>
                <w:rFonts w:ascii="宋体" w:hAnsi="宋体" w:cs="宋体" w:eastAsia="宋体" w:hint="default"/>
                <w:spacing w:val="-47"/>
                <w:sz w:val="18"/>
                <w:szCs w:val="18"/>
              </w:rPr>
              <w:t> </w:t>
            </w:r>
            <w:r>
              <w:rPr>
                <w:rFonts w:ascii="宋体" w:hAnsi="宋体" w:cs="宋体" w:eastAsia="宋体" w:hint="default"/>
                <w:sz w:val="18"/>
                <w:szCs w:val="18"/>
              </w:rPr>
              <w:t>16.59%</w:t>
            </w:r>
            <w:r>
              <w:rPr>
                <w:rFonts w:ascii="宋体" w:hAnsi="宋体" w:cs="宋体" w:eastAsia="宋体" w:hint="default"/>
                <w:sz w:val="18"/>
                <w:szCs w:val="18"/>
              </w:rPr>
              <w:t>，主要原因系固定资产计提折旧所致。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无形资产较上年度末增加</w:t>
            </w:r>
            <w:r>
              <w:rPr>
                <w:rFonts w:ascii="宋体" w:hAnsi="宋体" w:cs="宋体" w:eastAsia="宋体" w:hint="default"/>
                <w:spacing w:val="-33"/>
                <w:sz w:val="18"/>
                <w:szCs w:val="18"/>
              </w:rPr>
              <w:t> </w:t>
            </w:r>
            <w:r>
              <w:rPr>
                <w:rFonts w:ascii="宋体" w:hAnsi="宋体" w:cs="宋体" w:eastAsia="宋体" w:hint="default"/>
                <w:spacing w:val="-3"/>
                <w:sz w:val="18"/>
                <w:szCs w:val="18"/>
              </w:rPr>
              <w:t>30.54%</w:t>
            </w:r>
            <w:r>
              <w:rPr>
                <w:rFonts w:ascii="宋体" w:hAnsi="宋体" w:cs="宋体" w:eastAsia="宋体" w:hint="default"/>
                <w:spacing w:val="-3"/>
                <w:sz w:val="18"/>
                <w:szCs w:val="18"/>
              </w:rPr>
              <w:t>，主要原因系公司外购无形资产增加，以及本期收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购至高通信导致无形资产增加。</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在建工程较上年度末增加</w:t>
            </w:r>
            <w:r>
              <w:rPr>
                <w:rFonts w:ascii="宋体" w:hAnsi="宋体" w:cs="宋体" w:eastAsia="宋体" w:hint="default"/>
                <w:spacing w:val="-34"/>
                <w:sz w:val="18"/>
                <w:szCs w:val="18"/>
              </w:rPr>
              <w:t> </w:t>
            </w:r>
            <w:r>
              <w:rPr>
                <w:rFonts w:ascii="宋体" w:hAnsi="宋体" w:cs="宋体" w:eastAsia="宋体" w:hint="default"/>
                <w:spacing w:val="-3"/>
                <w:sz w:val="18"/>
                <w:szCs w:val="18"/>
              </w:rPr>
              <w:t>58.39%</w:t>
            </w:r>
            <w:r>
              <w:rPr>
                <w:rFonts w:ascii="宋体" w:hAnsi="宋体" w:cs="宋体" w:eastAsia="宋体" w:hint="default"/>
                <w:spacing w:val="-3"/>
                <w:sz w:val="18"/>
                <w:szCs w:val="18"/>
              </w:rPr>
              <w:t>，主要原因系子公司泰安东华软件园工程办公楼在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建工程、以及子公司深圳至高通信</w:t>
            </w:r>
            <w:r>
              <w:rPr>
                <w:rFonts w:ascii="宋体" w:hAnsi="宋体" w:cs="宋体" w:eastAsia="宋体" w:hint="default"/>
                <w:spacing w:val="-46"/>
                <w:sz w:val="18"/>
                <w:szCs w:val="18"/>
              </w:rPr>
              <w:t> </w:t>
            </w:r>
            <w:r>
              <w:rPr>
                <w:rFonts w:ascii="宋体" w:hAnsi="宋体" w:cs="宋体" w:eastAsia="宋体" w:hint="default"/>
                <w:sz w:val="18"/>
                <w:szCs w:val="18"/>
              </w:rPr>
              <w:t>SMT</w:t>
            </w:r>
            <w:r>
              <w:rPr>
                <w:rFonts w:ascii="宋体" w:hAnsi="宋体" w:cs="宋体" w:eastAsia="宋体" w:hint="default"/>
                <w:spacing w:val="-46"/>
                <w:sz w:val="18"/>
                <w:szCs w:val="18"/>
              </w:rPr>
              <w:t> </w:t>
            </w:r>
            <w:r>
              <w:rPr>
                <w:rFonts w:ascii="宋体" w:hAnsi="宋体" w:cs="宋体" w:eastAsia="宋体" w:hint="default"/>
                <w:sz w:val="18"/>
                <w:szCs w:val="18"/>
              </w:rPr>
              <w:t>生产线支出增加所致。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预收帐款较上年末增加</w:t>
            </w:r>
            <w:r>
              <w:rPr>
                <w:rFonts w:ascii="宋体" w:hAnsi="宋体" w:cs="宋体" w:eastAsia="宋体" w:hint="default"/>
                <w:spacing w:val="-48"/>
                <w:sz w:val="18"/>
                <w:szCs w:val="18"/>
              </w:rPr>
              <w:t> </w:t>
            </w:r>
            <w:r>
              <w:rPr>
                <w:rFonts w:ascii="宋体" w:hAnsi="宋体" w:cs="宋体" w:eastAsia="宋体" w:hint="default"/>
                <w:sz w:val="18"/>
                <w:szCs w:val="18"/>
              </w:rPr>
              <w:t>40.56%</w:t>
            </w:r>
            <w:r>
              <w:rPr>
                <w:rFonts w:ascii="宋体" w:hAnsi="宋体" w:cs="宋体" w:eastAsia="宋体" w:hint="default"/>
                <w:sz w:val="18"/>
                <w:szCs w:val="18"/>
              </w:rPr>
              <w:t>，主要原因系公司收到货物预收款增加所致。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0"/>
              <w:jc w:val="left"/>
              <w:rPr>
                <w:rFonts w:ascii="宋体" w:hAnsi="宋体" w:cs="宋体" w:eastAsia="宋体" w:hint="default"/>
                <w:sz w:val="18"/>
                <w:szCs w:val="18"/>
              </w:rPr>
            </w:pPr>
            <w:r>
              <w:rPr>
                <w:rFonts w:ascii="宋体" w:hAnsi="宋体" w:cs="宋体" w:eastAsia="宋体" w:hint="default"/>
                <w:sz w:val="18"/>
                <w:szCs w:val="18"/>
              </w:rPr>
              <w:t>存货较上年度末增加</w:t>
            </w:r>
            <w:r>
              <w:rPr>
                <w:rFonts w:ascii="宋体" w:hAnsi="宋体" w:cs="宋体" w:eastAsia="宋体" w:hint="default"/>
                <w:spacing w:val="-48"/>
                <w:sz w:val="18"/>
                <w:szCs w:val="18"/>
              </w:rPr>
              <w:t> </w:t>
            </w:r>
            <w:r>
              <w:rPr>
                <w:rFonts w:ascii="宋体" w:hAnsi="宋体" w:cs="宋体" w:eastAsia="宋体" w:hint="default"/>
                <w:sz w:val="18"/>
                <w:szCs w:val="18"/>
              </w:rPr>
              <w:t>72.20%</w:t>
            </w:r>
            <w:r>
              <w:rPr>
                <w:rFonts w:ascii="宋体" w:hAnsi="宋体" w:cs="宋体" w:eastAsia="宋体" w:hint="default"/>
                <w:sz w:val="18"/>
                <w:szCs w:val="18"/>
              </w:rPr>
              <w:t>，主要原因系公司承接的项目增加导致期末存货增加， 以及公司新设或收购公司增加导致期末存货增加。</w:t>
            </w:r>
          </w:p>
        </w:tc>
      </w:tr>
      <w:tr>
        <w:trPr>
          <w:trHeight w:val="102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商誉较上年度末增加</w:t>
            </w:r>
            <w:r>
              <w:rPr>
                <w:rFonts w:ascii="宋体" w:hAnsi="宋体" w:cs="宋体" w:eastAsia="宋体" w:hint="default"/>
                <w:spacing w:val="-30"/>
                <w:sz w:val="18"/>
                <w:szCs w:val="18"/>
              </w:rPr>
              <w:t> </w:t>
            </w:r>
            <w:r>
              <w:rPr>
                <w:rFonts w:ascii="宋体" w:hAnsi="宋体" w:cs="宋体" w:eastAsia="宋体" w:hint="default"/>
                <w:spacing w:val="-3"/>
                <w:sz w:val="18"/>
                <w:szCs w:val="18"/>
              </w:rPr>
              <w:t>76.17%</w:t>
            </w:r>
            <w:r>
              <w:rPr>
                <w:rFonts w:ascii="宋体" w:hAnsi="宋体" w:cs="宋体" w:eastAsia="宋体" w:hint="default"/>
                <w:spacing w:val="-3"/>
                <w:sz w:val="18"/>
                <w:szCs w:val="18"/>
              </w:rPr>
              <w:t>，主要原因系由于公司收购深圳至高通信、北京东华万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兴、珠海发思特公司的股权，支付的购买成本高于被收购公司的可辨认净资产公允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价值份额的差额，确认为商誉所致。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长期待摊费用较上年度末增加</w:t>
            </w:r>
            <w:r>
              <w:rPr>
                <w:rFonts w:ascii="宋体" w:hAnsi="宋体" w:cs="宋体" w:eastAsia="宋体" w:hint="default"/>
                <w:spacing w:val="-46"/>
                <w:sz w:val="18"/>
                <w:szCs w:val="18"/>
              </w:rPr>
              <w:t> </w:t>
            </w:r>
            <w:r>
              <w:rPr>
                <w:rFonts w:ascii="宋体" w:hAnsi="宋体" w:cs="宋体" w:eastAsia="宋体" w:hint="default"/>
                <w:sz w:val="18"/>
                <w:szCs w:val="18"/>
              </w:rPr>
              <w:t>256.85%</w:t>
            </w:r>
            <w:r>
              <w:rPr>
                <w:rFonts w:ascii="宋体" w:hAnsi="宋体" w:cs="宋体" w:eastAsia="宋体" w:hint="default"/>
                <w:sz w:val="18"/>
                <w:szCs w:val="18"/>
              </w:rPr>
              <w:t>，主要原因系公司新设或收购公司增加，房 屋装修费增加所致。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递延所得税资产较上年度末增加</w:t>
            </w:r>
            <w:r>
              <w:rPr>
                <w:rFonts w:ascii="宋体" w:hAnsi="宋体" w:cs="宋体" w:eastAsia="宋体" w:hint="default"/>
                <w:spacing w:val="-41"/>
                <w:sz w:val="18"/>
                <w:szCs w:val="18"/>
              </w:rPr>
              <w:t> </w:t>
            </w:r>
            <w:r>
              <w:rPr>
                <w:rFonts w:ascii="宋体" w:hAnsi="宋体" w:cs="宋体" w:eastAsia="宋体" w:hint="default"/>
                <w:spacing w:val="-3"/>
                <w:sz w:val="18"/>
                <w:szCs w:val="18"/>
              </w:rPr>
              <w:t>45.75%</w:t>
            </w:r>
            <w:r>
              <w:rPr>
                <w:rFonts w:ascii="宋体" w:hAnsi="宋体" w:cs="宋体" w:eastAsia="宋体" w:hint="default"/>
                <w:spacing w:val="-3"/>
                <w:sz w:val="18"/>
                <w:szCs w:val="18"/>
              </w:rPr>
              <w:t>，主要原因系计提的坏账准备增加，相应确</w:t>
            </w:r>
            <w:r>
              <w:rPr>
                <w:rFonts w:ascii="宋体" w:hAnsi="宋体" w:cs="宋体" w:eastAsia="宋体" w:hint="default"/>
                <w:sz w:val="18"/>
                <w:szCs w:val="18"/>
              </w:rPr>
              <w:t> 认的递延所得税资产增加。</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204"/>
        <w:jc w:val="left"/>
        <w:rPr>
          <w:b w:val="0"/>
          <w:bCs w:val="0"/>
        </w:rPr>
      </w:pPr>
      <w:r>
        <w:rPr>
          <w:rFonts w:ascii="宋体" w:hAnsi="宋体" w:cs="宋体" w:eastAsia="宋体" w:hint="default"/>
        </w:rPr>
        <w:t>2</w:t>
      </w:r>
      <w:r>
        <w:rPr/>
        <w:t>、主要境外资产情况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20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204"/>
        <w:jc w:val="left"/>
        <w:rPr>
          <w:b w:val="0"/>
          <w:bCs w:val="0"/>
        </w:rPr>
      </w:pPr>
      <w:r>
        <w:rPr/>
        <w:t>三、核心竞争力分析</w:t>
      </w:r>
      <w:r>
        <w:rPr>
          <w:b w:val="0"/>
          <w:bCs w:val="0"/>
        </w:rPr>
      </w:r>
    </w:p>
    <w:p>
      <w:pPr>
        <w:pStyle w:val="BodyText"/>
        <w:tabs>
          <w:tab w:pos="573" w:val="left" w:leader="none"/>
        </w:tabs>
        <w:spacing w:line="540" w:lineRule="atLeast" w:before="121"/>
        <w:ind w:left="513" w:right="204" w:hanging="361"/>
        <w:jc w:val="left"/>
      </w:pPr>
      <w:r>
        <w:rPr>
          <w:rFonts w:ascii="宋体" w:hAnsi="宋体" w:cs="宋体" w:eastAsia="宋体" w:hint="default"/>
        </w:rPr>
        <w:t>1.</w:t>
        <w:tab/>
        <w:tab/>
      </w:r>
      <w:r>
        <w:rPr/>
        <w:t>注重技术自主研发与创新，完善业务布局 在技术研发方面，公司坚持注重自主研发与创新，从关注客户业务发展趋势、理解客户业务本质、改善客户体验入手，</w:t>
      </w:r>
    </w:p>
    <w:p>
      <w:pPr>
        <w:pStyle w:val="BodyText"/>
        <w:spacing w:line="316" w:lineRule="auto" w:before="76"/>
        <w:ind w:right="284"/>
        <w:jc w:val="left"/>
      </w:pPr>
      <w:r>
        <w:rPr/>
        <w:t>不断提升软件应用价值。公司是国内最早通过软件能力成熟度集成（</w:t>
      </w:r>
      <w:r>
        <w:rPr>
          <w:rFonts w:ascii="宋体" w:hAnsi="宋体" w:cs="宋体" w:eastAsia="宋体" w:hint="default"/>
        </w:rPr>
        <w:t>CMMI</w:t>
      </w:r>
      <w:r>
        <w:rPr/>
        <w:t>）</w:t>
      </w:r>
      <w:r>
        <w:rPr>
          <w:rFonts w:ascii="宋体" w:hAnsi="宋体" w:cs="宋体" w:eastAsia="宋体" w:hint="default"/>
        </w:rPr>
        <w:t>5</w:t>
      </w:r>
      <w:r>
        <w:rPr/>
        <w:t>级认证的软件企业之一，工信部授予的全国仅</w:t>
      </w:r>
      <w:r>
        <w:rPr>
          <w:spacing w:val="-85"/>
        </w:rPr>
        <w:t> </w:t>
      </w:r>
      <w:r>
        <w:rPr>
          <w:spacing w:val="-85"/>
        </w:rPr>
      </w:r>
      <w:r>
        <w:rPr/>
        <w:t>八家国家安全可靠计算机信息系统集成重点企业之一，同时具有涉及国家秘密的计算机信息系统集成甲级资质。</w:t>
      </w:r>
    </w:p>
    <w:p>
      <w:pPr>
        <w:pStyle w:val="BodyText"/>
        <w:spacing w:line="316" w:lineRule="auto" w:before="139"/>
        <w:ind w:right="194" w:firstLine="360"/>
        <w:jc w:val="left"/>
      </w:pPr>
      <w:r>
        <w:rPr/>
        <w:t>公司以自主知识产权为核心竞争力，在多个细分市场取得了技术及市场优势地位。截止报告期末，公司已获得</w:t>
      </w:r>
      <w:r>
        <w:rPr>
          <w:rFonts w:ascii="宋体" w:hAnsi="宋体" w:cs="宋体" w:eastAsia="宋体" w:hint="default"/>
        </w:rPr>
        <w:t>700</w:t>
      </w:r>
      <w:r>
        <w:rPr/>
        <w:t>余项 </w:t>
      </w:r>
      <w:r>
        <w:rPr>
          <w:spacing w:val="-2"/>
        </w:rPr>
        <w:t>软件著作版权，各类自主软件产品广泛深入应用于国内各主要行业和地区。在业务扩展方面，公司在确保传统优势的业务长</w:t>
      </w:r>
      <w:r>
        <w:rPr>
          <w:spacing w:val="-62"/>
        </w:rPr>
        <w:t> </w:t>
      </w:r>
      <w:r>
        <w:rPr>
          <w:spacing w:val="-62"/>
        </w:rPr>
      </w:r>
      <w:r>
        <w:rPr/>
        <w:t>期稳定发展的同时，通过对细分市场中具有技术、市场优势的中小企业进行并购，不断增强公司的技术能力和市场覆盖面。</w:t>
      </w:r>
      <w:r>
        <w:rPr>
          <w:spacing w:val="-83"/>
        </w:rPr>
        <w:t> </w:t>
      </w:r>
      <w:r>
        <w:rPr>
          <w:spacing w:val="-83"/>
        </w:rPr>
      </w:r>
      <w:r>
        <w:rPr>
          <w:spacing w:val="-2"/>
        </w:rPr>
        <w:t>从而提升了公司的综合竞争力和盈利能力，推进了公司整体发展战略目标的实现。在业务布局方面，公司依托一流的核心软</w:t>
      </w:r>
      <w:r>
        <w:rPr>
          <w:spacing w:val="-63"/>
        </w:rPr>
        <w:t> </w:t>
      </w:r>
      <w:r>
        <w:rPr>
          <w:spacing w:val="-63"/>
        </w:rPr>
      </w:r>
      <w:r>
        <w:rPr/>
        <w:t>件业务和优质的客户资源优势积极布局互联网金融、互联网医疗和互联网教育等新兴领域，建立公司长远发展的新增长点。</w:t>
      </w:r>
      <w:r>
        <w:rPr>
          <w:spacing w:val="-83"/>
        </w:rPr>
        <w:t> </w:t>
      </w:r>
      <w:r>
        <w:rPr>
          <w:spacing w:val="-83"/>
        </w:rPr>
      </w:r>
      <w:r>
        <w:rPr>
          <w:spacing w:val="-2"/>
        </w:rPr>
        <w:t>在市场拓展方面，公司与多个地区政府合作大力推动智慧城市的建设，并建设基于互联网和云计算的智慧城市业务平台，提</w:t>
      </w:r>
      <w:r>
        <w:rPr>
          <w:spacing w:val="-63"/>
        </w:rPr>
        <w:t> </w:t>
      </w:r>
      <w:r>
        <w:rPr>
          <w:spacing w:val="-63"/>
        </w:rPr>
      </w:r>
      <w:r>
        <w:rPr>
          <w:spacing w:val="-5"/>
        </w:rPr>
        <w:t>供完整全面的云计算模式下的一体化解决方案。公司将继续提升技术和业务创新，加强服务深度，增强公司产业核心竞争力，</w:t>
      </w:r>
      <w:r>
        <w:rPr>
          <w:spacing w:val="-75"/>
        </w:rPr>
        <w:t> </w:t>
      </w:r>
      <w:r>
        <w:rPr>
          <w:spacing w:val="-75"/>
        </w:rPr>
      </w:r>
      <w:r>
        <w:rPr/>
        <w:t>提升公司整体盈利水平。</w:t>
      </w:r>
    </w:p>
    <w:p>
      <w:pPr>
        <w:pStyle w:val="BodyText"/>
        <w:tabs>
          <w:tab w:pos="573" w:val="left" w:leader="none"/>
        </w:tabs>
        <w:spacing w:line="544" w:lineRule="exact" w:before="29"/>
        <w:ind w:left="513" w:right="291" w:hanging="361"/>
        <w:jc w:val="left"/>
      </w:pPr>
      <w:r>
        <w:rPr>
          <w:rFonts w:ascii="宋体" w:hAnsi="宋体" w:cs="宋体" w:eastAsia="宋体" w:hint="default"/>
        </w:rPr>
        <w:t>2.</w:t>
        <w:tab/>
        <w:tab/>
      </w:r>
      <w:r>
        <w:rPr/>
        <w:t>保持行业内品牌及市场优势 公司是国家规划布局内重点软件企业、国家火炬计划重点高新技术企业，并且拥有行业内最完整的顶级资质</w:t>
      </w:r>
      <w:r>
        <w:rPr>
          <w:rFonts w:ascii="宋体" w:hAnsi="宋体" w:cs="宋体" w:eastAsia="宋体" w:hint="default"/>
        </w:rPr>
        <w:t>,</w:t>
      </w:r>
      <w:r>
        <w:rPr/>
        <w:t>是中国软</w:t>
      </w:r>
    </w:p>
    <w:p>
      <w:pPr>
        <w:pStyle w:val="BodyText"/>
        <w:spacing w:line="229" w:lineRule="exact"/>
        <w:ind w:right="204"/>
        <w:jc w:val="left"/>
      </w:pPr>
      <w:r>
        <w:rPr/>
        <w:t>件行业领先品牌，品牌优势已然成为公司的重要竞争力。</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5"/>
        </w:rPr>
        <w:t>在</w:t>
      </w:r>
      <w:r>
        <w:rPr>
          <w:rFonts w:ascii="宋体" w:hAnsi="宋体" w:cs="宋体" w:eastAsia="宋体" w:hint="default"/>
          <w:spacing w:val="-5"/>
        </w:rPr>
        <w:t>2015</w:t>
      </w:r>
      <w:r>
        <w:rPr>
          <w:spacing w:val="-5"/>
        </w:rPr>
        <w:t>年，公司荣获“最具创新力企业”、“2015年度领军智慧城市解决方案提供商”、“2015中国十大创新软件企业”、</w:t>
      </w:r>
      <w:r>
        <w:rPr/>
        <w:t> “2015年度中国智慧城市杰出厂商”、“2015中国自主可靠企业核心软件品牌”、华为“最佳解决方案奖”、“2015中关村 </w:t>
      </w:r>
      <w:r>
        <w:rPr>
          <w:rFonts w:ascii="宋体" w:hAnsi="宋体" w:cs="宋体" w:eastAsia="宋体" w:hint="default"/>
          <w:spacing w:val="-3"/>
        </w:rPr>
        <w:t>50</w:t>
      </w:r>
      <w:r>
        <w:rPr>
          <w:spacing w:val="-3"/>
        </w:rPr>
        <w:t>指数”样本股，入选“2015中国</w:t>
      </w:r>
      <w:r>
        <w:rPr>
          <w:rFonts w:ascii="宋体" w:hAnsi="宋体" w:cs="宋体" w:eastAsia="宋体" w:hint="default"/>
          <w:spacing w:val="-3"/>
        </w:rPr>
        <w:t>A</w:t>
      </w:r>
      <w:r>
        <w:rPr>
          <w:spacing w:val="-3"/>
        </w:rPr>
        <w:t>股上市公司价值排行榜”、“2015中国大数据生态系统百强”。同时，东华网智荣国</w:t>
      </w:r>
      <w:r>
        <w:rPr>
          <w:rFonts w:ascii="宋体" w:hAnsi="宋体" w:cs="宋体" w:eastAsia="宋体" w:hint="default"/>
          <w:spacing w:val="-3"/>
        </w:rPr>
        <w:t>2015</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IT</w:t>
      </w:r>
      <w:r>
        <w:rPr/>
        <w:t>印象“最受用户关注的</w:t>
      </w:r>
      <w:hyperlink r:id="rId13">
        <w:r>
          <w:rPr/>
          <w:t>网管</w:t>
        </w:r>
      </w:hyperlink>
      <w:r>
        <w:rPr/>
        <w:t>产品奖”，东华智慧城市集团荣获“十二五中国智慧城市领军企业”称号，至高通信</w:t>
      </w:r>
      <w:r>
        <w:rPr>
          <w:rFonts w:ascii="宋体" w:hAnsi="宋体" w:cs="宋体" w:eastAsia="宋体" w:hint="default"/>
        </w:rPr>
        <w:t>A206</w:t>
      </w:r>
      <w:r>
        <w:rPr/>
        <w:t>金融 移动业务终端荣获“2015年优秀产品创新奖”，东华发思特智慧园区管理平台获得“广东省高新技术产品证书”；健康乐入 选</w:t>
      </w:r>
      <w:r>
        <w:rPr>
          <w:rFonts w:ascii="宋体" w:hAnsi="宋体" w:cs="宋体" w:eastAsia="宋体" w:hint="default"/>
        </w:rPr>
        <w:t>2015</w:t>
      </w:r>
      <w:r>
        <w:rPr/>
        <w:t>年度最具潜力医疗</w:t>
      </w:r>
      <w:r>
        <w:rPr>
          <w:rFonts w:ascii="宋体" w:hAnsi="宋体" w:cs="宋体" w:eastAsia="宋体" w:hint="default"/>
        </w:rPr>
        <w:t>/</w:t>
      </w:r>
      <w:r>
        <w:rPr/>
        <w:t>健康</w:t>
      </w:r>
      <w:r>
        <w:rPr>
          <w:rFonts w:ascii="宋体" w:hAnsi="宋体" w:cs="宋体" w:eastAsia="宋体" w:hint="default"/>
        </w:rPr>
        <w:t>APP</w:t>
      </w:r>
      <w:r>
        <w:rPr/>
        <w:t>等。</w:t>
      </w:r>
    </w:p>
    <w:p>
      <w:pPr>
        <w:pStyle w:val="BodyText"/>
        <w:spacing w:line="316" w:lineRule="auto" w:before="139"/>
        <w:ind w:right="194" w:firstLine="360"/>
        <w:jc w:val="left"/>
      </w:pPr>
      <w:r>
        <w:rPr>
          <w:spacing w:val="-2"/>
        </w:rPr>
        <w:t>公司在多个行业领域中均处于产品领先地位，已为数千个用户提供了优秀的软件和信息系统解决方案。项目涵盖多种应</w:t>
      </w:r>
      <w:r>
        <w:rPr/>
        <w:t> 用与技术平台，涉及电力、政府、交通、医疗、金融等行业，完成了国家电网公司、华夏银行、中石油股份公司、水利部、</w:t>
      </w:r>
      <w:r>
        <w:rPr>
          <w:spacing w:val="-83"/>
        </w:rPr>
        <w:t> </w:t>
      </w:r>
      <w:r>
        <w:rPr>
          <w:spacing w:val="-83"/>
        </w:rPr>
      </w:r>
      <w:r>
        <w:rPr/>
        <w:t>国家气象局、北京协和医院、中国人寿保险公司等堪称业界典范的应用软件开发和计算机信息系统集成项目。</w:t>
      </w:r>
    </w:p>
    <w:p>
      <w:pPr>
        <w:pStyle w:val="BodyText"/>
        <w:tabs>
          <w:tab w:pos="573" w:val="left" w:leader="none"/>
        </w:tabs>
        <w:spacing w:line="544" w:lineRule="exact" w:before="29"/>
        <w:ind w:left="513" w:right="294" w:hanging="361"/>
        <w:jc w:val="left"/>
      </w:pPr>
      <w:r>
        <w:rPr>
          <w:rFonts w:ascii="宋体" w:hAnsi="宋体" w:cs="宋体" w:eastAsia="宋体" w:hint="default"/>
        </w:rPr>
        <w:t>3.</w:t>
        <w:tab/>
        <w:tab/>
      </w:r>
      <w:r>
        <w:rPr/>
        <w:t>稳定的战略合作伙伴 公司建立了稳定的战略合作伙伴体系</w:t>
      </w:r>
      <w:r>
        <w:rPr>
          <w:rFonts w:ascii="宋体" w:hAnsi="宋体" w:cs="宋体" w:eastAsia="宋体" w:hint="default"/>
        </w:rPr>
        <w:t>,</w:t>
      </w:r>
      <w:r>
        <w:rPr/>
        <w:t>通过与一流战略合作伙伴在最新的技术与产品领域进行的深入合作，有力的提升</w:t>
      </w:r>
    </w:p>
    <w:p>
      <w:pPr>
        <w:pStyle w:val="BodyText"/>
        <w:spacing w:line="316" w:lineRule="auto"/>
        <w:ind w:right="284"/>
        <w:jc w:val="left"/>
      </w:pPr>
      <w:r>
        <w:rPr/>
        <w:t>了公司整体竞争力。目前，公司已经与</w:t>
      </w:r>
      <w:r>
        <w:rPr>
          <w:rFonts w:ascii="宋体" w:hAnsi="宋体" w:cs="宋体" w:eastAsia="宋体" w:hint="default"/>
        </w:rPr>
        <w:t>IBM</w:t>
      </w:r>
      <w:r>
        <w:rPr/>
        <w:t>、</w:t>
      </w:r>
      <w:r>
        <w:rPr>
          <w:rFonts w:ascii="宋体" w:hAnsi="宋体" w:cs="宋体" w:eastAsia="宋体" w:hint="default"/>
        </w:rPr>
        <w:t>HP</w:t>
      </w:r>
      <w:r>
        <w:rPr/>
        <w:t>、华为等数十家国内外顶级</w:t>
      </w:r>
      <w:r>
        <w:rPr>
          <w:rFonts w:ascii="宋体" w:hAnsi="宋体" w:cs="宋体" w:eastAsia="宋体" w:hint="default"/>
        </w:rPr>
        <w:t>IT</w:t>
      </w:r>
      <w:r>
        <w:rPr/>
        <w:t>企业成功建立了战略合作伙伴关系。其中公司</w:t>
      </w:r>
      <w:r>
        <w:rPr>
          <w:spacing w:val="-85"/>
        </w:rPr>
        <w:t> </w:t>
      </w:r>
      <w:r>
        <w:rPr>
          <w:spacing w:val="-85"/>
        </w:rPr>
      </w:r>
      <w:r>
        <w:rPr>
          <w:spacing w:val="-2"/>
        </w:rPr>
        <w:t>与阿里云计算有限公司决定建立战略合作伙伴关系，双方将在云计算、大数据、智慧城市等多个领域开展合作；与趋势科技</w:t>
      </w:r>
    </w:p>
    <w:p>
      <w:pPr>
        <w:pStyle w:val="BodyText"/>
        <w:spacing w:line="316" w:lineRule="auto" w:before="19"/>
        <w:ind w:right="289"/>
        <w:jc w:val="both"/>
      </w:pPr>
      <w:r>
        <w:rPr>
          <w:spacing w:val="-2"/>
        </w:rPr>
        <w:t>（中国）签订战略性行业合作协议，双方将在中国大陆地区全面开展战略合作，利用双方优势共同帮助终端用户应对日益加</w:t>
      </w:r>
      <w:r>
        <w:rPr>
          <w:spacing w:val="-63"/>
        </w:rPr>
        <w:t> </w:t>
      </w:r>
      <w:r>
        <w:rPr>
          <w:spacing w:val="-63"/>
        </w:rPr>
      </w:r>
      <w:r>
        <w:rPr>
          <w:spacing w:val="-3"/>
        </w:rPr>
        <w:t>剧并不断演化的网络威胁；与企业互联网平台及应用软件的全球供应商</w:t>
      </w:r>
      <w:r>
        <w:rPr>
          <w:rFonts w:ascii="宋体" w:hAnsi="宋体" w:cs="宋体" w:eastAsia="宋体" w:hint="default"/>
          <w:spacing w:val="-3"/>
        </w:rPr>
        <w:t>C3</w:t>
      </w:r>
      <w:r>
        <w:rPr>
          <w:spacing w:val="-3"/>
        </w:rPr>
        <w:t>物联网技术公司（</w:t>
      </w:r>
      <w:r>
        <w:rPr>
          <w:rFonts w:ascii="宋体" w:hAnsi="宋体" w:cs="宋体" w:eastAsia="宋体" w:hint="default"/>
          <w:spacing w:val="-3"/>
        </w:rPr>
        <w:t>C3IoT</w:t>
      </w:r>
      <w:r>
        <w:rPr>
          <w:spacing w:val="-3"/>
        </w:rPr>
        <w:t>）建立战略合作伙伴关系，</w:t>
      </w:r>
      <w:r>
        <w:rPr/>
        <w:t> </w:t>
      </w:r>
      <w:r>
        <w:rPr>
          <w:spacing w:val="-2"/>
        </w:rPr>
        <w:t>致力于推动中国能源互联网、工业大数据领域的建设及数字化转型。同时，公司全资子公司神州新桥是</w:t>
      </w:r>
      <w:r>
        <w:rPr>
          <w:rFonts w:ascii="宋体" w:hAnsi="宋体" w:cs="宋体" w:eastAsia="宋体" w:hint="default"/>
          <w:spacing w:val="-2"/>
        </w:rPr>
        <w:t>ORACLE</w:t>
      </w:r>
      <w:r>
        <w:rPr>
          <w:spacing w:val="-2"/>
        </w:rPr>
        <w:t>的高级合作伙</w:t>
      </w:r>
      <w:r>
        <w:rPr>
          <w:spacing w:val="-61"/>
        </w:rPr>
        <w:t> </w:t>
      </w:r>
      <w:r>
        <w:rPr>
          <w:spacing w:val="-61"/>
        </w:rPr>
      </w:r>
      <w:r>
        <w:rPr>
          <w:spacing w:val="-2"/>
        </w:rPr>
        <w:t>伴，是</w:t>
      </w:r>
      <w:r>
        <w:rPr>
          <w:rFonts w:ascii="宋体" w:hAnsi="宋体" w:cs="宋体" w:eastAsia="宋体" w:hint="default"/>
          <w:spacing w:val="-2"/>
        </w:rPr>
        <w:t>Cisco</w:t>
      </w:r>
      <w:r>
        <w:rPr>
          <w:spacing w:val="-2"/>
        </w:rPr>
        <w:t>公司的金牌合作伙伴，并拥有含金量极高的</w:t>
      </w:r>
      <w:r>
        <w:rPr>
          <w:rFonts w:ascii="宋体" w:hAnsi="宋体" w:cs="宋体" w:eastAsia="宋体" w:hint="default"/>
          <w:spacing w:val="-2"/>
        </w:rPr>
        <w:t>4</w:t>
      </w:r>
      <w:r>
        <w:rPr>
          <w:spacing w:val="-2"/>
        </w:rPr>
        <w:t>项</w:t>
      </w:r>
      <w:r>
        <w:rPr>
          <w:rFonts w:ascii="宋体" w:hAnsi="宋体" w:cs="宋体" w:eastAsia="宋体" w:hint="default"/>
          <w:spacing w:val="-2"/>
        </w:rPr>
        <w:t>Cisco</w:t>
      </w:r>
      <w:r>
        <w:rPr>
          <w:spacing w:val="-2"/>
        </w:rPr>
        <w:t>专业化认证；与</w:t>
      </w:r>
      <w:r>
        <w:rPr>
          <w:rFonts w:ascii="宋体" w:hAnsi="宋体" w:cs="宋体" w:eastAsia="宋体" w:hint="default"/>
          <w:spacing w:val="-2"/>
        </w:rPr>
        <w:t>IBM</w:t>
      </w:r>
      <w:r>
        <w:rPr>
          <w:spacing w:val="-2"/>
        </w:rPr>
        <w:t>公司稳定的解决方案合作伙伴关系，有</w:t>
      </w:r>
      <w:r>
        <w:rPr>
          <w:spacing w:val="-55"/>
        </w:rPr>
        <w:t> </w:t>
      </w:r>
      <w:r>
        <w:rPr>
          <w:spacing w:val="-55"/>
        </w:rPr>
      </w:r>
      <w:r>
        <w:rPr/>
        <w:t>力地支持公司在智慧城市、智慧医疗、云计算等关键领域中形成强大的竞争力；同时，长期合作的</w:t>
      </w:r>
      <w:r>
        <w:rPr>
          <w:rFonts w:ascii="宋体" w:hAnsi="宋体" w:cs="宋体" w:eastAsia="宋体" w:hint="default"/>
        </w:rPr>
        <w:t>EMC</w:t>
      </w:r>
      <w:r>
        <w:rPr/>
        <w:t>、</w:t>
      </w:r>
      <w:r>
        <w:rPr>
          <w:rFonts w:ascii="宋体" w:hAnsi="宋体" w:cs="宋体" w:eastAsia="宋体" w:hint="default"/>
        </w:rPr>
        <w:t>Vmware</w:t>
      </w:r>
      <w:r>
        <w:rPr/>
        <w:t>有效提供了</w:t>
      </w:r>
    </w:p>
    <w:p>
      <w:pPr>
        <w:spacing w:after="0" w:line="316" w:lineRule="auto"/>
        <w:jc w:val="both"/>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BodyText"/>
        <w:spacing w:line="319" w:lineRule="auto" w:before="44"/>
        <w:ind w:right="151"/>
        <w:jc w:val="both"/>
      </w:pPr>
      <w:r>
        <w:rPr/>
        <w:t>很多重要的高级解决方案。此外，公司作为华为公司和</w:t>
      </w:r>
      <w:r>
        <w:rPr>
          <w:rFonts w:ascii="宋体" w:hAnsi="宋体" w:cs="宋体" w:eastAsia="宋体" w:hint="default"/>
        </w:rPr>
        <w:t>H3C</w:t>
      </w:r>
      <w:r>
        <w:rPr/>
        <w:t>一级代理商具有主网络五星服务认证，同时也是</w:t>
      </w:r>
      <w:r>
        <w:rPr>
          <w:rFonts w:ascii="宋体" w:hAnsi="宋体" w:cs="宋体" w:eastAsia="宋体" w:hint="default"/>
        </w:rPr>
        <w:t>HP</w:t>
      </w:r>
      <w:r>
        <w:rPr/>
        <w:t>渠道铂金合作</w:t>
      </w:r>
      <w:r>
        <w:rPr>
          <w:spacing w:val="-83"/>
        </w:rPr>
        <w:t> </w:t>
      </w:r>
      <w:r>
        <w:rPr/>
        <w:t>伙伴、施耐德电气高级认证合作伙伴等。</w:t>
      </w:r>
    </w:p>
    <w:p>
      <w:pPr>
        <w:pStyle w:val="BodyText"/>
        <w:tabs>
          <w:tab w:pos="573" w:val="left" w:leader="none"/>
        </w:tabs>
        <w:spacing w:line="544" w:lineRule="exact" w:before="27"/>
        <w:ind w:left="513" w:right="155" w:hanging="361"/>
        <w:jc w:val="left"/>
      </w:pPr>
      <w:r>
        <w:rPr>
          <w:rFonts w:ascii="宋体" w:hAnsi="宋体" w:cs="宋体" w:eastAsia="宋体" w:hint="default"/>
        </w:rPr>
        <w:t>4.</w:t>
        <w:tab/>
        <w:tab/>
      </w:r>
      <w:r>
        <w:rPr/>
        <w:t>丰富的优质客户资源 </w:t>
      </w:r>
      <w:r>
        <w:rPr>
          <w:spacing w:val="-2"/>
        </w:rPr>
        <w:t>经过多年的项目积累，公司已经形成了涵盖金融、医疗、电力、电信、交通、制造业等多行业的庞大客户基础。公司所</w:t>
      </w:r>
    </w:p>
    <w:p>
      <w:pPr>
        <w:pStyle w:val="BodyText"/>
        <w:spacing w:line="316" w:lineRule="auto"/>
        <w:ind w:right="153"/>
        <w:jc w:val="both"/>
      </w:pPr>
      <w:r>
        <w:rPr>
          <w:spacing w:val="-2"/>
        </w:rPr>
        <w:t>拥有的客户在广度、深度上都具有明显优势，截至报告期内，公司拥有上千家长期稳定的客户资源，包含人民银行、华夏银</w:t>
      </w:r>
      <w:r>
        <w:rPr>
          <w:spacing w:val="-67"/>
        </w:rPr>
        <w:t> </w:t>
      </w:r>
      <w:r>
        <w:rPr>
          <w:spacing w:val="-67"/>
        </w:rPr>
      </w:r>
      <w:r>
        <w:rPr>
          <w:spacing w:val="-2"/>
        </w:rPr>
        <w:t>行、山西移动、国家电网公司、协和医院、水利部、大唐国际发电股份有限公司等知名企业。公司服务类型也从基础软件应</w:t>
      </w:r>
      <w:r>
        <w:rPr>
          <w:spacing w:val="-68"/>
        </w:rPr>
        <w:t> </w:t>
      </w:r>
      <w:r>
        <w:rPr>
          <w:spacing w:val="-68"/>
        </w:rPr>
      </w:r>
      <w:r>
        <w:rPr/>
        <w:t>用、技术平台支持等到为客户打造全方位整体解决方案服务。</w:t>
      </w:r>
    </w:p>
    <w:p>
      <w:pPr>
        <w:pStyle w:val="BodyText"/>
        <w:spacing w:line="316" w:lineRule="auto" w:before="139"/>
        <w:ind w:right="149" w:firstLine="360"/>
        <w:jc w:val="left"/>
      </w:pPr>
      <w:r>
        <w:rPr>
          <w:spacing w:val="-2"/>
        </w:rPr>
        <w:t>公司作为整体解决方案提供商，与客户长期保持沟通合作，提供持续服务。因而对客户业务现状、发展趋势和本质性需</w:t>
      </w:r>
      <w:r>
        <w:rPr/>
        <w:t> 求有着其他竞争者无法比拟的深刻了解，为双方保持长期良好的合作关系奠定了坚实的基础。</w:t>
      </w:r>
    </w:p>
    <w:p>
      <w:pPr>
        <w:pStyle w:val="BodyText"/>
        <w:tabs>
          <w:tab w:pos="573" w:val="left" w:leader="none"/>
        </w:tabs>
        <w:spacing w:line="546" w:lineRule="exact" w:before="27"/>
        <w:ind w:left="513" w:right="4571" w:hanging="361"/>
        <w:jc w:val="left"/>
      </w:pPr>
      <w:r>
        <w:rPr>
          <w:rFonts w:ascii="宋体" w:hAnsi="宋体" w:cs="宋体" w:eastAsia="宋体" w:hint="default"/>
        </w:rPr>
        <w:t>5.</w:t>
        <w:tab/>
        <w:tab/>
      </w:r>
      <w:r>
        <w:rPr/>
        <w:t>“诚信、快捷、专业、理性”的企业文化 “诚信、快捷、专业、理性”始终作为公司整体文化和理念。</w:t>
      </w:r>
    </w:p>
    <w:p>
      <w:pPr>
        <w:pStyle w:val="BodyText"/>
        <w:spacing w:line="316" w:lineRule="auto" w:before="112"/>
        <w:ind w:right="153" w:firstLine="360"/>
        <w:jc w:val="left"/>
      </w:pPr>
      <w:r>
        <w:rPr>
          <w:spacing w:val="-2"/>
        </w:rPr>
        <w:t>公司立志于不断为客户提供创新、优秀的产品、解决方案与服务，为客户创造价值，提供高性价比的产品和便捷、高效</w:t>
      </w:r>
      <w:r>
        <w:rPr/>
        <w:t> 的服务，提升客户对公司产品、服务质量的满意度和信任度。</w:t>
      </w:r>
    </w:p>
    <w:p>
      <w:pPr>
        <w:pStyle w:val="BodyText"/>
        <w:spacing w:line="316" w:lineRule="auto" w:before="139"/>
        <w:ind w:right="149" w:firstLine="360"/>
        <w:jc w:val="left"/>
      </w:pPr>
      <w:r>
        <w:rPr>
          <w:spacing w:val="-2"/>
        </w:rPr>
        <w:t>公司企业文化以“客户至上”为核心，通过以客户为中心、以需求为导向，以优质的服务积极发展并保持长期客户群为</w:t>
      </w:r>
      <w:r>
        <w:rPr/>
        <w:t> 重要策略。公司为更早地发现挖掘客户的潜在需求，快速响应，搭建了客户反馈平台。</w:t>
      </w:r>
    </w:p>
    <w:p>
      <w:pPr>
        <w:pStyle w:val="BodyText"/>
        <w:spacing w:line="316" w:lineRule="auto" w:before="139"/>
        <w:ind w:right="149" w:firstLine="360"/>
        <w:jc w:val="left"/>
      </w:pPr>
      <w:r>
        <w:rPr>
          <w:spacing w:val="-2"/>
        </w:rPr>
        <w:t>公司通过优秀的企业文化加强了内部团队建设力、凝聚力，增强了整体竞争力，提升了客户的满意度和忠诚度。从而提</w:t>
      </w:r>
      <w:r>
        <w:rPr/>
        <w:t> 高品牌影响力，为公司长期健康稳定发展提供了坚实稳定的基础。</w:t>
      </w:r>
    </w:p>
    <w:p>
      <w:pPr>
        <w:spacing w:after="0" w:line="31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06" w:right="204"/>
        <w:jc w:val="left"/>
        <w:rPr>
          <w:b w:val="0"/>
          <w:bCs w:val="0"/>
        </w:rPr>
      </w:pPr>
      <w:bookmarkStart w:name="_bookmark2" w:id="3"/>
      <w:bookmarkEnd w:id="3"/>
      <w:r>
        <w:rPr>
          <w:b w:val="0"/>
          <w:bCs w:val="0"/>
        </w:rPr>
      </w:r>
      <w:r>
        <w:rPr/>
        <w:t>第四节管理层讨论与分析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04"/>
        <w:jc w:val="left"/>
        <w:rPr>
          <w:b w:val="0"/>
          <w:bCs w:val="0"/>
        </w:rPr>
      </w:pPr>
      <w:r>
        <w:rPr/>
        <w:t>一、</w:t>
      </w:r>
      <w:r>
        <w:rPr>
          <w:spacing w:val="-90"/>
        </w:rPr>
        <w:t> </w:t>
      </w:r>
      <w:r>
        <w:rPr/>
        <w:t>概述</w:t>
      </w:r>
      <w:r>
        <w:rPr>
          <w:b w:val="0"/>
          <w:bCs w:val="0"/>
        </w:rPr>
      </w:r>
    </w:p>
    <w:p>
      <w:pPr>
        <w:spacing w:line="240" w:lineRule="auto" w:before="6"/>
        <w:rPr>
          <w:rFonts w:ascii="宋体" w:hAnsi="宋体" w:cs="宋体" w:eastAsia="宋体" w:hint="default"/>
          <w:b/>
          <w:bCs/>
          <w:sz w:val="26"/>
          <w:szCs w:val="26"/>
        </w:rPr>
      </w:pPr>
    </w:p>
    <w:p>
      <w:pPr>
        <w:pStyle w:val="Heading4"/>
        <w:spacing w:line="439" w:lineRule="auto"/>
        <w:ind w:right="8197"/>
        <w:jc w:val="left"/>
        <w:rPr>
          <w:b w:val="0"/>
          <w:bCs w:val="0"/>
        </w:rPr>
      </w:pPr>
      <w:r>
        <w:rPr>
          <w:rFonts w:ascii="宋体" w:hAnsi="宋体" w:cs="宋体" w:eastAsia="宋体" w:hint="default"/>
        </w:rPr>
        <w:t>(1)</w:t>
      </w:r>
      <w:r>
        <w:rPr/>
        <w:t>主营业务情况</w:t>
      </w:r>
      <w:r>
        <w:rPr>
          <w:w w:val="99"/>
        </w:rPr>
        <w:t> </w:t>
      </w:r>
      <w:r>
        <w:rPr/>
        <w:t>金融保险业：</w:t>
      </w:r>
      <w:r>
        <w:rPr>
          <w:b w:val="0"/>
          <w:bCs w:val="0"/>
        </w:rPr>
      </w:r>
    </w:p>
    <w:p>
      <w:pPr>
        <w:pStyle w:val="BodyText"/>
        <w:spacing w:line="240" w:lineRule="auto" w:before="47"/>
        <w:ind w:left="513" w:right="204"/>
        <w:jc w:val="left"/>
      </w:pPr>
      <w:r>
        <w:rPr>
          <w:rFonts w:ascii="宋体" w:hAnsi="宋体" w:cs="宋体" w:eastAsia="宋体" w:hint="default"/>
        </w:rPr>
        <w:t>2015</w:t>
      </w:r>
      <w:r>
        <w:rPr/>
        <w:t>年，公司继续保持在金融保险业的行业优势，并且进一步提升在金融保险业中的市场份额。</w:t>
      </w:r>
    </w:p>
    <w:p>
      <w:pPr>
        <w:spacing w:line="240" w:lineRule="auto" w:before="0"/>
        <w:rPr>
          <w:rFonts w:ascii="宋体" w:hAnsi="宋体" w:cs="宋体" w:eastAsia="宋体" w:hint="default"/>
          <w:sz w:val="15"/>
          <w:szCs w:val="15"/>
        </w:rPr>
      </w:pPr>
    </w:p>
    <w:p>
      <w:pPr>
        <w:pStyle w:val="BodyText"/>
        <w:spacing w:line="319" w:lineRule="auto"/>
        <w:ind w:right="0" w:firstLine="360"/>
        <w:jc w:val="left"/>
      </w:pPr>
      <w:r>
        <w:rPr/>
        <w:t>首先，公司保持并深化与老客户的合作关系，相继签约了华夏银行、交通银行私有云建设项目、中国人民银行国库系统 小型机项目、中国人民银行集中采购中心蓝代斯克软件补丁分发管理系统技术支持服务项目等众多千万级合作项目；邮储银 行</w:t>
      </w:r>
      <w:r>
        <w:rPr>
          <w:rFonts w:ascii="宋体" w:hAnsi="宋体" w:cs="宋体" w:eastAsia="宋体" w:hint="default"/>
        </w:rPr>
        <w:t>2015</w:t>
      </w:r>
      <w:r>
        <w:rPr/>
        <w:t>年</w:t>
      </w:r>
      <w:r>
        <w:rPr>
          <w:rFonts w:ascii="宋体" w:hAnsi="宋体" w:cs="宋体" w:eastAsia="宋体" w:hint="default"/>
        </w:rPr>
        <w:t>IT</w:t>
      </w:r>
      <w:r>
        <w:rPr/>
        <w:t>及网络集中采购项目（包括华为私有云解决方案加东华软件云管理及华为路由器、接入交换机、防火墙等安全系 </w:t>
      </w:r>
      <w:r>
        <w:rPr>
          <w:spacing w:val="-4"/>
        </w:rPr>
        <w:t>统），中国人民银行</w:t>
      </w:r>
      <w:r>
        <w:rPr>
          <w:rFonts w:ascii="宋体" w:hAnsi="宋体" w:cs="宋体" w:eastAsia="宋体" w:hint="default"/>
          <w:spacing w:val="-4"/>
        </w:rPr>
        <w:t>IBM</w:t>
      </w:r>
      <w:r>
        <w:rPr>
          <w:spacing w:val="-4"/>
        </w:rPr>
        <w:t>软件产品及支持服务项目、国库系统硬件扩容项目、中国反洗钱检测中心项目等</w:t>
      </w:r>
      <w:r>
        <w:rPr>
          <w:rFonts w:ascii="宋体" w:hAnsi="宋体" w:cs="宋体" w:eastAsia="宋体" w:hint="default"/>
          <w:spacing w:val="-4"/>
        </w:rPr>
        <w:t>20</w:t>
      </w:r>
      <w:r>
        <w:rPr>
          <w:spacing w:val="-4"/>
        </w:rPr>
        <w:t>余个百万级项目；</w:t>
      </w:r>
      <w:r>
        <w:rPr>
          <w:spacing w:val="-39"/>
        </w:rPr>
        <w:t> </w:t>
      </w:r>
      <w:r>
        <w:rPr>
          <w:spacing w:val="-39"/>
        </w:rPr>
      </w:r>
      <w:r>
        <w:rPr/>
        <w:t>此外还有深化华夏银行软硬件资源池建设项目、中国银行</w:t>
      </w:r>
      <w:r>
        <w:rPr>
          <w:rFonts w:ascii="宋体" w:hAnsi="宋体" w:cs="宋体" w:eastAsia="宋体" w:hint="default"/>
        </w:rPr>
        <w:t>2015</w:t>
      </w:r>
      <w:r>
        <w:rPr/>
        <w:t>年度开放平台电子设备采购、中国人民银行贵阳中心支行波分 </w:t>
      </w:r>
      <w:r>
        <w:rPr>
          <w:spacing w:val="-2"/>
        </w:rPr>
        <w:t>复用设备及大存储服务器采购等项目。子公司联银通成功中标国家开发银行股份有限公司审计作业与质量管理系统建设项目、</w:t>
      </w:r>
      <w:r>
        <w:rPr>
          <w:spacing w:val="-62"/>
        </w:rPr>
        <w:t> </w:t>
      </w:r>
      <w:r>
        <w:rPr>
          <w:spacing w:val="-62"/>
        </w:rPr>
      </w:r>
      <w:r>
        <w:rPr/>
        <w:t>邮储银行自由填单和</w:t>
      </w:r>
      <w:r>
        <w:rPr>
          <w:rFonts w:ascii="宋体" w:hAnsi="宋体" w:cs="宋体" w:eastAsia="宋体" w:hint="default"/>
        </w:rPr>
        <w:t>VTM</w:t>
      </w:r>
      <w:r>
        <w:rPr/>
        <w:t>应用系统工程应用软件技术开发项目。</w:t>
      </w:r>
    </w:p>
    <w:p>
      <w:pPr>
        <w:pStyle w:val="BodyText"/>
        <w:spacing w:line="316" w:lineRule="auto" w:before="137"/>
        <w:ind w:right="194" w:firstLine="360"/>
        <w:jc w:val="left"/>
      </w:pPr>
      <w:r>
        <w:rPr>
          <w:spacing w:val="-2"/>
        </w:rPr>
        <w:t>其次，在继续保持与大型金融行业客户深入合作的的基础上，公司充分发挥对金融行业</w:t>
      </w:r>
      <w:r>
        <w:rPr>
          <w:rFonts w:ascii="宋体" w:hAnsi="宋体" w:cs="宋体" w:eastAsia="宋体" w:hint="default"/>
          <w:spacing w:val="-2"/>
        </w:rPr>
        <w:t>IT</w:t>
      </w:r>
      <w:r>
        <w:rPr>
          <w:spacing w:val="-2"/>
        </w:rPr>
        <w:t>系统规划与建设的丰富经验和</w:t>
      </w:r>
      <w:r>
        <w:rPr/>
        <w:t> </w:t>
      </w:r>
      <w:r>
        <w:rPr>
          <w:spacing w:val="-5"/>
        </w:rPr>
        <w:t>深度理解、大型网络建设中的集成和实施能力、软件系统建设能力等优势，积极开展与全国中小型、区域型金融企业的合作，</w:t>
      </w:r>
      <w:r>
        <w:rPr>
          <w:spacing w:val="-75"/>
        </w:rPr>
        <w:t> </w:t>
      </w:r>
      <w:r>
        <w:rPr>
          <w:spacing w:val="-75"/>
        </w:rPr>
      </w:r>
      <w:r>
        <w:rPr/>
        <w:t>进一步扩展了业务覆盖范围和市场占有率。公司签署了晋商银行消费金融公司数据中心建设、莱商银行战略资产负债管理、</w:t>
      </w:r>
      <w:r>
        <w:rPr>
          <w:spacing w:val="-83"/>
        </w:rPr>
        <w:t> </w:t>
      </w:r>
      <w:r>
        <w:rPr>
          <w:spacing w:val="-83"/>
        </w:rPr>
      </w:r>
      <w:r>
        <w:rPr>
          <w:spacing w:val="-2"/>
        </w:rPr>
        <w:t>西藏银行核心系统咨询、衡水银行新一代核心业务新系统咨询、温州民商银行核心系统咨询、宁夏银行信息化产品采购等项</w:t>
      </w:r>
      <w:r>
        <w:rPr>
          <w:spacing w:val="-63"/>
        </w:rPr>
        <w:t> </w:t>
      </w:r>
      <w:r>
        <w:rPr>
          <w:spacing w:val="-63"/>
        </w:rPr>
      </w:r>
      <w:r>
        <w:rPr/>
        <w:t>目，与廊坊银行股份有限公司、辽宁农村信用社等区域型金融企业签订了合同。</w:t>
      </w:r>
    </w:p>
    <w:p>
      <w:pPr>
        <w:pStyle w:val="BodyText"/>
        <w:spacing w:line="316" w:lineRule="auto" w:before="139"/>
        <w:ind w:right="200" w:firstLine="360"/>
        <w:jc w:val="left"/>
      </w:pPr>
      <w:r>
        <w:rPr>
          <w:spacing w:val="-2"/>
        </w:rPr>
        <w:t>第三，公司根据金融企业自身业务发展的趋势，在金融行业信息化整体解决方案、业务系统建设和运维服务方面进一步</w:t>
      </w:r>
      <w:r>
        <w:rPr/>
        <w:t> </w:t>
      </w:r>
      <w:r>
        <w:rPr>
          <w:spacing w:val="-2"/>
        </w:rPr>
        <w:t>突破。内蒙古农信社的主机升级、高端存储系统、资金营运管理系统以及业务系统迁移升级整体项目，新疆汇和银行包括信</w:t>
      </w:r>
      <w:r>
        <w:rPr>
          <w:spacing w:val="-64"/>
        </w:rPr>
        <w:t> </w:t>
      </w:r>
      <w:r>
        <w:rPr>
          <w:spacing w:val="-64"/>
        </w:rPr>
      </w:r>
      <w:r>
        <w:rPr>
          <w:spacing w:val="-2"/>
        </w:rPr>
        <w:t>贷系统、事后监督、第三方软件的系统集成服务项目，青海农信资金管理系统、总帐系统接口改造开发、财务管理系统维保</w:t>
      </w:r>
      <w:r>
        <w:rPr>
          <w:spacing w:val="-67"/>
        </w:rPr>
        <w:t> </w:t>
      </w:r>
      <w:r>
        <w:rPr>
          <w:spacing w:val="-67"/>
        </w:rPr>
      </w:r>
      <w:r>
        <w:rPr>
          <w:spacing w:val="-4"/>
        </w:rPr>
        <w:t>综合项目等全面融合硬件集成、系统软件和业务应用系统的综合解决方案，全面展现了公司在金融行业的核心竞争力与优势，</w:t>
      </w:r>
      <w:r>
        <w:rPr>
          <w:spacing w:val="-44"/>
        </w:rPr>
        <w:t> </w:t>
      </w:r>
      <w:r>
        <w:rPr>
          <w:spacing w:val="-44"/>
        </w:rPr>
      </w:r>
      <w:r>
        <w:rPr/>
        <w:t>通过为客户提供更好的应用价值取得良好的收益。公司与国开行签署的“2015</w:t>
      </w:r>
      <w:r>
        <w:rPr>
          <w:rFonts w:ascii="宋体" w:hAnsi="宋体" w:cs="宋体" w:eastAsia="宋体" w:hint="default"/>
        </w:rPr>
        <w:t>-2018</w:t>
      </w:r>
      <w:r>
        <w:rPr/>
        <w:t>年村镇银行信贷系统及统一报送系统运</w:t>
      </w:r>
      <w:r>
        <w:rPr>
          <w:spacing w:val="-86"/>
        </w:rPr>
        <w:t> </w:t>
      </w:r>
      <w:r>
        <w:rPr>
          <w:spacing w:val="-86"/>
        </w:rPr>
      </w:r>
      <w:r>
        <w:rPr/>
        <w:t>维服务项目，将服务演进为产品。泸州银行、南充商行、达州商行的全流程信贷管理项目，遂宁商行总账及财务系统项目、</w:t>
      </w:r>
      <w:r>
        <w:rPr>
          <w:spacing w:val="-81"/>
        </w:rPr>
        <w:t> </w:t>
      </w:r>
      <w:r>
        <w:rPr>
          <w:spacing w:val="-81"/>
        </w:rPr>
      </w:r>
      <w:r>
        <w:rPr>
          <w:spacing w:val="-2"/>
        </w:rPr>
        <w:t>晋中银行财务系统建设项目、青隆村镇银行综合业务系统、晋商银行网银加固绿盟数据库审计系统、莱商银业内部资金转移</w:t>
      </w:r>
      <w:r>
        <w:rPr>
          <w:spacing w:val="-63"/>
        </w:rPr>
        <w:t> </w:t>
      </w:r>
      <w:r>
        <w:rPr>
          <w:spacing w:val="-63"/>
        </w:rPr>
      </w:r>
      <w:r>
        <w:rPr>
          <w:spacing w:val="-2"/>
        </w:rPr>
        <w:t>定价系统及战略资产负债管理等项目，均是公司根据客户业务发展的需求提供的业务系统解决方案，为客户业务发展提供了</w:t>
      </w:r>
      <w:r>
        <w:rPr>
          <w:spacing w:val="-64"/>
        </w:rPr>
        <w:t> </w:t>
      </w:r>
      <w:r>
        <w:rPr>
          <w:spacing w:val="-64"/>
        </w:rPr>
      </w:r>
      <w:r>
        <w:rPr/>
        <w:t>良好的支持。</w:t>
      </w:r>
    </w:p>
    <w:p>
      <w:pPr>
        <w:pStyle w:val="BodyText"/>
        <w:spacing w:line="316" w:lineRule="auto" w:before="139"/>
        <w:ind w:right="289" w:firstLine="360"/>
        <w:jc w:val="both"/>
      </w:pPr>
      <w:r>
        <w:rPr>
          <w:spacing w:val="-2"/>
        </w:rPr>
        <w:t>第四，大数据时代为公司在金融行业提供了新的成长点。公司在大数据平台建设、数据迁移服务等方面具有了较强的能</w:t>
      </w:r>
      <w:r>
        <w:rPr/>
        <w:t> </w:t>
      </w:r>
      <w:r>
        <w:rPr>
          <w:spacing w:val="-2"/>
        </w:rPr>
        <w:t>力优势。</w:t>
      </w:r>
      <w:r>
        <w:rPr>
          <w:rFonts w:ascii="宋体" w:hAnsi="宋体" w:cs="宋体" w:eastAsia="宋体" w:hint="default"/>
          <w:spacing w:val="-2"/>
        </w:rPr>
        <w:t>2015</w:t>
      </w:r>
      <w:r>
        <w:rPr>
          <w:spacing w:val="-2"/>
        </w:rPr>
        <w:t>年公司签署了晋商很行消费金融公司数据中心建设、晋中银行数据中心升级、平顶山银行郑州数据中心开发测</w:t>
      </w:r>
      <w:r>
        <w:rPr>
          <w:spacing w:val="-59"/>
        </w:rPr>
        <w:t> </w:t>
      </w:r>
      <w:r>
        <w:rPr>
          <w:spacing w:val="-59"/>
        </w:rPr>
      </w:r>
      <w:r>
        <w:rPr/>
        <w:t>试环境、中原银行各分行数据移植、江苏省农信社下属宜兴、阜宁、江苏建湖农商行合作建设</w:t>
      </w:r>
      <w:r>
        <w:rPr>
          <w:rFonts w:ascii="宋体" w:hAnsi="宋体" w:cs="宋体" w:eastAsia="宋体" w:hint="default"/>
        </w:rPr>
        <w:t>ODS</w:t>
      </w:r>
      <w:r>
        <w:rPr/>
        <w:t>数据平台等项目。</w:t>
      </w:r>
    </w:p>
    <w:p>
      <w:pPr>
        <w:pStyle w:val="BodyText"/>
        <w:spacing w:line="432" w:lineRule="exact" w:before="3"/>
        <w:ind w:left="513" w:right="204"/>
        <w:jc w:val="left"/>
      </w:pPr>
      <w:r>
        <w:rPr>
          <w:rFonts w:ascii="宋体" w:hAnsi="宋体" w:cs="宋体" w:eastAsia="宋体" w:hint="default"/>
          <w:b/>
          <w:bCs/>
        </w:rPr>
        <w:t>电力行业：</w:t>
      </w:r>
      <w:r>
        <w:rPr>
          <w:rFonts w:ascii="宋体" w:hAnsi="宋体" w:cs="宋体" w:eastAsia="宋体" w:hint="default"/>
          <w:b/>
          <w:bCs/>
          <w:w w:val="99"/>
        </w:rPr>
        <w:t> </w:t>
      </w:r>
      <w:r>
        <w:rPr>
          <w:rFonts w:ascii="宋体" w:hAnsi="宋体" w:cs="宋体" w:eastAsia="宋体" w:hint="default"/>
          <w:spacing w:val="-2"/>
        </w:rPr>
        <w:t>2015</w:t>
      </w:r>
      <w:r>
        <w:rPr>
          <w:spacing w:val="-2"/>
        </w:rPr>
        <w:t>年，公司自有产品负载均衡及</w:t>
      </w:r>
      <w:r>
        <w:rPr>
          <w:rFonts w:ascii="宋体" w:hAnsi="宋体" w:cs="宋体" w:eastAsia="宋体" w:hint="default"/>
          <w:spacing w:val="-2"/>
        </w:rPr>
        <w:t>ITSM</w:t>
      </w:r>
      <w:r>
        <w:rPr>
          <w:spacing w:val="-2"/>
        </w:rPr>
        <w:t>在电力行业销售良好，公司积极拓展电力行业业务领域，继续扩大市场份额；签</w:t>
      </w:r>
    </w:p>
    <w:p>
      <w:pPr>
        <w:pStyle w:val="BodyText"/>
        <w:spacing w:line="316" w:lineRule="auto" w:before="15"/>
        <w:ind w:right="194"/>
        <w:jc w:val="left"/>
      </w:pPr>
      <w:r>
        <w:rPr/>
        <w:t>署了中国国电集团有限公司集成项目，中国核电管理平台项目，国家电网交换机项目，中国南方电网调度数据网维护项目，</w:t>
      </w:r>
      <w:r>
        <w:rPr>
          <w:spacing w:val="-83"/>
        </w:rPr>
        <w:t> </w:t>
      </w:r>
      <w:r>
        <w:rPr>
          <w:spacing w:val="-83"/>
        </w:rPr>
      </w:r>
      <w:r>
        <w:rPr/>
        <w:t>华电项目，大唐国际发电有限公司软、硬件维护项目，北京送变电设备集成项目等。与此同时，公司同国家电网及下属</w:t>
      </w:r>
      <w:r>
        <w:rPr>
          <w:rFonts w:ascii="宋体" w:hAnsi="宋体" w:cs="宋体" w:eastAsia="宋体" w:hint="default"/>
        </w:rPr>
        <w:t>23</w:t>
      </w:r>
      <w:r>
        <w:rPr>
          <w:rFonts w:ascii="宋体" w:hAnsi="宋体" w:cs="宋体" w:eastAsia="宋体" w:hint="default"/>
          <w:spacing w:val="-1"/>
        </w:rPr>
        <w:t> </w:t>
      </w:r>
      <w:r>
        <w:rPr>
          <w:spacing w:val="-2"/>
        </w:rPr>
        <w:t>个省网公司建立了长期供货和服务关系，如辽宁电力、宁夏电力、湖北电力、江西电力、吉林电力、新疆电力、内蒙古电力</w:t>
      </w:r>
      <w:r>
        <w:rPr>
          <w:spacing w:val="-73"/>
        </w:rPr>
        <w:t> </w:t>
      </w:r>
      <w:r>
        <w:rPr>
          <w:spacing w:val="-73"/>
        </w:rPr>
      </w:r>
      <w:r>
        <w:rPr/>
        <w:t>等。</w:t>
      </w:r>
    </w:p>
    <w:p>
      <w:pPr>
        <w:spacing w:after="0" w:line="316" w:lineRule="auto"/>
        <w:jc w:val="left"/>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Heading4"/>
        <w:spacing w:line="240" w:lineRule="auto" w:before="44"/>
        <w:ind w:right="204"/>
        <w:jc w:val="left"/>
        <w:rPr>
          <w:b w:val="0"/>
          <w:bCs w:val="0"/>
        </w:rPr>
      </w:pPr>
      <w:r>
        <w:rPr/>
        <w:t>通讯行业：</w:t>
      </w:r>
      <w:r>
        <w:rPr>
          <w:b w:val="0"/>
          <w:bCs w:val="0"/>
        </w:rPr>
      </w:r>
    </w:p>
    <w:p>
      <w:pPr>
        <w:spacing w:line="240" w:lineRule="auto" w:before="1"/>
        <w:rPr>
          <w:rFonts w:ascii="宋体" w:hAnsi="宋体" w:cs="宋体" w:eastAsia="宋体" w:hint="default"/>
          <w:b/>
          <w:bCs/>
          <w:sz w:val="15"/>
          <w:szCs w:val="15"/>
        </w:rPr>
      </w:pPr>
    </w:p>
    <w:p>
      <w:pPr>
        <w:pStyle w:val="BodyText"/>
        <w:spacing w:line="316" w:lineRule="auto"/>
        <w:ind w:right="290" w:firstLine="360"/>
        <w:jc w:val="both"/>
      </w:pPr>
      <w:r>
        <w:rPr>
          <w:rFonts w:ascii="宋体" w:hAnsi="宋体" w:cs="宋体" w:eastAsia="宋体" w:hint="default"/>
          <w:spacing w:val="-2"/>
        </w:rPr>
        <w:t>2015</w:t>
      </w:r>
      <w:r>
        <w:rPr>
          <w:spacing w:val="-2"/>
        </w:rPr>
        <w:t>年公司在不断完善和运营已签订的各项目基础上，积极拓展新资源，挖掘潜在客户。公司相继与中国移动广东省公</w:t>
      </w:r>
      <w:r>
        <w:rPr/>
        <w:t> </w:t>
      </w:r>
      <w:r>
        <w:rPr>
          <w:spacing w:val="-2"/>
        </w:rPr>
        <w:t>司签约网络数据共享平台一期工程，广东移动基础设施扩容工程，山西移动会计凭证电子化软件系统，山西移动业务支撑安</w:t>
      </w:r>
      <w:r>
        <w:rPr>
          <w:spacing w:val="-63"/>
        </w:rPr>
        <w:t> </w:t>
      </w:r>
      <w:r>
        <w:rPr>
          <w:spacing w:val="-63"/>
        </w:rPr>
      </w:r>
      <w:r>
        <w:rPr>
          <w:spacing w:val="-2"/>
        </w:rPr>
        <w:t>全系统，河南移动网管支撑系统，河南移动存储备份系统维护，四川移动财务系统升级服务，黑龙江移动流程系统等中国移</w:t>
      </w:r>
      <w:r>
        <w:rPr>
          <w:spacing w:val="-65"/>
        </w:rPr>
        <w:t> </w:t>
      </w:r>
      <w:r>
        <w:rPr>
          <w:spacing w:val="-65"/>
        </w:rPr>
      </w:r>
      <w:r>
        <w:rPr/>
        <w:t>动项目。中标中国联通内蒙环保云中心建设项目，上海联通运维系统，河南联通新一代</w:t>
      </w:r>
      <w:r>
        <w:rPr>
          <w:rFonts w:ascii="宋体" w:hAnsi="宋体" w:cs="宋体" w:eastAsia="宋体" w:hint="default"/>
        </w:rPr>
        <w:t>BSS</w:t>
      </w:r>
      <w:r>
        <w:rPr/>
        <w:t>存储系统等。相继与中国电信股</w:t>
      </w:r>
      <w:r>
        <w:rPr>
          <w:spacing w:val="-84"/>
        </w:rPr>
        <w:t> </w:t>
      </w:r>
      <w:r>
        <w:rPr>
          <w:spacing w:val="-84"/>
        </w:rPr>
      </w:r>
      <w:r>
        <w:rPr>
          <w:spacing w:val="-2"/>
        </w:rPr>
        <w:t>份有限公司成都分公司，歌华有线公司，中国移动通信集团福建、甘肃、广东、广西、贵州、河北、河南等公司签约，实现</w:t>
      </w:r>
      <w:r>
        <w:rPr>
          <w:spacing w:val="-68"/>
        </w:rPr>
        <w:t> </w:t>
      </w:r>
      <w:r>
        <w:rPr>
          <w:spacing w:val="-68"/>
        </w:rPr>
      </w:r>
      <w:r>
        <w:rPr>
          <w:spacing w:val="-5"/>
        </w:rPr>
        <w:t>业务量、业务收入和用户总数持续快速增长。与此同时，公司与广西广播电视信息网络股份有限公司签订两千余万元的通讯、</w:t>
      </w:r>
      <w:r>
        <w:rPr>
          <w:spacing w:val="-79"/>
        </w:rPr>
        <w:t> </w:t>
      </w:r>
      <w:r>
        <w:rPr>
          <w:spacing w:val="-79"/>
        </w:rPr>
      </w:r>
      <w:r>
        <w:rPr/>
        <w:t>网络集成系统。</w:t>
      </w:r>
    </w:p>
    <w:p>
      <w:pPr>
        <w:pStyle w:val="BodyText"/>
        <w:spacing w:line="432" w:lineRule="exact" w:before="3"/>
        <w:ind w:left="513" w:right="278"/>
        <w:jc w:val="left"/>
      </w:pPr>
      <w:r>
        <w:rPr>
          <w:rFonts w:ascii="宋体" w:hAnsi="宋体" w:cs="宋体" w:eastAsia="宋体" w:hint="default"/>
          <w:b/>
          <w:bCs/>
        </w:rPr>
        <w:t>交通运输业：</w:t>
      </w:r>
      <w:r>
        <w:rPr>
          <w:rFonts w:ascii="宋体" w:hAnsi="宋体" w:cs="宋体" w:eastAsia="宋体" w:hint="default"/>
          <w:b/>
          <w:bCs/>
          <w:w w:val="99"/>
        </w:rPr>
        <w:t> </w:t>
      </w:r>
      <w:r>
        <w:rPr>
          <w:spacing w:val="-5"/>
        </w:rPr>
        <w:t>在继续服务国航、中航信等老客户并取得良好业绩的同时，公司不断拓展新的客户资源，成功签约中国国航、北京地铁、</w:t>
      </w:r>
    </w:p>
    <w:p>
      <w:pPr>
        <w:pStyle w:val="BodyText"/>
        <w:spacing w:line="439" w:lineRule="auto" w:before="15"/>
        <w:ind w:left="513" w:right="289" w:hanging="361"/>
        <w:jc w:val="left"/>
        <w:rPr>
          <w:rFonts w:ascii="宋体" w:hAnsi="宋体" w:cs="宋体" w:eastAsia="宋体" w:hint="default"/>
        </w:rPr>
      </w:pPr>
      <w:r>
        <w:rPr>
          <w:spacing w:val="-5"/>
        </w:rPr>
        <w:t>北京空港实时存储系统、虚拟机、平台软件、硬件以及设备的运维服务，地铁核心机房检测及运维管理系统工程建设等项目。</w:t>
      </w:r>
      <w:r>
        <w:rPr>
          <w:spacing w:val="-77"/>
        </w:rPr>
        <w:t> </w:t>
      </w:r>
      <w:r>
        <w:rPr>
          <w:spacing w:val="-77"/>
        </w:rPr>
      </w:r>
      <w:r>
        <w:rPr>
          <w:rFonts w:ascii="宋体" w:hAnsi="宋体" w:cs="宋体" w:eastAsia="宋体" w:hint="default"/>
          <w:b/>
          <w:bCs/>
        </w:rPr>
        <w:t>医疗卫生行业：</w:t>
      </w:r>
      <w:r>
        <w:rPr>
          <w:rFonts w:ascii="宋体" w:hAnsi="宋体" w:cs="宋体" w:eastAsia="宋体" w:hint="default"/>
        </w:rPr>
      </w:r>
    </w:p>
    <w:p>
      <w:pPr>
        <w:pStyle w:val="BodyText"/>
        <w:spacing w:line="316" w:lineRule="auto" w:before="47"/>
        <w:ind w:right="290" w:firstLine="360"/>
        <w:jc w:val="both"/>
      </w:pPr>
      <w:r>
        <w:rPr>
          <w:rFonts w:ascii="宋体" w:hAnsi="宋体" w:cs="宋体" w:eastAsia="宋体" w:hint="default"/>
          <w:spacing w:val="-2"/>
        </w:rPr>
        <w:t>2015</w:t>
      </w:r>
      <w:r>
        <w:rPr>
          <w:spacing w:val="-2"/>
        </w:rPr>
        <w:t>年公司继续深化完善现有项目，完成对青岛大学医学院附属医院、中山大学附属第三医院、珠海市人民医院、廊坊</w:t>
      </w:r>
      <w:r>
        <w:rPr/>
        <w:t> </w:t>
      </w:r>
      <w:r>
        <w:rPr>
          <w:spacing w:val="-2"/>
        </w:rPr>
        <w:t>管道局医院、河北省中医院、廊坊市人民医院、温岭市第一人民医院、湖南省肿瘤医院、莱芜钢铁集团有限公司医院、居民</w:t>
      </w:r>
      <w:r>
        <w:rPr>
          <w:spacing w:val="-68"/>
        </w:rPr>
        <w:t> </w:t>
      </w:r>
      <w:r>
        <w:rPr>
          <w:spacing w:val="-68"/>
        </w:rPr>
      </w:r>
      <w:r>
        <w:rPr>
          <w:spacing w:val="-2"/>
        </w:rPr>
        <w:t>健康注册等十个医院的信息化建设项目的整体验收及衢州市人民医院、青岛大学医学院附属医院海阳分院、南通大学附属海</w:t>
      </w:r>
      <w:r>
        <w:rPr>
          <w:spacing w:val="-64"/>
        </w:rPr>
        <w:t> </w:t>
      </w:r>
      <w:r>
        <w:rPr>
          <w:spacing w:val="-64"/>
        </w:rPr>
      </w:r>
      <w:r>
        <w:rPr>
          <w:spacing w:val="-2"/>
        </w:rPr>
        <w:t>安医院、昆明医科大学第一附属医院（呈贡新区）、广西河池市南丹县人民医院、牡丹江市第一人民医院等六个建设项目的</w:t>
      </w:r>
      <w:r>
        <w:rPr>
          <w:spacing w:val="-65"/>
        </w:rPr>
        <w:t> </w:t>
      </w:r>
      <w:r>
        <w:rPr>
          <w:spacing w:val="-65"/>
        </w:rPr>
      </w:r>
      <w:r>
        <w:rPr>
          <w:spacing w:val="-2"/>
        </w:rPr>
        <w:t>分期内容验收，首都医科大学附属北京妇产医院、兰州大学第二医院、宁夏医科大学附属医院、四川省妇幼保健院、中山大</w:t>
      </w:r>
      <w:r>
        <w:rPr>
          <w:spacing w:val="-67"/>
        </w:rPr>
        <w:t> </w:t>
      </w:r>
      <w:r>
        <w:rPr>
          <w:spacing w:val="-67"/>
        </w:rPr>
      </w:r>
      <w:r>
        <w:rPr>
          <w:spacing w:val="-2"/>
        </w:rPr>
        <w:t>学附属第二医院等五个建设项目的部分内容验收，同时完成了沈阳大东区域基层、广东干保区域、河南郑州南阳卫生局区域</w:t>
      </w:r>
      <w:r>
        <w:rPr>
          <w:spacing w:val="-63"/>
        </w:rPr>
        <w:t> </w:t>
      </w:r>
      <w:r>
        <w:rPr>
          <w:spacing w:val="-63"/>
        </w:rPr>
      </w:r>
      <w:r>
        <w:rPr/>
        <w:t>基层项目等区域医疗项目的初验、终验。</w:t>
      </w:r>
    </w:p>
    <w:p>
      <w:pPr>
        <w:pStyle w:val="BodyText"/>
        <w:spacing w:line="432" w:lineRule="exact" w:before="3"/>
        <w:ind w:left="513" w:right="204"/>
        <w:jc w:val="left"/>
      </w:pPr>
      <w:r>
        <w:rPr/>
        <w:t>公司在坚持做好老客户升级维护服务的基础上，继续不断扩大全国大型医院和医疗管理机构的用户数量。 </w:t>
      </w:r>
      <w:r>
        <w:rPr>
          <w:spacing w:val="-2"/>
        </w:rPr>
        <w:t>在数字化医院领域，公司新签署了青岛市黄岛区第二中医医院、龙口市人民医院、北京太和妇产医院、航空总医院、江</w:t>
      </w:r>
    </w:p>
    <w:p>
      <w:pPr>
        <w:pStyle w:val="BodyText"/>
        <w:spacing w:line="240" w:lineRule="auto" w:before="15"/>
        <w:ind w:right="0"/>
        <w:jc w:val="both"/>
      </w:pPr>
      <w:r>
        <w:rPr/>
        <w:t>苏省中医院、广东三九脑科医院、北京市第二医院、宜宾市妇幼保健院、海南农垦三亚医院等数字化医院建设项目。</w:t>
      </w:r>
    </w:p>
    <w:p>
      <w:pPr>
        <w:pStyle w:val="BodyText"/>
        <w:spacing w:line="430" w:lineRule="atLeast" w:before="2"/>
        <w:ind w:left="513" w:right="278"/>
        <w:jc w:val="left"/>
      </w:pPr>
      <w:r>
        <w:rPr>
          <w:rFonts w:ascii="宋体" w:hAnsi="宋体" w:cs="宋体" w:eastAsia="宋体" w:hint="default"/>
          <w:b/>
          <w:bCs/>
        </w:rPr>
        <w:t>政府及气象海洋：</w:t>
      </w:r>
      <w:r>
        <w:rPr>
          <w:rFonts w:ascii="宋体" w:hAnsi="宋体" w:cs="宋体" w:eastAsia="宋体" w:hint="default"/>
          <w:b/>
          <w:bCs/>
          <w:w w:val="99"/>
        </w:rPr>
        <w:t> </w:t>
      </w:r>
      <w:r>
        <w:rPr>
          <w:spacing w:val="-5"/>
        </w:rPr>
        <w:t>公司在水资源监控平台应有系统不断完善的基础上，深化水利部全国水资源项目，项目包含系统总集成、门户、水调等。</w:t>
      </w:r>
    </w:p>
    <w:p>
      <w:pPr>
        <w:pStyle w:val="BodyText"/>
        <w:spacing w:line="316" w:lineRule="auto" w:before="76"/>
        <w:ind w:right="293"/>
        <w:jc w:val="both"/>
      </w:pPr>
      <w:r>
        <w:rPr>
          <w:spacing w:val="-2"/>
        </w:rPr>
        <w:t>同时公司承建了国家防汛指挥系统项目，水利异地备份中心云架构容灾备份平台建设项目，国家地下水监测工程信息系统总</w:t>
      </w:r>
      <w:r>
        <w:rPr>
          <w:spacing w:val="-64"/>
        </w:rPr>
        <w:t> </w:t>
      </w:r>
      <w:r>
        <w:rPr>
          <w:spacing w:val="-64"/>
        </w:rPr>
      </w:r>
      <w:r>
        <w:rPr>
          <w:spacing w:val="-2"/>
        </w:rPr>
        <w:t>集成等具有较高影响力的项目。相继签署了山西、湖北地市山洪防治预警项目，长委、松辽委国家防汛抗旱指挥系统二期应</w:t>
      </w:r>
      <w:r>
        <w:rPr>
          <w:spacing w:val="-66"/>
        </w:rPr>
        <w:t> </w:t>
      </w:r>
      <w:r>
        <w:rPr>
          <w:spacing w:val="-66"/>
        </w:rPr>
      </w:r>
      <w:r>
        <w:rPr/>
        <w:t>用支撑平台项目，贵州省水利信息化资源整合项目，宁夏农村水价改革项目等。</w:t>
      </w:r>
    </w:p>
    <w:p>
      <w:pPr>
        <w:pStyle w:val="BodyText"/>
        <w:spacing w:line="316" w:lineRule="auto" w:before="139"/>
        <w:ind w:right="290" w:firstLine="360"/>
        <w:jc w:val="both"/>
      </w:pPr>
      <w:r>
        <w:rPr>
          <w:spacing w:val="-2"/>
        </w:rPr>
        <w:t>公司积极大力发展政府项目，与国家外汇管理局签订电子表单应用支撑平台项目，银行考核系统项目，贸易信贷调查系</w:t>
      </w:r>
      <w:r>
        <w:rPr/>
        <w:t> </w:t>
      </w:r>
      <w:r>
        <w:rPr>
          <w:spacing w:val="-2"/>
        </w:rPr>
        <w:t>统项目等，同时签订了国家信息中心项目，贵州省水利厅视频会商系统，贵州省高级人民法院法院专网升级建设项目，贵州</w:t>
      </w:r>
      <w:r>
        <w:rPr>
          <w:spacing w:val="-65"/>
        </w:rPr>
        <w:t> </w:t>
      </w:r>
      <w:r>
        <w:rPr>
          <w:spacing w:val="-65"/>
        </w:rPr>
      </w:r>
      <w:r>
        <w:rPr>
          <w:spacing w:val="-2"/>
        </w:rPr>
        <w:t>省人民检察院检察机关二、三级专线网和备份网建设项目，贵州省气象局省内气象广域网络建设项目，国家认监委项目，哈</w:t>
      </w:r>
      <w:r>
        <w:rPr>
          <w:spacing w:val="-64"/>
        </w:rPr>
        <w:t> </w:t>
      </w:r>
      <w:r>
        <w:rPr>
          <w:spacing w:val="-64"/>
        </w:rPr>
      </w:r>
      <w:r>
        <w:rPr>
          <w:spacing w:val="-2"/>
        </w:rPr>
        <w:t>尔滨市南岗区人民法院项目，中国航空规划设计研究总院“十二五“技防改造项目存储系统，浙江省电子政务内网省政府办</w:t>
      </w:r>
      <w:r>
        <w:rPr>
          <w:spacing w:val="-63"/>
        </w:rPr>
        <w:t> </w:t>
      </w:r>
      <w:r>
        <w:rPr>
          <w:spacing w:val="-63"/>
        </w:rPr>
      </w:r>
      <w:r>
        <w:rPr/>
        <w:t>公厅网络结点建设项目，广元市公安局网上督查中心采购项目等百万级项目。</w:t>
      </w:r>
    </w:p>
    <w:p>
      <w:pPr>
        <w:pStyle w:val="BodyText"/>
        <w:spacing w:line="319" w:lineRule="auto" w:before="139"/>
        <w:ind w:right="0" w:firstLine="360"/>
        <w:jc w:val="left"/>
      </w:pPr>
      <w:r>
        <w:rPr>
          <w:spacing w:val="-2"/>
        </w:rPr>
        <w:t>公司气象海洋事业部</w:t>
      </w:r>
      <w:r>
        <w:rPr>
          <w:rFonts w:ascii="宋体" w:hAnsi="宋体" w:cs="宋体" w:eastAsia="宋体" w:hint="default"/>
          <w:spacing w:val="-2"/>
        </w:rPr>
        <w:t>2015</w:t>
      </w:r>
      <w:r>
        <w:rPr>
          <w:spacing w:val="-2"/>
        </w:rPr>
        <w:t>年相继签约国家卫星气象中心风云三号卫星地面系统软件、国家海洋局海域动态检测软件系统、</w:t>
      </w:r>
      <w:r>
        <w:rPr/>
        <w:t> 黑龙江气象局突发事件预警发布系统软件及新疆气象局等多套系统。</w:t>
      </w:r>
    </w:p>
    <w:p>
      <w:pPr>
        <w:pStyle w:val="BodyText"/>
        <w:spacing w:line="432" w:lineRule="exact" w:before="1"/>
        <w:ind w:left="513" w:right="204"/>
        <w:jc w:val="left"/>
      </w:pPr>
      <w:r>
        <w:rPr>
          <w:rFonts w:ascii="宋体" w:hAnsi="宋体" w:cs="宋体" w:eastAsia="宋体" w:hint="default"/>
          <w:b/>
          <w:bCs/>
        </w:rPr>
        <w:t>石油石化行业：</w:t>
      </w:r>
      <w:r>
        <w:rPr>
          <w:rFonts w:ascii="宋体" w:hAnsi="宋体" w:cs="宋体" w:eastAsia="宋体" w:hint="default"/>
          <w:b/>
          <w:bCs/>
          <w:w w:val="99"/>
        </w:rPr>
        <w:t> </w:t>
      </w:r>
      <w:r>
        <w:rPr>
          <w:rFonts w:ascii="宋体" w:hAnsi="宋体" w:cs="宋体" w:eastAsia="宋体" w:hint="default"/>
          <w:spacing w:val="-2"/>
        </w:rPr>
        <w:t>2015</w:t>
      </w:r>
      <w:r>
        <w:rPr>
          <w:spacing w:val="-2"/>
        </w:rPr>
        <w:t>年公司与中石油成功签约勘探开发研究院</w:t>
      </w:r>
      <w:r>
        <w:rPr>
          <w:rFonts w:ascii="宋体" w:hAnsi="宋体" w:cs="宋体" w:eastAsia="宋体" w:hint="default"/>
          <w:spacing w:val="-2"/>
        </w:rPr>
        <w:t>Geolog</w:t>
      </w:r>
      <w:r>
        <w:rPr>
          <w:spacing w:val="-2"/>
        </w:rPr>
        <w:t>测井解释软件产品使用许可合同，承建了中石油东部管道信息技术</w:t>
      </w:r>
    </w:p>
    <w:p>
      <w:pPr>
        <w:pStyle w:val="BodyText"/>
        <w:spacing w:line="316" w:lineRule="auto" w:before="15"/>
        <w:ind w:right="291"/>
        <w:jc w:val="both"/>
      </w:pPr>
      <w:r>
        <w:rPr/>
        <w:t>服务，网络系统。并且公司签署了中石油昆仑银行</w:t>
      </w:r>
      <w:r>
        <w:rPr>
          <w:rFonts w:ascii="宋体" w:hAnsi="宋体" w:cs="宋体" w:eastAsia="宋体" w:hint="default"/>
        </w:rPr>
        <w:t>ECC</w:t>
      </w:r>
      <w:r>
        <w:rPr/>
        <w:t>场地建设、信息技术服务等项目，延长石油信息技术服务、</w:t>
      </w:r>
      <w:r>
        <w:rPr>
          <w:rFonts w:ascii="宋体" w:hAnsi="宋体" w:cs="宋体" w:eastAsia="宋体" w:hint="default"/>
        </w:rPr>
        <w:t>OA</w:t>
      </w:r>
      <w:r>
        <w:rPr/>
        <w:t>系统升</w:t>
      </w:r>
      <w:r>
        <w:rPr>
          <w:spacing w:val="-83"/>
        </w:rPr>
        <w:t> </w:t>
      </w:r>
      <w:r>
        <w:rPr/>
        <w:t>级建设项目等。</w:t>
      </w:r>
    </w:p>
    <w:p>
      <w:pPr>
        <w:spacing w:after="0" w:line="316" w:lineRule="auto"/>
        <w:jc w:val="both"/>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Heading4"/>
        <w:spacing w:line="240" w:lineRule="auto" w:before="44"/>
        <w:ind w:right="94"/>
        <w:jc w:val="left"/>
        <w:rPr>
          <w:b w:val="0"/>
          <w:bCs w:val="0"/>
        </w:rPr>
      </w:pPr>
      <w:r>
        <w:rPr/>
        <w:t>煤炭行业：</w:t>
      </w:r>
      <w:r>
        <w:rPr>
          <w:b w:val="0"/>
          <w:bCs w:val="0"/>
        </w:rPr>
      </w:r>
    </w:p>
    <w:p>
      <w:pPr>
        <w:spacing w:line="240" w:lineRule="auto" w:before="1"/>
        <w:rPr>
          <w:rFonts w:ascii="宋体" w:hAnsi="宋体" w:cs="宋体" w:eastAsia="宋体" w:hint="default"/>
          <w:b/>
          <w:bCs/>
          <w:sz w:val="15"/>
          <w:szCs w:val="15"/>
        </w:rPr>
      </w:pPr>
    </w:p>
    <w:p>
      <w:pPr>
        <w:pStyle w:val="BodyText"/>
        <w:spacing w:line="316" w:lineRule="auto"/>
        <w:ind w:right="94" w:firstLine="360"/>
        <w:jc w:val="left"/>
      </w:pPr>
      <w:r>
        <w:rPr>
          <w:spacing w:val="-2"/>
        </w:rPr>
        <w:t>公司积极开拓煤炭行业市场，成功挖掘潜在客户，相继签署兖矿集团调度系统、万胜二矿调度系统、隆德矿业生活区网</w:t>
      </w:r>
      <w:r>
        <w:rPr/>
        <w:t> 络系统、新汶矿业内部市场化系统等项目。</w:t>
      </w:r>
    </w:p>
    <w:p>
      <w:pPr>
        <w:pStyle w:val="BodyText"/>
        <w:spacing w:line="316" w:lineRule="auto" w:before="139"/>
        <w:ind w:right="102" w:firstLine="360"/>
        <w:jc w:val="both"/>
      </w:pPr>
      <w:r>
        <w:rPr/>
        <w:t>公司在数字化矿山项目经验上，结合工业</w:t>
      </w:r>
      <w:r>
        <w:rPr>
          <w:rFonts w:ascii="宋体" w:hAnsi="宋体" w:cs="宋体" w:eastAsia="宋体" w:hint="default"/>
        </w:rPr>
        <w:t>4.0</w:t>
      </w:r>
      <w:r>
        <w:rPr/>
        <w:t>和中国制造</w:t>
      </w:r>
      <w:r>
        <w:rPr>
          <w:rFonts w:ascii="宋体" w:hAnsi="宋体" w:cs="宋体" w:eastAsia="宋体" w:hint="default"/>
        </w:rPr>
        <w:t>2025</w:t>
      </w:r>
      <w:r>
        <w:rPr/>
        <w:t>的大环境，在智能化建设中融入了物联网、工业云计算、 </w:t>
      </w:r>
      <w:r>
        <w:rPr>
          <w:rFonts w:ascii="宋体" w:hAnsi="宋体" w:cs="宋体" w:eastAsia="宋体" w:hint="default"/>
          <w:spacing w:val="-2"/>
        </w:rPr>
        <w:t>VR</w:t>
      </w:r>
      <w:r>
        <w:rPr>
          <w:spacing w:val="-2"/>
        </w:rPr>
        <w:t>虚拟现实、</w:t>
      </w:r>
      <w:r>
        <w:rPr>
          <w:rFonts w:ascii="宋体" w:hAnsi="宋体" w:cs="宋体" w:eastAsia="宋体" w:hint="default"/>
          <w:spacing w:val="-2"/>
        </w:rPr>
        <w:t>AR</w:t>
      </w:r>
      <w:r>
        <w:rPr>
          <w:spacing w:val="-2"/>
        </w:rPr>
        <w:t>增强现实等尖端高新技术。经过多年的努力公司与万达集成达成战略合作关系并与南宁安吉万达广场建筑智</w:t>
      </w:r>
      <w:r>
        <w:rPr>
          <w:spacing w:val="-61"/>
        </w:rPr>
        <w:t> </w:t>
      </w:r>
      <w:r>
        <w:rPr>
          <w:spacing w:val="-61"/>
        </w:rPr>
      </w:r>
      <w:r>
        <w:rPr>
          <w:spacing w:val="-4"/>
        </w:rPr>
        <w:t>能化集成平台等十多个万达广场签约，太原煤气化集团</w:t>
      </w:r>
      <w:r>
        <w:rPr>
          <w:rFonts w:ascii="宋体" w:hAnsi="宋体" w:cs="宋体" w:eastAsia="宋体" w:hint="default"/>
          <w:spacing w:val="-4"/>
        </w:rPr>
        <w:t>3D</w:t>
      </w:r>
      <w:r>
        <w:rPr>
          <w:spacing w:val="-4"/>
        </w:rPr>
        <w:t>智能机房、山东付村煤矿</w:t>
      </w:r>
      <w:r>
        <w:rPr>
          <w:rFonts w:ascii="宋体" w:hAnsi="宋体" w:cs="宋体" w:eastAsia="宋体" w:hint="default"/>
          <w:spacing w:val="-4"/>
        </w:rPr>
        <w:t>3D</w:t>
      </w:r>
      <w:r>
        <w:rPr>
          <w:spacing w:val="-4"/>
        </w:rPr>
        <w:t>智能监控平台等一系列项目也成功上线。</w:t>
      </w:r>
    </w:p>
    <w:p>
      <w:pPr>
        <w:pStyle w:val="BodyText"/>
        <w:spacing w:line="432" w:lineRule="exact" w:before="3"/>
        <w:ind w:left="513" w:right="94"/>
        <w:jc w:val="left"/>
      </w:pPr>
      <w:r>
        <w:rPr>
          <w:rFonts w:ascii="宋体" w:hAnsi="宋体" w:cs="宋体" w:eastAsia="宋体" w:hint="default"/>
          <w:b/>
          <w:bCs/>
        </w:rPr>
        <w:t>建筑智能化及数据中心：</w:t>
      </w:r>
      <w:r>
        <w:rPr>
          <w:rFonts w:ascii="宋体" w:hAnsi="宋体" w:cs="宋体" w:eastAsia="宋体" w:hint="default"/>
          <w:b/>
          <w:bCs/>
          <w:w w:val="99"/>
        </w:rPr>
        <w:t> </w:t>
      </w:r>
      <w:r>
        <w:rPr>
          <w:spacing w:val="-2"/>
        </w:rPr>
        <w:t>公司在建筑智能化及数据中心方面建设取得了长足的发展，先后承建新疆阿克苏政务数据中心机房、海南省政府涉密机</w:t>
      </w:r>
    </w:p>
    <w:p>
      <w:pPr>
        <w:pStyle w:val="BodyText"/>
        <w:spacing w:line="319" w:lineRule="auto" w:before="15"/>
        <w:ind w:right="94"/>
        <w:jc w:val="left"/>
      </w:pPr>
      <w:r>
        <w:rPr/>
        <w:t>房及综合布线改造、芜湖市委机房改造工程、南岗法院数字化系统工程施工等项目；同时签订了大长江豪爵研发中心机房、</w:t>
      </w:r>
      <w:r>
        <w:rPr>
          <w:spacing w:val="-83"/>
        </w:rPr>
        <w:t> </w:t>
      </w:r>
      <w:r>
        <w:rPr>
          <w:spacing w:val="-83"/>
        </w:rPr>
      </w:r>
      <w:r>
        <w:rPr>
          <w:spacing w:val="-2"/>
        </w:rPr>
        <w:t>中电投江苏海上风电盐城扩容工程、甘肃烟草公司中心机房改造、中石油湖北分公司加油站管理系统、中天合创鄂尔多斯煤</w:t>
      </w:r>
      <w:r>
        <w:rPr>
          <w:spacing w:val="-63"/>
        </w:rPr>
        <w:t> </w:t>
      </w:r>
      <w:r>
        <w:rPr>
          <w:spacing w:val="-63"/>
        </w:rPr>
      </w:r>
      <w:r>
        <w:rPr>
          <w:spacing w:val="-2"/>
        </w:rPr>
        <w:t>矿深加工综合布线系统、神华国华寿光发电厂区综合布线系统、国电数据灾备中心机房建设等制造企业项目。另外公司签署</w:t>
      </w:r>
      <w:r>
        <w:rPr>
          <w:spacing w:val="-63"/>
        </w:rPr>
        <w:t> </w:t>
      </w:r>
      <w:r>
        <w:rPr>
          <w:spacing w:val="-63"/>
        </w:rPr>
      </w:r>
      <w:r>
        <w:rPr>
          <w:spacing w:val="-2"/>
        </w:rPr>
        <w:t>了鹤壁市人民医院信息机房建设、河南省中医药研究院信息化建设、五十四所模块化机房、万达广场</w:t>
      </w:r>
      <w:r>
        <w:rPr>
          <w:rFonts w:ascii="宋体" w:hAnsi="宋体" w:cs="宋体" w:eastAsia="宋体" w:hint="default"/>
          <w:spacing w:val="-2"/>
        </w:rPr>
        <w:t>WIFI</w:t>
      </w:r>
      <w:r>
        <w:rPr>
          <w:spacing w:val="-2"/>
        </w:rPr>
        <w:t>扩容项目、深圳机</w:t>
      </w:r>
      <w:r>
        <w:rPr>
          <w:spacing w:val="-59"/>
        </w:rPr>
        <w:t> </w:t>
      </w:r>
      <w:r>
        <w:rPr>
          <w:spacing w:val="-59"/>
        </w:rPr>
      </w:r>
      <w:r>
        <w:rPr/>
        <w:t>场监控补盲工程、哈医大附属第一医院监控扩容等一系列工程项目。</w:t>
      </w:r>
    </w:p>
    <w:p>
      <w:pPr>
        <w:pStyle w:val="BodyText"/>
        <w:spacing w:line="432" w:lineRule="exact" w:before="1"/>
        <w:ind w:left="513" w:right="94"/>
        <w:jc w:val="left"/>
      </w:pPr>
      <w:r>
        <w:rPr>
          <w:rFonts w:ascii="宋体" w:hAnsi="宋体" w:cs="宋体" w:eastAsia="宋体" w:hint="default"/>
          <w:b/>
          <w:bCs/>
        </w:rPr>
        <w:t>农产品及物流业：</w:t>
      </w:r>
      <w:r>
        <w:rPr>
          <w:rFonts w:ascii="宋体" w:hAnsi="宋体" w:cs="宋体" w:eastAsia="宋体" w:hint="default"/>
          <w:b/>
          <w:bCs/>
          <w:w w:val="99"/>
        </w:rPr>
        <w:t> </w:t>
      </w:r>
      <w:r>
        <w:rPr>
          <w:spacing w:val="-2"/>
        </w:rPr>
        <w:t>在农产品行业市场，公司相继与江苏苏浙皖边界市场发展有限公司、江苏淮海蔬菜批发交易市场、徐州雨润农产品全球</w:t>
      </w:r>
    </w:p>
    <w:p>
      <w:pPr>
        <w:pStyle w:val="BodyText"/>
        <w:spacing w:line="316" w:lineRule="auto" w:before="15"/>
        <w:ind w:right="191"/>
        <w:jc w:val="both"/>
      </w:pPr>
      <w:r>
        <w:rPr>
          <w:spacing w:val="-2"/>
        </w:rPr>
        <w:t>采购有限公司、唐山市荷花坑农副产品批发市场信息、新疆吐鲁番农产品市场、鄂州市城西农产品批发市场、江陵县农产品</w:t>
      </w:r>
      <w:r>
        <w:rPr>
          <w:spacing w:val="-65"/>
        </w:rPr>
        <w:t> </w:t>
      </w:r>
      <w:r>
        <w:rPr>
          <w:spacing w:val="-65"/>
        </w:rPr>
      </w:r>
      <w:r>
        <w:rPr>
          <w:spacing w:val="-2"/>
        </w:rPr>
        <w:t>批发市场、河北新发地农产品物流园、河北沧州农产品市场等多家农产品市场签订软件项目。在物流行业中，公司新增了江</w:t>
      </w:r>
      <w:r>
        <w:rPr>
          <w:spacing w:val="-64"/>
        </w:rPr>
        <w:t> </w:t>
      </w:r>
      <w:r>
        <w:rPr>
          <w:spacing w:val="-64"/>
        </w:rPr>
      </w:r>
      <w:r>
        <w:rPr/>
        <w:t>苏中烟物流信息平台项目、保定天德物流园一卡通项目</w:t>
      </w:r>
      <w:r>
        <w:rPr>
          <w:rFonts w:ascii="宋体" w:hAnsi="宋体" w:cs="宋体" w:eastAsia="宋体" w:hint="default"/>
        </w:rPr>
        <w:t>, </w:t>
      </w:r>
      <w:r>
        <w:rPr/>
        <w:t>保持在国内农产品物流市场行业中的绝对领先。</w:t>
      </w:r>
    </w:p>
    <w:p>
      <w:pPr>
        <w:pStyle w:val="BodyText"/>
        <w:spacing w:line="432" w:lineRule="exact" w:before="3"/>
        <w:ind w:left="513" w:right="94"/>
        <w:jc w:val="left"/>
      </w:pPr>
      <w:r>
        <w:rPr>
          <w:rFonts w:ascii="宋体" w:hAnsi="宋体" w:cs="宋体" w:eastAsia="宋体" w:hint="default"/>
          <w:b/>
          <w:bCs/>
        </w:rPr>
        <w:t>智慧城市及智慧社区：</w:t>
      </w:r>
      <w:r>
        <w:rPr>
          <w:rFonts w:ascii="宋体" w:hAnsi="宋体" w:cs="宋体" w:eastAsia="宋体" w:hint="default"/>
          <w:b/>
          <w:bCs/>
          <w:w w:val="99"/>
        </w:rPr>
        <w:t> </w:t>
      </w:r>
      <w:r>
        <w:rPr>
          <w:rFonts w:ascii="宋体" w:hAnsi="宋体" w:cs="宋体" w:eastAsia="宋体" w:hint="default"/>
          <w:spacing w:val="-2"/>
        </w:rPr>
        <w:t>2012</w:t>
      </w:r>
      <w:r>
        <w:rPr>
          <w:spacing w:val="-2"/>
        </w:rPr>
        <w:t>年东华启动研发智慧城市项目并于</w:t>
      </w:r>
      <w:r>
        <w:rPr>
          <w:rFonts w:ascii="宋体" w:hAnsi="宋体" w:cs="宋体" w:eastAsia="宋体" w:hint="default"/>
          <w:spacing w:val="-2"/>
        </w:rPr>
        <w:t>2014</w:t>
      </w:r>
      <w:r>
        <w:rPr>
          <w:spacing w:val="-2"/>
        </w:rPr>
        <w:t>年牵头发起“中国智慧城市投资联合体”。目前，联合体已有上市公司、行</w:t>
      </w:r>
    </w:p>
    <w:p>
      <w:pPr>
        <w:pStyle w:val="BodyText"/>
        <w:spacing w:line="316" w:lineRule="auto" w:before="15"/>
        <w:ind w:right="94"/>
        <w:jc w:val="left"/>
      </w:pPr>
      <w:r>
        <w:rPr>
          <w:spacing w:val="-2"/>
        </w:rPr>
        <w:t>业龙头企业、金融机构等近</w:t>
      </w:r>
      <w:r>
        <w:rPr>
          <w:rFonts w:ascii="宋体" w:hAnsi="宋体" w:cs="宋体" w:eastAsia="宋体" w:hint="default"/>
          <w:spacing w:val="-2"/>
        </w:rPr>
        <w:t>60</w:t>
      </w:r>
      <w:r>
        <w:rPr>
          <w:spacing w:val="-2"/>
        </w:rPr>
        <w:t>家企业成员，成为一个集中融合资金、技术、人才、产业的运营平台，为智慧城市建设、管理</w:t>
      </w:r>
      <w:r>
        <w:rPr>
          <w:spacing w:val="-72"/>
        </w:rPr>
        <w:t> </w:t>
      </w:r>
      <w:r>
        <w:rPr>
          <w:spacing w:val="-72"/>
        </w:rPr>
      </w:r>
      <w:r>
        <w:rPr/>
        <w:t>和发展提供可靠保障。</w:t>
      </w:r>
    </w:p>
    <w:p>
      <w:pPr>
        <w:pStyle w:val="BodyText"/>
        <w:spacing w:line="316" w:lineRule="auto" w:before="139"/>
        <w:ind w:right="94" w:firstLine="360"/>
        <w:jc w:val="left"/>
      </w:pPr>
      <w:r>
        <w:rPr>
          <w:rFonts w:ascii="宋体" w:hAnsi="宋体" w:cs="宋体" w:eastAsia="宋体" w:hint="default"/>
          <w:spacing w:val="-2"/>
        </w:rPr>
        <w:t>2015</w:t>
      </w:r>
      <w:r>
        <w:rPr>
          <w:spacing w:val="-2"/>
        </w:rPr>
        <w:t>年公司通过整合下属六家子公司成立东华智慧城市事业群，明确了以东华云计算为主体公司的事业群运作模式，在</w:t>
      </w:r>
      <w:r>
        <w:rPr/>
        <w:t> </w:t>
      </w:r>
      <w:r>
        <w:rPr>
          <w:spacing w:val="-2"/>
        </w:rPr>
        <w:t>业务上进入深耕细作阶段。对重点城市投入资源围绕惠民利企服政的理念运营四位一体的投资模型，在盘锦、呼和浩特、郑</w:t>
      </w:r>
      <w:r>
        <w:rPr>
          <w:spacing w:val="-86"/>
        </w:rPr>
        <w:t> </w:t>
      </w:r>
      <w:r>
        <w:rPr>
          <w:spacing w:val="-86"/>
        </w:rPr>
      </w:r>
      <w:r>
        <w:rPr/>
        <w:t>州、青岛、贵阳、衢州、舟山、三亚、西安、益阳、安顺、珠海、济宁等城市相继签订平安城市人脸识别、应急指挥中心、</w:t>
      </w:r>
      <w:r>
        <w:rPr>
          <w:spacing w:val="-82"/>
        </w:rPr>
        <w:t> </w:t>
      </w:r>
      <w:r>
        <w:rPr>
          <w:spacing w:val="-82"/>
        </w:rPr>
      </w:r>
      <w:r>
        <w:rPr/>
        <w:t>三农平台、智慧园区、智慧医疗、公安侦查、智慧旅游等数十个项目。产品围绕城市服务、教育医疗、三农、园区、公安、</w:t>
      </w:r>
      <w:r>
        <w:rPr>
          <w:spacing w:val="-83"/>
        </w:rPr>
        <w:t> </w:t>
      </w:r>
      <w:r>
        <w:rPr>
          <w:spacing w:val="-83"/>
        </w:rPr>
      </w:r>
      <w:r>
        <w:rPr>
          <w:spacing w:val="-2"/>
        </w:rPr>
        <w:t>旅游、城管、大数据中心建设并保持快速增长，与中国智慧城市投资联合体内多家企业形成技术协同、投资互动，市场信息</w:t>
      </w:r>
      <w:r>
        <w:rPr>
          <w:spacing w:val="-67"/>
        </w:rPr>
        <w:t> </w:t>
      </w:r>
      <w:r>
        <w:rPr>
          <w:spacing w:val="-67"/>
        </w:rPr>
      </w:r>
      <w:r>
        <w:rPr>
          <w:spacing w:val="-2"/>
        </w:rPr>
        <w:t>进入爆发阶段。同时公司展开了与中投基金、工商银行等金融机构的合作，设立广泛的</w:t>
      </w:r>
      <w:r>
        <w:rPr>
          <w:rFonts w:ascii="宋体" w:hAnsi="宋体" w:cs="宋体" w:eastAsia="宋体" w:hint="default"/>
          <w:spacing w:val="-2"/>
        </w:rPr>
        <w:t>PPP</w:t>
      </w:r>
      <w:r>
        <w:rPr>
          <w:spacing w:val="-2"/>
        </w:rPr>
        <w:t>合作模式，进一步推动技术</w:t>
      </w:r>
      <w:r>
        <w:rPr>
          <w:rFonts w:ascii="宋体" w:hAnsi="宋体" w:cs="宋体" w:eastAsia="宋体" w:hint="default"/>
          <w:spacing w:val="-2"/>
        </w:rPr>
        <w:t>+</w:t>
      </w:r>
      <w:r>
        <w:rPr>
          <w:spacing w:val="-2"/>
        </w:rPr>
        <w:t>资金</w:t>
      </w:r>
      <w:r>
        <w:rPr>
          <w:spacing w:val="-60"/>
        </w:rPr>
        <w:t> </w:t>
      </w:r>
      <w:r>
        <w:rPr/>
        <w:t>双驱动的城市投资模式。</w:t>
      </w:r>
    </w:p>
    <w:p>
      <w:pPr>
        <w:pStyle w:val="BodyText"/>
        <w:spacing w:line="316" w:lineRule="auto" w:before="139"/>
        <w:ind w:right="94" w:firstLine="360"/>
        <w:jc w:val="left"/>
      </w:pPr>
      <w:r>
        <w:rPr>
          <w:spacing w:val="-4"/>
        </w:rPr>
        <w:t>东华互联宜家以智慧社区及网络建设集成为主营业务。截至报告期末，智慧社区业务在天津市实现</w:t>
      </w:r>
      <w:r>
        <w:rPr>
          <w:rFonts w:ascii="宋体" w:hAnsi="宋体" w:cs="宋体" w:eastAsia="宋体" w:hint="default"/>
          <w:spacing w:val="-4"/>
        </w:rPr>
        <w:t>1200</w:t>
      </w:r>
      <w:r>
        <w:rPr>
          <w:spacing w:val="-4"/>
        </w:rPr>
        <w:t>个社区电视覆盖、</w:t>
      </w:r>
      <w:r>
        <w:rPr/>
        <w:t> </w:t>
      </w:r>
      <w:r>
        <w:rPr>
          <w:rFonts w:ascii="宋体" w:hAnsi="宋体" w:cs="宋体" w:eastAsia="宋体" w:hint="default"/>
          <w:spacing w:val="-2"/>
        </w:rPr>
        <w:t>200</w:t>
      </w:r>
      <w:r>
        <w:rPr>
          <w:spacing w:val="-2"/>
        </w:rPr>
        <w:t>个线下服务站、</w:t>
      </w:r>
      <w:r>
        <w:rPr>
          <w:rFonts w:ascii="宋体" w:hAnsi="宋体" w:cs="宋体" w:eastAsia="宋体" w:hint="default"/>
          <w:spacing w:val="-2"/>
        </w:rPr>
        <w:t>100</w:t>
      </w:r>
      <w:r>
        <w:rPr>
          <w:spacing w:val="-2"/>
        </w:rPr>
        <w:t>多万用户，并与天津、陕西、贵州、吉林、甘肃、湖南等六省有线达成合作意向，超额完成</w:t>
      </w:r>
      <w:r>
        <w:rPr>
          <w:rFonts w:ascii="宋体" w:hAnsi="宋体" w:cs="宋体" w:eastAsia="宋体" w:hint="default"/>
          <w:spacing w:val="-2"/>
        </w:rPr>
        <w:t>2015</w:t>
      </w:r>
      <w:r>
        <w:rPr>
          <w:spacing w:val="-2"/>
        </w:rPr>
        <w:t>年业</w:t>
      </w:r>
      <w:r>
        <w:rPr>
          <w:spacing w:val="-58"/>
        </w:rPr>
        <w:t> </w:t>
      </w:r>
      <w:r>
        <w:rPr/>
        <w:t>务拓展计划，集成业务签单额</w:t>
      </w:r>
      <w:r>
        <w:rPr>
          <w:rFonts w:ascii="宋体" w:hAnsi="宋体" w:cs="宋体" w:eastAsia="宋体" w:hint="default"/>
        </w:rPr>
        <w:t>7000</w:t>
      </w:r>
      <w:r>
        <w:rPr/>
        <w:t>余万元。</w:t>
      </w:r>
    </w:p>
    <w:p>
      <w:pPr>
        <w:pStyle w:val="Heading4"/>
        <w:spacing w:line="240" w:lineRule="auto" w:before="139"/>
        <w:ind w:right="94"/>
        <w:jc w:val="left"/>
        <w:rPr>
          <w:b w:val="0"/>
          <w:bCs w:val="0"/>
        </w:rPr>
      </w:pPr>
      <w:r>
        <w:rPr/>
        <w:t>住建、国土及不动产行业：</w:t>
      </w:r>
      <w:r>
        <w:rPr>
          <w:b w:val="0"/>
          <w:bCs w:val="0"/>
        </w:rPr>
      </w:r>
    </w:p>
    <w:p>
      <w:pPr>
        <w:spacing w:line="240" w:lineRule="auto" w:before="1"/>
        <w:rPr>
          <w:rFonts w:ascii="宋体" w:hAnsi="宋体" w:cs="宋体" w:eastAsia="宋体" w:hint="default"/>
          <w:b/>
          <w:bCs/>
          <w:sz w:val="15"/>
          <w:szCs w:val="15"/>
        </w:rPr>
      </w:pPr>
    </w:p>
    <w:p>
      <w:pPr>
        <w:pStyle w:val="BodyText"/>
        <w:spacing w:line="240" w:lineRule="auto"/>
        <w:ind w:left="0" w:right="191"/>
        <w:jc w:val="right"/>
      </w:pPr>
      <w:r>
        <w:rPr>
          <w:spacing w:val="-4"/>
        </w:rPr>
        <w:t>截至报告期末，东华软件国土房产事业部的</w:t>
      </w:r>
      <w:r>
        <w:rPr>
          <w:rFonts w:ascii="宋体" w:hAnsi="宋体" w:cs="宋体" w:eastAsia="宋体" w:hint="default"/>
          <w:spacing w:val="-4"/>
        </w:rPr>
        <w:t>300</w:t>
      </w:r>
      <w:r>
        <w:rPr>
          <w:spacing w:val="-4"/>
        </w:rPr>
        <w:t>余家重点客户遍布全国各地，包含住建部、国土部及其各级下属单位等。</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rFonts w:ascii="宋体" w:hAnsi="宋体" w:cs="宋体" w:eastAsia="宋体" w:hint="default"/>
          <w:spacing w:val="-2"/>
        </w:rPr>
        <w:t>2015</w:t>
      </w:r>
      <w:r>
        <w:rPr>
          <w:spacing w:val="-2"/>
        </w:rPr>
        <w:t>年顺利上线漳州项目、岳阳项目、杭州二期项目，同时与江苏无锡、江西上饶、安徽淮南、马鞍山等城市签署的项</w:t>
      </w:r>
      <w:r>
        <w:rPr/>
        <w:t> </w:t>
      </w:r>
      <w:r>
        <w:rPr>
          <w:spacing w:val="-2"/>
        </w:rPr>
        <w:t>目步入到了新的合作阶段。与此同时，公司新签约湖北武汉、安徽亳州、湖南郴州、湖北孝感等近</w:t>
      </w:r>
      <w:r>
        <w:rPr>
          <w:rFonts w:ascii="宋体" w:hAnsi="宋体" w:cs="宋体" w:eastAsia="宋体" w:hint="default"/>
          <w:spacing w:val="-2"/>
        </w:rPr>
        <w:t>40</w:t>
      </w:r>
      <w:r>
        <w:rPr>
          <w:spacing w:val="-2"/>
        </w:rPr>
        <w:t>个重点地级城市国土房</w:t>
      </w:r>
      <w:r>
        <w:rPr>
          <w:spacing w:val="-63"/>
        </w:rPr>
        <w:t> </w:t>
      </w:r>
      <w:r>
        <w:rPr>
          <w:spacing w:val="-63"/>
        </w:rPr>
      </w:r>
      <w:r>
        <w:rPr>
          <w:spacing w:val="-2"/>
        </w:rPr>
        <w:t>产信息化项目，实现了在国土房产领域的快速持续性发展。目前公司在国土住建行业解决方案已经达到国内领先水平，拥有</w:t>
      </w:r>
      <w:r>
        <w:rPr>
          <w:spacing w:val="-63"/>
        </w:rPr>
        <w:t> </w:t>
      </w:r>
      <w:r>
        <w:rPr>
          <w:spacing w:val="-63"/>
        </w:rPr>
      </w:r>
      <w:r>
        <w:rPr>
          <w:spacing w:val="-4"/>
        </w:rPr>
        <w:t>了自省会城市到地级市、区县城市等全面覆盖的多层次解决方案。公司依据目前住建行业国土行业不动产登记机构改组情况，</w:t>
      </w:r>
      <w:r>
        <w:rPr>
          <w:spacing w:val="-44"/>
        </w:rPr>
        <w:t> </w:t>
      </w:r>
      <w:r>
        <w:rPr>
          <w:spacing w:val="-44"/>
        </w:rPr>
      </w:r>
      <w:r>
        <w:rPr>
          <w:spacing w:val="-2"/>
        </w:rPr>
        <w:t>以及新的行业管理架构重点在住房保障、建设管理、房管业务、不动产业务四个方向进行商务拓展和技术攻关，在武汉成立</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了技术研发中心，积极配合和参与各级住建局、国土、房产局进行系统的规划设计、建设，结合自身业务优势与已积累经验</w:t>
      </w:r>
      <w:r>
        <w:rPr>
          <w:spacing w:val="-67"/>
        </w:rPr>
        <w:t> </w:t>
      </w:r>
      <w:r>
        <w:rPr>
          <w:spacing w:val="-67"/>
        </w:rPr>
      </w:r>
      <w:r>
        <w:rPr/>
        <w:t>形成了智慧住建、智慧保障房、智慧不动产等一系列整体解决方案。</w:t>
      </w:r>
    </w:p>
    <w:p>
      <w:pPr>
        <w:pStyle w:val="Heading4"/>
        <w:spacing w:line="439" w:lineRule="auto" w:before="137"/>
        <w:ind w:right="6832"/>
        <w:jc w:val="left"/>
        <w:rPr>
          <w:b w:val="0"/>
          <w:bCs w:val="0"/>
        </w:rPr>
      </w:pPr>
      <w:r>
        <w:rPr/>
        <w:t>（</w:t>
      </w:r>
      <w:r>
        <w:rPr>
          <w:rFonts w:ascii="宋体" w:hAnsi="宋体" w:cs="宋体" w:eastAsia="宋体" w:hint="default"/>
        </w:rPr>
        <w:t>2</w:t>
      </w:r>
      <w:r>
        <w:rPr/>
        <w:t>）软件产品开发和产品化情况</w:t>
      </w:r>
      <w:r>
        <w:rPr>
          <w:w w:val="99"/>
        </w:rPr>
        <w:t> </w:t>
      </w:r>
      <w:r>
        <w:rPr/>
        <w:t>东华网智：</w:t>
      </w:r>
      <w:r>
        <w:rPr>
          <w:b w:val="0"/>
          <w:bCs w:val="0"/>
        </w:rPr>
      </w:r>
    </w:p>
    <w:p>
      <w:pPr>
        <w:pStyle w:val="BodyText"/>
        <w:spacing w:line="316" w:lineRule="auto" w:before="47"/>
        <w:ind w:right="94" w:firstLine="360"/>
        <w:jc w:val="left"/>
      </w:pPr>
      <w:r>
        <w:rPr>
          <w:spacing w:val="-2"/>
        </w:rPr>
        <w:t>东华网智是东华软件面向精细化</w:t>
      </w:r>
      <w:r>
        <w:rPr>
          <w:rFonts w:ascii="宋体" w:hAnsi="宋体" w:cs="宋体" w:eastAsia="宋体" w:hint="default"/>
          <w:spacing w:val="-2"/>
        </w:rPr>
        <w:t>IT</w:t>
      </w:r>
      <w:r>
        <w:rPr>
          <w:spacing w:val="-2"/>
        </w:rPr>
        <w:t>服务管理推出的自主研发品牌，以用户需求为出发点，提供全方位的</w:t>
      </w:r>
      <w:r>
        <w:rPr>
          <w:rFonts w:ascii="宋体" w:hAnsi="宋体" w:cs="宋体" w:eastAsia="宋体" w:hint="default"/>
          <w:spacing w:val="-2"/>
        </w:rPr>
        <w:t>IT</w:t>
      </w:r>
      <w:r>
        <w:rPr>
          <w:spacing w:val="-2"/>
        </w:rPr>
        <w:t>服务管理解决</w:t>
      </w:r>
      <w:r>
        <w:rPr/>
        <w:t> </w:t>
      </w:r>
      <w:r>
        <w:rPr>
          <w:spacing w:val="-2"/>
        </w:rPr>
        <w:t>方案，产品涵盖智能整合优化与增值、</w:t>
      </w:r>
      <w:r>
        <w:rPr>
          <w:rFonts w:ascii="宋体" w:hAnsi="宋体" w:cs="宋体" w:eastAsia="宋体" w:hint="default"/>
          <w:spacing w:val="-2"/>
        </w:rPr>
        <w:t>IT</w:t>
      </w:r>
      <w:r>
        <w:rPr>
          <w:spacing w:val="-2"/>
        </w:rPr>
        <w:t>运维管理及信息安全服务，帮助用户建立长远有效、和谐有序的</w:t>
      </w:r>
      <w:r>
        <w:rPr>
          <w:rFonts w:ascii="宋体" w:hAnsi="宋体" w:cs="宋体" w:eastAsia="宋体" w:hint="default"/>
          <w:spacing w:val="-2"/>
        </w:rPr>
        <w:t>IT</w:t>
      </w:r>
      <w:r>
        <w:rPr>
          <w:spacing w:val="-2"/>
        </w:rPr>
        <w:t>运营环境，从而</w:t>
      </w:r>
      <w:r>
        <w:rPr>
          <w:spacing w:val="-64"/>
        </w:rPr>
        <w:t> </w:t>
      </w:r>
      <w:r>
        <w:rPr>
          <w:spacing w:val="-64"/>
        </w:rPr>
      </w:r>
      <w:r>
        <w:rPr/>
        <w:t>节约运维成本、提升服务效能、实现业务价值。经过多年的努力和积淀，东华网智系列产品已在政府、金融、通讯、电力、</w:t>
      </w:r>
      <w:r>
        <w:rPr>
          <w:spacing w:val="-83"/>
        </w:rPr>
        <w:t> </w:t>
      </w:r>
      <w:r>
        <w:rPr>
          <w:spacing w:val="-83"/>
        </w:rPr>
      </w:r>
      <w:r>
        <w:rPr/>
        <w:t>石油、石化、医疗、军工、交通、科研等行业成功应用，深受用户和市场好评。</w:t>
      </w:r>
      <w:r>
        <w:rPr>
          <w:rFonts w:ascii="宋体" w:hAnsi="宋体" w:cs="宋体" w:eastAsia="宋体" w:hint="default"/>
        </w:rPr>
        <w:t>2015</w:t>
      </w:r>
      <w:r>
        <w:rPr/>
        <w:t>年，伴随着云计算、大数据大潮来袭，</w:t>
      </w:r>
      <w:r>
        <w:rPr>
          <w:spacing w:val="-83"/>
        </w:rPr>
        <w:t> </w:t>
      </w:r>
      <w:r>
        <w:rPr>
          <w:spacing w:val="-83"/>
        </w:rPr>
      </w:r>
      <w:r>
        <w:rPr/>
        <w:t>东华网智推出全系列云管理和智能运维解决方案，提供云时代的</w:t>
      </w:r>
      <w:r>
        <w:rPr>
          <w:rFonts w:ascii="宋体" w:hAnsi="宋体" w:cs="宋体" w:eastAsia="宋体" w:hint="default"/>
        </w:rPr>
        <w:t>IT</w:t>
      </w:r>
      <w:r>
        <w:rPr/>
        <w:t>服务管理。</w:t>
      </w:r>
    </w:p>
    <w:p>
      <w:pPr>
        <w:pStyle w:val="BodyText"/>
        <w:spacing w:line="432" w:lineRule="exact" w:before="3"/>
        <w:ind w:left="513" w:right="94"/>
        <w:jc w:val="left"/>
      </w:pPr>
      <w:r>
        <w:rPr>
          <w:rFonts w:ascii="宋体" w:hAnsi="宋体" w:cs="宋体" w:eastAsia="宋体" w:hint="default"/>
          <w:b/>
          <w:bCs/>
        </w:rPr>
        <w:t>医疗软件：</w:t>
      </w:r>
      <w:r>
        <w:rPr>
          <w:rFonts w:ascii="宋体" w:hAnsi="宋体" w:cs="宋体" w:eastAsia="宋体" w:hint="default"/>
          <w:b/>
          <w:bCs/>
          <w:w w:val="99"/>
        </w:rPr>
        <w:t> </w:t>
      </w:r>
      <w:r>
        <w:rPr>
          <w:rFonts w:ascii="宋体" w:hAnsi="宋体" w:cs="宋体" w:eastAsia="宋体" w:hint="default"/>
          <w:spacing w:val="-2"/>
        </w:rPr>
        <w:t>2015</w:t>
      </w:r>
      <w:r>
        <w:rPr>
          <w:spacing w:val="-2"/>
        </w:rPr>
        <w:t>年公司推出</w:t>
      </w:r>
      <w:r>
        <w:rPr>
          <w:rFonts w:ascii="宋体" w:hAnsi="宋体" w:cs="宋体" w:eastAsia="宋体" w:hint="default"/>
          <w:spacing w:val="-2"/>
        </w:rPr>
        <w:t>DRGs</w:t>
      </w:r>
      <w:r>
        <w:rPr>
          <w:spacing w:val="-2"/>
        </w:rPr>
        <w:t>医疗服务监测与分析系统，支持多机构、多中心、云模式的新版检验系统，血液净化系统，临床药</w:t>
      </w:r>
    </w:p>
    <w:p>
      <w:pPr>
        <w:pStyle w:val="BodyText"/>
        <w:spacing w:line="316" w:lineRule="auto" w:before="16"/>
        <w:ind w:right="94"/>
        <w:jc w:val="left"/>
      </w:pPr>
      <w:r>
        <w:rPr>
          <w:spacing w:val="-2"/>
        </w:rPr>
        <w:t>师服务平台等十几项新产品。国家卫计委等有关部门高度重视东华软件的</w:t>
      </w:r>
      <w:r>
        <w:rPr>
          <w:rFonts w:ascii="宋体" w:hAnsi="宋体" w:cs="宋体" w:eastAsia="宋体" w:hint="default"/>
          <w:spacing w:val="-2"/>
        </w:rPr>
        <w:t>DRGs</w:t>
      </w:r>
      <w:r>
        <w:rPr>
          <w:spacing w:val="-2"/>
        </w:rPr>
        <w:t>医疗服务监测与分析系统，现已在首都医科大</w:t>
      </w:r>
      <w:r>
        <w:rPr>
          <w:spacing w:val="-61"/>
        </w:rPr>
        <w:t> </w:t>
      </w:r>
      <w:r>
        <w:rPr>
          <w:spacing w:val="-61"/>
        </w:rPr>
      </w:r>
      <w:r>
        <w:rPr/>
        <w:t>学附属北京安贞医院、北京</w:t>
      </w:r>
      <w:r>
        <w:rPr>
          <w:rFonts w:ascii="宋体" w:hAnsi="宋体" w:cs="宋体" w:eastAsia="宋体" w:hint="default"/>
        </w:rPr>
        <w:t>301</w:t>
      </w:r>
      <w:r>
        <w:rPr/>
        <w:t>医院等多家医院推广实施中。</w:t>
      </w:r>
    </w:p>
    <w:p>
      <w:pPr>
        <w:pStyle w:val="BodyText"/>
        <w:spacing w:line="316" w:lineRule="auto" w:before="139"/>
        <w:ind w:right="189" w:firstLine="360"/>
        <w:jc w:val="both"/>
      </w:pPr>
      <w:r>
        <w:rPr>
          <w:spacing w:val="-5"/>
        </w:rPr>
        <w:t>在医院信息化方面，基于数据驱动业务的新一代数字化医院解决方案</w:t>
      </w:r>
      <w:r>
        <w:rPr>
          <w:rFonts w:ascii="宋体" w:hAnsi="宋体" w:cs="宋体" w:eastAsia="宋体" w:hint="default"/>
          <w:spacing w:val="-5"/>
        </w:rPr>
        <w:t>iMedical8.0P</w:t>
      </w:r>
      <w:r>
        <w:rPr>
          <w:spacing w:val="-5"/>
        </w:rPr>
        <w:t>新开发了临床科主任、护士长、院长、</w:t>
      </w:r>
      <w:r>
        <w:rPr/>
        <w:t> </w:t>
      </w:r>
      <w:r>
        <w:rPr>
          <w:spacing w:val="-2"/>
        </w:rPr>
        <w:t>门诊部等新的角色功能，以及治疗科室医生工作站系统、临床知识库系统、消息管理平台、不良事件管理系统等子系统；新</w:t>
      </w:r>
      <w:r>
        <w:rPr>
          <w:spacing w:val="-67"/>
        </w:rPr>
        <w:t> </w:t>
      </w:r>
      <w:r>
        <w:rPr>
          <w:spacing w:val="-67"/>
        </w:rPr>
      </w:r>
      <w:r>
        <w:rPr>
          <w:spacing w:val="-2"/>
        </w:rPr>
        <w:t>版医院信息平台（临床数据中心）在多家医院上线，其中北京协和医院、宁医附院、青院附院、华西二院等医院信息平台项</w:t>
      </w:r>
      <w:r>
        <w:rPr>
          <w:spacing w:val="-68"/>
        </w:rPr>
        <w:t> </w:t>
      </w:r>
      <w:r>
        <w:rPr>
          <w:spacing w:val="-68"/>
        </w:rPr>
      </w:r>
      <w:r>
        <w:rPr>
          <w:spacing w:val="-2"/>
        </w:rPr>
        <w:t>目顺利通过了国家卫计委的互联互通成熟度评测。新研发的医院财务业务监审一体化平台、医疗管理绩效考核系统也已试运</w:t>
      </w:r>
      <w:r>
        <w:rPr>
          <w:spacing w:val="-64"/>
        </w:rPr>
        <w:t> </w:t>
      </w:r>
      <w:r>
        <w:rPr>
          <w:spacing w:val="-64"/>
        </w:rPr>
      </w:r>
      <w:r>
        <w:rPr/>
        <w:t>行。</w:t>
      </w:r>
    </w:p>
    <w:p>
      <w:pPr>
        <w:pStyle w:val="BodyText"/>
        <w:spacing w:line="316" w:lineRule="auto" w:before="139"/>
        <w:ind w:right="184" w:firstLine="360"/>
        <w:jc w:val="left"/>
      </w:pPr>
      <w:r>
        <w:rPr/>
        <w:t>在互联网及移动医疗方面，移动医生站</w:t>
      </w:r>
      <w:r>
        <w:rPr>
          <w:rFonts w:ascii="宋体" w:hAnsi="宋体" w:cs="宋体" w:eastAsia="宋体" w:hint="default"/>
        </w:rPr>
        <w:t>App</w:t>
      </w:r>
      <w:r>
        <w:rPr/>
        <w:t>、掌上医院</w:t>
      </w:r>
      <w:r>
        <w:rPr>
          <w:rFonts w:ascii="宋体" w:hAnsi="宋体" w:cs="宋体" w:eastAsia="宋体" w:hint="default"/>
        </w:rPr>
        <w:t>App</w:t>
      </w:r>
      <w:r>
        <w:rPr/>
        <w:t>、科研随访系统</w:t>
      </w:r>
      <w:r>
        <w:rPr>
          <w:rFonts w:ascii="宋体" w:hAnsi="宋体" w:cs="宋体" w:eastAsia="宋体" w:hint="default"/>
        </w:rPr>
        <w:t>App</w:t>
      </w:r>
      <w:r>
        <w:rPr/>
        <w:t>、面向医生多点执业的云诊所等多个产品 在多家医疗机构上线运行，产品的功能得到不断完善。</w:t>
      </w:r>
    </w:p>
    <w:p>
      <w:pPr>
        <w:pStyle w:val="BodyText"/>
        <w:spacing w:line="319" w:lineRule="auto" w:before="139"/>
        <w:ind w:right="191" w:firstLine="360"/>
        <w:jc w:val="both"/>
      </w:pPr>
      <w:r>
        <w:rPr>
          <w:spacing w:val="-2"/>
        </w:rPr>
        <w:t>在区域卫生信息化方面，国家健康卡管理平台建设项目</w:t>
      </w:r>
      <w:r>
        <w:rPr>
          <w:rFonts w:ascii="宋体" w:hAnsi="宋体" w:cs="宋体" w:eastAsia="宋体" w:hint="default"/>
          <w:spacing w:val="-2"/>
        </w:rPr>
        <w:t>(</w:t>
      </w:r>
      <w:r>
        <w:rPr>
          <w:spacing w:val="-2"/>
        </w:rPr>
        <w:t>二期</w:t>
      </w:r>
      <w:r>
        <w:rPr>
          <w:rFonts w:ascii="宋体" w:hAnsi="宋体" w:cs="宋体" w:eastAsia="宋体" w:hint="default"/>
          <w:spacing w:val="-2"/>
        </w:rPr>
        <w:t>)</w:t>
      </w:r>
      <w:r>
        <w:rPr>
          <w:spacing w:val="-2"/>
        </w:rPr>
        <w:t>通过了国家卫计委的验收；北京海淀区域卫生信息平台及</w:t>
      </w:r>
      <w:r>
        <w:rPr/>
        <w:t> </w:t>
      </w:r>
      <w:r>
        <w:rPr>
          <w:spacing w:val="-2"/>
        </w:rPr>
        <w:t>公共卫生信息平台项目、衢州市区域平台项目、衢州市分级诊疗平台项目、南通市卫计委医院信息平台项目、广东省干部保</w:t>
      </w:r>
      <w:r>
        <w:rPr>
          <w:spacing w:val="-65"/>
        </w:rPr>
        <w:t> </w:t>
      </w:r>
      <w:r>
        <w:rPr>
          <w:spacing w:val="-65"/>
        </w:rPr>
      </w:r>
      <w:r>
        <w:rPr>
          <w:spacing w:val="-2"/>
        </w:rPr>
        <w:t>健系统项目均已通过验收。深圳宝安区域卫生平台、合肥市区域卫生平台、南通市区域卫生平台、南阳市基层医疗平台等项</w:t>
      </w:r>
      <w:r>
        <w:rPr>
          <w:spacing w:val="-65"/>
        </w:rPr>
        <w:t> </w:t>
      </w:r>
      <w:r>
        <w:rPr>
          <w:spacing w:val="-65"/>
        </w:rPr>
      </w:r>
      <w:r>
        <w:rPr>
          <w:spacing w:val="-2"/>
        </w:rPr>
        <w:t>目已上线运行；基于</w:t>
      </w:r>
      <w:r>
        <w:rPr>
          <w:rFonts w:ascii="宋体" w:hAnsi="宋体" w:cs="宋体" w:eastAsia="宋体" w:hint="default"/>
          <w:spacing w:val="-2"/>
        </w:rPr>
        <w:t>DRGs</w:t>
      </w:r>
      <w:r>
        <w:rPr>
          <w:spacing w:val="-2"/>
        </w:rPr>
        <w:t>研发的区域卫生绩效评价系统及区域医保控费系统也在中国中医科学院、上海嘉定、深圳市、北京</w:t>
      </w:r>
      <w:r>
        <w:rPr>
          <w:spacing w:val="-63"/>
        </w:rPr>
        <w:t> </w:t>
      </w:r>
      <w:r>
        <w:rPr>
          <w:spacing w:val="-63"/>
        </w:rPr>
      </w:r>
      <w:r>
        <w:rPr/>
        <w:t>新农合运行。</w:t>
      </w:r>
    </w:p>
    <w:p>
      <w:pPr>
        <w:pStyle w:val="BodyText"/>
        <w:spacing w:line="316" w:lineRule="auto" w:before="137"/>
        <w:ind w:right="94" w:firstLine="360"/>
        <w:jc w:val="left"/>
      </w:pPr>
      <w:r>
        <w:rPr>
          <w:rFonts w:ascii="宋体" w:hAnsi="宋体" w:cs="宋体" w:eastAsia="宋体" w:hint="default"/>
          <w:spacing w:val="-2"/>
        </w:rPr>
        <w:t>2016</w:t>
      </w:r>
      <w:r>
        <w:rPr>
          <w:spacing w:val="-2"/>
        </w:rPr>
        <w:t>年公司在医疗卫生信息化产品研发方面将继续通过信息门户整合业务系统，聚焦业务关键信息，实现数据驱动流程</w:t>
      </w:r>
      <w:r>
        <w:rPr/>
        <w:t> 的工作模式，为用户提供崭新的用户体验；建立以</w:t>
      </w:r>
      <w:r>
        <w:rPr>
          <w:rFonts w:ascii="宋体" w:hAnsi="宋体" w:cs="宋体" w:eastAsia="宋体" w:hint="default"/>
        </w:rPr>
        <w:t>CDR</w:t>
      </w:r>
      <w:r>
        <w:rPr/>
        <w:t>为核心的数据中心，通过信息驱动创新，为用户提供更多的信息服务</w:t>
      </w:r>
      <w:r>
        <w:rPr>
          <w:spacing w:val="-84"/>
        </w:rPr>
        <w:t> </w:t>
      </w:r>
      <w:r>
        <w:rPr>
          <w:spacing w:val="-84"/>
        </w:rPr>
      </w:r>
      <w:r>
        <w:rPr>
          <w:spacing w:val="-2"/>
        </w:rPr>
        <w:t>的技术路线，推出一系列更新产品及新产品，如区域</w:t>
      </w:r>
      <w:r>
        <w:rPr>
          <w:rFonts w:ascii="宋体" w:hAnsi="宋体" w:cs="宋体" w:eastAsia="宋体" w:hint="default"/>
          <w:spacing w:val="-2"/>
        </w:rPr>
        <w:t>PACS</w:t>
      </w:r>
      <w:r>
        <w:rPr>
          <w:spacing w:val="-2"/>
        </w:rPr>
        <w:t>系统、新版急诊科管理系统、护理病历管理系统、电子病历质控系</w:t>
      </w:r>
      <w:r>
        <w:rPr>
          <w:spacing w:val="-65"/>
        </w:rPr>
        <w:t> </w:t>
      </w:r>
      <w:r>
        <w:rPr>
          <w:spacing w:val="-65"/>
        </w:rPr>
      </w:r>
      <w:r>
        <w:rPr>
          <w:spacing w:val="-2"/>
        </w:rPr>
        <w:t>统等；继续推进临床科研与电子病历一体化系统、单病种临床过程质量监测系统、多中心临床科研平台、基于</w:t>
      </w:r>
      <w:r>
        <w:rPr>
          <w:rFonts w:ascii="宋体" w:hAnsi="宋体" w:cs="宋体" w:eastAsia="宋体" w:hint="default"/>
          <w:spacing w:val="-2"/>
        </w:rPr>
        <w:t>DRGs</w:t>
      </w:r>
      <w:r>
        <w:rPr>
          <w:spacing w:val="-2"/>
        </w:rPr>
        <w:t>的医疗绩</w:t>
      </w:r>
      <w:r>
        <w:rPr>
          <w:spacing w:val="-60"/>
        </w:rPr>
        <w:t> </w:t>
      </w:r>
      <w:r>
        <w:rPr>
          <w:spacing w:val="-60"/>
        </w:rPr>
      </w:r>
      <w:r>
        <w:rPr/>
        <w:t>效评价和医保控费、区域分级诊疗系统、医院数据中心数据质量管理系统、区域数据中心数据质量管理系统等新产品研发；</w:t>
      </w:r>
      <w:r>
        <w:rPr>
          <w:spacing w:val="-83"/>
        </w:rPr>
        <w:t> </w:t>
      </w:r>
      <w:r>
        <w:rPr>
          <w:spacing w:val="-83"/>
        </w:rPr>
      </w:r>
      <w:r>
        <w:rPr>
          <w:spacing w:val="-2"/>
        </w:rPr>
        <w:t>继续完善区域数据中心、临床数据中心（</w:t>
      </w:r>
      <w:r>
        <w:rPr>
          <w:rFonts w:ascii="宋体" w:hAnsi="宋体" w:cs="宋体" w:eastAsia="宋体" w:hint="default"/>
          <w:spacing w:val="-2"/>
        </w:rPr>
        <w:t>CDR</w:t>
      </w:r>
      <w:r>
        <w:rPr>
          <w:spacing w:val="-2"/>
        </w:rPr>
        <w:t>）、统一数据仓库（</w:t>
      </w:r>
      <w:r>
        <w:rPr>
          <w:rFonts w:ascii="宋体" w:hAnsi="宋体" w:cs="宋体" w:eastAsia="宋体" w:hint="default"/>
          <w:spacing w:val="-2"/>
        </w:rPr>
        <w:t>EDW</w:t>
      </w:r>
      <w:r>
        <w:rPr>
          <w:spacing w:val="-2"/>
        </w:rPr>
        <w:t>）的建设；开展基于互联网技术、大数据技术、认知计</w:t>
      </w:r>
      <w:r>
        <w:rPr>
          <w:spacing w:val="-67"/>
        </w:rPr>
        <w:t> </w:t>
      </w:r>
      <w:r>
        <w:rPr>
          <w:spacing w:val="-67"/>
        </w:rPr>
      </w:r>
      <w:r>
        <w:rPr/>
        <w:t>算技术的智能医疗、智能科研等产品及应用的研究和探索。</w:t>
      </w:r>
    </w:p>
    <w:p>
      <w:pPr>
        <w:pStyle w:val="BodyText"/>
        <w:spacing w:line="432" w:lineRule="exact" w:before="3"/>
        <w:ind w:left="513" w:right="94"/>
        <w:jc w:val="left"/>
      </w:pPr>
      <w:r>
        <w:rPr>
          <w:rFonts w:ascii="宋体" w:hAnsi="宋体" w:cs="宋体" w:eastAsia="宋体" w:hint="default"/>
          <w:b/>
          <w:bCs/>
        </w:rPr>
        <w:t>金融软件：</w:t>
      </w:r>
      <w:r>
        <w:rPr>
          <w:rFonts w:ascii="宋体" w:hAnsi="宋体" w:cs="宋体" w:eastAsia="宋体" w:hint="default"/>
          <w:b/>
          <w:bCs/>
          <w:w w:val="99"/>
        </w:rPr>
        <w:t> </w:t>
      </w:r>
      <w:r>
        <w:rPr>
          <w:spacing w:val="-2"/>
        </w:rPr>
        <w:t>公司在</w:t>
      </w:r>
      <w:r>
        <w:rPr>
          <w:rFonts w:ascii="宋体" w:hAnsi="宋体" w:cs="宋体" w:eastAsia="宋体" w:hint="default"/>
          <w:spacing w:val="-2"/>
        </w:rPr>
        <w:t>2015</w:t>
      </w:r>
      <w:r>
        <w:rPr>
          <w:spacing w:val="-2"/>
        </w:rPr>
        <w:t>年研发了新版本征信报送系统，高配置化的模块设计，全方位监管业务数据，提高数据上报率、正确率，提</w:t>
      </w:r>
    </w:p>
    <w:p>
      <w:pPr>
        <w:pStyle w:val="BodyText"/>
        <w:spacing w:line="316" w:lineRule="auto" w:before="15"/>
        <w:ind w:right="94"/>
        <w:jc w:val="left"/>
      </w:pPr>
      <w:r>
        <w:rPr/>
        <w:t>升人行考核成绩，有效治理错误数据，实现办公自动化、智能化。新版本系统已经在南充市商业银行、甘肃省农村信用社、</w:t>
      </w:r>
      <w:r>
        <w:rPr>
          <w:spacing w:val="-83"/>
        </w:rPr>
        <w:t> </w:t>
      </w:r>
      <w:r>
        <w:rPr>
          <w:spacing w:val="-83"/>
        </w:rPr>
      </w:r>
      <w:r>
        <w:rPr>
          <w:spacing w:val="-2"/>
        </w:rPr>
        <w:t>泸州市商业银行等多家金融机构顺利实施。针对征信查询方面，公司开发了征信查询前置管理系统，前置系统通过帐号与人</w:t>
      </w:r>
      <w:r>
        <w:rPr>
          <w:spacing w:val="-63"/>
        </w:rPr>
        <w:t> </w:t>
      </w:r>
      <w:r>
        <w:rPr>
          <w:spacing w:val="-63"/>
        </w:rPr>
      </w:r>
      <w:r>
        <w:rPr>
          <w:spacing w:val="-2"/>
        </w:rPr>
        <w:t>行征信系统帐号对接打印信用报告。目前该系统在宜宾市商业银行、乐山市商业银行、四川省农村信用社等多家金融机构成</w:t>
      </w:r>
      <w:r>
        <w:rPr>
          <w:spacing w:val="-65"/>
        </w:rPr>
        <w:t> </w:t>
      </w:r>
      <w:r>
        <w:rPr>
          <w:spacing w:val="-65"/>
        </w:rPr>
      </w:r>
      <w:r>
        <w:rPr/>
        <w:t>功上线运行。</w:t>
      </w:r>
    </w:p>
    <w:p>
      <w:pPr>
        <w:pStyle w:val="BodyText"/>
        <w:spacing w:line="316" w:lineRule="auto" w:before="138"/>
        <w:ind w:right="189" w:firstLine="360"/>
        <w:jc w:val="left"/>
      </w:pPr>
      <w:r>
        <w:rPr>
          <w:spacing w:val="-2"/>
        </w:rPr>
        <w:t>在融资租赁业务方面，公司自主研发的融资租赁业务系统，功能涵盖客户管理、信用管理、流程管理、业务办理、资金</w:t>
      </w:r>
      <w:r>
        <w:rPr/>
        <w:t> </w:t>
      </w:r>
      <w:r>
        <w:rPr>
          <w:spacing w:val="-5"/>
        </w:rPr>
        <w:t>管理、财务管理、财务核算、统计分析、风险管理、接口管理等全过程信息管理，为融资租赁公司对业务管理提供有力保障。</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3"/>
        <w:jc w:val="both"/>
      </w:pPr>
      <w:r>
        <w:rPr>
          <w:spacing w:val="-2"/>
        </w:rPr>
        <w:t>系统支持经销商合作机构提报业务，电子签章合同，与第三方征信接口、财务系统接口等便于融资租赁公司业务快速开展的</w:t>
      </w:r>
      <w:r>
        <w:rPr>
          <w:spacing w:val="-66"/>
        </w:rPr>
        <w:t> </w:t>
      </w:r>
      <w:r>
        <w:rPr>
          <w:spacing w:val="-66"/>
        </w:rPr>
      </w:r>
      <w:r>
        <w:rPr/>
        <w:t>功能。</w:t>
      </w:r>
    </w:p>
    <w:p>
      <w:pPr>
        <w:pStyle w:val="BodyText"/>
        <w:spacing w:line="316" w:lineRule="auto" w:before="137"/>
        <w:ind w:right="94" w:firstLine="360"/>
        <w:jc w:val="left"/>
      </w:pPr>
      <w:r>
        <w:rPr/>
        <w:t>在移动端应用方面，公司自主研发的移动营销平台，功能涵盖产品营销、业务受理、贷后管理、客户管理、营销支持、 </w:t>
      </w:r>
      <w:r>
        <w:rPr>
          <w:spacing w:val="-2"/>
        </w:rPr>
        <w:t>业务支持等全方位信息收集与管理，通过引入移动、互联网等信息技术手段来提升工作效率、加强风险控制、促进营销模式</w:t>
      </w:r>
      <w:r>
        <w:rPr>
          <w:spacing w:val="-66"/>
        </w:rPr>
        <w:t> </w:t>
      </w:r>
      <w:r>
        <w:rPr>
          <w:spacing w:val="-66"/>
        </w:rPr>
      </w:r>
      <w:r>
        <w:rPr/>
        <w:t>的转变，同时优化业务流程，完善信息积累，提升客户体验，提高小微业务的核心竞争力。系统在研发过程中与核心系统、</w:t>
      </w:r>
      <w:r>
        <w:rPr>
          <w:spacing w:val="-83"/>
        </w:rPr>
        <w:t> </w:t>
      </w:r>
      <w:r>
        <w:rPr>
          <w:spacing w:val="-83"/>
        </w:rPr>
      </w:r>
      <w:r>
        <w:rPr/>
        <w:t>第三方征信系统、短信平台、身份联网核查、</w:t>
      </w:r>
      <w:r>
        <w:rPr>
          <w:rFonts w:ascii="宋体" w:hAnsi="宋体" w:cs="宋体" w:eastAsia="宋体" w:hint="default"/>
        </w:rPr>
        <w:t>OCR</w:t>
      </w:r>
      <w:r>
        <w:rPr/>
        <w:t>等第三方系统实现非常好的对接，方便客户经理业务营销与业务办理。</w:t>
      </w:r>
    </w:p>
    <w:p>
      <w:pPr>
        <w:pStyle w:val="BodyText"/>
        <w:spacing w:line="316" w:lineRule="auto" w:before="139"/>
        <w:ind w:right="94" w:firstLine="360"/>
        <w:jc w:val="left"/>
      </w:pPr>
      <w:r>
        <w:rPr>
          <w:spacing w:val="-2"/>
        </w:rPr>
        <w:t>东华软件自主研发的移动管理平台，旨在为服务高管层经营决策，将机构、员工相关信息、数据根据特定的策略通过多</w:t>
      </w:r>
      <w:r>
        <w:rPr/>
        <w:t> </w:t>
      </w:r>
      <w:r>
        <w:rPr>
          <w:spacing w:val="-2"/>
        </w:rPr>
        <w:t>维度进行数据的统计与分析，对数据进行加工并以图文、报表的形式更形象地在移动设备端展示数据，帮助管理层进行准确</w:t>
      </w:r>
      <w:r>
        <w:rPr>
          <w:spacing w:val="-63"/>
        </w:rPr>
        <w:t> </w:t>
      </w:r>
      <w:r>
        <w:rPr>
          <w:spacing w:val="-63"/>
        </w:rPr>
      </w:r>
      <w:r>
        <w:rPr>
          <w:spacing w:val="-2"/>
        </w:rPr>
        <w:t>的定位与决策，为企业更好的发展提供数据支持。平台功能涵盖业务发展视图、业务营销全景视图、客户分布视图、业务审</w:t>
      </w:r>
      <w:r>
        <w:rPr>
          <w:spacing w:val="-67"/>
        </w:rPr>
        <w:t> </w:t>
      </w:r>
      <w:r>
        <w:rPr>
          <w:spacing w:val="-67"/>
        </w:rPr>
      </w:r>
      <w:r>
        <w:rPr/>
        <w:t>批、业务营销全景视图、客户结构等分析视图，便于用户了解当前所有机构的概况，并对机构和客户经理的绩效进行分析，</w:t>
      </w:r>
      <w:r>
        <w:rPr>
          <w:spacing w:val="-83"/>
        </w:rPr>
        <w:t> </w:t>
      </w:r>
      <w:r>
        <w:rPr>
          <w:spacing w:val="-83"/>
        </w:rPr>
      </w:r>
      <w:r>
        <w:rPr/>
        <w:t>针对贷款、风险贷款、客户的不同维度、担保、产品、业务的不同维度进行深入分析，进行全方位的详细掌控。</w:t>
      </w:r>
    </w:p>
    <w:p>
      <w:pPr>
        <w:pStyle w:val="BodyText"/>
        <w:spacing w:line="432" w:lineRule="exact" w:before="3"/>
        <w:ind w:left="513" w:right="94"/>
        <w:jc w:val="left"/>
      </w:pPr>
      <w:r>
        <w:rPr>
          <w:rFonts w:ascii="宋体" w:hAnsi="宋体" w:cs="宋体" w:eastAsia="宋体" w:hint="default"/>
          <w:b/>
          <w:bCs/>
        </w:rPr>
        <w:t>全面预算管理软件：</w:t>
      </w:r>
      <w:r>
        <w:rPr>
          <w:rFonts w:ascii="宋体" w:hAnsi="宋体" w:cs="宋体" w:eastAsia="宋体" w:hint="default"/>
          <w:b/>
          <w:bCs/>
          <w:w w:val="99"/>
        </w:rPr>
        <w:t> </w:t>
      </w:r>
      <w:r>
        <w:rPr>
          <w:rFonts w:ascii="宋体" w:hAnsi="宋体" w:cs="宋体" w:eastAsia="宋体" w:hint="default"/>
          <w:spacing w:val="-2"/>
        </w:rPr>
        <w:t>2015</w:t>
      </w:r>
      <w:r>
        <w:rPr>
          <w:spacing w:val="-2"/>
        </w:rPr>
        <w:t>年，厚盾继续以全面预算管理产品为核心，围绕企业风险及内部控制的产品进行深入开发，保持行业领先地位。实</w:t>
      </w:r>
    </w:p>
    <w:p>
      <w:pPr>
        <w:pStyle w:val="BodyText"/>
        <w:spacing w:line="316" w:lineRule="auto" w:before="15"/>
        <w:ind w:right="191"/>
        <w:jc w:val="both"/>
      </w:pPr>
      <w:r>
        <w:rPr>
          <w:spacing w:val="-5"/>
        </w:rPr>
        <w:t>现优势行业纵向扩张，在项目驱动型企业中，公司连续签约航天科工某院、中交一公院、电力规划总院、东北电力设计院等；</w:t>
      </w:r>
      <w:r>
        <w:rPr>
          <w:spacing w:val="-79"/>
        </w:rPr>
        <w:t> </w:t>
      </w:r>
      <w:r>
        <w:rPr>
          <w:spacing w:val="-79"/>
        </w:rPr>
      </w:r>
      <w:r>
        <w:rPr>
          <w:spacing w:val="-2"/>
        </w:rPr>
        <w:t>在城投类企业中陆续签约首发集团、扬子国投等客户；在煤炭领域新签冀中能源邢矿集团、山东新矿集团、内蒙古太西煤集</w:t>
      </w:r>
      <w:r>
        <w:rPr>
          <w:spacing w:val="-66"/>
        </w:rPr>
        <w:t> </w:t>
      </w:r>
      <w:r>
        <w:rPr>
          <w:spacing w:val="-66"/>
        </w:rPr>
      </w:r>
      <w:r>
        <w:rPr>
          <w:spacing w:val="-2"/>
        </w:rPr>
        <w:t>团，金融领域牵手山东再担保集团、同时实现了目标行业横向拓展，成功切入烟草、高校等目标领域，签约江苏中烟、首都</w:t>
      </w:r>
      <w:r>
        <w:rPr>
          <w:spacing w:val="-68"/>
        </w:rPr>
        <w:t> </w:t>
      </w:r>
      <w:r>
        <w:rPr>
          <w:spacing w:val="-68"/>
        </w:rPr>
      </w:r>
      <w:r>
        <w:rPr>
          <w:spacing w:val="-2"/>
        </w:rPr>
        <w:t>师范大学；继续引导和挖掘老客户新的应用需求，启动南方航空、中联重科、南京城投、华北电力设计院、中国电工、西南</w:t>
      </w:r>
      <w:r>
        <w:rPr>
          <w:spacing w:val="-73"/>
        </w:rPr>
        <w:t> </w:t>
      </w:r>
      <w:r>
        <w:rPr>
          <w:spacing w:val="-73"/>
        </w:rPr>
      </w:r>
      <w:r>
        <w:rPr>
          <w:spacing w:val="-2"/>
        </w:rPr>
        <w:t>电力设计院、华东电力设计院、中冶海外等客户后期深化建设项目。在国家鼓励双创、推进供给侧改革的背景下，公司积极</w:t>
      </w:r>
      <w:r>
        <w:rPr>
          <w:spacing w:val="-67"/>
        </w:rPr>
        <w:t> </w:t>
      </w:r>
      <w:r>
        <w:rPr>
          <w:spacing w:val="-67"/>
        </w:rPr>
      </w:r>
      <w:r>
        <w:rPr>
          <w:spacing w:val="-5"/>
        </w:rPr>
        <w:t>延伸渠道拓展能力，针对信息化管理欠缺、预算有限的企业，适时推出基于</w:t>
      </w:r>
      <w:r>
        <w:rPr>
          <w:rFonts w:ascii="宋体" w:hAnsi="宋体" w:cs="宋体" w:eastAsia="宋体" w:hint="default"/>
          <w:spacing w:val="-5"/>
        </w:rPr>
        <w:t>Sass</w:t>
      </w:r>
      <w:r>
        <w:rPr>
          <w:spacing w:val="-5"/>
        </w:rPr>
        <w:t>应用模式的经营管控云平台、移动应用产品。</w:t>
      </w:r>
      <w:r>
        <w:rPr>
          <w:spacing w:val="-69"/>
        </w:rPr>
        <w:t> </w:t>
      </w:r>
      <w:r>
        <w:rPr>
          <w:spacing w:val="-69"/>
        </w:rPr>
      </w:r>
      <w:r>
        <w:rPr/>
        <w:t>截至报告期末，公司已与多家企业达成合作意向，搭建</w:t>
      </w:r>
      <w:r>
        <w:rPr>
          <w:rFonts w:ascii="宋体" w:hAnsi="宋体" w:cs="宋体" w:eastAsia="宋体" w:hint="default"/>
        </w:rPr>
        <w:t>O2O</w:t>
      </w:r>
      <w:r>
        <w:rPr/>
        <w:t>生态链，帮助企业提升传统比较优势、加快培育新的发展动能。</w:t>
      </w:r>
    </w:p>
    <w:p>
      <w:pPr>
        <w:pStyle w:val="BodyText"/>
        <w:spacing w:line="432" w:lineRule="exact" w:before="3"/>
        <w:ind w:left="513" w:right="94"/>
        <w:jc w:val="left"/>
      </w:pPr>
      <w:r>
        <w:rPr>
          <w:rFonts w:ascii="宋体" w:hAnsi="宋体" w:cs="宋体" w:eastAsia="宋体" w:hint="default"/>
          <w:b/>
          <w:bCs/>
        </w:rPr>
        <w:t>风电机组振动监测系统：</w:t>
      </w:r>
      <w:r>
        <w:rPr>
          <w:rFonts w:ascii="宋体" w:hAnsi="宋体" w:cs="宋体" w:eastAsia="宋体" w:hint="default"/>
          <w:b/>
          <w:bCs/>
          <w:w w:val="99"/>
        </w:rPr>
        <w:t> </w:t>
      </w:r>
      <w:r>
        <w:rPr>
          <w:spacing w:val="-2"/>
        </w:rPr>
        <w:t>北京威锐达测控系统有限公司产品和服务立足风电行业，在优化和完善已有风电机组振动监测系统的同时积极开发新产</w:t>
      </w:r>
    </w:p>
    <w:p>
      <w:pPr>
        <w:pStyle w:val="BodyText"/>
        <w:spacing w:line="319" w:lineRule="auto" w:before="15"/>
        <w:ind w:right="193"/>
        <w:jc w:val="both"/>
      </w:pPr>
      <w:r>
        <w:rPr>
          <w:spacing w:val="-2"/>
        </w:rPr>
        <w:t>品。</w:t>
      </w:r>
      <w:r>
        <w:rPr>
          <w:rFonts w:ascii="宋体" w:hAnsi="宋体" w:cs="宋体" w:eastAsia="宋体" w:hint="default"/>
          <w:spacing w:val="-2"/>
        </w:rPr>
        <w:t>2015</w:t>
      </w:r>
      <w:r>
        <w:rPr>
          <w:spacing w:val="-2"/>
        </w:rPr>
        <w:t>年，先后参与了浙江运达、北京博风慧能、东方电气、上海电气、国华能源投资、重庆海装、北京京城新能源、广</w:t>
      </w:r>
      <w:r>
        <w:rPr>
          <w:spacing w:val="-68"/>
        </w:rPr>
        <w:t> </w:t>
      </w:r>
      <w:r>
        <w:rPr>
          <w:spacing w:val="-68"/>
        </w:rPr>
      </w:r>
      <w:r>
        <w:rPr>
          <w:spacing w:val="-2"/>
        </w:rPr>
        <w:t>东明阳、华能新能源、江阴远景、华电福新能源、国电电力、中车风电等风电机组的振动测量系统基建和改造项目，并为客</w:t>
      </w:r>
      <w:r>
        <w:rPr>
          <w:spacing w:val="-68"/>
        </w:rPr>
        <w:t> </w:t>
      </w:r>
      <w:r>
        <w:rPr>
          <w:spacing w:val="-68"/>
        </w:rPr>
      </w:r>
      <w:r>
        <w:rPr/>
        <w:t>户建立了远程监测中心，进一步加强了与客户之间的沟通联系。</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二、</w:t>
      </w:r>
      <w:r>
        <w:rPr>
          <w:spacing w:val="-94"/>
        </w:rPr>
        <w:t> </w:t>
      </w:r>
      <w:r>
        <w:rPr/>
        <w:t>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、概述</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3" w:right="94"/>
        <w:jc w:val="left"/>
      </w:pPr>
      <w:r>
        <w:rPr/>
        <w:t>参见“管理层讨论与分析”中的“一、概述”相关内容。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）营业收入构成</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6"/>
        <w:gridCol w:w="1594"/>
        <w:gridCol w:w="1583"/>
        <w:gridCol w:w="1607"/>
        <w:gridCol w:w="1570"/>
        <w:gridCol w:w="1606"/>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5"/>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104" w:right="0"/>
              <w:jc w:val="left"/>
              <w:rPr>
                <w:rFonts w:ascii="宋体" w:hAnsi="宋体" w:cs="宋体" w:eastAsia="宋体" w:hint="default"/>
                <w:sz w:val="18"/>
                <w:szCs w:val="18"/>
              </w:rPr>
            </w:pPr>
            <w:r>
              <w:rPr>
                <w:rFonts w:ascii="宋体"/>
                <w:sz w:val="18"/>
              </w:rPr>
              <w:t>5,629,416,583.02</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160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left="113" w:right="0"/>
              <w:jc w:val="left"/>
              <w:rPr>
                <w:rFonts w:ascii="宋体" w:hAnsi="宋体" w:cs="宋体" w:eastAsia="宋体" w:hint="default"/>
                <w:sz w:val="18"/>
                <w:szCs w:val="18"/>
              </w:rPr>
            </w:pPr>
            <w:r>
              <w:rPr>
                <w:rFonts w:ascii="宋体"/>
                <w:sz w:val="18"/>
              </w:rPr>
              <w:t>5,171,048,660.00</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宋体"/>
                <w:sz w:val="18"/>
              </w:rPr>
              <w:t>100%</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8.86%</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508,819,244.69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475,003,888.97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7.12%</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电力水利铁路交通 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814,080,152.01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774,547,753.77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138,083,320.42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131,216,095.29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5.23%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509,566,959.98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474,417,612.77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金融保险医保行业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2,812,854,039.84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2,601,940,559.55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266,854,409.70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250,929,281.75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143,663,397.29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133,063,027.79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383,222,619.49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329,716,202.32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52,272,439.60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214,237.79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24,299.26%</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2,833,171,906.52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2,966,259,074.14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-4.49%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781,747,620.71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924,294,516.44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-15.42%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1,234,637,511.80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1,065,247,675.88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15.90%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风电振动监测系统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130,190,339.54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103,570,259.59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25.70%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293,123,402.61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行业应用解决方案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128,852,179.29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弱电工程收入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175,421,182.95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111,462,896.16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57.38%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52,272,439.60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214,237.79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24,299.26%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336,642,516.41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318,593,727.62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3,240,559,920.82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2,993,791,050.42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795,378,935.07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14.26%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731,237,533.70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8.77%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201,964,298.76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184,807,162.26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266,601,301.34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249,256,532.60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370,384,891.02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350,314,655.35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365,612,280.00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342,833,760.26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52,272,439.60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214,237.79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24,299.26%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558"/>
        <w:gridCol w:w="1560"/>
        <w:gridCol w:w="931"/>
        <w:gridCol w:w="1366"/>
        <w:gridCol w:w="1369"/>
        <w:gridCol w:w="1370"/>
      </w:tblGrid>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1560"/>
        <w:gridCol w:w="931"/>
        <w:gridCol w:w="1366"/>
        <w:gridCol w:w="1369"/>
        <w:gridCol w:w="1370"/>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电力水利铁路交 通行业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814,080,152.01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524,084,078.01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-2.98%</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金融保险医保行 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2,812,854,039.84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1,851,488,528.64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-0.99%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2,833,171,906.52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2,398,199,973.09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1.21%</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781,747,620.71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200,121,236.14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-0.27%</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1,234,637,511.80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600,733,311.60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-7.13%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3,240,559,920.82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2,132,098,503.92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-1.82%</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795,378,935.07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525,289,233.02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-0.46%</w:t>
            </w:r>
          </w:p>
        </w:tc>
      </w:tr>
    </w:tbl>
    <w:p>
      <w:pPr>
        <w:pStyle w:val="BodyText"/>
        <w:spacing w:line="240" w:lineRule="auto" w:before="49"/>
        <w:ind w:right="153"/>
        <w:jc w:val="left"/>
      </w:pPr>
      <w:r>
        <w:rPr/>
        <w:t>公司主营业务数据统计口径在报告期发生调整的情况下，公司最近</w:t>
      </w:r>
      <w:r>
        <w:rPr>
          <w:spacing w:val="-46"/>
        </w:rPr>
        <w:t> </w:t>
      </w:r>
      <w:r>
        <w:rPr>
          <w:rFonts w:ascii="宋体" w:hAnsi="宋体" w:cs="宋体" w:eastAsia="宋体" w:hint="default"/>
        </w:rPr>
        <w:t>1</w:t>
      </w:r>
      <w:r>
        <w:rPr>
          <w:rFonts w:ascii="宋体" w:hAnsi="宋体" w:cs="宋体" w:eastAsia="宋体" w:hint="default"/>
          <w:spacing w:val="-46"/>
        </w:rPr>
        <w:t> </w:t>
      </w:r>
      <w:r>
        <w:rPr/>
        <w:t>年按报告期末口径调整后的主营业务数据</w:t>
      </w:r>
    </w:p>
    <w:p>
      <w:pPr>
        <w:pStyle w:val="BodyText"/>
        <w:spacing w:line="240" w:lineRule="auto" w:before="115"/>
        <w:ind w:right="153"/>
        <w:jc w:val="left"/>
      </w:pPr>
      <w:r>
        <w:rPr/>
        <w:t>□适用 √</w:t>
      </w:r>
      <w:r>
        <w:rPr>
          <w:spacing w:val="2"/>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行业和产品分类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042"/>
        <w:gridCol w:w="1702"/>
        <w:gridCol w:w="135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342,968,022.17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312,174,291.00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9.86%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电力水利铁路交 通行业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524,084,078.01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475,586,800.66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92,584,059.89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86,192,908.56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340,850,229.97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310,331,030.25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金融保险医保行 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1,851,488,528.64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1,686,819,964.</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179,554,178.06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165,366,718.83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99,775,397.14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90,456,257.91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260,802,612.35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219,405,673.08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18.87%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708"/>
        <w:gridCol w:w="1561"/>
        <w:gridCol w:w="1416"/>
        <w:gridCol w:w="1594"/>
        <w:gridCol w:w="1366"/>
        <w:gridCol w:w="1368"/>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2,398,199,973.09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2,546,818,323.64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-5.84%</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200,121,236.14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234,151,515.24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-14.53%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600,733,311.60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442,316,613.91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35.82%</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风电振动监测系统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34,843,913.99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27,534,251.29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26.55%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移动终端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231,189,582.44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行业应用解决方案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83,730,083.02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弱电工程收入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143,289,005.95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95,512,940.82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50.02%</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94"/>
        <w:jc w:val="left"/>
      </w:pPr>
      <w:r>
        <w:rPr/>
        <w:t>√ 是 □</w:t>
      </w:r>
      <w:r>
        <w:rPr>
          <w:spacing w:val="3"/>
        </w:rPr>
        <w:t> </w:t>
      </w:r>
      <w:r>
        <w:rPr/>
        <w:t>否</w:t>
      </w:r>
    </w:p>
    <w:p>
      <w:pPr>
        <w:spacing w:line="240" w:lineRule="auto" w:before="0"/>
        <w:rPr>
          <w:rFonts w:ascii="宋体" w:hAnsi="宋体" w:cs="宋体" w:eastAsia="宋体" w:hint="default"/>
          <w:sz w:val="15"/>
          <w:szCs w:val="15"/>
        </w:rPr>
      </w:pPr>
    </w:p>
    <w:p>
      <w:pPr>
        <w:pStyle w:val="BodyText"/>
        <w:spacing w:line="316" w:lineRule="auto"/>
        <w:ind w:right="107" w:firstLine="360"/>
        <w:jc w:val="both"/>
      </w:pPr>
      <w:r>
        <w:rPr>
          <w:spacing w:val="-2"/>
        </w:rPr>
        <w:t>本期纳入合并范围的子公司包括</w:t>
      </w:r>
      <w:r>
        <w:rPr>
          <w:rFonts w:ascii="宋体" w:hAnsi="宋体" w:cs="宋体" w:eastAsia="宋体" w:hint="default"/>
          <w:spacing w:val="-2"/>
        </w:rPr>
        <w:t>42</w:t>
      </w:r>
      <w:r>
        <w:rPr>
          <w:spacing w:val="-2"/>
        </w:rPr>
        <w:t>家，新增</w:t>
      </w:r>
      <w:r>
        <w:rPr>
          <w:rFonts w:ascii="宋体" w:hAnsi="宋体" w:cs="宋体" w:eastAsia="宋体" w:hint="default"/>
          <w:spacing w:val="-2"/>
        </w:rPr>
        <w:t>13</w:t>
      </w:r>
      <w:r>
        <w:rPr>
          <w:spacing w:val="-2"/>
        </w:rPr>
        <w:t>家子公司，包括合力东华（北京）科技有限公司、东华互联宜家数据服务</w:t>
      </w:r>
      <w:r>
        <w:rPr/>
        <w:t> </w:t>
      </w:r>
      <w:r>
        <w:rPr>
          <w:spacing w:val="-2"/>
        </w:rPr>
        <w:t>有限公司、东华网络股份公司、东华博育云有限公司、苏州东华软件科技有限公司、内蒙古东华软件有限公司、海南东华软</w:t>
      </w:r>
      <w:r>
        <w:rPr>
          <w:spacing w:val="-67"/>
        </w:rPr>
        <w:t> </w:t>
      </w:r>
      <w:r>
        <w:rPr>
          <w:spacing w:val="-67"/>
        </w:rPr>
      </w:r>
      <w:r>
        <w:rPr>
          <w:spacing w:val="-2"/>
        </w:rPr>
        <w:t>件有限公司、深圳至高通信技术发展有限公司、北京东华万兴软件有限公司、东华软件威海有限公司、东华软件（绵阳）有</w:t>
      </w:r>
      <w:r>
        <w:rPr>
          <w:spacing w:val="-70"/>
        </w:rPr>
        <w:t> </w:t>
      </w:r>
      <w:r>
        <w:rPr>
          <w:spacing w:val="-70"/>
        </w:rPr>
      </w:r>
      <w:r>
        <w:rPr/>
        <w:t>限公司、北京东华智中能源互联网科技有限公司、吉林省东华软件信息工程有限公司；新增</w:t>
      </w:r>
      <w:r>
        <w:rPr>
          <w:rFonts w:ascii="宋体" w:hAnsi="宋体" w:cs="宋体" w:eastAsia="宋体" w:hint="default"/>
        </w:rPr>
        <w:t>4</w:t>
      </w:r>
      <w:r>
        <w:rPr/>
        <w:t>家孙公司，包括北京之春信息</w:t>
      </w:r>
      <w:r>
        <w:rPr>
          <w:spacing w:val="-82"/>
        </w:rPr>
        <w:t> </w:t>
      </w:r>
      <w:r>
        <w:rPr/>
        <w:t>技术有限公司、深圳市至高信息技术有限公司、珠海市发思特软件技术有限公司、东华恵生活（北京）信息技术有限公司。</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94"/>
        <w:jc w:val="left"/>
      </w:pPr>
      <w:r>
        <w:rPr/>
        <w:t>□适用 √</w:t>
      </w:r>
      <w:r>
        <w:rPr>
          <w:spacing w:val="2"/>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宋体" w:hAnsi="宋体" w:cs="宋体" w:eastAsia="宋体" w:hint="default"/>
        </w:rPr>
        <w:t>8</w:t>
      </w:r>
      <w:r>
        <w:rPr/>
        <w:t>）主要销售客户和主要供应商情况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94"/>
        <w:jc w:val="left"/>
      </w:pPr>
      <w:r>
        <w:rPr/>
        <w:t>公司主要销售客户情况</w:t>
      </w: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905,353,131.83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12.32%</w:t>
            </w:r>
          </w:p>
        </w:tc>
      </w:tr>
    </w:tbl>
    <w:p>
      <w:pPr>
        <w:spacing w:line="240" w:lineRule="auto" w:before="5"/>
        <w:rPr>
          <w:rFonts w:ascii="宋体" w:hAnsi="宋体" w:cs="宋体" w:eastAsia="宋体" w:hint="default"/>
          <w:sz w:val="6"/>
          <w:szCs w:val="6"/>
        </w:rPr>
      </w:pPr>
    </w:p>
    <w:p>
      <w:pPr>
        <w:pStyle w:val="BodyText"/>
        <w:spacing w:line="240" w:lineRule="auto" w:before="44"/>
        <w:ind w:left="513" w:right="94"/>
        <w:jc w:val="left"/>
      </w:pPr>
      <w:r>
        <w:rPr/>
        <w:t>公司前</w:t>
      </w:r>
      <w:r>
        <w:rPr>
          <w:rFonts w:ascii="宋体" w:hAnsi="宋体" w:cs="宋体" w:eastAsia="宋体" w:hint="default"/>
        </w:rPr>
        <w:t>5</w:t>
      </w:r>
      <w:r>
        <w:rPr/>
        <w:t>大客户资料</w:t>
      </w:r>
    </w:p>
    <w:p>
      <w:pPr>
        <w:spacing w:line="240" w:lineRule="auto" w:before="5"/>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203,738,984.00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198,375,850.00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178,405,552.65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168,372,834.18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156,459,911.00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3291"/>
        <w:gridCol w:w="2333"/>
        <w:gridCol w:w="3145"/>
      </w:tblGrid>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029" w:right="0"/>
              <w:jc w:val="left"/>
              <w:rPr>
                <w:rFonts w:ascii="宋体" w:hAnsi="宋体" w:cs="宋体" w:eastAsia="宋体" w:hint="default"/>
                <w:sz w:val="18"/>
                <w:szCs w:val="18"/>
              </w:rPr>
            </w:pPr>
            <w:r>
              <w:rPr>
                <w:rFonts w:ascii="宋体"/>
                <w:sz w:val="18"/>
              </w:rPr>
              <w:t>905,353,131.83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12.32%</w:t>
            </w:r>
          </w:p>
        </w:tc>
      </w:tr>
    </w:tbl>
    <w:p>
      <w:pPr>
        <w:spacing w:line="240" w:lineRule="auto" w:before="6"/>
        <w:rPr>
          <w:rFonts w:ascii="宋体" w:hAnsi="宋体" w:cs="宋体" w:eastAsia="宋体" w:hint="default"/>
          <w:sz w:val="6"/>
          <w:szCs w:val="6"/>
        </w:rPr>
      </w:pPr>
    </w:p>
    <w:p>
      <w:pPr>
        <w:pStyle w:val="BodyText"/>
        <w:spacing w:line="240" w:lineRule="auto" w:before="44"/>
        <w:ind w:right="153"/>
        <w:jc w:val="left"/>
      </w:pPr>
      <w:r>
        <w:rPr/>
        <w:t>主要客户其他情况说明</w:t>
      </w:r>
    </w:p>
    <w:p>
      <w:pPr>
        <w:spacing w:line="240" w:lineRule="auto" w:before="0"/>
        <w:rPr>
          <w:rFonts w:ascii="宋体" w:hAnsi="宋体" w:cs="宋体" w:eastAsia="宋体" w:hint="default"/>
          <w:sz w:val="15"/>
          <w:szCs w:val="15"/>
        </w:rPr>
      </w:pPr>
    </w:p>
    <w:p>
      <w:pPr>
        <w:pStyle w:val="BodyText"/>
        <w:spacing w:line="357" w:lineRule="auto"/>
        <w:ind w:right="8154"/>
        <w:jc w:val="left"/>
      </w:pPr>
      <w:r>
        <w:rPr/>
        <w:t>□ 适用 √</w:t>
      </w:r>
      <w:r>
        <w:rPr>
          <w:spacing w:val="3"/>
        </w:rPr>
        <w:t> </w:t>
      </w:r>
      <w:r>
        <w:rPr/>
        <w:t>不适用</w:t>
      </w:r>
      <w:r>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1,151,103,582.16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pacing w:val="-1"/>
                <w:sz w:val="18"/>
              </w:rPr>
              <w:t>22.15%</w:t>
            </w:r>
          </w:p>
        </w:tc>
      </w:tr>
    </w:tbl>
    <w:p>
      <w:pPr>
        <w:pStyle w:val="BodyText"/>
        <w:spacing w:line="240" w:lineRule="auto" w:before="70"/>
        <w:ind w:right="153"/>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名供应商资料</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345,481,770.00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6.65%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293,091,164.46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190,302,235.66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174,233,967.60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147,994,444.44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1,151,103,582.16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22.15%</w:t>
            </w:r>
          </w:p>
        </w:tc>
      </w:tr>
    </w:tbl>
    <w:p>
      <w:pPr>
        <w:pStyle w:val="BodyText"/>
        <w:spacing w:line="240" w:lineRule="auto" w:before="49"/>
        <w:ind w:right="153"/>
        <w:jc w:val="left"/>
      </w:pPr>
      <w:r>
        <w:rPr/>
        <w:t>主要供应商其他情况说明</w:t>
      </w:r>
    </w:p>
    <w:p>
      <w:pPr>
        <w:pStyle w:val="BodyText"/>
        <w:spacing w:line="240" w:lineRule="auto" w:before="115"/>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w:t>
      </w:r>
      <w:r>
        <w:rPr/>
        <w:t>、费用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234,241,472.83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195,292,367.87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609,815,931.68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500,132,149.65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8" w:right="0"/>
              <w:jc w:val="left"/>
              <w:rPr>
                <w:rFonts w:ascii="宋体" w:hAnsi="宋体" w:cs="宋体" w:eastAsia="宋体" w:hint="default"/>
                <w:sz w:val="18"/>
                <w:szCs w:val="18"/>
              </w:rPr>
            </w:pPr>
            <w:r>
              <w:rPr>
                <w:rFonts w:ascii="宋体"/>
                <w:sz w:val="18"/>
              </w:rPr>
              <w:t>17,183,032.85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5" w:right="0"/>
              <w:jc w:val="left"/>
              <w:rPr>
                <w:rFonts w:ascii="宋体" w:hAnsi="宋体" w:cs="宋体" w:eastAsia="宋体" w:hint="default"/>
                <w:sz w:val="18"/>
                <w:szCs w:val="18"/>
              </w:rPr>
            </w:pPr>
            <w:r>
              <w:rPr>
                <w:rFonts w:ascii="宋体"/>
                <w:sz w:val="18"/>
              </w:rPr>
              <w:t>7,702,874.65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7" w:right="0"/>
              <w:jc w:val="left"/>
              <w:rPr>
                <w:rFonts w:ascii="宋体" w:hAnsi="宋体" w:cs="宋体" w:eastAsia="宋体" w:hint="default"/>
                <w:sz w:val="18"/>
                <w:szCs w:val="18"/>
              </w:rPr>
            </w:pPr>
            <w:r>
              <w:rPr>
                <w:rFonts w:ascii="宋体"/>
                <w:sz w:val="18"/>
              </w:rPr>
              <w:t>123.07%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财务费用较上年同期增加</w:t>
            </w:r>
            <w:r>
              <w:rPr>
                <w:rFonts w:ascii="宋体" w:hAnsi="宋体" w:cs="宋体" w:eastAsia="宋体" w:hint="default"/>
                <w:spacing w:val="-44"/>
                <w:sz w:val="18"/>
                <w:szCs w:val="18"/>
              </w:rPr>
              <w:t> </w:t>
            </w:r>
            <w:r>
              <w:rPr>
                <w:rFonts w:ascii="宋体" w:hAnsi="宋体" w:cs="宋体" w:eastAsia="宋体" w:hint="default"/>
                <w:spacing w:val="-16"/>
                <w:sz w:val="18"/>
                <w:szCs w:val="18"/>
              </w:rPr>
              <w:t>67.97%</w:t>
            </w:r>
            <w:r>
              <w:rPr>
                <w:rFonts w:ascii="宋体" w:hAnsi="宋体" w:cs="宋体" w:eastAsia="宋体" w:hint="default"/>
                <w:spacing w:val="-16"/>
                <w:sz w:val="18"/>
                <w:szCs w:val="18"/>
              </w:rPr>
              <w:t>，主</w:t>
            </w:r>
            <w:r>
              <w:rPr>
                <w:rFonts w:ascii="宋体" w:hAnsi="宋体" w:cs="宋体" w:eastAsia="宋体" w:hint="default"/>
                <w:spacing w:val="-63"/>
                <w:sz w:val="18"/>
                <w:szCs w:val="18"/>
              </w:rPr>
              <w:t> </w:t>
            </w:r>
            <w:r>
              <w:rPr>
                <w:rFonts w:ascii="宋体" w:hAnsi="宋体" w:cs="宋体" w:eastAsia="宋体" w:hint="default"/>
                <w:spacing w:val="-2"/>
                <w:sz w:val="18"/>
                <w:szCs w:val="18"/>
              </w:rPr>
              <w:t>要原因系新设或收购公司增加，借款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利息以及汇兑损失增加所致。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4</w:t>
      </w:r>
      <w:r>
        <w:rPr/>
        <w:t>、研发投入</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234"/>
        <w:jc w:val="left"/>
      </w:pPr>
      <w:r>
        <w:rPr/>
        <w:t>√ 适用 □</w:t>
      </w:r>
      <w:r>
        <w:rPr>
          <w:spacing w:val="3"/>
        </w:rPr>
        <w:t> </w:t>
      </w:r>
      <w:r>
        <w:rPr/>
        <w:t>不适用</w:t>
      </w:r>
      <w:r>
        <w:rPr/>
        <w:t> 报告期内，公司拥有软件著作权</w:t>
      </w:r>
      <w:r>
        <w:rPr>
          <w:rFonts w:ascii="宋体" w:hAnsi="宋体" w:cs="宋体" w:eastAsia="宋体" w:hint="default"/>
        </w:rPr>
        <w:t>700</w:t>
      </w:r>
      <w:r>
        <w:rPr/>
        <w:t>余项，研发支出总额</w:t>
      </w:r>
      <w:r>
        <w:rPr>
          <w:rFonts w:ascii="宋体" w:hAnsi="宋体" w:cs="宋体" w:eastAsia="宋体" w:hint="default"/>
        </w:rPr>
        <w:t>884,213,069.19</w:t>
      </w:r>
      <w:r>
        <w:rPr/>
        <w:t>元，占营业收入比例的</w:t>
      </w:r>
      <w:r>
        <w:rPr>
          <w:rFonts w:ascii="宋体" w:hAnsi="宋体" w:cs="宋体" w:eastAsia="宋体" w:hint="default"/>
        </w:rPr>
        <w:t>15.71%</w:t>
      </w:r>
      <w:r>
        <w:rPr/>
        <w:t>，同比增长</w:t>
      </w:r>
      <w:r>
        <w:rPr>
          <w:rFonts w:ascii="宋体" w:hAnsi="宋体" w:cs="宋体" w:eastAsia="宋体" w:hint="default"/>
        </w:rPr>
        <w:t>6.07%</w:t>
      </w:r>
      <w:r>
        <w:rPr/>
        <w:t>。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884,213,069.19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498,245,268.58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32,402,594.68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7,604,406.26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326.10%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2.14%</w:t>
            </w:r>
          </w:p>
        </w:tc>
      </w:tr>
    </w:tbl>
    <w:p>
      <w:pPr>
        <w:pStyle w:val="BodyText"/>
        <w:spacing w:line="240" w:lineRule="auto" w:before="49"/>
        <w:ind w:right="153"/>
        <w:jc w:val="left"/>
      </w:pPr>
      <w:r>
        <w:rPr/>
        <w:t>研发投入总额占营业收入的比重较上年发生显著变化的原因</w:t>
      </w:r>
    </w:p>
    <w:p>
      <w:pPr>
        <w:pStyle w:val="BodyText"/>
        <w:spacing w:line="360" w:lineRule="auto" w:before="115"/>
        <w:ind w:right="5814"/>
        <w:jc w:val="left"/>
      </w:pPr>
      <w:r>
        <w:rPr/>
        <w:t>□ 适用 √</w:t>
      </w:r>
      <w:r>
        <w:rPr>
          <w:spacing w:val="3"/>
        </w:rPr>
        <w:t> </w:t>
      </w:r>
      <w:r>
        <w:rPr/>
        <w:t>不适用</w:t>
      </w:r>
      <w:r>
        <w:rPr/>
        <w:t> 研发投入资本化率大幅变动的原因及其合理性说明</w:t>
      </w:r>
    </w:p>
    <w:p>
      <w:pPr>
        <w:pStyle w:val="BodyText"/>
        <w:spacing w:line="240" w:lineRule="auto" w:before="27"/>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w:t>
      </w:r>
      <w:r>
        <w:rPr/>
        <w:t>、现金流</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6,364,484,443.14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4,675,081,477.49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6,399,041,300.87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4,690,225,551.61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-34,556,857.73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-15,144,074.12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-128.19%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246,483,153.68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76,865,948.82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220.67%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813,792,282.31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504,464,134.26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61.32%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-567,309,128.63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-427,598,185.44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-32.67%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1,351,426,739.69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843,663,641.35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60.19%</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735,496,584.68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602,330,213.17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615,930,155.01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241,333,428.18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155.22%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12,784,184.02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-201,390,492.21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106.35%</w:t>
            </w:r>
          </w:p>
        </w:tc>
      </w:tr>
    </w:tbl>
    <w:p>
      <w:pPr>
        <w:pStyle w:val="BodyText"/>
        <w:spacing w:line="240" w:lineRule="auto" w:before="49"/>
        <w:ind w:right="153"/>
        <w:jc w:val="left"/>
      </w:pPr>
      <w:r>
        <w:rPr/>
        <w:t>相关数据同比发生重大变动的主要影响因素说明</w:t>
      </w:r>
    </w:p>
    <w:p>
      <w:pPr>
        <w:pStyle w:val="BodyText"/>
        <w:spacing w:line="240" w:lineRule="auto" w:before="115"/>
        <w:ind w:right="153"/>
        <w:jc w:val="left"/>
      </w:pPr>
      <w:r>
        <w:rPr/>
        <w:t>√ 适用 □</w:t>
      </w:r>
      <w:r>
        <w:rPr>
          <w:spacing w:val="3"/>
        </w:rPr>
        <w:t> </w:t>
      </w:r>
      <w:r>
        <w:rPr/>
        <w:t>不适用</w:t>
      </w:r>
    </w:p>
    <w:p>
      <w:pPr>
        <w:pStyle w:val="BodyText"/>
        <w:spacing w:line="316" w:lineRule="auto" w:before="117"/>
        <w:ind w:right="192"/>
        <w:jc w:val="left"/>
      </w:pPr>
      <w:r>
        <w:rPr>
          <w:rFonts w:ascii="宋体" w:hAnsi="宋体" w:cs="宋体" w:eastAsia="宋体" w:hint="default"/>
        </w:rPr>
        <w:t>1.</w:t>
      </w:r>
      <w:r>
        <w:rPr/>
        <w:t>经营活动现金流入小计较上年同期增加</w:t>
      </w:r>
      <w:r>
        <w:rPr>
          <w:spacing w:val="-48"/>
        </w:rPr>
        <w:t> </w:t>
      </w:r>
      <w:r>
        <w:rPr>
          <w:rFonts w:ascii="宋体" w:hAnsi="宋体" w:cs="宋体" w:eastAsia="宋体" w:hint="default"/>
        </w:rPr>
        <w:t>36.14%</w:t>
      </w:r>
      <w:r>
        <w:rPr/>
        <w:t>，主要原因系公司本期收到货款、增值税退税收入及公司收到退回投标、 履约保证金及收到政府补助增加所致。</w:t>
      </w:r>
    </w:p>
    <w:p>
      <w:pPr>
        <w:pStyle w:val="BodyText"/>
        <w:spacing w:line="316" w:lineRule="auto" w:before="57"/>
        <w:ind w:right="192"/>
        <w:jc w:val="left"/>
      </w:pPr>
      <w:r>
        <w:rPr>
          <w:rFonts w:ascii="宋体" w:hAnsi="宋体" w:cs="宋体" w:eastAsia="宋体" w:hint="default"/>
        </w:rPr>
        <w:t>2.</w:t>
      </w:r>
      <w:r>
        <w:rPr/>
        <w:t>经营活动现金流出小计较上年同期增加</w:t>
      </w:r>
      <w:r>
        <w:rPr>
          <w:spacing w:val="-48"/>
        </w:rPr>
        <w:t> </w:t>
      </w:r>
      <w:r>
        <w:rPr>
          <w:rFonts w:ascii="宋体" w:hAnsi="宋体" w:cs="宋体" w:eastAsia="宋体" w:hint="default"/>
        </w:rPr>
        <w:t>36.43%</w:t>
      </w:r>
      <w:r>
        <w:rPr/>
        <w:t>，主要原因系所承接项目支付货款增加所致。同时导致经营活动产生的现 金流量净额较上年同期减少</w:t>
      </w:r>
      <w:r>
        <w:rPr>
          <w:spacing w:val="-43"/>
        </w:rPr>
        <w:t> </w:t>
      </w:r>
      <w:r>
        <w:rPr>
          <w:rFonts w:ascii="宋体" w:hAnsi="宋体" w:cs="宋体" w:eastAsia="宋体" w:hint="default"/>
        </w:rPr>
        <w:t>128.19%</w:t>
      </w:r>
      <w:r>
        <w:rPr/>
        <w:t>。</w:t>
      </w:r>
    </w:p>
    <w:p>
      <w:pPr>
        <w:pStyle w:val="BodyText"/>
        <w:spacing w:line="319" w:lineRule="auto" w:before="59"/>
        <w:ind w:right="151"/>
        <w:jc w:val="left"/>
      </w:pPr>
      <w:r>
        <w:rPr>
          <w:rFonts w:ascii="宋体" w:hAnsi="宋体" w:cs="宋体" w:eastAsia="宋体" w:hint="default"/>
          <w:spacing w:val="-1"/>
        </w:rPr>
        <w:t>3.</w:t>
      </w:r>
      <w:r>
        <w:rPr>
          <w:spacing w:val="-1"/>
        </w:rPr>
        <w:t>投资活动现金流入小计较上年同期增加</w:t>
      </w:r>
      <w:r>
        <w:rPr/>
        <w:t> </w:t>
      </w:r>
      <w:r>
        <w:rPr>
          <w:rFonts w:ascii="宋体" w:hAnsi="宋体" w:cs="宋体" w:eastAsia="宋体" w:hint="default"/>
          <w:spacing w:val="-2"/>
        </w:rPr>
        <w:t>220.67%</w:t>
      </w:r>
      <w:r>
        <w:rPr>
          <w:spacing w:val="-2"/>
        </w:rPr>
        <w:t>，主要原因系转让公司持有的北京东方通科技股份有限公司的股票及取得</w:t>
      </w:r>
      <w:r>
        <w:rPr>
          <w:spacing w:val="-80"/>
        </w:rPr>
        <w:t> </w:t>
      </w:r>
      <w:r>
        <w:rPr>
          <w:spacing w:val="-80"/>
        </w:rPr>
      </w:r>
      <w:r>
        <w:rPr/>
        <w:t>东方通公司的分红增加所致。同时导致投资活动产生的现金流量净额较上年同期增加</w:t>
      </w:r>
      <w:r>
        <w:rPr>
          <w:spacing w:val="-43"/>
        </w:rPr>
        <w:t> </w:t>
      </w:r>
      <w:r>
        <w:rPr>
          <w:rFonts w:ascii="宋体" w:hAnsi="宋体" w:cs="宋体" w:eastAsia="宋体" w:hint="default"/>
        </w:rPr>
        <w:t>32.67%</w:t>
      </w:r>
      <w:r>
        <w:rPr/>
        <w:t>。</w:t>
      </w:r>
    </w:p>
    <w:p>
      <w:pPr>
        <w:pStyle w:val="BodyText"/>
        <w:spacing w:line="338" w:lineRule="auto" w:before="58"/>
        <w:ind w:right="192"/>
        <w:jc w:val="left"/>
      </w:pPr>
      <w:r>
        <w:rPr>
          <w:rFonts w:ascii="宋体" w:hAnsi="宋体" w:cs="宋体" w:eastAsia="宋体" w:hint="default"/>
        </w:rPr>
        <w:t>4.</w:t>
      </w:r>
      <w:r>
        <w:rPr/>
        <w:t>投资活动现金流出小计较上年同期增加</w:t>
      </w:r>
      <w:r>
        <w:rPr>
          <w:spacing w:val="-48"/>
        </w:rPr>
        <w:t> </w:t>
      </w:r>
      <w:r>
        <w:rPr>
          <w:rFonts w:ascii="宋体" w:hAnsi="宋体" w:cs="宋体" w:eastAsia="宋体" w:hint="default"/>
        </w:rPr>
        <w:t>61.32%</w:t>
      </w:r>
      <w:r>
        <w:rPr/>
        <w:t>，主要原因系公司采购固定资产及对东方通增资，对海南银行、北京首创 金融资产交易信息服务股份有限公司、天津南大通用数据技术、瑞客东华转化医学研究中心等投资增加所致。 </w:t>
      </w:r>
      <w:r>
        <w:rPr>
          <w:rFonts w:ascii="宋体" w:hAnsi="宋体" w:cs="宋体" w:eastAsia="宋体" w:hint="default"/>
        </w:rPr>
        <w:t>5.</w:t>
      </w:r>
      <w:r>
        <w:rPr/>
        <w:t>筹资活动现金流入小计较上年同期增加</w:t>
      </w:r>
      <w:r>
        <w:rPr>
          <w:spacing w:val="-48"/>
        </w:rPr>
        <w:t> </w:t>
      </w:r>
      <w:r>
        <w:rPr>
          <w:rFonts w:ascii="宋体" w:hAnsi="宋体" w:cs="宋体" w:eastAsia="宋体" w:hint="default"/>
        </w:rPr>
        <w:t>60.19%</w:t>
      </w:r>
      <w:r>
        <w:rPr/>
        <w:t>，主要原因系公司向银行短期借款增加所致。同时导致筹资活动产生的现</w:t>
      </w:r>
    </w:p>
    <w:p>
      <w:pPr>
        <w:pStyle w:val="BodyText"/>
        <w:spacing w:line="360" w:lineRule="auto" w:before="2"/>
        <w:ind w:right="1765"/>
        <w:jc w:val="left"/>
      </w:pPr>
      <w:r>
        <w:rPr/>
        <w:t>金流量净额较上年同期增加</w:t>
      </w:r>
      <w:r>
        <w:rPr>
          <w:spacing w:val="-45"/>
        </w:rPr>
        <w:t> </w:t>
      </w:r>
      <w:r>
        <w:rPr>
          <w:rFonts w:ascii="宋体" w:hAnsi="宋体" w:cs="宋体" w:eastAsia="宋体" w:hint="default"/>
        </w:rPr>
        <w:t>155.22%</w:t>
      </w:r>
      <w:r>
        <w:rPr/>
        <w:t>。从而导致现金及现金等价物净增加额较上年同期增加</w:t>
      </w:r>
      <w:r>
        <w:rPr>
          <w:spacing w:val="-46"/>
        </w:rPr>
        <w:t> </w:t>
      </w:r>
      <w:r>
        <w:rPr>
          <w:rFonts w:ascii="宋体" w:hAnsi="宋体" w:cs="宋体" w:eastAsia="宋体" w:hint="default"/>
        </w:rPr>
        <w:t>106.35%</w:t>
      </w:r>
      <w:r>
        <w:rPr/>
        <w:t>。 报告期内公司经营活动产生的现金净流量与本年度净利润存在重大差异的原因说明</w:t>
      </w:r>
    </w:p>
    <w:p>
      <w:pPr>
        <w:pStyle w:val="BodyText"/>
        <w:spacing w:line="240" w:lineRule="auto" w:before="27"/>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、资产构成重大变动情况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466"/>
        <w:gridCol w:w="1419"/>
        <w:gridCol w:w="1419"/>
        <w:gridCol w:w="1274"/>
        <w:gridCol w:w="994"/>
        <w:gridCol w:w="1630"/>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2885"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4" w:type="dxa"/>
            <w:vMerge/>
            <w:tcBorders>
              <w:left w:val="single" w:sz="4" w:space="0" w:color="000000"/>
              <w:bottom w:val="nil" w:sz="6" w:space="0" w:color="auto"/>
              <w:right w:val="single" w:sz="4" w:space="0" w:color="000000"/>
            </w:tcBorders>
            <w:shd w:val="clear" w:color="auto" w:fill="D2D2D2"/>
          </w:tcPr>
          <w:p>
            <w:pPr/>
          </w:p>
        </w:tc>
        <w:tc>
          <w:tcPr>
            <w:tcW w:w="163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6"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1,138,049,591.2</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7" w:right="0"/>
              <w:jc w:val="left"/>
              <w:rPr>
                <w:rFonts w:ascii="宋体" w:hAnsi="宋体" w:cs="宋体" w:eastAsia="宋体" w:hint="default"/>
                <w:sz w:val="18"/>
                <w:szCs w:val="18"/>
              </w:rPr>
            </w:pPr>
            <w:r>
              <w:rPr>
                <w:rFonts w:ascii="宋体"/>
                <w:sz w:val="18"/>
              </w:rPr>
              <w:t>10.20%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1,096,415,088.8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sz w:val="18"/>
              </w:rPr>
              <w:t>13.84%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-3.64%</w:t>
            </w:r>
          </w:p>
        </w:tc>
        <w:tc>
          <w:tcPr>
            <w:tcW w:w="1630"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6"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3,585,237,976.1</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7" w:right="0"/>
              <w:jc w:val="left"/>
              <w:rPr>
                <w:rFonts w:ascii="宋体" w:hAnsi="宋体" w:cs="宋体" w:eastAsia="宋体" w:hint="default"/>
                <w:sz w:val="18"/>
                <w:szCs w:val="18"/>
              </w:rPr>
            </w:pPr>
            <w:r>
              <w:rPr>
                <w:rFonts w:ascii="宋体"/>
                <w:sz w:val="18"/>
              </w:rPr>
              <w:t>32.14%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2,952,086,558.8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sz w:val="18"/>
              </w:rPr>
              <w:t>37.26%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-5.12%</w:t>
            </w:r>
          </w:p>
        </w:tc>
        <w:tc>
          <w:tcPr>
            <w:tcW w:w="1630"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6"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2,048,703,075.5</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7" w:right="0"/>
              <w:jc w:val="left"/>
              <w:rPr>
                <w:rFonts w:ascii="宋体" w:hAnsi="宋体" w:cs="宋体" w:eastAsia="宋体" w:hint="default"/>
                <w:sz w:val="18"/>
                <w:szCs w:val="18"/>
              </w:rPr>
            </w:pPr>
            <w:r>
              <w:rPr>
                <w:rFonts w:ascii="宋体"/>
                <w:sz w:val="18"/>
              </w:rPr>
              <w:t>18.36%</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1,189,712,797.6</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sz w:val="18"/>
              </w:rPr>
              <w:t>15.01%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sz w:val="18"/>
              </w:rPr>
              <w:t>3.35%</w:t>
            </w:r>
          </w:p>
        </w:tc>
        <w:tc>
          <w:tcPr>
            <w:tcW w:w="1630"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608,444.42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443,494,532.62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531,706,339.22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35,020,434.94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22,110,496.83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840,483,294.08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292,027,009.15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3.84%</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338"/>
        <w:gridCol w:w="1272"/>
        <w:gridCol w:w="1417"/>
        <w:gridCol w:w="852"/>
        <w:gridCol w:w="1135"/>
        <w:gridCol w:w="986"/>
        <w:gridCol w:w="1354"/>
      </w:tblGrid>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7" w:right="9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2" w:right="71"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2" w:right="60"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9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33"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22"/>
              <w:jc w:val="right"/>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2"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 融资产</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368,419,101.60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481,737,811.81</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20,957,319.</w:t>
            </w:r>
          </w:p>
          <w:p>
            <w:pPr>
              <w:pStyle w:val="TableParagraph"/>
              <w:spacing w:line="240" w:lineRule="auto" w:before="76"/>
              <w:ind w:right="19"/>
              <w:jc w:val="right"/>
              <w:rPr>
                <w:rFonts w:ascii="宋体" w:hAnsi="宋体" w:cs="宋体" w:eastAsia="宋体" w:hint="default"/>
                <w:sz w:val="18"/>
                <w:szCs w:val="18"/>
              </w:rPr>
            </w:pPr>
            <w:r>
              <w:rPr>
                <w:rFonts w:ascii="宋体"/>
                <w:sz w:val="18"/>
              </w:rPr>
              <w:t>38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6,129,120.</w:t>
            </w:r>
          </w:p>
          <w:p>
            <w:pPr>
              <w:pStyle w:val="TableParagraph"/>
              <w:spacing w:line="240" w:lineRule="auto" w:before="76"/>
              <w:ind w:right="12"/>
              <w:jc w:val="right"/>
              <w:rPr>
                <w:rFonts w:ascii="宋体" w:hAnsi="宋体" w:cs="宋体" w:eastAsia="宋体" w:hint="default"/>
                <w:sz w:val="18"/>
                <w:szCs w:val="18"/>
              </w:rPr>
            </w:pPr>
            <w:r>
              <w:rPr>
                <w:rFonts w:ascii="宋体"/>
                <w:sz w:val="18"/>
              </w:rPr>
              <w:t>87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864,985,111.92</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8"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sz w:val="18"/>
              </w:rPr>
              <w:t>368,419,101.60</w:t>
            </w:r>
          </w:p>
        </w:tc>
        <w:tc>
          <w:tcPr>
            <w:tcW w:w="1272"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481,737,811.81</w:t>
            </w:r>
          </w:p>
        </w:tc>
        <w:tc>
          <w:tcPr>
            <w:tcW w:w="852"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20,957,319.</w:t>
            </w:r>
          </w:p>
          <w:p>
            <w:pPr>
              <w:pStyle w:val="TableParagraph"/>
              <w:spacing w:line="240" w:lineRule="auto" w:before="76"/>
              <w:ind w:right="19"/>
              <w:jc w:val="right"/>
              <w:rPr>
                <w:rFonts w:ascii="宋体" w:hAnsi="宋体" w:cs="宋体" w:eastAsia="宋体" w:hint="default"/>
                <w:sz w:val="18"/>
                <w:szCs w:val="18"/>
              </w:rPr>
            </w:pPr>
            <w:r>
              <w:rPr>
                <w:rFonts w:ascii="宋体"/>
                <w:sz w:val="18"/>
              </w:rPr>
              <w:t>38</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6,129,120.</w:t>
            </w:r>
          </w:p>
          <w:p>
            <w:pPr>
              <w:pStyle w:val="TableParagraph"/>
              <w:spacing w:line="240" w:lineRule="auto" w:before="76"/>
              <w:ind w:right="12"/>
              <w:jc w:val="right"/>
              <w:rPr>
                <w:rFonts w:ascii="宋体" w:hAnsi="宋体" w:cs="宋体" w:eastAsia="宋体" w:hint="default"/>
                <w:sz w:val="18"/>
                <w:szCs w:val="18"/>
              </w:rPr>
            </w:pPr>
            <w:r>
              <w:rPr>
                <w:rFonts w:ascii="宋体"/>
                <w:sz w:val="18"/>
              </w:rPr>
              <w:t>87</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864,985,111.92</w:t>
            </w:r>
          </w:p>
        </w:tc>
      </w:tr>
      <w:tr>
        <w:trPr>
          <w:trHeight w:val="394"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338" w:type="dxa"/>
            <w:vMerge/>
            <w:tcBorders>
              <w:left w:val="single" w:sz="9" w:space="0" w:color="D2D2D2"/>
              <w:right w:val="single" w:sz="4" w:space="0" w:color="000000"/>
            </w:tcBorders>
          </w:tcPr>
          <w:p>
            <w:pPr/>
          </w:p>
        </w:tc>
        <w:tc>
          <w:tcPr>
            <w:tcW w:w="1272"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8" w:type="dxa"/>
            <w:vMerge/>
            <w:tcBorders>
              <w:left w:val="single" w:sz="9" w:space="0" w:color="D2D2D2"/>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3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153"/>
        <w:jc w:val="left"/>
      </w:pPr>
      <w:r>
        <w:rPr/>
        <w:t>报告期内公司主要资产计量属性是否发生重大变化</w:t>
      </w:r>
    </w:p>
    <w:p>
      <w:pPr>
        <w:pStyle w:val="BodyText"/>
        <w:spacing w:line="240" w:lineRule="auto" w:before="117"/>
        <w:ind w:right="153"/>
        <w:jc w:val="left"/>
      </w:pPr>
      <w:r>
        <w:rPr/>
        <w:t>□ 是 √</w:t>
      </w:r>
      <w:r>
        <w:rPr>
          <w:spacing w:val="3"/>
        </w:rPr>
        <w:t> </w:t>
      </w:r>
      <w:r>
        <w:rPr/>
        <w:t>否</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、总体情况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6" w:right="0"/>
              <w:jc w:val="left"/>
              <w:rPr>
                <w:rFonts w:ascii="宋体" w:hAnsi="宋体" w:cs="宋体" w:eastAsia="宋体" w:hint="default"/>
                <w:sz w:val="18"/>
                <w:szCs w:val="18"/>
              </w:rPr>
            </w:pPr>
            <w:r>
              <w:rPr>
                <w:rFonts w:ascii="宋体"/>
                <w:sz w:val="18"/>
              </w:rPr>
              <w:t>275,017,000.00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15,017,000.00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1,731.37%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480"/>
        <w:gridCol w:w="425"/>
        <w:gridCol w:w="566"/>
        <w:gridCol w:w="569"/>
        <w:gridCol w:w="709"/>
        <w:gridCol w:w="425"/>
        <w:gridCol w:w="566"/>
        <w:gridCol w:w="425"/>
        <w:gridCol w:w="994"/>
        <w:gridCol w:w="566"/>
        <w:gridCol w:w="708"/>
        <w:gridCol w:w="569"/>
        <w:gridCol w:w="709"/>
        <w:gridCol w:w="1207"/>
      </w:tblGrid>
      <w:tr>
        <w:trPr>
          <w:trHeight w:val="102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24"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0" w:right="55"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352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至高通 信</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84"/>
              <w:jc w:val="both"/>
              <w:rPr>
                <w:rFonts w:ascii="宋体" w:hAnsi="宋体" w:cs="宋体" w:eastAsia="宋体" w:hint="default"/>
                <w:sz w:val="18"/>
                <w:szCs w:val="18"/>
              </w:rPr>
            </w:pPr>
            <w:r>
              <w:rPr>
                <w:rFonts w:ascii="宋体" w:hAnsi="宋体" w:cs="宋体" w:eastAsia="宋体" w:hint="default"/>
                <w:sz w:val="18"/>
                <w:szCs w:val="18"/>
              </w:rPr>
              <w:t>移动 信息 化解 决方 案提 供商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3" w:right="0"/>
              <w:jc w:val="left"/>
              <w:rPr>
                <w:rFonts w:ascii="宋体" w:hAnsi="宋体" w:cs="宋体" w:eastAsia="宋体" w:hint="default"/>
                <w:sz w:val="18"/>
                <w:szCs w:val="18"/>
              </w:rPr>
            </w:pPr>
            <w:r>
              <w:rPr>
                <w:rFonts w:ascii="宋体"/>
                <w:sz w:val="18"/>
              </w:rPr>
              <w:t>800,0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sz w:val="18"/>
              </w:rPr>
              <w:t>100.0</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both"/>
              <w:rPr>
                <w:rFonts w:ascii="宋体" w:hAnsi="宋体" w:cs="宋体" w:eastAsia="宋体" w:hint="default"/>
                <w:sz w:val="18"/>
                <w:szCs w:val="18"/>
              </w:rPr>
            </w:pPr>
            <w:r>
              <w:rPr>
                <w:rFonts w:ascii="宋体" w:hAnsi="宋体" w:cs="宋体" w:eastAsia="宋体" w:hint="default"/>
                <w:sz w:val="18"/>
                <w:szCs w:val="18"/>
              </w:rPr>
              <w:t>以现金 和非公 开发行 股份相 结合的 方式向 交易对 方支付 交易对 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已完成资产 交割及过户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3" w:right="0"/>
              <w:jc w:val="center"/>
              <w:rPr>
                <w:rFonts w:ascii="宋体" w:hAnsi="宋体" w:cs="宋体" w:eastAsia="宋体" w:hint="default"/>
                <w:sz w:val="18"/>
                <w:szCs w:val="18"/>
              </w:rPr>
            </w:pPr>
            <w:r>
              <w:rPr>
                <w:rFonts w:ascii="宋体"/>
                <w:sz w:val="18"/>
              </w:rPr>
              <w:t>84,38</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0,000</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sz w:val="18"/>
              </w:rPr>
              <w:t>88,960,</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901.13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both"/>
              <w:rPr>
                <w:rFonts w:ascii="宋体" w:hAnsi="宋体" w:cs="宋体" w:eastAsia="宋体" w:hint="default"/>
                <w:sz w:val="18"/>
                <w:szCs w:val="18"/>
              </w:rPr>
            </w:pPr>
            <w:r>
              <w:rPr>
                <w:rFonts w:ascii="宋体" w:hAnsi="宋体" w:cs="宋体" w:eastAsia="宋体" w:hint="default"/>
                <w:sz w:val="18"/>
                <w:szCs w:val="18"/>
              </w:rPr>
              <w:t>关于发行股份 及支付现金购 买资产并配套 募集资金之标 的资产过户完 成的公告</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2015-082</w:t>
            </w:r>
            <w:r>
              <w:rPr>
                <w:rFonts w:ascii="宋体" w:hAnsi="宋体" w:cs="宋体" w:eastAsia="宋体" w:hint="default"/>
                <w:sz w:val="18"/>
                <w:szCs w:val="18"/>
              </w:rPr>
              <w:t>）</w:t>
            </w:r>
          </w:p>
          <w:p>
            <w:pPr>
              <w:pStyle w:val="TableParagraph"/>
              <w:spacing w:line="319" w:lineRule="auto" w:before="76"/>
              <w:ind w:left="24" w:right="91"/>
              <w:jc w:val="left"/>
              <w:rPr>
                <w:rFonts w:ascii="宋体" w:hAnsi="宋体" w:cs="宋体" w:eastAsia="宋体" w:hint="default"/>
                <w:sz w:val="18"/>
                <w:szCs w:val="18"/>
              </w:rPr>
            </w:pPr>
            <w:r>
              <w:rPr>
                <w:rFonts w:ascii="宋体" w:hAnsi="宋体" w:cs="宋体" w:eastAsia="宋体" w:hint="default"/>
                <w:sz w:val="18"/>
                <w:szCs w:val="18"/>
              </w:rPr>
              <w:t>披露于巨潮资 讯网 </w:t>
            </w:r>
            <w:hyperlink r:id="rId14">
              <w:r>
                <w:rPr>
                  <w:rFonts w:ascii="宋体" w:hAnsi="宋体" w:cs="宋体" w:eastAsia="宋体" w:hint="default"/>
                  <w:sz w:val="18"/>
                  <w:szCs w:val="18"/>
                </w:rPr>
                <w:t>www.cninfo.c</w:t>
              </w:r>
            </w:hyperlink>
            <w:r>
              <w:rPr>
                <w:rFonts w:ascii="宋体" w:hAnsi="宋体" w:cs="宋体" w:eastAsia="宋体" w:hint="default"/>
                <w:sz w:val="18"/>
                <w:szCs w:val="18"/>
              </w:rPr>
              <w:t> om.cn</w:t>
            </w:r>
          </w:p>
        </w:tc>
      </w:tr>
      <w:tr>
        <w:trPr>
          <w:trHeight w:val="102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6"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800,0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00,00</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0.00</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2"/>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84,38</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0,000</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88,960,</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901.13</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、以公允价值计量的金融资产</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w:t>
      </w:r>
      <w:r>
        <w:rPr/>
        <w:t>、募集资金使用情况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sz w:val="18"/>
              </w:rPr>
              <w:t>2013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公开发行 可转换公 司债券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97,640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10,800.17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74,269.33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sz w:val="18"/>
              </w:rPr>
              <w:t>21,243.37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21,243.37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21.76%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21,243.37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永久补充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97,640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10,800.17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74,269.33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21,243.37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21,243.37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21.76%</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21,243.37</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日募集资金余额为</w:t>
            </w:r>
            <w:r>
              <w:rPr>
                <w:rFonts w:ascii="宋体" w:hAnsi="宋体" w:cs="宋体" w:eastAsia="宋体" w:hint="default"/>
                <w:spacing w:val="-46"/>
                <w:sz w:val="18"/>
                <w:szCs w:val="18"/>
              </w:rPr>
              <w:t> </w:t>
            </w:r>
            <w:r>
              <w:rPr>
                <w:rFonts w:ascii="宋体" w:hAnsi="宋体" w:cs="宋体" w:eastAsia="宋体" w:hint="default"/>
                <w:sz w:val="18"/>
                <w:szCs w:val="18"/>
              </w:rPr>
              <w:t>21,243.37</w:t>
            </w:r>
            <w:r>
              <w:rPr>
                <w:rFonts w:ascii="宋体" w:hAnsi="宋体" w:cs="宋体" w:eastAsia="宋体" w:hint="default"/>
                <w:spacing w:val="-45"/>
                <w:sz w:val="18"/>
                <w:szCs w:val="18"/>
              </w:rPr>
              <w:t> </w:t>
            </w:r>
            <w:r>
              <w:rPr>
                <w:rFonts w:ascii="宋体" w:hAnsi="宋体" w:cs="宋体" w:eastAsia="宋体" w:hint="default"/>
                <w:sz w:val="18"/>
                <w:szCs w:val="18"/>
              </w:rPr>
              <w:t>万元，募集资金专用账户利息收入扣手续费净额共计</w:t>
            </w:r>
            <w:r>
              <w:rPr>
                <w:rFonts w:ascii="宋体" w:hAnsi="宋体" w:cs="宋体" w:eastAsia="宋体" w:hint="default"/>
                <w:spacing w:val="-46"/>
                <w:sz w:val="18"/>
                <w:szCs w:val="18"/>
              </w:rPr>
              <w:t> </w:t>
            </w:r>
            <w:r>
              <w:rPr>
                <w:rFonts w:ascii="宋体" w:hAnsi="宋体" w:cs="宋体" w:eastAsia="宋体" w:hint="default"/>
                <w:sz w:val="18"/>
                <w:szCs w:val="18"/>
              </w:rPr>
              <w:t>2,127.3</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募集资金专户余额合计为</w:t>
            </w:r>
            <w:r>
              <w:rPr>
                <w:rFonts w:ascii="宋体" w:hAnsi="宋体" w:cs="宋体" w:eastAsia="宋体" w:hint="default"/>
                <w:spacing w:val="-46"/>
                <w:sz w:val="18"/>
                <w:szCs w:val="18"/>
              </w:rPr>
              <w:t> </w:t>
            </w:r>
            <w:r>
              <w:rPr>
                <w:rFonts w:ascii="宋体" w:hAnsi="宋体" w:cs="宋体" w:eastAsia="宋体" w:hint="default"/>
                <w:sz w:val="18"/>
                <w:szCs w:val="18"/>
              </w:rPr>
              <w:t>21,243.37</w:t>
            </w:r>
            <w:r>
              <w:rPr>
                <w:rFonts w:ascii="宋体" w:hAnsi="宋体" w:cs="宋体" w:eastAsia="宋体" w:hint="default"/>
                <w:spacing w:val="-44"/>
                <w:sz w:val="18"/>
                <w:szCs w:val="18"/>
              </w:rPr>
              <w:t> </w:t>
            </w:r>
            <w:r>
              <w:rPr>
                <w:rFonts w:ascii="宋体" w:hAnsi="宋体" w:cs="宋体" w:eastAsia="宋体" w:hint="default"/>
                <w:sz w:val="18"/>
                <w:szCs w:val="18"/>
              </w:rPr>
              <w:t>万元。经</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年第二次临时股东大会审议通过，同意公司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将节余募集资金</w:t>
            </w:r>
            <w:r>
              <w:rPr>
                <w:rFonts w:ascii="宋体" w:hAnsi="宋体" w:cs="宋体" w:eastAsia="宋体" w:hint="default"/>
                <w:spacing w:val="-45"/>
                <w:sz w:val="18"/>
                <w:szCs w:val="18"/>
              </w:rPr>
              <w:t> </w:t>
            </w:r>
            <w:r>
              <w:rPr>
                <w:rFonts w:ascii="宋体" w:hAnsi="宋体" w:cs="宋体" w:eastAsia="宋体" w:hint="default"/>
                <w:sz w:val="18"/>
                <w:szCs w:val="18"/>
              </w:rPr>
              <w:t>21,243.37</w:t>
            </w:r>
            <w:r>
              <w:rPr>
                <w:rFonts w:ascii="宋体" w:hAnsi="宋体" w:cs="宋体" w:eastAsia="宋体" w:hint="default"/>
                <w:spacing w:val="-44"/>
                <w:sz w:val="18"/>
                <w:szCs w:val="18"/>
              </w:rPr>
              <w:t> </w:t>
            </w:r>
            <w:r>
              <w:rPr>
                <w:rFonts w:ascii="宋体" w:hAnsi="宋体" w:cs="宋体" w:eastAsia="宋体" w:hint="default"/>
                <w:sz w:val="18"/>
                <w:szCs w:val="18"/>
              </w:rPr>
              <w:t>万元（含利息）永久补充流动资金。自</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日，公司累计转出流动资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宋体" w:hAnsi="宋体" w:cs="宋体" w:eastAsia="宋体" w:hint="default"/>
                <w:sz w:val="18"/>
                <w:szCs w:val="18"/>
              </w:rPr>
              <w:t>10,800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708"/>
        <w:gridCol w:w="992"/>
        <w:gridCol w:w="994"/>
        <w:gridCol w:w="994"/>
        <w:gridCol w:w="992"/>
        <w:gridCol w:w="708"/>
        <w:gridCol w:w="850"/>
        <w:gridCol w:w="994"/>
        <w:gridCol w:w="425"/>
        <w:gridCol w:w="638"/>
      </w:tblGrid>
      <w:tr>
        <w:trPr>
          <w:trHeight w:val="165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3" w:right="93"/>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40" w:right="39"/>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77" w:right="38" w:hanging="135"/>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0" w:right="39"/>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29"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6" w:lineRule="auto" w:before="19"/>
              <w:ind w:left="33" w:right="32"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34" w:right="39"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4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东华基础架构 云平台项目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8,418.96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8,241.66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8,241.66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1,223.67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中小商业银行 一体化云服务 平台项目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33,029.34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11,044.25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783.86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11,044.25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4,435.52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区域性数字医 疗服务信息云 平台项目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19,065.16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18,751.06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3,200.22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18,751.06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2,102.12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智慧城市一体 化解决方案项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13,657.35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13,430.64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2,193.86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13,430.64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1,780.4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智慧矿山一体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10,258.26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10,134.71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688.26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10,134.71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1,639.18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7pt;margin-top:71.999985pt;width:478.7pt;height:694.5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9"/>
                    <w:gridCol w:w="714"/>
                    <w:gridCol w:w="992"/>
                    <w:gridCol w:w="994"/>
                    <w:gridCol w:w="994"/>
                    <w:gridCol w:w="992"/>
                    <w:gridCol w:w="708"/>
                    <w:gridCol w:w="850"/>
                    <w:gridCol w:w="994"/>
                    <w:gridCol w:w="425"/>
                    <w:gridCol w:w="638"/>
                  </w:tblGrid>
                  <w:tr>
                    <w:trPr>
                      <w:trHeight w:val="675"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2" w:right="155"/>
                          <w:jc w:val="left"/>
                          <w:rPr>
                            <w:rFonts w:ascii="宋体" w:hAnsi="宋体" w:cs="宋体" w:eastAsia="宋体" w:hint="default"/>
                            <w:sz w:val="18"/>
                            <w:szCs w:val="18"/>
                          </w:rPr>
                        </w:pPr>
                        <w:r>
                          <w:rPr>
                            <w:rFonts w:ascii="宋体" w:hAnsi="宋体" w:cs="宋体" w:eastAsia="宋体" w:hint="default"/>
                            <w:sz w:val="18"/>
                            <w:szCs w:val="18"/>
                          </w:rPr>
                          <w:t>化信息平台项 目</w:t>
                        </w:r>
                      </w:p>
                    </w:tc>
                    <w:tc>
                      <w:tcPr>
                        <w:tcW w:w="7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4"/>
                            <w:sz w:val="18"/>
                            <w:szCs w:val="18"/>
                          </w:rPr>
                          <w:t> </w:t>
                        </w: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运维 管理系统项目</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13,210.93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12,667.01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2,530.37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12,667.01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1,981.4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2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55"/>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sz w:val="18"/>
                          </w:rPr>
                          <w:t>97,640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74,269.33</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10,800.17</w:t>
                        </w:r>
                      </w:p>
                    </w:tc>
                    <w:tc>
                      <w:tcPr>
                        <w:tcW w:w="992"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sz w:val="18"/>
                          </w:rPr>
                          <w:t>74,269.33</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10" w:space="0" w:color="D2D2D2"/>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sz w:val="18"/>
                          </w:rPr>
                          <w:t>13,162.29</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259" w:type="dxa"/>
                        <w:vMerge/>
                        <w:tcBorders>
                          <w:left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4"/>
                          <w:jc w:val="right"/>
                          <w:rPr>
                            <w:rFonts w:ascii="宋体" w:hAnsi="宋体" w:cs="宋体" w:eastAsia="宋体" w:hint="default"/>
                            <w:sz w:val="18"/>
                            <w:szCs w:val="18"/>
                          </w:rPr>
                        </w:pPr>
                        <w:r>
                          <w:rPr>
                            <w:rFonts w:ascii="宋体"/>
                            <w:sz w:val="18"/>
                          </w:rPr>
                          <w:t>--</w:t>
                        </w:r>
                      </w:p>
                    </w:tc>
                    <w:tc>
                      <w:tcPr>
                        <w:tcW w:w="992"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10" w:space="0" w:color="D2D2D2"/>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94" w:type="dxa"/>
                        <w:vMerge/>
                        <w:tcBorders>
                          <w:left w:val="single" w:sz="10" w:space="0" w:color="D2D2D2"/>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1"/>
                          <w:jc w:val="right"/>
                          <w:rPr>
                            <w:rFonts w:ascii="宋体" w:hAnsi="宋体" w:cs="宋体" w:eastAsia="宋体" w:hint="default"/>
                            <w:sz w:val="18"/>
                            <w:szCs w:val="18"/>
                          </w:rPr>
                        </w:pPr>
                        <w:r>
                          <w:rPr>
                            <w:rFonts w:ascii="宋体"/>
                            <w:sz w:val="18"/>
                          </w:rPr>
                          <w:t>--</w:t>
                        </w:r>
                      </w:p>
                    </w:tc>
                  </w:tr>
                  <w:tr>
                    <w:trPr>
                      <w:trHeight w:val="166" w:hRule="exact"/>
                    </w:trPr>
                    <w:tc>
                      <w:tcPr>
                        <w:tcW w:w="1259"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10" w:space="0" w:color="D2D2D2"/>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10" w:space="0" w:color="D2D2D2"/>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4"/>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97,640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74,269.33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10,800.17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74,269.33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13,162.29</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
                          <w:jc w:val="right"/>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1"/>
                          <w:jc w:val="right"/>
                          <w:rPr>
                            <w:rFonts w:ascii="宋体" w:hAnsi="宋体" w:cs="宋体" w:eastAsia="宋体" w:hint="default"/>
                            <w:sz w:val="18"/>
                            <w:szCs w:val="18"/>
                          </w:rPr>
                        </w:pPr>
                        <w:r>
                          <w:rPr>
                            <w:rFonts w:ascii="宋体"/>
                            <w:sz w:val="18"/>
                          </w:rPr>
                          <w:t>--</w:t>
                        </w:r>
                      </w:p>
                    </w:tc>
                  </w:tr>
                  <w:tr>
                    <w:trPr>
                      <w:trHeight w:val="1340"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jc w:val="both"/>
                          <w:rPr>
                            <w:rFonts w:ascii="宋体" w:hAnsi="宋体" w:cs="宋体" w:eastAsia="宋体" w:hint="default"/>
                            <w:sz w:val="18"/>
                            <w:szCs w:val="18"/>
                          </w:rPr>
                        </w:pPr>
                        <w:r>
                          <w:rPr>
                            <w:rFonts w:ascii="宋体" w:hAnsi="宋体" w:cs="宋体" w:eastAsia="宋体" w:hint="default"/>
                            <w:sz w:val="18"/>
                            <w:szCs w:val="18"/>
                          </w:rPr>
                          <w:t>未达到计划进 度或预计收益 的情况和原因</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（分具体项目）</w:t>
                        </w:r>
                      </w:p>
                    </w:tc>
                    <w:tc>
                      <w:tcPr>
                        <w:tcW w:w="830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jc w:val="both"/>
                          <w:rPr>
                            <w:rFonts w:ascii="宋体" w:hAnsi="宋体" w:cs="宋体" w:eastAsia="宋体" w:hint="default"/>
                            <w:sz w:val="18"/>
                            <w:szCs w:val="18"/>
                          </w:rPr>
                        </w:pPr>
                        <w:r>
                          <w:rPr>
                            <w:rFonts w:ascii="宋体" w:hAnsi="宋体" w:cs="宋体" w:eastAsia="宋体" w:hint="default"/>
                            <w:sz w:val="18"/>
                            <w:szCs w:val="18"/>
                          </w:rPr>
                          <w:t>项目可行性发 生重大变化的 情况说明</w:t>
                        </w:r>
                      </w:p>
                    </w:tc>
                    <w:tc>
                      <w:tcPr>
                        <w:tcW w:w="830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
                          <w:jc w:val="left"/>
                          <w:rPr>
                            <w:rFonts w:ascii="宋体" w:hAnsi="宋体" w:cs="宋体" w:eastAsia="宋体" w:hint="default"/>
                            <w:sz w:val="18"/>
                            <w:szCs w:val="18"/>
                          </w:rPr>
                        </w:pPr>
                        <w:r>
                          <w:rPr>
                            <w:rFonts w:ascii="宋体" w:hAnsi="宋体" w:cs="宋体" w:eastAsia="宋体" w:hint="default"/>
                            <w:sz w:val="18"/>
                            <w:szCs w:val="18"/>
                          </w:rPr>
                          <w:t>超募资金的金 </w:t>
                        </w:r>
                        <w:r>
                          <w:rPr>
                            <w:rFonts w:ascii="宋体" w:hAnsi="宋体" w:cs="宋体" w:eastAsia="宋体" w:hint="default"/>
                            <w:spacing w:val="-6"/>
                            <w:sz w:val="18"/>
                            <w:szCs w:val="18"/>
                          </w:rPr>
                          <w:t>额、用途及使用</w:t>
                        </w:r>
                        <w:r>
                          <w:rPr>
                            <w:rFonts w:ascii="宋体" w:hAnsi="宋体" w:cs="宋体" w:eastAsia="宋体" w:hint="default"/>
                            <w:sz w:val="18"/>
                            <w:szCs w:val="18"/>
                          </w:rPr>
                          <w:t> 进展情况</w:t>
                        </w:r>
                      </w:p>
                    </w:tc>
                    <w:tc>
                      <w:tcPr>
                        <w:tcW w:w="830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jc w:val="both"/>
                          <w:rPr>
                            <w:rFonts w:ascii="宋体" w:hAnsi="宋体" w:cs="宋体" w:eastAsia="宋体" w:hint="default"/>
                            <w:sz w:val="18"/>
                            <w:szCs w:val="18"/>
                          </w:rPr>
                        </w:pPr>
                        <w:r>
                          <w:rPr>
                            <w:rFonts w:ascii="宋体" w:hAnsi="宋体" w:cs="宋体" w:eastAsia="宋体" w:hint="default"/>
                            <w:sz w:val="18"/>
                            <w:szCs w:val="18"/>
                          </w:rPr>
                          <w:t>募集资金投资 项目实施地点 变更情况</w:t>
                        </w:r>
                      </w:p>
                    </w:tc>
                    <w:tc>
                      <w:tcPr>
                        <w:tcW w:w="830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jc w:val="both"/>
                          <w:rPr>
                            <w:rFonts w:ascii="宋体" w:hAnsi="宋体" w:cs="宋体" w:eastAsia="宋体" w:hint="default"/>
                            <w:sz w:val="18"/>
                            <w:szCs w:val="18"/>
                          </w:rPr>
                        </w:pPr>
                        <w:r>
                          <w:rPr>
                            <w:rFonts w:ascii="宋体" w:hAnsi="宋体" w:cs="宋体" w:eastAsia="宋体" w:hint="default"/>
                            <w:sz w:val="18"/>
                            <w:szCs w:val="18"/>
                          </w:rPr>
                          <w:t>募集资金投资 项目实施方式 调整情况</w:t>
                        </w:r>
                      </w:p>
                    </w:tc>
                    <w:tc>
                      <w:tcPr>
                        <w:tcW w:w="830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jc w:val="both"/>
                          <w:rPr>
                            <w:rFonts w:ascii="宋体" w:hAnsi="宋体" w:cs="宋体" w:eastAsia="宋体" w:hint="default"/>
                            <w:sz w:val="18"/>
                            <w:szCs w:val="18"/>
                          </w:rPr>
                        </w:pPr>
                        <w:r>
                          <w:rPr>
                            <w:rFonts w:ascii="宋体" w:hAnsi="宋体" w:cs="宋体" w:eastAsia="宋体" w:hint="default"/>
                            <w:sz w:val="18"/>
                            <w:szCs w:val="18"/>
                          </w:rPr>
                          <w:t>募集资金投资 项目先期投入 及置换情况</w:t>
                        </w:r>
                      </w:p>
                    </w:tc>
                    <w:tc>
                      <w:tcPr>
                        <w:tcW w:w="830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259" w:type="dxa"/>
                        <w:vMerge w:val="restart"/>
                        <w:tcBorders>
                          <w:top w:val="single" w:sz="4" w:space="0" w:color="000000"/>
                          <w:left w:val="single" w:sz="4" w:space="0" w:color="000000"/>
                          <w:right w:val="single" w:sz="4" w:space="0" w:color="000000"/>
                        </w:tcBorders>
                        <w:shd w:val="clear" w:color="auto" w:fill="D2D2D2"/>
                      </w:tcPr>
                      <w:p>
                        <w:pPr/>
                      </w:p>
                    </w:tc>
                    <w:tc>
                      <w:tcPr>
                        <w:tcW w:w="83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1" w:hRule="exact"/>
                    </w:trPr>
                    <w:tc>
                      <w:tcPr>
                        <w:tcW w:w="1259" w:type="dxa"/>
                        <w:vMerge/>
                        <w:tcBorders>
                          <w:left w:val="single" w:sz="4" w:space="0" w:color="000000"/>
                          <w:bottom w:val="nil" w:sz="6" w:space="0" w:color="auto"/>
                          <w:right w:val="single" w:sz="4" w:space="0" w:color="000000"/>
                        </w:tcBorders>
                        <w:shd w:val="clear" w:color="auto" w:fill="D2D2D2"/>
                      </w:tcPr>
                      <w:p>
                        <w:pPr/>
                      </w:p>
                    </w:tc>
                    <w:tc>
                      <w:tcPr>
                        <w:tcW w:w="8300"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5"/>
                            <w:sz w:val="18"/>
                            <w:szCs w:val="18"/>
                          </w:rPr>
                          <w:t>1</w:t>
                        </w:r>
                        <w:r>
                          <w:rPr>
                            <w:rFonts w:ascii="宋体" w:hAnsi="宋体" w:cs="宋体" w:eastAsia="宋体" w:hint="default"/>
                            <w:spacing w:val="-15"/>
                            <w:sz w:val="18"/>
                            <w:szCs w:val="18"/>
                          </w:rPr>
                          <w:t>、经</w:t>
                        </w:r>
                        <w:r>
                          <w:rPr>
                            <w:rFonts w:ascii="宋体" w:hAnsi="宋体" w:cs="宋体" w:eastAsia="宋体" w:hint="default"/>
                            <w:spacing w:val="-7"/>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日召开的第五届董事会第十次会议审议通过，同意公司于</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日起使用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6,912</w:t>
                        </w:r>
                        <w:r>
                          <w:rPr>
                            <w:rFonts w:ascii="宋体" w:hAnsi="宋体" w:cs="宋体" w:eastAsia="宋体" w:hint="default"/>
                            <w:spacing w:val="-46"/>
                            <w:sz w:val="18"/>
                            <w:szCs w:val="18"/>
                          </w:rPr>
                          <w:t> </w:t>
                        </w:r>
                        <w:r>
                          <w:rPr>
                            <w:rFonts w:ascii="宋体" w:hAnsi="宋体" w:cs="宋体" w:eastAsia="宋体" w:hint="default"/>
                            <w:sz w:val="18"/>
                            <w:szCs w:val="18"/>
                          </w:rPr>
                          <w:t>万元闲置募集资金补充公司流动资金，该笔资金的使用期限截止</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pacing w:val="-4"/>
                            <w:sz w:val="18"/>
                            <w:szCs w:val="18"/>
                          </w:rPr>
                          <w:t>日。</w:t>
                        </w:r>
                        <w:r>
                          <w:rPr>
                            <w:rFonts w:ascii="宋体" w:hAnsi="宋体" w:cs="宋体" w:eastAsia="宋体" w:hint="default"/>
                            <w:spacing w:val="-4"/>
                            <w:sz w:val="18"/>
                            <w:szCs w:val="18"/>
                          </w:rPr>
                          <w:t>2014</w:t>
                        </w:r>
                        <w:r>
                          <w:rPr>
                            <w:rFonts w:ascii="宋体" w:hAnsi="宋体" w:cs="宋体" w:eastAsia="宋体"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2"/>
                            <w:sz w:val="18"/>
                            <w:szCs w:val="18"/>
                          </w:rPr>
                          <w:t> </w:t>
                        </w:r>
                        <w:r>
                          <w:rPr>
                            <w:rFonts w:ascii="宋体" w:hAnsi="宋体" w:cs="宋体" w:eastAsia="宋体" w:hint="default"/>
                            <w:spacing w:val="-3"/>
                            <w:sz w:val="18"/>
                            <w:szCs w:val="18"/>
                          </w:rPr>
                          <w:t>日，公司已将上述资金全部归还并转入公司募集资金专用账户。</w:t>
                        </w:r>
                        <w:r>
                          <w:rPr>
                            <w:rFonts w:ascii="宋体" w:hAnsi="宋体" w:cs="宋体" w:eastAsia="宋体" w:hint="default"/>
                            <w:spacing w:val="-3"/>
                            <w:sz w:val="18"/>
                            <w:szCs w:val="18"/>
                          </w:rPr>
                          <w:t>2</w:t>
                        </w:r>
                        <w:r>
                          <w:rPr>
                            <w:rFonts w:ascii="宋体" w:hAnsi="宋体" w:cs="宋体" w:eastAsia="宋体" w:hint="default"/>
                            <w:spacing w:val="-3"/>
                            <w:sz w:val="18"/>
                            <w:szCs w:val="18"/>
                          </w:rPr>
                          <w:t>、经</w:t>
                        </w:r>
                        <w:r>
                          <w:rPr>
                            <w:rFonts w:ascii="宋体" w:hAnsi="宋体" w:cs="宋体" w:eastAsia="宋体" w:hint="default"/>
                            <w:spacing w:val="-2"/>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日召开的第五届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董事会第十二次会议审议通过，同意公司于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日起使用</w:t>
                        </w:r>
                        <w:r>
                          <w:rPr>
                            <w:rFonts w:ascii="宋体" w:hAnsi="宋体" w:cs="宋体" w:eastAsia="宋体" w:hint="default"/>
                            <w:spacing w:val="-46"/>
                            <w:sz w:val="18"/>
                            <w:szCs w:val="18"/>
                          </w:rPr>
                          <w:t> </w:t>
                        </w:r>
                        <w:r>
                          <w:rPr>
                            <w:rFonts w:ascii="宋体" w:hAnsi="宋体" w:cs="宋体" w:eastAsia="宋体" w:hint="default"/>
                            <w:sz w:val="18"/>
                            <w:szCs w:val="18"/>
                          </w:rPr>
                          <w:t>9,900</w:t>
                        </w:r>
                        <w:r>
                          <w:rPr>
                            <w:rFonts w:ascii="宋体" w:hAnsi="宋体" w:cs="宋体" w:eastAsia="宋体" w:hint="default"/>
                            <w:spacing w:val="-44"/>
                            <w:sz w:val="18"/>
                            <w:szCs w:val="18"/>
                          </w:rPr>
                          <w:t> </w:t>
                        </w:r>
                        <w:r>
                          <w:rPr>
                            <w:rFonts w:ascii="宋体" w:hAnsi="宋体" w:cs="宋体" w:eastAsia="宋体" w:hint="default"/>
                            <w:sz w:val="18"/>
                            <w:szCs w:val="18"/>
                          </w:rPr>
                          <w:t>万元闲置募集资金补充公司</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流动资金，该笔资金的使用期限截止</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日，公司已将上述资金全部归还 并转入公司募集资金专用账户。</w:t>
                        </w:r>
                      </w:p>
                    </w:tc>
                  </w:tr>
                  <w:tr>
                    <w:trPr>
                      <w:trHeight w:val="1018" w:hRule="exact"/>
                    </w:trPr>
                    <w:tc>
                      <w:tcPr>
                        <w:tcW w:w="12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55"/>
                          <w:jc w:val="both"/>
                          <w:rPr>
                            <w:rFonts w:ascii="宋体" w:hAnsi="宋体" w:cs="宋体" w:eastAsia="宋体" w:hint="default"/>
                            <w:sz w:val="18"/>
                            <w:szCs w:val="18"/>
                          </w:rPr>
                        </w:pPr>
                        <w:r>
                          <w:rPr>
                            <w:rFonts w:ascii="宋体" w:hAnsi="宋体" w:cs="宋体" w:eastAsia="宋体" w:hint="default"/>
                            <w:sz w:val="18"/>
                            <w:szCs w:val="18"/>
                          </w:rPr>
                          <w:t>用闲置募集资 金暂时补充流 动资金情况</w:t>
                        </w:r>
                      </w:p>
                    </w:tc>
                    <w:tc>
                      <w:tcPr>
                        <w:tcW w:w="8300" w:type="dxa"/>
                        <w:gridSpan w:val="10"/>
                        <w:vMerge/>
                        <w:tcBorders>
                          <w:left w:val="single" w:sz="10" w:space="0" w:color="D2D2D2"/>
                          <w:right w:val="single" w:sz="4" w:space="0" w:color="000000"/>
                        </w:tcBorders>
                      </w:tcPr>
                      <w:p>
                        <w:pPr/>
                      </w:p>
                    </w:tc>
                  </w:tr>
                  <w:tr>
                    <w:trPr>
                      <w:trHeight w:val="673" w:hRule="exact"/>
                    </w:trPr>
                    <w:tc>
                      <w:tcPr>
                        <w:tcW w:w="12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0" w:type="dxa"/>
                        <w:gridSpan w:val="10"/>
                        <w:vMerge/>
                        <w:tcBorders>
                          <w:left w:val="single" w:sz="10" w:space="0" w:color="D2D2D2"/>
                          <w:bottom w:val="single" w:sz="4" w:space="0" w:color="000000"/>
                          <w:right w:val="single" w:sz="4" w:space="0" w:color="000000"/>
                        </w:tcBorders>
                      </w:tcPr>
                      <w:p>
                        <w:pPr/>
                      </w:p>
                    </w:tc>
                  </w:tr>
                  <w:tr>
                    <w:trPr>
                      <w:trHeight w:val="403" w:hRule="exact"/>
                    </w:trPr>
                    <w:tc>
                      <w:tcPr>
                        <w:tcW w:w="125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77" w:hRule="exact"/>
                    </w:trPr>
                    <w:tc>
                      <w:tcPr>
                        <w:tcW w:w="12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155"/>
                          <w:jc w:val="both"/>
                          <w:rPr>
                            <w:rFonts w:ascii="宋体" w:hAnsi="宋体" w:cs="宋体" w:eastAsia="宋体" w:hint="default"/>
                            <w:sz w:val="18"/>
                            <w:szCs w:val="18"/>
                          </w:rPr>
                        </w:pPr>
                        <w:r>
                          <w:rPr>
                            <w:rFonts w:ascii="宋体" w:hAnsi="宋体" w:cs="宋体" w:eastAsia="宋体" w:hint="default"/>
                            <w:sz w:val="18"/>
                            <w:szCs w:val="18"/>
                          </w:rPr>
                          <w:t>项目实施出现 募集资金结余 的金额及原因</w:t>
                        </w:r>
                      </w:p>
                    </w:tc>
                    <w:tc>
                      <w:tcPr>
                        <w:tcW w:w="8300"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pacing w:val="-1"/>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pacing w:val="-1"/>
                            <w:sz w:val="18"/>
                            <w:szCs w:val="18"/>
                          </w:rPr>
                          <w:t>日节余募集资金</w:t>
                        </w:r>
                        <w:r>
                          <w:rPr>
                            <w:rFonts w:ascii="宋体" w:hAnsi="宋体" w:cs="宋体" w:eastAsia="宋体" w:hint="default"/>
                            <w:spacing w:val="-43"/>
                            <w:sz w:val="18"/>
                            <w:szCs w:val="18"/>
                          </w:rPr>
                          <w:t> </w:t>
                        </w:r>
                        <w:r>
                          <w:rPr>
                            <w:rFonts w:ascii="宋体" w:hAnsi="宋体" w:cs="宋体" w:eastAsia="宋体" w:hint="default"/>
                            <w:spacing w:val="-1"/>
                            <w:sz w:val="18"/>
                            <w:szCs w:val="18"/>
                          </w:rPr>
                          <w:t>21,243.37</w:t>
                        </w:r>
                        <w:r>
                          <w:rPr>
                            <w:rFonts w:ascii="宋体" w:hAnsi="宋体" w:cs="宋体" w:eastAsia="宋体" w:hint="default"/>
                            <w:spacing w:val="-41"/>
                            <w:sz w:val="18"/>
                            <w:szCs w:val="18"/>
                          </w:rPr>
                          <w:t> </w:t>
                        </w:r>
                        <w:r>
                          <w:rPr>
                            <w:rFonts w:ascii="宋体" w:hAnsi="宋体" w:cs="宋体" w:eastAsia="宋体" w:hint="default"/>
                            <w:spacing w:val="-6"/>
                            <w:sz w:val="18"/>
                            <w:szCs w:val="18"/>
                          </w:rPr>
                          <w:t>万元（含利息），节余募集资金主要为场地建设楼房购置</w:t>
                        </w:r>
                        <w:r>
                          <w:rPr>
                            <w:rFonts w:ascii="宋体" w:hAnsi="宋体" w:cs="宋体" w:eastAsia="宋体" w:hint="default"/>
                            <w:sz w:val="18"/>
                            <w:szCs w:val="18"/>
                          </w:rPr>
                          <w:t> </w:t>
                        </w:r>
                        <w:r>
                          <w:rPr>
                            <w:rFonts w:ascii="宋体" w:hAnsi="宋体" w:cs="宋体" w:eastAsia="宋体" w:hint="default"/>
                            <w:spacing w:val="-3"/>
                            <w:sz w:val="18"/>
                            <w:szCs w:val="18"/>
                          </w:rPr>
                          <w:t>费用。鉴于国内经济增速放缓，房地产市场步入调整周期，一线城市的写字楼市场出现了供大于求的情况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伴随着竞争加剧，业内普遍认同未来一线城市写字楼价格将呈现下降趋势。因此，公司从降低物业购买风</w:t>
                        </w:r>
                        <w:r>
                          <w:rPr>
                            <w:rFonts w:ascii="宋体" w:hAnsi="宋体" w:cs="宋体" w:eastAsia="宋体" w:hint="default"/>
                            <w:sz w:val="18"/>
                            <w:szCs w:val="18"/>
                          </w:rPr>
                          <w:t> 险，提高资金使用效率的角度出发，拟取消原定购买写字楼的计划。</w:t>
                        </w:r>
                      </w:p>
                    </w:tc>
                  </w:tr>
                  <w:tr>
                    <w:trPr>
                      <w:trHeight w:val="360" w:hRule="exact"/>
                    </w:trPr>
                    <w:tc>
                      <w:tcPr>
                        <w:tcW w:w="12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0"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90"/>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1276"/>
        <w:gridCol w:w="8294"/>
      </w:tblGrid>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尚未使用的募 集资金用途及 去向</w:t>
            </w:r>
          </w:p>
        </w:tc>
        <w:tc>
          <w:tcPr>
            <w:tcW w:w="8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1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年第二次临时股东大会审议通过，同意公司将节余募集资金</w:t>
            </w:r>
            <w:r>
              <w:rPr>
                <w:rFonts w:ascii="宋体" w:hAnsi="宋体" w:cs="宋体" w:eastAsia="宋体" w:hint="default"/>
                <w:spacing w:val="-45"/>
                <w:sz w:val="18"/>
                <w:szCs w:val="18"/>
              </w:rPr>
              <w:t> </w:t>
            </w:r>
            <w:r>
              <w:rPr>
                <w:rFonts w:ascii="宋体" w:hAnsi="宋体" w:cs="宋体" w:eastAsia="宋体" w:hint="default"/>
                <w:sz w:val="18"/>
                <w:szCs w:val="18"/>
              </w:rPr>
              <w:t>21,243.37 </w:t>
            </w:r>
            <w:r>
              <w:rPr>
                <w:rFonts w:ascii="宋体" w:hAnsi="宋体" w:cs="宋体" w:eastAsia="宋体" w:hint="default"/>
                <w:sz w:val="18"/>
                <w:szCs w:val="18"/>
              </w:rPr>
              <w:t>万元（含利息）永久补充流动资金。</w:t>
            </w:r>
          </w:p>
        </w:tc>
      </w:tr>
      <w:tr>
        <w:trPr>
          <w:trHeight w:val="133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募集资金使用 及披露中存在 的问题或其他 情况</w:t>
            </w:r>
          </w:p>
        </w:tc>
        <w:tc>
          <w:tcPr>
            <w:tcW w:w="8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392" w:right="7174"/>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392" w:right="7174"/>
        <w:jc w:val="left"/>
      </w:pPr>
      <w:r>
        <w:rPr/>
        <w:t>□ 适用 √</w:t>
      </w:r>
      <w:r>
        <w:rPr>
          <w:spacing w:val="3"/>
        </w:rPr>
        <w:t> </w:t>
      </w:r>
      <w:r>
        <w:rPr/>
        <w:t>不适用</w:t>
      </w:r>
      <w:r>
        <w:rPr/>
        <w:t> 公司报告期不存在募集资金变更项目情况。</w:t>
      </w:r>
    </w:p>
    <w:p>
      <w:pPr>
        <w:spacing w:line="240" w:lineRule="auto" w:before="7"/>
        <w:rPr>
          <w:rFonts w:ascii="宋体" w:hAnsi="宋体" w:cs="宋体" w:eastAsia="宋体" w:hint="default"/>
          <w:sz w:val="18"/>
          <w:szCs w:val="18"/>
        </w:rPr>
      </w:pPr>
    </w:p>
    <w:p>
      <w:pPr>
        <w:pStyle w:val="Heading2"/>
        <w:spacing w:line="240" w:lineRule="auto"/>
        <w:ind w:left="392" w:right="717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7174"/>
        <w:jc w:val="left"/>
        <w:rPr>
          <w:b w:val="0"/>
          <w:bCs w:val="0"/>
        </w:rPr>
      </w:pPr>
      <w:r>
        <w:rPr>
          <w:rFonts w:ascii="宋体" w:hAnsi="宋体" w:cs="宋体" w:eastAsia="宋体" w:hint="default"/>
        </w:rPr>
        <w:t>1</w:t>
      </w:r>
      <w:r>
        <w:rPr/>
        <w:t>、出售重大资产情况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left="392" w:right="8254"/>
        <w:jc w:val="left"/>
      </w:pPr>
      <w:r>
        <w:rPr/>
        <w:t>□ 适用 √</w:t>
      </w:r>
      <w:r>
        <w:rPr>
          <w:spacing w:val="3"/>
        </w:rPr>
        <w:t> </w:t>
      </w:r>
      <w:r>
        <w:rPr/>
        <w:t>不适用</w:t>
      </w:r>
      <w:r>
        <w:rPr/>
        <w:t> 公司报告期未出售重大资产。</w:t>
      </w:r>
    </w:p>
    <w:p>
      <w:pPr>
        <w:spacing w:line="240" w:lineRule="auto" w:before="4"/>
        <w:rPr>
          <w:rFonts w:ascii="宋体" w:hAnsi="宋体" w:cs="宋体" w:eastAsia="宋体" w:hint="default"/>
          <w:sz w:val="20"/>
          <w:szCs w:val="20"/>
        </w:rPr>
      </w:pPr>
    </w:p>
    <w:p>
      <w:pPr>
        <w:pStyle w:val="Heading3"/>
        <w:spacing w:line="240" w:lineRule="auto"/>
        <w:ind w:left="392" w:right="7174"/>
        <w:jc w:val="left"/>
        <w:rPr>
          <w:b w:val="0"/>
          <w:bCs w:val="0"/>
        </w:rPr>
      </w:pPr>
      <w:r>
        <w:rPr>
          <w:rFonts w:ascii="宋体" w:hAnsi="宋体" w:cs="宋体" w:eastAsia="宋体" w:hint="default"/>
        </w:rPr>
        <w:t>2</w:t>
      </w:r>
      <w:r>
        <w:rPr/>
        <w:t>、出售重大股权情况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392" w:right="717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left="392" w:right="7174"/>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740" w:right="160"/>
        </w:sectPr>
      </w:pPr>
    </w:p>
    <w:p>
      <w:pPr>
        <w:pStyle w:val="BodyText"/>
        <w:spacing w:line="240" w:lineRule="auto" w:before="44"/>
        <w:ind w:left="392" w:right="-18"/>
        <w:jc w:val="left"/>
      </w:pPr>
      <w:r>
        <w:rPr/>
        <w:t>√ 适用 □</w:t>
      </w:r>
      <w:r>
        <w:rPr>
          <w:spacing w:val="3"/>
        </w:rPr>
        <w:t> </w:t>
      </w:r>
      <w:r>
        <w:rPr/>
        <w:t>不适用</w:t>
      </w:r>
    </w:p>
    <w:p>
      <w:pPr>
        <w:pStyle w:val="BodyText"/>
        <w:spacing w:line="240" w:lineRule="auto" w:before="117"/>
        <w:ind w:left="392" w:right="-18"/>
        <w:jc w:val="left"/>
      </w:pPr>
      <w:r>
        <w:rPr/>
        <w:t>主要子公司及对公司净利润影响达</w:t>
      </w:r>
      <w:r>
        <w:rPr>
          <w:spacing w:val="-44"/>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92" w:right="0"/>
        <w:jc w:val="left"/>
      </w:pPr>
      <w:r>
        <w:rPr/>
        <w:t>单位：元</w:t>
      </w:r>
    </w:p>
    <w:p>
      <w:pPr>
        <w:spacing w:after="0" w:line="240" w:lineRule="auto"/>
        <w:jc w:val="left"/>
        <w:sectPr>
          <w:type w:val="continuous"/>
          <w:pgSz w:w="11910" w:h="16840"/>
          <w:pgMar w:top="1060" w:bottom="1160" w:left="740" w:right="160"/>
          <w:cols w:num="2" w:equalWidth="0">
            <w:col w:w="5031" w:space="3889"/>
            <w:col w:w="2090"/>
          </w:cols>
        </w:sectPr>
      </w:pP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合创科技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615,289,006.56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429,258,369.34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401,658,088.68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35,132,279.34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38,317,359.78</w:t>
            </w:r>
          </w:p>
        </w:tc>
      </w:tr>
      <w:tr>
        <w:trPr>
          <w:trHeight w:val="13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广州东华 合创数码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sz w:val="18"/>
              </w:rPr>
              <w:t>1,000,000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1,805,604.40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-384,345.60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1,000,392.35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-471,096.63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-471,096.63</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北京联银 通科技有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329,628,549.04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296,820,360.75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225,863,006.08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37,370,372.39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38,160,113.55</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94"/>
              <w:jc w:val="left"/>
              <w:rPr>
                <w:rFonts w:ascii="宋体" w:hAnsi="宋体" w:cs="宋体" w:eastAsia="宋体" w:hint="default"/>
                <w:sz w:val="18"/>
                <w:szCs w:val="18"/>
              </w:rPr>
            </w:pPr>
            <w:r>
              <w:rPr>
                <w:rFonts w:ascii="宋体" w:hAnsi="宋体" w:cs="宋体" w:eastAsia="宋体" w:hint="default"/>
                <w:sz w:val="18"/>
                <w:szCs w:val="18"/>
              </w:rPr>
              <w:t>泰安东华 合创软件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38,000,000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72,203,007.08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28,362,169.60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64,803,140.17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-6,152,285.05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-5,942,904.74</w:t>
            </w:r>
          </w:p>
        </w:tc>
      </w:tr>
    </w:tbl>
    <w:p>
      <w:pPr>
        <w:spacing w:after="0" w:line="240" w:lineRule="auto"/>
        <w:jc w:val="right"/>
        <w:rPr>
          <w:rFonts w:ascii="宋体" w:hAnsi="宋体" w:cs="宋体" w:eastAsia="宋体" w:hint="default"/>
          <w:sz w:val="18"/>
          <w:szCs w:val="18"/>
        </w:rPr>
        <w:sectPr>
          <w:type w:val="continuous"/>
          <w:pgSz w:w="11910" w:h="16840"/>
          <w:pgMar w:top="1060" w:bottom="1160" w:left="74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36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合创香港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99"/>
              <w:jc w:val="left"/>
              <w:rPr>
                <w:rFonts w:ascii="宋体" w:hAnsi="宋体" w:cs="宋体" w:eastAsia="宋体" w:hint="default"/>
                <w:sz w:val="18"/>
                <w:szCs w:val="18"/>
              </w:rPr>
            </w:pPr>
            <w:r>
              <w:rPr>
                <w:rFonts w:ascii="宋体"/>
                <w:sz w:val="18"/>
              </w:rPr>
              <w:t>HKD 10,000,000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13,134,624.08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637,307.96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2,575,647.70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-16,068.18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-33,580.48</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东华软件 工程有限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286,122,562.83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270,863,196.74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160,772,605.68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3,303,888.38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10,953,020.25</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北京厚盾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588,686.71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-7,821,498.53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-682,773.91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-682,773.91</w:t>
            </w:r>
          </w:p>
        </w:tc>
      </w:tr>
      <w:tr>
        <w:trPr>
          <w:trHeight w:val="10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哈尔滨东 华软件有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20,000,000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14,990,375.52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10,091,741.80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278,301.88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-5,848,633.41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-5,848,633.41</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东华合创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35,888,794.08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30,712,076.44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14,386,873.05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-6,989,296.99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-6,989,296.99</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东华软件 技术有限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59,632,812.06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39,214,085.49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33,775,248.12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-548,118.85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-548,118.85</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东华合创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33,932,401.17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27,951,384.73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152,136.76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-8,340,242.15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-8,340,242.15</w:t>
            </w:r>
          </w:p>
        </w:tc>
      </w:tr>
      <w:tr>
        <w:trPr>
          <w:trHeight w:val="10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厚盾软件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13,038,627.40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7,122,972.06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7,966,356.41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-2,329,346.13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-1,818,602.51</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易时科技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20,000,000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5,966,332.87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-27,523,205.36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2,816,031.83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-8,163,581.78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-8,163,717.17</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北京神州 新桥科技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120,000,000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1,062,018,109.</w:t>
            </w:r>
          </w:p>
          <w:p>
            <w:pPr>
              <w:pStyle w:val="TableParagraph"/>
              <w:spacing w:line="240" w:lineRule="auto" w:before="76"/>
              <w:ind w:right="17"/>
              <w:jc w:val="right"/>
              <w:rPr>
                <w:rFonts w:ascii="宋体" w:hAnsi="宋体" w:cs="宋体" w:eastAsia="宋体" w:hint="default"/>
                <w:sz w:val="18"/>
                <w:szCs w:val="18"/>
              </w:rPr>
            </w:pPr>
            <w:r>
              <w:rPr>
                <w:rFonts w:ascii="宋体"/>
                <w:sz w:val="18"/>
              </w:rPr>
              <w:t>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363,084,449.46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932,251,948.31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67,109,689.98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59,055,173.30</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沈阳普林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20,000,000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9,862,839.83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1,821,372.13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1,789,472.13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-8,205,025.17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-8,205,026.33</w:t>
            </w:r>
          </w:p>
        </w:tc>
      </w:tr>
      <w:tr>
        <w:trPr>
          <w:trHeight w:val="10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西安东华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85,474,565.78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79,812,159.95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43,468,399.19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-17,819,535.58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-14,007,109.5</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南昌东华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42,912,523.57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41,925,781.30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147,001.54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-4,637,851.29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-4,640,207.81</w:t>
            </w:r>
          </w:p>
        </w:tc>
      </w:tr>
    </w:tbl>
    <w:p>
      <w:pPr>
        <w:spacing w:after="0" w:line="240" w:lineRule="auto"/>
        <w:jc w:val="right"/>
        <w:rPr>
          <w:rFonts w:ascii="宋体" w:hAnsi="宋体" w:cs="宋体" w:eastAsia="宋体" w:hint="default"/>
          <w:sz w:val="18"/>
          <w:szCs w:val="18"/>
        </w:rPr>
        <w:sectPr>
          <w:pgSz w:w="11910" w:h="16840"/>
          <w:pgMar w:header="745" w:footer="980" w:top="1060" w:bottom="1160" w:left="74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山西东华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45,537,170.16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34,625,127.54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17,070,535.68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-8,257,351.92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-8,299,709.30</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sz w:val="18"/>
              </w:rPr>
              <w:t>10,000,000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22,892,540.07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pacing w:val="-1"/>
                <w:sz w:val="18"/>
              </w:rPr>
              <w:t>-10,978,180.14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21,501,142.15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-69,446.26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-69,446.26</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信息技术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2,000,000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3,771,803.37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-5,608,195.27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1,790,156.40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1,544,804.96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1,547,198.12</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东华软件 开发有限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6,390,810.38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pacing w:val="-1"/>
                <w:sz w:val="18"/>
              </w:rPr>
              <w:t>6,381,637.71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-2,218,431.17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-2,218,431.17</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天津东华 博雅软件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65,537,335.10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52,929,550.87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104,384,795.08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22,889,322.02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20,419,774.07</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东华星联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sz w:val="18"/>
              </w:rPr>
              <w:t>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186,057,507.64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pacing w:val="-1"/>
                <w:sz w:val="18"/>
              </w:rPr>
              <w:t>177,974,138.63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-14,665,608.91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-14,665,608.9</w:t>
            </w:r>
          </w:p>
          <w:p>
            <w:pPr>
              <w:pStyle w:val="TableParagraph"/>
              <w:spacing w:line="240" w:lineRule="auto" w:before="74"/>
              <w:ind w:right="23"/>
              <w:jc w:val="right"/>
              <w:rPr>
                <w:rFonts w:ascii="宋体" w:hAnsi="宋体" w:cs="宋体" w:eastAsia="宋体" w:hint="default"/>
                <w:sz w:val="18"/>
                <w:szCs w:val="18"/>
              </w:rPr>
            </w:pPr>
            <w:r>
              <w:rPr>
                <w:rFonts w:ascii="宋体"/>
                <w:sz w:val="18"/>
              </w:rPr>
              <w:t>0</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东华云计 算有限公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63,140,152.63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62,217,468.04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-3,057,500.83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-3,054,500.83</w:t>
            </w:r>
          </w:p>
        </w:tc>
      </w:tr>
      <w:tr>
        <w:trPr>
          <w:trHeight w:val="13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北京光明 数据信息 技术有限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sz w:val="18"/>
              </w:rPr>
              <w:t>1,000,000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936,820.82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pacing w:val="-1"/>
                <w:sz w:val="18"/>
              </w:rPr>
              <w:t>663,415.50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47,169.80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-319,083.71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-319,083.71</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北京威锐 达测控系 统有限公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测控系统和 机电产品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sz w:val="18"/>
              </w:rPr>
              <w:t>12,100,000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217,824,531.66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208,074,460.41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130,655,400.46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76,855,080.73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76,604,370.47</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兰州东华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sz w:val="18"/>
              </w:rPr>
              <w:t>5,000,000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49,952.32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-58,249.93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-1,872,131.70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-1,872,131.70</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健康乐软 件有限公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66,209,443.26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56,751,137.15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46,976,486.30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-1,899,815.45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-1,899,138.24</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东华智慧 城市股份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17,176,248.14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pacing w:val="-1"/>
                <w:sz w:val="18"/>
              </w:rPr>
              <w:t>16,385,875.14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178,592.15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-5,861,939.92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-5,182,439.92</w:t>
            </w:r>
          </w:p>
        </w:tc>
      </w:tr>
      <w:tr>
        <w:trPr>
          <w:trHeight w:val="98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深圳市至 高通信技 术发展有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sz w:val="18"/>
              </w:rPr>
              <w:t>95,000,000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9"/>
              <w:jc w:val="right"/>
              <w:rPr>
                <w:rFonts w:ascii="宋体" w:hAnsi="宋体" w:cs="宋体" w:eastAsia="宋体" w:hint="default"/>
                <w:sz w:val="18"/>
                <w:szCs w:val="18"/>
              </w:rPr>
            </w:pPr>
            <w:r>
              <w:rPr>
                <w:rFonts w:ascii="宋体"/>
                <w:spacing w:val="-1"/>
                <w:sz w:val="18"/>
              </w:rPr>
              <w:t>573,597,997.67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2"/>
              <w:jc w:val="right"/>
              <w:rPr>
                <w:rFonts w:ascii="宋体" w:hAnsi="宋体" w:cs="宋体" w:eastAsia="宋体" w:hint="default"/>
                <w:sz w:val="18"/>
                <w:szCs w:val="18"/>
              </w:rPr>
            </w:pPr>
            <w:r>
              <w:rPr>
                <w:rFonts w:ascii="宋体"/>
                <w:spacing w:val="-1"/>
                <w:sz w:val="18"/>
              </w:rPr>
              <w:t>293,091,826.72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9"/>
              <w:jc w:val="right"/>
              <w:rPr>
                <w:rFonts w:ascii="宋体" w:hAnsi="宋体" w:cs="宋体" w:eastAsia="宋体" w:hint="default"/>
                <w:sz w:val="18"/>
                <w:szCs w:val="18"/>
              </w:rPr>
            </w:pPr>
            <w:r>
              <w:rPr>
                <w:rFonts w:ascii="宋体"/>
                <w:spacing w:val="-1"/>
                <w:sz w:val="18"/>
              </w:rPr>
              <w:t>666,884,329.49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0"/>
              <w:jc w:val="right"/>
              <w:rPr>
                <w:rFonts w:ascii="宋体" w:hAnsi="宋体" w:cs="宋体" w:eastAsia="宋体" w:hint="default"/>
                <w:sz w:val="18"/>
                <w:szCs w:val="18"/>
              </w:rPr>
            </w:pPr>
            <w:r>
              <w:rPr>
                <w:rFonts w:ascii="宋体"/>
                <w:spacing w:val="-1"/>
                <w:sz w:val="18"/>
              </w:rPr>
              <w:t>93,455,077.48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宋体" w:hAnsi="宋体" w:cs="宋体" w:eastAsia="宋体" w:hint="default"/>
                <w:sz w:val="18"/>
                <w:szCs w:val="18"/>
              </w:rPr>
            </w:pPr>
            <w:r>
              <w:rPr>
                <w:rFonts w:ascii="宋体"/>
                <w:spacing w:val="-1"/>
                <w:sz w:val="18"/>
              </w:rPr>
              <w:t>94,513,582.71</w:t>
            </w:r>
          </w:p>
        </w:tc>
      </w:tr>
    </w:tbl>
    <w:p>
      <w:pPr>
        <w:spacing w:after="0" w:line="240" w:lineRule="auto"/>
        <w:jc w:val="right"/>
        <w:rPr>
          <w:rFonts w:ascii="宋体" w:hAnsi="宋体" w:cs="宋体" w:eastAsia="宋体" w:hint="default"/>
          <w:sz w:val="18"/>
          <w:szCs w:val="18"/>
        </w:rPr>
        <w:sectPr>
          <w:pgSz w:w="11910" w:h="16840"/>
          <w:pgMar w:header="745" w:footer="980" w:top="1060" w:bottom="1160" w:left="74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36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东华博育 云有限公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24,694,414.64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24,687,650.73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20,581,904.77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-333,849.27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-333,849.27</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内蒙古东 华软件有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631,477.82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546,811.78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220,803.10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-1,179,238.22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-1,178,188.22</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合力东华</w:t>
            </w:r>
          </w:p>
          <w:p>
            <w:pPr>
              <w:pStyle w:val="TableParagraph"/>
              <w:spacing w:line="316" w:lineRule="auto" w:before="76"/>
              <w:ind w:left="24" w:right="94"/>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5,397,865.42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5,074,031.03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5,663,578.05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104,210.73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74,031.03</w:t>
            </w:r>
          </w:p>
        </w:tc>
      </w:tr>
      <w:tr>
        <w:trPr>
          <w:trHeight w:val="10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万兴软件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7,654,052.08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7,083,775.33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12,067,116.67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-8,545,259.70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-7,360,538.35</w:t>
            </w:r>
          </w:p>
        </w:tc>
      </w:tr>
      <w:tr>
        <w:trPr>
          <w:trHeight w:val="71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东华网络 股份公司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10,500,525.12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9,635,903.06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-598,676.94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-597,856.94</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苏州东华 软件科技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20,124,208.60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19,805,216.12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17,611,136.18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-193,879.06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-194,783.88</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p>
            <w:pPr>
              <w:pStyle w:val="TableParagraph"/>
              <w:spacing w:line="316" w:lineRule="auto" w:before="76"/>
              <w:ind w:left="24" w:right="94"/>
              <w:jc w:val="left"/>
              <w:rPr>
                <w:rFonts w:ascii="宋体" w:hAnsi="宋体" w:cs="宋体" w:eastAsia="宋体" w:hint="default"/>
                <w:sz w:val="18"/>
                <w:szCs w:val="18"/>
              </w:rPr>
            </w:pPr>
            <w:r>
              <w:rPr>
                <w:rFonts w:ascii="宋体" w:hAnsi="宋体" w:cs="宋体" w:eastAsia="宋体" w:hint="default"/>
                <w:sz w:val="18"/>
                <w:szCs w:val="18"/>
              </w:rPr>
              <w:t>（绵阳）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r>
      <w:tr>
        <w:trPr>
          <w:trHeight w:val="13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东华互联 宜家数据 服务有限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sz w:val="18"/>
              </w:rPr>
              <w:t>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207,015,811.73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191,816,024.60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49,503,884.67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-8,183,975.49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-8,183,975.40</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东华软件 威海有限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0.00</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海南东华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28,665,122.84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25,458,200.84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50,866,362.39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-41,799.16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-41,799.16</w:t>
            </w:r>
          </w:p>
        </w:tc>
      </w:tr>
      <w:tr>
        <w:trPr>
          <w:trHeight w:val="164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北京东华 智中能源 互联网科 技有限公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20,000,000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133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吉林省东 华软件信 息工程有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7"/>
              <w:jc w:val="left"/>
              <w:rPr>
                <w:rFonts w:ascii="宋体" w:hAnsi="宋体" w:cs="宋体" w:eastAsia="宋体" w:hint="default"/>
                <w:sz w:val="18"/>
                <w:szCs w:val="18"/>
              </w:rPr>
            </w:pPr>
            <w:r>
              <w:rPr>
                <w:rFonts w:ascii="宋体" w:hAnsi="宋体" w:cs="宋体" w:eastAsia="宋体" w:hint="default"/>
                <w:sz w:val="18"/>
                <w:szCs w:val="18"/>
              </w:rPr>
              <w:t>软件开发和 系统集成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sz w:val="18"/>
              </w:rPr>
              <w:t>20,000,000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5" w:footer="980" w:top="1060" w:bottom="1160" w:left="74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289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软件开发、销 售；计算机系 统集成及技 术应用服务； 办公设备、电 子产品、网络 设备、计算机 及配件批发、 代购代销。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1,500,000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949,639.51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102,701.28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r>
      <w:tr>
        <w:trPr>
          <w:trHeight w:val="227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家禽家畜有 种、养殖、加 工、收购、销 售；饲料加 工、销售；粮 食收购；养殖 技术咨询。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sz w:val="18"/>
              </w:rPr>
              <w:t>68,700,000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宋体" w:hAnsi="宋体" w:cs="宋体" w:eastAsia="宋体" w:hint="default"/>
                <w:sz w:val="18"/>
                <w:szCs w:val="18"/>
              </w:rPr>
            </w:pPr>
            <w:r>
              <w:rPr>
                <w:rFonts w:ascii="宋体"/>
                <w:spacing w:val="-1"/>
                <w:sz w:val="18"/>
              </w:rPr>
              <w:t>507,152,340.23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2"/>
              <w:jc w:val="right"/>
              <w:rPr>
                <w:rFonts w:ascii="宋体" w:hAnsi="宋体" w:cs="宋体" w:eastAsia="宋体" w:hint="default"/>
                <w:sz w:val="18"/>
                <w:szCs w:val="18"/>
              </w:rPr>
            </w:pPr>
            <w:r>
              <w:rPr>
                <w:rFonts w:ascii="宋体"/>
                <w:spacing w:val="-1"/>
                <w:sz w:val="18"/>
              </w:rPr>
              <w:t>65,035,023.07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宋体" w:hAnsi="宋体" w:cs="宋体" w:eastAsia="宋体" w:hint="default"/>
                <w:sz w:val="18"/>
                <w:szCs w:val="18"/>
              </w:rPr>
            </w:pPr>
            <w:r>
              <w:rPr>
                <w:rFonts w:ascii="宋体"/>
                <w:spacing w:val="-1"/>
                <w:sz w:val="18"/>
              </w:rPr>
              <w:t>286,163,194.13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宋体"/>
                <w:spacing w:val="-1"/>
                <w:sz w:val="18"/>
              </w:rPr>
              <w:t>-36,996,552.64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-36,736,744.1</w:t>
            </w:r>
          </w:p>
          <w:p>
            <w:pPr>
              <w:pStyle w:val="TableParagraph"/>
              <w:spacing w:line="240" w:lineRule="auto" w:before="74"/>
              <w:ind w:right="23"/>
              <w:jc w:val="right"/>
              <w:rPr>
                <w:rFonts w:ascii="宋体" w:hAnsi="宋体" w:cs="宋体" w:eastAsia="宋体" w:hint="default"/>
                <w:sz w:val="18"/>
                <w:szCs w:val="18"/>
              </w:rPr>
            </w:pPr>
            <w:r>
              <w:rPr>
                <w:rFonts w:ascii="宋体"/>
                <w:sz w:val="18"/>
              </w:rPr>
              <w:t>5</w:t>
            </w:r>
          </w:p>
        </w:tc>
      </w:tr>
      <w:tr>
        <w:trPr>
          <w:trHeight w:val="164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4"/>
              <w:jc w:val="both"/>
              <w:rPr>
                <w:rFonts w:ascii="宋体" w:hAnsi="宋体" w:cs="宋体" w:eastAsia="宋体" w:hint="default"/>
                <w:sz w:val="18"/>
                <w:szCs w:val="18"/>
              </w:rPr>
            </w:pPr>
            <w:r>
              <w:rPr>
                <w:rFonts w:ascii="宋体" w:hAnsi="宋体" w:cs="宋体" w:eastAsia="宋体" w:hint="default"/>
                <w:sz w:val="18"/>
                <w:szCs w:val="18"/>
              </w:rPr>
              <w:t>北京东方 通科技股 份有限公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技术推广；软 件服务；销售 计算机、软 件、及辅助设 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115,220,300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925,611,300.00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840,900,700.00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236,439,500.00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47,415,800.00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70,609,200.00</w:t>
            </w:r>
          </w:p>
        </w:tc>
      </w:tr>
      <w:tr>
        <w:trPr>
          <w:trHeight w:val="13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系统集成和 软件开发、提 供全面解决 方案。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sz w:val="18"/>
              </w:rPr>
              <w:t>10,500,000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12,061,010.56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pacing w:val="-1"/>
                <w:sz w:val="18"/>
              </w:rPr>
              <w:t>9,113,377.23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179,872.07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-270,360.73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-270,360.73</w:t>
            </w:r>
          </w:p>
        </w:tc>
      </w:tr>
      <w:tr>
        <w:trPr>
          <w:trHeight w:val="352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z w:val="18"/>
                <w:szCs w:val="18"/>
              </w:rPr>
              <w:t>海南银行 股份公司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吸收公众存 款；发放短 期、中期和长 期贷款；办理 国内外结算； 办理票据承 兑与贴现；发 行金融债券； 代理发行、代 理兑付、承销 政府债券。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3,000,000,0</w:t>
            </w:r>
          </w:p>
          <w:p>
            <w:pPr>
              <w:pStyle w:val="TableParagraph"/>
              <w:spacing w:line="240" w:lineRule="auto" w:before="76"/>
              <w:ind w:left="24" w:right="0"/>
              <w:jc w:val="left"/>
              <w:rPr>
                <w:rFonts w:ascii="宋体" w:hAnsi="宋体" w:cs="宋体" w:eastAsia="宋体" w:hint="default"/>
                <w:sz w:val="18"/>
                <w:szCs w:val="18"/>
              </w:rPr>
            </w:pPr>
            <w:r>
              <w:rPr>
                <w:rFonts w:ascii="宋体"/>
                <w:sz w:val="18"/>
              </w:rPr>
              <w:t>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10,563,437,218</w:t>
            </w:r>
          </w:p>
          <w:p>
            <w:pPr>
              <w:pStyle w:val="TableParagraph"/>
              <w:spacing w:line="240" w:lineRule="auto" w:before="76"/>
              <w:ind w:right="17"/>
              <w:jc w:val="right"/>
              <w:rPr>
                <w:rFonts w:ascii="宋体" w:hAnsi="宋体" w:cs="宋体" w:eastAsia="宋体" w:hint="default"/>
                <w:sz w:val="18"/>
                <w:szCs w:val="18"/>
              </w:rPr>
            </w:pPr>
            <w:r>
              <w:rPr>
                <w:rFonts w:ascii="宋体"/>
                <w:sz w:val="18"/>
              </w:rPr>
              <w:t>.41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4,000,301,655.</w:t>
            </w:r>
          </w:p>
          <w:p>
            <w:pPr>
              <w:pStyle w:val="TableParagraph"/>
              <w:spacing w:line="240" w:lineRule="auto" w:before="76"/>
              <w:ind w:right="19"/>
              <w:jc w:val="right"/>
              <w:rPr>
                <w:rFonts w:ascii="宋体" w:hAnsi="宋体" w:cs="宋体" w:eastAsia="宋体" w:hint="default"/>
                <w:sz w:val="18"/>
                <w:szCs w:val="18"/>
              </w:rPr>
            </w:pPr>
            <w:r>
              <w:rPr>
                <w:rFonts w:ascii="宋体"/>
                <w:sz w:val="18"/>
              </w:rPr>
              <w:t>88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宋体" w:hAnsi="宋体" w:cs="宋体" w:eastAsia="宋体" w:hint="default"/>
                <w:sz w:val="18"/>
                <w:szCs w:val="18"/>
              </w:rPr>
            </w:pPr>
            <w:r>
              <w:rPr>
                <w:rFonts w:ascii="宋体"/>
                <w:spacing w:val="-1"/>
                <w:sz w:val="18"/>
              </w:rPr>
              <w:t>112,701,753.39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-125,594,361.2</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-79,698,344.1</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r>
      <w:tr>
        <w:trPr>
          <w:trHeight w:val="223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4" w:right="94"/>
              <w:jc w:val="both"/>
              <w:rPr>
                <w:rFonts w:ascii="宋体" w:hAnsi="宋体" w:cs="宋体" w:eastAsia="宋体" w:hint="default"/>
                <w:sz w:val="18"/>
                <w:szCs w:val="18"/>
              </w:rPr>
            </w:pPr>
            <w:r>
              <w:rPr>
                <w:rFonts w:ascii="宋体" w:hAnsi="宋体" w:cs="宋体" w:eastAsia="宋体" w:hint="default"/>
                <w:sz w:val="18"/>
                <w:szCs w:val="18"/>
              </w:rPr>
              <w:t>北京首创 金融资产 交易信息 服务股份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金融信息服 务；经济贸易 咨询；投资及 投资管理；投 资咨询；技术 开发、技术服 务；软件开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sz w:val="18"/>
              </w:rPr>
              <w:t>200,000,000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1,210,376,267.</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2"/>
              <w:jc w:val="right"/>
              <w:rPr>
                <w:rFonts w:ascii="宋体" w:hAnsi="宋体" w:cs="宋体" w:eastAsia="宋体" w:hint="default"/>
                <w:sz w:val="18"/>
                <w:szCs w:val="18"/>
              </w:rPr>
            </w:pPr>
            <w:r>
              <w:rPr>
                <w:rFonts w:ascii="宋体"/>
                <w:spacing w:val="-1"/>
                <w:sz w:val="18"/>
              </w:rPr>
              <w:t>134,650,550.20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宋体" w:hAnsi="宋体" w:cs="宋体" w:eastAsia="宋体" w:hint="default"/>
                <w:sz w:val="18"/>
                <w:szCs w:val="18"/>
              </w:rPr>
            </w:pPr>
            <w:r>
              <w:rPr>
                <w:rFonts w:ascii="宋体"/>
                <w:spacing w:val="-1"/>
                <w:sz w:val="18"/>
              </w:rPr>
              <w:t>6,453,764.86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0"/>
              <w:jc w:val="right"/>
              <w:rPr>
                <w:rFonts w:ascii="宋体" w:hAnsi="宋体" w:cs="宋体" w:eastAsia="宋体" w:hint="default"/>
                <w:sz w:val="18"/>
                <w:szCs w:val="18"/>
              </w:rPr>
            </w:pPr>
            <w:r>
              <w:rPr>
                <w:rFonts w:ascii="宋体"/>
                <w:spacing w:val="-1"/>
                <w:sz w:val="18"/>
              </w:rPr>
              <w:t>-25,352,529.62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-25,349,449.8</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5" w:footer="980" w:top="1060" w:bottom="1160" w:left="74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1299"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发；应用软件 服务；计算机 系统服务；数 据处理。</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94"/>
              <w:jc w:val="left"/>
              <w:rPr>
                <w:rFonts w:ascii="宋体" w:hAnsi="宋体" w:cs="宋体" w:eastAsia="宋体" w:hint="default"/>
                <w:sz w:val="18"/>
                <w:szCs w:val="18"/>
              </w:rPr>
            </w:pPr>
            <w:r>
              <w:rPr>
                <w:rFonts w:ascii="宋体" w:hAnsi="宋体" w:cs="宋体" w:eastAsia="宋体" w:hint="default"/>
                <w:sz w:val="18"/>
                <w:szCs w:val="18"/>
              </w:rPr>
              <w:t>天津南 大</w:t>
            </w:r>
            <w:r>
              <w:rPr>
                <w:rFonts w:ascii="宋体" w:hAnsi="宋体" w:cs="宋体" w:eastAsia="宋体" w:hint="default"/>
                <w:sz w:val="18"/>
                <w:szCs w:val="18"/>
              </w:rPr>
              <w:t>,</w:t>
            </w:r>
            <w:r>
              <w:rPr>
                <w:rFonts w:ascii="宋体" w:hAnsi="宋体" w:cs="宋体" w:eastAsia="宋体" w:hint="default"/>
                <w:sz w:val="18"/>
                <w:szCs w:val="18"/>
              </w:rPr>
              <w:t>通用 数据技术 股份有限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电子信息、软 件技术开发、 咨询、服务、 转让、培训； 软件制作；计 算机及外围 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sz w:val="18"/>
              </w:rPr>
              <w:t>108,700,000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568,992,472.28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宋体" w:hAnsi="宋体" w:cs="宋体" w:eastAsia="宋体" w:hint="default"/>
                <w:sz w:val="18"/>
                <w:szCs w:val="18"/>
              </w:rPr>
            </w:pPr>
            <w:r>
              <w:rPr>
                <w:rFonts w:ascii="宋体"/>
                <w:spacing w:val="-1"/>
                <w:sz w:val="18"/>
              </w:rPr>
              <w:t>493,991,739.48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212,168,126.21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pacing w:val="-1"/>
                <w:sz w:val="18"/>
              </w:rPr>
              <w:t>18,038,486.77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39,982,698.43</w:t>
            </w:r>
          </w:p>
        </w:tc>
      </w:tr>
      <w:tr>
        <w:trPr>
          <w:trHeight w:val="227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94"/>
              <w:jc w:val="both"/>
              <w:rPr>
                <w:rFonts w:ascii="宋体" w:hAnsi="宋体" w:cs="宋体" w:eastAsia="宋体" w:hint="default"/>
                <w:sz w:val="18"/>
                <w:szCs w:val="18"/>
              </w:rPr>
            </w:pPr>
            <w:r>
              <w:rPr>
                <w:rFonts w:ascii="宋体" w:hAnsi="宋体" w:cs="宋体" w:eastAsia="宋体" w:hint="default"/>
                <w:sz w:val="18"/>
                <w:szCs w:val="18"/>
              </w:rPr>
              <w:t>瑞客东华 转化医学 研究中心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医学研究与 试验发展；转 化医学的技 术开发、技术 转让、技术咨 询、技术服 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sz w:val="18"/>
              </w:rPr>
              <w:t>50,000,000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1,860,303.97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宋体" w:hAnsi="宋体" w:cs="宋体" w:eastAsia="宋体" w:hint="default"/>
                <w:sz w:val="18"/>
                <w:szCs w:val="18"/>
              </w:rPr>
            </w:pPr>
            <w:r>
              <w:rPr>
                <w:rFonts w:ascii="宋体"/>
                <w:spacing w:val="-1"/>
                <w:sz w:val="18"/>
              </w:rPr>
              <w:t>1,521,111.05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pacing w:val="-1"/>
                <w:sz w:val="18"/>
              </w:rPr>
              <w:t>-1,478,888.95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-1,478,888.95</w:t>
            </w:r>
          </w:p>
        </w:tc>
      </w:tr>
      <w:tr>
        <w:trPr>
          <w:trHeight w:val="539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东华之星</w:t>
            </w:r>
          </w:p>
          <w:p>
            <w:pPr>
              <w:pStyle w:val="TableParagraph"/>
              <w:spacing w:line="316" w:lineRule="auto" w:before="76"/>
              <w:ind w:left="24" w:right="94"/>
              <w:jc w:val="both"/>
              <w:rPr>
                <w:rFonts w:ascii="宋体" w:hAnsi="宋体" w:cs="宋体" w:eastAsia="宋体" w:hint="default"/>
                <w:sz w:val="18"/>
                <w:szCs w:val="18"/>
              </w:rPr>
            </w:pPr>
            <w:r>
              <w:rPr>
                <w:rFonts w:ascii="宋体" w:hAnsi="宋体" w:cs="宋体" w:eastAsia="宋体" w:hint="default"/>
                <w:sz w:val="18"/>
                <w:szCs w:val="18"/>
              </w:rPr>
              <w:t>（北京）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专业承包；物 业管理；软件 开发；软件咨 询；销售自行 开发的产品、 电子产品、机 械设备、计算 机、软件及辅 助设备；技术 开发、技术转 让、技术咨 询；租赁计算 机；经济贸易 咨询；健康管 理、健康咨 询；企业管 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sz w:val="18"/>
              </w:rPr>
              <w:t>10,000,000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2,931,629.25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2,539,256.17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630,345.27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-16,073.83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-15,743.83</w:t>
            </w:r>
          </w:p>
        </w:tc>
      </w:tr>
      <w:tr>
        <w:trPr>
          <w:trHeight w:val="254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东华瑞泽</w:t>
            </w:r>
          </w:p>
          <w:p>
            <w:pPr>
              <w:pStyle w:val="TableParagraph"/>
              <w:spacing w:line="316" w:lineRule="auto" w:before="76"/>
              <w:ind w:left="24" w:right="94"/>
              <w:jc w:val="both"/>
              <w:rPr>
                <w:rFonts w:ascii="宋体" w:hAnsi="宋体" w:cs="宋体" w:eastAsia="宋体" w:hint="default"/>
                <w:sz w:val="18"/>
                <w:szCs w:val="18"/>
              </w:rPr>
            </w:pPr>
            <w:r>
              <w:rPr>
                <w:rFonts w:ascii="宋体" w:hAnsi="宋体" w:cs="宋体" w:eastAsia="宋体" w:hint="default"/>
                <w:sz w:val="18"/>
                <w:szCs w:val="18"/>
              </w:rPr>
              <w:t>（海南）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基于智慧城 市产业的技 术研发、技术 咨询、技术服 务、技术推 广、技术转 让；应用软件 服务；公共软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sz w:val="18"/>
              </w:rPr>
              <w:t>10,000,000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643,026.73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678,603.27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-321,396.73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-321,396.73</w:t>
            </w:r>
          </w:p>
        </w:tc>
      </w:tr>
    </w:tbl>
    <w:p>
      <w:pPr>
        <w:spacing w:after="0" w:line="240" w:lineRule="auto"/>
        <w:jc w:val="right"/>
        <w:rPr>
          <w:rFonts w:ascii="宋体" w:hAnsi="宋体" w:cs="宋体" w:eastAsia="宋体" w:hint="default"/>
          <w:sz w:val="18"/>
          <w:szCs w:val="18"/>
        </w:rPr>
        <w:sectPr>
          <w:pgSz w:w="11910" w:h="16840"/>
          <w:pgMar w:header="745" w:footer="980" w:top="1060" w:bottom="1160" w:left="74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852"/>
        <w:gridCol w:w="1133"/>
        <w:gridCol w:w="1136"/>
        <w:gridCol w:w="1351"/>
        <w:gridCol w:w="1342"/>
        <w:gridCol w:w="1495"/>
        <w:gridCol w:w="1340"/>
        <w:gridCol w:w="1277"/>
      </w:tblGrid>
      <w:tr>
        <w:trPr>
          <w:trHeight w:val="675"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件服务；技术 进出口。</w:t>
            </w:r>
          </w:p>
        </w:tc>
        <w:tc>
          <w:tcPr>
            <w:tcW w:w="113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392" w:right="7174"/>
        <w:jc w:val="left"/>
      </w:pPr>
      <w:r>
        <w:rPr/>
        <w:t>报告期内取得和处置子公司的情况</w:t>
      </w:r>
    </w:p>
    <w:p>
      <w:pPr>
        <w:pStyle w:val="BodyText"/>
        <w:spacing w:line="240" w:lineRule="auto" w:before="115"/>
        <w:ind w:left="392" w:right="7174"/>
        <w:jc w:val="left"/>
      </w:pPr>
      <w:r>
        <w:rPr/>
        <w:t>√ 适用 □</w:t>
      </w:r>
      <w:r>
        <w:rPr>
          <w:spacing w:val="3"/>
        </w:rPr>
        <w:t> </w:t>
      </w:r>
      <w:r>
        <w:rPr/>
        <w:t>不适用</w:t>
      </w:r>
    </w:p>
    <w:p>
      <w:pPr>
        <w:spacing w:line="240" w:lineRule="auto" w:before="13"/>
        <w:rPr>
          <w:rFonts w:ascii="宋体" w:hAnsi="宋体" w:cs="宋体" w:eastAsia="宋体" w:hint="default"/>
          <w:sz w:val="7"/>
          <w:szCs w:val="7"/>
        </w:rPr>
      </w:pPr>
    </w:p>
    <w:p>
      <w:pPr>
        <w:spacing w:line="5647" w:lineRule="exact"/>
        <w:ind w:left="388" w:right="0" w:firstLine="0"/>
        <w:rPr>
          <w:rFonts w:ascii="宋体" w:hAnsi="宋体" w:cs="宋体" w:eastAsia="宋体" w:hint="default"/>
          <w:sz w:val="20"/>
          <w:szCs w:val="20"/>
        </w:rPr>
      </w:pPr>
      <w:r>
        <w:rPr>
          <w:rFonts w:ascii="宋体" w:hAnsi="宋体" w:cs="宋体" w:eastAsia="宋体" w:hint="default"/>
          <w:position w:val="-112"/>
          <w:sz w:val="20"/>
          <w:szCs w:val="20"/>
        </w:rPr>
        <w:pict>
          <v:group style="width:482pt;height:282.4pt;mso-position-horizontal-relative:char;mso-position-vertical-relative:line" coordorigin="0,0" coordsize="9640,5648">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79;top:14;width:2;height:392" coordorigin="3179,14" coordsize="2,392">
              <v:shape style="position:absolute;left:3179;top:14;width:2;height:392" coordorigin="3179,14" coordsize="0,392" path="m3179,14l3179,406e" filled="false" stroked="true" strokeweight="1.2pt" strokecolor="#d2d2d2">
                <v:path arrowok="t"/>
              </v:shape>
            </v:group>
            <v:group style="position:absolute;left:34;top:14;width:3133;height:392" coordorigin="34,14" coordsize="3133,392">
              <v:shape style="position:absolute;left:34;top:14;width:3133;height:392" coordorigin="34,14" coordsize="3133,392" path="m34,406l3167,406,3167,14,34,14,34,406xe" filled="true" fillcolor="#d2d2d2" stroked="false">
                <v:path arrowok="t"/>
                <v:fill type="solid"/>
              </v:shape>
            </v:group>
            <v:group style="position:absolute;left:3211;top:14;width:2;height:392" coordorigin="3211,14" coordsize="2,392">
              <v:shape style="position:absolute;left:3211;top:14;width:2;height:392" coordorigin="3211,14" coordsize="0,392" path="m3211,14l3211,406e" filled="false" stroked="true" strokeweight="1.08pt" strokecolor="#d2d2d2">
                <v:path arrowok="t"/>
              </v:shape>
            </v:group>
            <v:group style="position:absolute;left:6369;top:14;width:2;height:392" coordorigin="6369,14" coordsize="2,392">
              <v:shape style="position:absolute;left:6369;top:14;width:2;height:392" coordorigin="6369,14" coordsize="0,392" path="m6369,14l6369,406e" filled="false" stroked="true" strokeweight="1.2pt" strokecolor="#d2d2d2">
                <v:path arrowok="t"/>
              </v:shape>
            </v:group>
            <v:group style="position:absolute;left:3222;top:14;width:3135;height:392" coordorigin="3222,14" coordsize="3135,392">
              <v:shape style="position:absolute;left:3222;top:14;width:3135;height:392" coordorigin="3222,14" coordsize="3135,392" path="m3222,406l6357,406,6357,14,3222,14,3222,406xe" filled="true" fillcolor="#d2d2d2" stroked="false">
                <v:path arrowok="t"/>
                <v:fill type="solid"/>
              </v:shape>
            </v:group>
            <v:group style="position:absolute;left:6402;top:14;width:2;height:392" coordorigin="6402,14" coordsize="2,392">
              <v:shape style="position:absolute;left:6402;top:14;width:2;height:392" coordorigin="6402,14" coordsize="0,392" path="m6402,14l6402,406e" filled="false" stroked="true" strokeweight="1.2pt" strokecolor="#d2d2d2">
                <v:path arrowok="t"/>
              </v:shape>
            </v:group>
            <v:group style="position:absolute;left:9560;top:14;width:2;height:392" coordorigin="9560,14" coordsize="2,392">
              <v:shape style="position:absolute;left:9560;top:14;width:2;height:392" coordorigin="9560,14" coordsize="0,392" path="m9560,14l9560,406e" filled="false" stroked="true" strokeweight="1.08pt" strokecolor="#d2d2d2">
                <v:path arrowok="t"/>
              </v:shape>
            </v:group>
            <v:group style="position:absolute;left:6414;top:14;width:3135;height:392" coordorigin="6414,14" coordsize="3135,392">
              <v:shape style="position:absolute;left:6414;top:14;width:3135;height:392" coordorigin="6414,14" coordsize="3135,392" path="m6414,406l9549,406,9549,14,6414,14,6414,406xe" filled="true" fillcolor="#d2d2d2" stroked="false">
                <v:path arrowok="t"/>
                <v:fill type="solid"/>
              </v:shape>
            </v:group>
            <v:group style="position:absolute;left:10;top:10;width:3179;height:2" coordorigin="10,10" coordsize="3179,2">
              <v:shape style="position:absolute;left:10;top:10;width:3179;height:2" coordorigin="10,10" coordsize="3179,0" path="m10,10l3188,10e" filled="false" stroked="true" strokeweight=".48001pt" strokecolor="#000000">
                <v:path arrowok="t"/>
              </v:shape>
            </v:group>
            <v:group style="position:absolute;left:3198;top:10;width:3183;height:2" coordorigin="3198,10" coordsize="3183,2">
              <v:shape style="position:absolute;left:3198;top:10;width:3183;height:2" coordorigin="3198,10" coordsize="3183,0" path="m3198,10l6381,10e" filled="false" stroked="true" strokeweight=".48001pt" strokecolor="#000000">
                <v:path arrowok="t"/>
              </v:shape>
            </v:group>
            <v:group style="position:absolute;left:6390;top:10;width:3181;height:2" coordorigin="6390,10" coordsize="3181,2">
              <v:shape style="position:absolute;left:6390;top:10;width:3181;height:2" coordorigin="6390,10" coordsize="3181,0" path="m6390,10l9571,10e" filled="false" stroked="true" strokeweight=".48001pt" strokecolor="#000000">
                <v:path arrowok="t"/>
              </v:shape>
            </v:group>
            <v:group style="position:absolute;left:10;top:410;width:3179;height:2" coordorigin="10,410" coordsize="3179,2">
              <v:shape style="position:absolute;left:10;top:410;width:3179;height:2" coordorigin="10,410" coordsize="3179,0" path="m10,410l3188,410e" filled="false" stroked="true" strokeweight=".48pt" strokecolor="#000000">
                <v:path arrowok="t"/>
              </v:shape>
            </v:group>
            <v:group style="position:absolute;left:3198;top:410;width:3183;height:2" coordorigin="3198,410" coordsize="3183,2">
              <v:shape style="position:absolute;left:3198;top:410;width:3183;height:2" coordorigin="3198,410" coordsize="3183,0" path="m3198,410l6381,410e" filled="false" stroked="true" strokeweight=".48pt" strokecolor="#000000">
                <v:path arrowok="t"/>
              </v:shape>
            </v:group>
            <v:group style="position:absolute;left:6390;top:410;width:3181;height:2" coordorigin="6390,410" coordsize="3181,2">
              <v:shape style="position:absolute;left:6390;top:410;width:3181;height:2" coordorigin="6390,410" coordsize="3181,0" path="m6390,410l9571,410e" filled="false" stroked="true" strokeweight=".48pt" strokecolor="#000000">
                <v:path arrowok="t"/>
              </v:shape>
            </v:group>
            <v:group style="position:absolute;left:10;top:814;width:3179;height:2" coordorigin="10,814" coordsize="3179,2">
              <v:shape style="position:absolute;left:10;top:814;width:3179;height:2" coordorigin="10,814" coordsize="3179,0" path="m10,814l3188,814e" filled="false" stroked="true" strokeweight=".48pt" strokecolor="#000000">
                <v:path arrowok="t"/>
              </v:shape>
            </v:group>
            <v:group style="position:absolute;left:3198;top:814;width:3183;height:2" coordorigin="3198,814" coordsize="3183,2">
              <v:shape style="position:absolute;left:3198;top:814;width:3183;height:2" coordorigin="3198,814" coordsize="3183,0" path="m3198,814l6381,814e" filled="false" stroked="true" strokeweight=".48pt" strokecolor="#000000">
                <v:path arrowok="t"/>
              </v:shape>
            </v:group>
            <v:group style="position:absolute;left:6390;top:814;width:3181;height:2" coordorigin="6390,814" coordsize="3181,2">
              <v:shape style="position:absolute;left:6390;top:814;width:3181;height:2" coordorigin="6390,814" coordsize="3181,0" path="m6390,814l9571,814e" filled="false" stroked="true" strokeweight=".48pt" strokecolor="#000000">
                <v:path arrowok="t"/>
              </v:shape>
            </v:group>
            <v:group style="position:absolute;left:10;top:1214;width:3179;height:2" coordorigin="10,1214" coordsize="3179,2">
              <v:shape style="position:absolute;left:10;top:1214;width:3179;height:2" coordorigin="10,1214" coordsize="3179,0" path="m10,1214l3188,1214e" filled="false" stroked="true" strokeweight=".48pt" strokecolor="#000000">
                <v:path arrowok="t"/>
              </v:shape>
            </v:group>
            <v:group style="position:absolute;left:3198;top:1214;width:3183;height:2" coordorigin="3198,1214" coordsize="3183,2">
              <v:shape style="position:absolute;left:3198;top:1214;width:3183;height:2" coordorigin="3198,1214" coordsize="3183,0" path="m3198,1214l6381,1214e" filled="false" stroked="true" strokeweight=".48pt" strokecolor="#000000">
                <v:path arrowok="t"/>
              </v:shape>
            </v:group>
            <v:group style="position:absolute;left:6390;top:1214;width:3181;height:2" coordorigin="6390,1214" coordsize="3181,2">
              <v:shape style="position:absolute;left:6390;top:1214;width:3181;height:2" coordorigin="6390,1214" coordsize="3181,0" path="m6390,1214l9571,1214e" filled="false" stroked="true" strokeweight=".48pt" strokecolor="#000000">
                <v:path arrowok="t"/>
              </v:shape>
            </v:group>
            <v:group style="position:absolute;left:10;top:1618;width:3179;height:2" coordorigin="10,1618" coordsize="3179,2">
              <v:shape style="position:absolute;left:10;top:1618;width:3179;height:2" coordorigin="10,1618" coordsize="3179,0" path="m10,1618l3188,1618e" filled="false" stroked="true" strokeweight=".48pt" strokecolor="#000000">
                <v:path arrowok="t"/>
              </v:shape>
            </v:group>
            <v:group style="position:absolute;left:3198;top:1618;width:3183;height:2" coordorigin="3198,1618" coordsize="3183,2">
              <v:shape style="position:absolute;left:3198;top:1618;width:3183;height:2" coordorigin="3198,1618" coordsize="3183,0" path="m3198,1618l6381,1618e" filled="false" stroked="true" strokeweight=".48pt" strokecolor="#000000">
                <v:path arrowok="t"/>
              </v:shape>
            </v:group>
            <v:group style="position:absolute;left:6390;top:1618;width:3181;height:2" coordorigin="6390,1618" coordsize="3181,2">
              <v:shape style="position:absolute;left:6390;top:1618;width:3181;height:2" coordorigin="6390,1618" coordsize="3181,0" path="m6390,1618l9571,1618e" filled="false" stroked="true" strokeweight=".48pt" strokecolor="#000000">
                <v:path arrowok="t"/>
              </v:shape>
            </v:group>
            <v:group style="position:absolute;left:10;top:2018;width:3179;height:2" coordorigin="10,2018" coordsize="3179,2">
              <v:shape style="position:absolute;left:10;top:2018;width:3179;height:2" coordorigin="10,2018" coordsize="3179,0" path="m10,2018l3188,2018e" filled="false" stroked="true" strokeweight=".48001pt" strokecolor="#000000">
                <v:path arrowok="t"/>
              </v:shape>
            </v:group>
            <v:group style="position:absolute;left:3198;top:2018;width:3183;height:2" coordorigin="3198,2018" coordsize="3183,2">
              <v:shape style="position:absolute;left:3198;top:2018;width:3183;height:2" coordorigin="3198,2018" coordsize="3183,0" path="m3198,2018l6381,2018e" filled="false" stroked="true" strokeweight=".48001pt" strokecolor="#000000">
                <v:path arrowok="t"/>
              </v:shape>
            </v:group>
            <v:group style="position:absolute;left:6390;top:2018;width:3181;height:2" coordorigin="6390,2018" coordsize="3181,2">
              <v:shape style="position:absolute;left:6390;top:2018;width:3181;height:2" coordorigin="6390,2018" coordsize="3181,0" path="m6390,2018l9571,2018e" filled="false" stroked="true" strokeweight=".48001pt" strokecolor="#000000">
                <v:path arrowok="t"/>
              </v:shape>
            </v:group>
            <v:group style="position:absolute;left:10;top:2422;width:3179;height:2" coordorigin="10,2422" coordsize="3179,2">
              <v:shape style="position:absolute;left:10;top:2422;width:3179;height:2" coordorigin="10,2422" coordsize="3179,0" path="m10,2422l3188,2422e" filled="false" stroked="true" strokeweight=".47998pt" strokecolor="#000000">
                <v:path arrowok="t"/>
              </v:shape>
            </v:group>
            <v:group style="position:absolute;left:3198;top:2422;width:3183;height:2" coordorigin="3198,2422" coordsize="3183,2">
              <v:shape style="position:absolute;left:3198;top:2422;width:3183;height:2" coordorigin="3198,2422" coordsize="3183,0" path="m3198,2422l6381,2422e" filled="false" stroked="true" strokeweight=".47998pt" strokecolor="#000000">
                <v:path arrowok="t"/>
              </v:shape>
            </v:group>
            <v:group style="position:absolute;left:6390;top:2422;width:3181;height:2" coordorigin="6390,2422" coordsize="3181,2">
              <v:shape style="position:absolute;left:6390;top:2422;width:3181;height:2" coordorigin="6390,2422" coordsize="3181,0" path="m6390,2422l9571,2422e" filled="false" stroked="true" strokeweight=".47998pt" strokecolor="#000000">
                <v:path arrowok="t"/>
              </v:shape>
            </v:group>
            <v:group style="position:absolute;left:10;top:2823;width:3179;height:2" coordorigin="10,2823" coordsize="3179,2">
              <v:shape style="position:absolute;left:10;top:2823;width:3179;height:2" coordorigin="10,2823" coordsize="3179,0" path="m10,2823l3188,2823e" filled="false" stroked="true" strokeweight=".47998pt" strokecolor="#000000">
                <v:path arrowok="t"/>
              </v:shape>
            </v:group>
            <v:group style="position:absolute;left:3198;top:2823;width:3183;height:2" coordorigin="3198,2823" coordsize="3183,2">
              <v:shape style="position:absolute;left:3198;top:2823;width:3183;height:2" coordorigin="3198,2823" coordsize="3183,0" path="m3198,2823l6381,2823e" filled="false" stroked="true" strokeweight=".47998pt" strokecolor="#000000">
                <v:path arrowok="t"/>
              </v:shape>
            </v:group>
            <v:group style="position:absolute;left:6390;top:2823;width:3181;height:2" coordorigin="6390,2823" coordsize="3181,2">
              <v:shape style="position:absolute;left:6390;top:2823;width:3181;height:2" coordorigin="6390,2823" coordsize="3181,0" path="m6390,2823l9571,2823e" filled="false" stroked="true" strokeweight=".47998pt" strokecolor="#000000">
                <v:path arrowok="t"/>
              </v:shape>
            </v:group>
            <v:group style="position:absolute;left:10;top:3226;width:3179;height:2" coordorigin="10,3226" coordsize="3179,2">
              <v:shape style="position:absolute;left:10;top:3226;width:3179;height:2" coordorigin="10,3226" coordsize="3179,0" path="m10,3226l3188,3226e" filled="false" stroked="true" strokeweight=".47998pt" strokecolor="#000000">
                <v:path arrowok="t"/>
              </v:shape>
            </v:group>
            <v:group style="position:absolute;left:3198;top:3226;width:3183;height:2" coordorigin="3198,3226" coordsize="3183,2">
              <v:shape style="position:absolute;left:3198;top:3226;width:3183;height:2" coordorigin="3198,3226" coordsize="3183,0" path="m3198,3226l6381,3226e" filled="false" stroked="true" strokeweight=".47998pt" strokecolor="#000000">
                <v:path arrowok="t"/>
              </v:shape>
            </v:group>
            <v:group style="position:absolute;left:6390;top:3226;width:3181;height:2" coordorigin="6390,3226" coordsize="3181,2">
              <v:shape style="position:absolute;left:6390;top:3226;width:3181;height:2" coordorigin="6390,3226" coordsize="3181,0" path="m6390,3226l9571,3226e" filled="false" stroked="true" strokeweight=".47998pt" strokecolor="#000000">
                <v:path arrowok="t"/>
              </v:shape>
            </v:group>
            <v:group style="position:absolute;left:10;top:3627;width:3179;height:2" coordorigin="10,3627" coordsize="3179,2">
              <v:shape style="position:absolute;left:10;top:3627;width:3179;height:2" coordorigin="10,3627" coordsize="3179,0" path="m10,3627l3188,3627e" filled="false" stroked="true" strokeweight=".48001pt" strokecolor="#000000">
                <v:path arrowok="t"/>
              </v:shape>
            </v:group>
            <v:group style="position:absolute;left:3198;top:3627;width:3183;height:2" coordorigin="3198,3627" coordsize="3183,2">
              <v:shape style="position:absolute;left:3198;top:3627;width:3183;height:2" coordorigin="3198,3627" coordsize="3183,0" path="m3198,3627l6381,3627e" filled="false" stroked="true" strokeweight=".48001pt" strokecolor="#000000">
                <v:path arrowok="t"/>
              </v:shape>
            </v:group>
            <v:group style="position:absolute;left:6390;top:3627;width:3181;height:2" coordorigin="6390,3627" coordsize="3181,2">
              <v:shape style="position:absolute;left:6390;top:3627;width:3181;height:2" coordorigin="6390,3627" coordsize="3181,0" path="m6390,3627l9571,3627e" filled="false" stroked="true" strokeweight=".48001pt" strokecolor="#000000">
                <v:path arrowok="t"/>
              </v:shape>
            </v:group>
            <v:group style="position:absolute;left:10;top:4030;width:3179;height:2" coordorigin="10,4030" coordsize="3179,2">
              <v:shape style="position:absolute;left:10;top:4030;width:3179;height:2" coordorigin="10,4030" coordsize="3179,0" path="m10,4030l3188,4030e" filled="false" stroked="true" strokeweight=".48001pt" strokecolor="#000000">
                <v:path arrowok="t"/>
              </v:shape>
            </v:group>
            <v:group style="position:absolute;left:3198;top:4030;width:3183;height:2" coordorigin="3198,4030" coordsize="3183,2">
              <v:shape style="position:absolute;left:3198;top:4030;width:3183;height:2" coordorigin="3198,4030" coordsize="3183,0" path="m3198,4030l6381,4030e" filled="false" stroked="true" strokeweight=".48001pt" strokecolor="#000000">
                <v:path arrowok="t"/>
              </v:shape>
            </v:group>
            <v:group style="position:absolute;left:6390;top:4030;width:3181;height:2" coordorigin="6390,4030" coordsize="3181,2">
              <v:shape style="position:absolute;left:6390;top:4030;width:3181;height:2" coordorigin="6390,4030" coordsize="3181,0" path="m6390,4030l9571,4030e" filled="false" stroked="true" strokeweight=".48001pt" strokecolor="#000000">
                <v:path arrowok="t"/>
              </v:shape>
            </v:group>
            <v:group style="position:absolute;left:10;top:4431;width:3179;height:2" coordorigin="10,4431" coordsize="3179,2">
              <v:shape style="position:absolute;left:10;top:4431;width:3179;height:2" coordorigin="10,4431" coordsize="3179,0" path="m10,4431l3188,4431e" filled="false" stroked="true" strokeweight=".48001pt" strokecolor="#000000">
                <v:path arrowok="t"/>
              </v:shape>
            </v:group>
            <v:group style="position:absolute;left:3198;top:4431;width:3183;height:2" coordorigin="3198,4431" coordsize="3183,2">
              <v:shape style="position:absolute;left:3198;top:4431;width:3183;height:2" coordorigin="3198,4431" coordsize="3183,0" path="m3198,4431l6381,4431e" filled="false" stroked="true" strokeweight=".48001pt" strokecolor="#000000">
                <v:path arrowok="t"/>
              </v:shape>
            </v:group>
            <v:group style="position:absolute;left:6390;top:4431;width:3181;height:2" coordorigin="6390,4431" coordsize="3181,2">
              <v:shape style="position:absolute;left:6390;top:4431;width:3181;height:2" coordorigin="6390,4431" coordsize="3181,0" path="m6390,4431l9571,4431e" filled="false" stroked="true" strokeweight=".48001pt" strokecolor="#000000">
                <v:path arrowok="t"/>
              </v:shape>
            </v:group>
            <v:group style="position:absolute;left:10;top:4834;width:3179;height:2" coordorigin="10,4834" coordsize="3179,2">
              <v:shape style="position:absolute;left:10;top:4834;width:3179;height:2" coordorigin="10,4834" coordsize="3179,0" path="m10,4834l3188,4834e" filled="false" stroked="true" strokeweight=".47998pt" strokecolor="#000000">
                <v:path arrowok="t"/>
              </v:shape>
            </v:group>
            <v:group style="position:absolute;left:3198;top:4834;width:3183;height:2" coordorigin="3198,4834" coordsize="3183,2">
              <v:shape style="position:absolute;left:3198;top:4834;width:3183;height:2" coordorigin="3198,4834" coordsize="3183,0" path="m3198,4834l6381,4834e" filled="false" stroked="true" strokeweight=".47998pt" strokecolor="#000000">
                <v:path arrowok="t"/>
              </v:shape>
            </v:group>
            <v:group style="position:absolute;left:6390;top:4834;width:3181;height:2" coordorigin="6390,4834" coordsize="3181,2">
              <v:shape style="position:absolute;left:6390;top:4834;width:3181;height:2" coordorigin="6390,4834" coordsize="3181,0" path="m6390,4834l9571,4834e" filled="false" stroked="true" strokeweight=".47998pt" strokecolor="#000000">
                <v:path arrowok="t"/>
              </v:shape>
            </v:group>
            <v:group style="position:absolute;left:10;top:5235;width:3179;height:2" coordorigin="10,5235" coordsize="3179,2">
              <v:shape style="position:absolute;left:10;top:5235;width:3179;height:2" coordorigin="10,5235" coordsize="3179,0" path="m10,5235l3188,5235e" filled="false" stroked="true" strokeweight=".48001pt" strokecolor="#000000">
                <v:path arrowok="t"/>
              </v:shape>
            </v:group>
            <v:group style="position:absolute;left:3198;top:5235;width:3183;height:2" coordorigin="3198,5235" coordsize="3183,2">
              <v:shape style="position:absolute;left:3198;top:5235;width:3183;height:2" coordorigin="3198,5235" coordsize="3183,0" path="m3198,5235l6381,5235e" filled="false" stroked="true" strokeweight=".48001pt" strokecolor="#000000">
                <v:path arrowok="t"/>
              </v:shape>
            </v:group>
            <v:group style="position:absolute;left:6390;top:5235;width:3181;height:2" coordorigin="6390,5235" coordsize="3181,2">
              <v:shape style="position:absolute;left:6390;top:5235;width:3181;height:2" coordorigin="6390,5235" coordsize="3181,0" path="m6390,5235l9571,5235e" filled="false" stroked="true" strokeweight=".48001pt" strokecolor="#000000">
                <v:path arrowok="t"/>
              </v:shape>
            </v:group>
            <v:group style="position:absolute;left:5;top:5;width:2;height:5639" coordorigin="5,5" coordsize="2,5639">
              <v:shape style="position:absolute;left:5;top:5;width:2;height:5639" coordorigin="5,5" coordsize="0,5639" path="m5,5l5,5643e" filled="false" stroked="true" strokeweight=".48pt" strokecolor="#000000">
                <v:path arrowok="t"/>
              </v:shape>
            </v:group>
            <v:group style="position:absolute;left:10;top:5638;width:3179;height:2" coordorigin="10,5638" coordsize="3179,2">
              <v:shape style="position:absolute;left:10;top:5638;width:3179;height:2" coordorigin="10,5638" coordsize="3179,0" path="m10,5638l3188,5638e" filled="false" stroked="true" strokeweight=".48001pt" strokecolor="#000000">
                <v:path arrowok="t"/>
              </v:shape>
            </v:group>
            <v:group style="position:absolute;left:3193;top:5;width:2;height:5639" coordorigin="3193,5" coordsize="2,5639">
              <v:shape style="position:absolute;left:3193;top:5;width:2;height:5639" coordorigin="3193,5" coordsize="0,5639" path="m3193,5l3193,5643e" filled="false" stroked="true" strokeweight=".48pt" strokecolor="#000000">
                <v:path arrowok="t"/>
              </v:shape>
            </v:group>
            <v:group style="position:absolute;left:3198;top:5638;width:3183;height:2" coordorigin="3198,5638" coordsize="3183,2">
              <v:shape style="position:absolute;left:3198;top:5638;width:3183;height:2" coordorigin="3198,5638" coordsize="3183,0" path="m3198,5638l6381,5638e" filled="false" stroked="true" strokeweight=".48001pt" strokecolor="#000000">
                <v:path arrowok="t"/>
              </v:shape>
            </v:group>
            <v:group style="position:absolute;left:6385;top:5;width:2;height:5639" coordorigin="6385,5" coordsize="2,5639">
              <v:shape style="position:absolute;left:6385;top:5;width:2;height:5639" coordorigin="6385,5" coordsize="0,5639" path="m6385,5l6385,5643e" filled="false" stroked="true" strokeweight=".48001pt" strokecolor="#000000">
                <v:path arrowok="t"/>
              </v:shape>
            </v:group>
            <v:group style="position:absolute;left:6390;top:5638;width:3181;height:2" coordorigin="6390,5638" coordsize="3181,2">
              <v:shape style="position:absolute;left:6390;top:5638;width:3181;height:2" coordorigin="6390,5638" coordsize="3181,0" path="m6390,5638l9571,5638e" filled="false" stroked="true" strokeweight=".48001pt" strokecolor="#000000">
                <v:path arrowok="t"/>
              </v:shape>
            </v:group>
            <v:group style="position:absolute;left:9576;top:5;width:2;height:5639" coordorigin="9576,5" coordsize="2,5639">
              <v:shape style="position:absolute;left:9576;top:5;width:2;height:5639" coordorigin="9576,5" coordsize="0,5639" path="m9576,5l9576,5643e" filled="false" stroked="true" strokeweight=".47998pt" strokecolor="#000000">
                <v:path arrowok="t"/>
              </v:shape>
              <v:shape style="position:absolute;left:5;top:10;width:3189;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公司名称</w:t>
                      </w:r>
                    </w:p>
                  </w:txbxContent>
                </v:textbox>
                <w10:wrap type="none"/>
              </v:shape>
              <v:shape style="position:absolute;left:3193;top:10;width:3193;height:401" type="#_x0000_t202" filled="false" stroked="false">
                <v:textbox inset="0,0,0,0">
                  <w:txbxContent>
                    <w:p>
                      <w:pPr>
                        <w:spacing w:before="53"/>
                        <w:ind w:left="335"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xbxContent>
                </v:textbox>
                <w10:wrap type="none"/>
              </v:shape>
              <v:shape style="position:absolute;left:6385;top:10;width:3191;height:401" type="#_x0000_t202" filled="false" stroked="false">
                <v:textbox inset="0,0,0,0">
                  <w:txbxContent>
                    <w:p>
                      <w:pPr>
                        <w:spacing w:before="53"/>
                        <w:ind w:left="424" w:right="0" w:firstLine="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xbxContent>
                </v:textbox>
                <w10:wrap type="none"/>
              </v:shape>
              <v:shape style="position:absolute;left:5;top:410;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东华博育云有限公司</w:t>
                      </w:r>
                    </w:p>
                  </w:txbxContent>
                </v:textbox>
                <w10:wrap type="none"/>
              </v:shape>
              <v:shape style="position:absolute;left:3193;top:410;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410;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814;width:318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xbxContent>
                </v:textbox>
                <w10:wrap type="none"/>
              </v:shape>
              <v:shape style="position:absolute;left:3193;top:814;width:3193;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814;width:3191;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1214;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xbxContent>
                </v:textbox>
                <w10:wrap type="none"/>
              </v:shape>
              <v:shape style="position:absolute;left:3193;top:1214;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1214;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1618;width:318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xbxContent>
                </v:textbox>
                <w10:wrap type="none"/>
              </v:shape>
              <v:shape style="position:absolute;left:3193;top:1618;width:3193;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现金购买</w:t>
                      </w:r>
                    </w:p>
                  </w:txbxContent>
                </v:textbox>
                <w10:wrap type="none"/>
              </v:shape>
              <v:shape style="position:absolute;left:6385;top:1618;width:3191;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2018;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东华网络股份公司</w:t>
                      </w:r>
                    </w:p>
                  </w:txbxContent>
                </v:textbox>
                <w10:wrap type="none"/>
              </v:shape>
              <v:shape style="position:absolute;left:3193;top:2018;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2018;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2422;width:3189;height:402"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xbxContent>
                </v:textbox>
                <w10:wrap type="none"/>
              </v:shape>
              <v:shape style="position:absolute;left:3193;top:2422;width:3193;height:402"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2422;width:3191;height:402"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2823;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东华软件（绵阳）有限公司</w:t>
                      </w:r>
                    </w:p>
                  </w:txbxContent>
                </v:textbox>
                <w10:wrap type="none"/>
              </v:shape>
              <v:shape style="position:absolute;left:3193;top:2823;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2823;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3226;width:318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xbxContent>
                </v:textbox>
                <w10:wrap type="none"/>
              </v:shape>
              <v:shape style="position:absolute;left:3193;top:3226;width:3193;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3226;width:3191;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3627;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xbxContent>
                </v:textbox>
                <w10:wrap type="none"/>
              </v:shape>
              <v:shape style="position:absolute;left:3193;top:3627;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3627;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4030;width:318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海南东华软件有限公司</w:t>
                      </w:r>
                    </w:p>
                  </w:txbxContent>
                </v:textbox>
                <w10:wrap type="none"/>
              </v:shape>
              <v:shape style="position:absolute;left:3193;top:4030;width:3193;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4030;width:3191;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4431;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xbxContent>
                </v:textbox>
                <w10:wrap type="none"/>
              </v:shape>
              <v:shape style="position:absolute;left:3193;top:4431;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4431;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4834;width:318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xbxContent>
                </v:textbox>
                <w10:wrap type="none"/>
              </v:shape>
              <v:shape style="position:absolute;left:3193;top:4834;width:3193;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投资成立</w:t>
                      </w:r>
                    </w:p>
                  </w:txbxContent>
                </v:textbox>
                <w10:wrap type="none"/>
              </v:shape>
              <v:shape style="position:absolute;left:6385;top:4834;width:3191;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当年成立，对公司本年度业绩影响较小</w:t>
                      </w:r>
                    </w:p>
                  </w:txbxContent>
                </v:textbox>
                <w10:wrap type="none"/>
              </v:shape>
              <v:shape style="position:absolute;left:5;top:5235;width:318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xbxContent>
                </v:textbox>
                <w10:wrap type="none"/>
              </v:shape>
              <v:shape style="position:absolute;left:3193;top:5235;width:3193;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发行股份及配套募集资金形式购买</w:t>
                      </w:r>
                    </w:p>
                  </w:txbxContent>
                </v:textbox>
                <w10:wrap type="none"/>
              </v:shape>
              <v:shape style="position:absolute;left:6385;top:5235;width:3191;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对公司的业绩产生较好的影响。</w:t>
                      </w:r>
                    </w:p>
                  </w:txbxContent>
                </v:textbox>
                <w10:wrap type="none"/>
              </v:shape>
              <v:shape style="position:absolute;left:9460;top:522;width:180;height:46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12"/>
          <w:sz w:val="20"/>
          <w:szCs w:val="20"/>
        </w:rPr>
      </w:r>
    </w:p>
    <w:p>
      <w:pPr>
        <w:pStyle w:val="BodyText"/>
        <w:spacing w:line="240" w:lineRule="auto" w:before="45"/>
        <w:ind w:left="392" w:right="7174"/>
        <w:jc w:val="left"/>
      </w:pPr>
      <w:r>
        <w:rPr/>
        <w:t>主要控股参股公司情况说明</w:t>
      </w:r>
    </w:p>
    <w:p>
      <w:pPr>
        <w:spacing w:line="240" w:lineRule="auto" w:before="0"/>
        <w:rPr>
          <w:rFonts w:ascii="宋体" w:hAnsi="宋体" w:cs="宋体" w:eastAsia="宋体" w:hint="default"/>
          <w:sz w:val="15"/>
          <w:szCs w:val="15"/>
        </w:rPr>
      </w:pPr>
    </w:p>
    <w:p>
      <w:pPr>
        <w:pStyle w:val="BodyText"/>
        <w:spacing w:line="319" w:lineRule="auto"/>
        <w:ind w:left="392" w:right="967" w:firstLine="360"/>
        <w:jc w:val="left"/>
      </w:pPr>
      <w:r>
        <w:rPr>
          <w:spacing w:val="-2"/>
        </w:rPr>
        <w:t>报告期内，公司拥有</w:t>
      </w:r>
      <w:r>
        <w:rPr>
          <w:rFonts w:ascii="宋体" w:hAnsi="宋体" w:cs="宋体" w:eastAsia="宋体" w:hint="default"/>
          <w:spacing w:val="-2"/>
        </w:rPr>
        <w:t>42</w:t>
      </w:r>
      <w:r>
        <w:rPr>
          <w:spacing w:val="-2"/>
        </w:rPr>
        <w:t>家子公司，其中通过设立或投资方式取得的子公司</w:t>
      </w:r>
      <w:r>
        <w:rPr>
          <w:rFonts w:ascii="宋体" w:hAnsi="宋体" w:cs="宋体" w:eastAsia="宋体" w:hint="default"/>
          <w:spacing w:val="-2"/>
        </w:rPr>
        <w:t>34</w:t>
      </w:r>
      <w:r>
        <w:rPr>
          <w:spacing w:val="-2"/>
        </w:rPr>
        <w:t>家，通过非同一控制下企业合并取得的子公</w:t>
      </w:r>
      <w:r>
        <w:rPr/>
        <w:t> 司</w:t>
      </w:r>
      <w:r>
        <w:rPr>
          <w:rFonts w:ascii="宋体" w:hAnsi="宋体" w:cs="宋体" w:eastAsia="宋体" w:hint="default"/>
        </w:rPr>
        <w:t>8</w:t>
      </w:r>
      <w:r>
        <w:rPr/>
        <w:t>家，参股公司</w:t>
      </w:r>
      <w:r>
        <w:rPr>
          <w:rFonts w:ascii="宋体" w:hAnsi="宋体" w:cs="宋体" w:eastAsia="宋体" w:hint="default"/>
        </w:rPr>
        <w:t>10</w:t>
      </w:r>
      <w:r>
        <w:rPr/>
        <w:t>家。</w:t>
      </w:r>
    </w:p>
    <w:p>
      <w:pPr>
        <w:pStyle w:val="Heading4"/>
        <w:spacing w:line="240" w:lineRule="auto" w:before="137"/>
        <w:ind w:left="753" w:right="7174"/>
        <w:jc w:val="left"/>
        <w:rPr>
          <w:b w:val="0"/>
          <w:bCs w:val="0"/>
        </w:rPr>
      </w:pPr>
      <w:r>
        <w:rPr/>
        <w:t>子公司：</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left="392" w:right="967" w:firstLine="360"/>
        <w:jc w:val="left"/>
      </w:pPr>
      <w:r>
        <w:rPr>
          <w:spacing w:val="-2"/>
        </w:rPr>
        <w:t>（</w:t>
      </w:r>
      <w:r>
        <w:rPr>
          <w:rFonts w:ascii="宋体" w:hAnsi="宋体" w:cs="宋体" w:eastAsia="宋体" w:hint="default"/>
          <w:spacing w:val="-2"/>
        </w:rPr>
        <w:t>1</w:t>
      </w:r>
      <w:r>
        <w:rPr>
          <w:spacing w:val="-2"/>
        </w:rPr>
        <w:t>）北京联银通科技有限公司，成立于</w:t>
      </w:r>
      <w:r>
        <w:rPr>
          <w:rFonts w:ascii="宋体" w:hAnsi="宋体" w:cs="宋体" w:eastAsia="宋体" w:hint="default"/>
          <w:spacing w:val="-2"/>
        </w:rPr>
        <w:t>2000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日，注册资本：</w:t>
      </w:r>
      <w:r>
        <w:rPr>
          <w:rFonts w:ascii="宋体" w:hAnsi="宋体" w:cs="宋体" w:eastAsia="宋体" w:hint="default"/>
          <w:spacing w:val="-2"/>
        </w:rPr>
        <w:t>10,000</w:t>
      </w:r>
      <w:r>
        <w:rPr>
          <w:spacing w:val="-2"/>
        </w:rPr>
        <w:t>万元，注册地点：北京市，经营范围</w:t>
      </w:r>
      <w:r>
        <w:rPr>
          <w:rFonts w:ascii="宋体" w:hAnsi="宋体" w:cs="宋体" w:eastAsia="宋体" w:hint="default"/>
          <w:spacing w:val="-2"/>
        </w:rPr>
        <w:t>:</w:t>
      </w:r>
      <w:r>
        <w:rPr>
          <w:spacing w:val="-2"/>
        </w:rPr>
        <w:t>金融行</w:t>
      </w:r>
      <w:r>
        <w:rPr/>
        <w:t> 业软件开发和信息系统集成及相关服务业务。</w:t>
      </w:r>
    </w:p>
    <w:p>
      <w:pPr>
        <w:pStyle w:val="BodyText"/>
        <w:spacing w:line="240" w:lineRule="auto" w:before="139"/>
        <w:ind w:left="753" w:right="967"/>
        <w:jc w:val="left"/>
      </w:pPr>
      <w:r>
        <w:rPr/>
        <w:t>北京联银通科技有限公司系本公司非同一控制下的子公司。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left="392" w:right="970" w:firstLine="360"/>
        <w:jc w:val="both"/>
      </w:pPr>
      <w:r>
        <w:rPr>
          <w:rFonts w:ascii="宋体" w:hAnsi="宋体" w:cs="宋体" w:eastAsia="宋体" w:hint="default"/>
        </w:rPr>
        <w:t>(2)</w:t>
      </w:r>
      <w:r>
        <w:rPr>
          <w:rFonts w:ascii="宋体" w:hAnsi="宋体" w:cs="宋体" w:eastAsia="宋体" w:hint="default"/>
          <w:spacing w:val="13"/>
        </w:rPr>
        <w:t> </w:t>
      </w:r>
      <w:r>
        <w:rPr>
          <w:spacing w:val="-2"/>
        </w:rPr>
        <w:t>北京东华合创科技有限公司，成立于</w:t>
      </w:r>
      <w:r>
        <w:rPr>
          <w:rFonts w:ascii="宋体" w:hAnsi="宋体" w:cs="宋体" w:eastAsia="宋体" w:hint="default"/>
          <w:spacing w:val="-2"/>
        </w:rPr>
        <w:t>2006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13</w:t>
      </w:r>
      <w:r>
        <w:rPr>
          <w:spacing w:val="-2"/>
        </w:rPr>
        <w:t>日，注册资本：</w:t>
      </w:r>
      <w:r>
        <w:rPr>
          <w:rFonts w:ascii="宋体" w:hAnsi="宋体" w:cs="宋体" w:eastAsia="宋体" w:hint="default"/>
          <w:spacing w:val="-2"/>
        </w:rPr>
        <w:t>20,000</w:t>
      </w:r>
      <w:r>
        <w:rPr>
          <w:spacing w:val="-2"/>
        </w:rPr>
        <w:t>万元，注册地点：北京市，经营范围：技</w:t>
      </w:r>
      <w:r>
        <w:rPr/>
        <w:t> </w:t>
      </w:r>
      <w:r>
        <w:rPr>
          <w:spacing w:val="-5"/>
        </w:rPr>
        <w:t>术开发，技术推广，技术转让，技术咨询，技术服务；生产、加工计算机软硬件；计算机系统服务，数据处理，计算机维修，</w:t>
      </w:r>
      <w:r>
        <w:rPr>
          <w:spacing w:val="-76"/>
        </w:rPr>
        <w:t> </w:t>
      </w:r>
      <w:r>
        <w:rPr>
          <w:spacing w:val="-76"/>
        </w:rPr>
      </w:r>
      <w:r>
        <w:rPr/>
        <w:t>计算机咨询；软件服务；销售计算机及辅助设备；计算机、通讯设备租赁；货物进出口，代理进出口。</w:t>
      </w:r>
    </w:p>
    <w:p>
      <w:pPr>
        <w:pStyle w:val="BodyText"/>
        <w:spacing w:line="316" w:lineRule="auto" w:before="139"/>
        <w:ind w:left="392" w:right="967" w:firstLine="360"/>
        <w:jc w:val="left"/>
      </w:pPr>
      <w:r>
        <w:rPr>
          <w:rFonts w:ascii="宋体" w:hAnsi="宋体" w:cs="宋体" w:eastAsia="宋体" w:hint="default"/>
        </w:rPr>
        <w:t>(3) </w:t>
      </w:r>
      <w:r>
        <w:rPr/>
        <w:t>广州东华合创数码科技有限公司，成立于</w:t>
      </w:r>
      <w:r>
        <w:rPr>
          <w:rFonts w:ascii="宋体" w:hAnsi="宋体" w:cs="宋体" w:eastAsia="宋体" w:hint="default"/>
        </w:rPr>
        <w:t>2001</w:t>
      </w:r>
      <w:r>
        <w:rPr/>
        <w:t>年</w:t>
      </w:r>
      <w:r>
        <w:rPr>
          <w:rFonts w:ascii="宋体" w:hAnsi="宋体" w:cs="宋体" w:eastAsia="宋体" w:hint="default"/>
        </w:rPr>
        <w:t>9</w:t>
      </w:r>
      <w:r>
        <w:rPr/>
        <w:t>月</w:t>
      </w:r>
      <w:r>
        <w:rPr>
          <w:rFonts w:ascii="宋体" w:hAnsi="宋体" w:cs="宋体" w:eastAsia="宋体" w:hint="default"/>
        </w:rPr>
        <w:t>6</w:t>
      </w:r>
      <w:r>
        <w:rPr>
          <w:rFonts w:ascii="宋体" w:hAnsi="宋体" w:cs="宋体" w:eastAsia="宋体" w:hint="default"/>
          <w:spacing w:val="-9"/>
        </w:rPr>
        <w:t> </w:t>
      </w:r>
      <w:r>
        <w:rPr>
          <w:spacing w:val="-3"/>
        </w:rPr>
        <w:t>日，注册资本：</w:t>
      </w:r>
      <w:r>
        <w:rPr>
          <w:rFonts w:ascii="宋体" w:hAnsi="宋体" w:cs="宋体" w:eastAsia="宋体" w:hint="default"/>
          <w:spacing w:val="-3"/>
        </w:rPr>
        <w:t>100</w:t>
      </w:r>
      <w:r>
        <w:rPr>
          <w:spacing w:val="-3"/>
        </w:rPr>
        <w:t>万元，注册地点：广东省广州市，经营范</w:t>
      </w:r>
      <w:r>
        <w:rPr/>
        <w:t> 围：计算机技术开发、转让、咨询；销售计算机软硬件及外围设备的销售业务。</w:t>
      </w:r>
    </w:p>
    <w:p>
      <w:pPr>
        <w:pStyle w:val="BodyText"/>
        <w:spacing w:line="316" w:lineRule="auto" w:before="139"/>
        <w:ind w:left="392" w:right="874" w:firstLine="360"/>
        <w:jc w:val="left"/>
      </w:pPr>
      <w:r>
        <w:rPr>
          <w:rFonts w:ascii="宋体" w:hAnsi="宋体" w:cs="宋体" w:eastAsia="宋体" w:hint="default"/>
        </w:rPr>
        <w:t>(4)</w:t>
      </w:r>
      <w:r>
        <w:rPr>
          <w:rFonts w:ascii="宋体" w:hAnsi="宋体" w:cs="宋体" w:eastAsia="宋体" w:hint="default"/>
          <w:spacing w:val="5"/>
        </w:rPr>
        <w:t> </w:t>
      </w:r>
      <w:r>
        <w:rPr>
          <w:spacing w:val="-5"/>
        </w:rPr>
        <w:t>泰安东华合创软件有限公司，成立于</w:t>
      </w:r>
      <w:r>
        <w:rPr>
          <w:rFonts w:ascii="宋体" w:hAnsi="宋体" w:cs="宋体" w:eastAsia="宋体" w:hint="default"/>
          <w:spacing w:val="-5"/>
        </w:rPr>
        <w:t>2006</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25</w:t>
      </w:r>
      <w:r>
        <w:rPr>
          <w:spacing w:val="-5"/>
        </w:rPr>
        <w:t>日，注册资本：</w:t>
      </w:r>
      <w:r>
        <w:rPr>
          <w:rFonts w:ascii="宋体" w:hAnsi="宋体" w:cs="宋体" w:eastAsia="宋体" w:hint="default"/>
          <w:spacing w:val="-5"/>
        </w:rPr>
        <w:t>3,800</w:t>
      </w:r>
      <w:r>
        <w:rPr>
          <w:spacing w:val="-5"/>
        </w:rPr>
        <w:t>万元，注册地点：山东省泰安市，经营范围：</w:t>
      </w:r>
      <w:r>
        <w:rPr/>
        <w:t> </w:t>
      </w:r>
      <w:r>
        <w:rPr>
          <w:spacing w:val="-2"/>
        </w:rPr>
        <w:t>机电设备的设计、制造、销售；计算机技术的开发、生产、销售、转让、培训；软件外包；开发、生产、销售计算机软硬件</w:t>
      </w:r>
      <w:r>
        <w:rPr>
          <w:spacing w:val="-70"/>
        </w:rPr>
        <w:t> </w:t>
      </w:r>
      <w:r>
        <w:rPr>
          <w:spacing w:val="-70"/>
        </w:rPr>
      </w:r>
      <w:r>
        <w:rPr/>
        <w:t>及外围设备；承接计算机网络工程；工业自动化控制系统工程；开发电子商务系统；自营和代理各类商品及技术的进出口，</w:t>
      </w:r>
      <w:r>
        <w:rPr>
          <w:spacing w:val="-81"/>
        </w:rPr>
        <w:t> </w:t>
      </w:r>
      <w:r>
        <w:rPr>
          <w:spacing w:val="-81"/>
        </w:rPr>
      </w:r>
      <w:r>
        <w:rPr/>
        <w:t>但国家限定公司经营或禁止进出口的商品和技术除外。</w:t>
      </w:r>
    </w:p>
    <w:p>
      <w:pPr>
        <w:pStyle w:val="BodyText"/>
        <w:spacing w:line="316" w:lineRule="auto" w:before="139"/>
        <w:ind w:left="392" w:right="964" w:firstLine="360"/>
        <w:jc w:val="left"/>
      </w:pPr>
      <w:r>
        <w:rPr>
          <w:rFonts w:ascii="宋体" w:hAnsi="宋体" w:cs="宋体" w:eastAsia="宋体" w:hint="default"/>
        </w:rPr>
        <w:t>(5) </w:t>
      </w:r>
      <w:r>
        <w:rPr/>
        <w:t>北京东华合创香港有限公司，成立于</w:t>
      </w: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2</w:t>
      </w:r>
      <w:r>
        <w:rPr/>
        <w:t>日，注册资本：</w:t>
      </w:r>
      <w:r>
        <w:rPr>
          <w:rFonts w:ascii="宋体" w:hAnsi="宋体" w:cs="宋体" w:eastAsia="宋体" w:hint="default"/>
        </w:rPr>
        <w:t>1,000</w:t>
      </w:r>
      <w:r>
        <w:rPr/>
        <w:t>万港币，注册地点：香港，主要负责代理母 公司进口设备等业务。</w:t>
      </w:r>
    </w:p>
    <w:p>
      <w:pPr>
        <w:spacing w:after="0" w:line="316" w:lineRule="auto"/>
        <w:jc w:val="left"/>
        <w:sectPr>
          <w:pgSz w:w="11910" w:h="16840"/>
          <w:pgMar w:header="745" w:footer="980" w:top="1060" w:bottom="1160" w:left="740" w:right="160"/>
        </w:sectPr>
      </w:pPr>
    </w:p>
    <w:p>
      <w:pPr>
        <w:spacing w:line="240" w:lineRule="auto" w:before="9"/>
        <w:rPr>
          <w:rFonts w:ascii="宋体" w:hAnsi="宋体" w:cs="宋体" w:eastAsia="宋体" w:hint="default"/>
          <w:sz w:val="25"/>
          <w:szCs w:val="25"/>
        </w:rPr>
      </w:pPr>
    </w:p>
    <w:p>
      <w:pPr>
        <w:pStyle w:val="BodyText"/>
        <w:spacing w:line="319" w:lineRule="auto" w:before="44"/>
        <w:ind w:right="105" w:firstLine="360"/>
        <w:jc w:val="both"/>
      </w:pPr>
      <w:r>
        <w:rPr>
          <w:rFonts w:ascii="宋体" w:hAnsi="宋体" w:cs="宋体" w:eastAsia="宋体" w:hint="default"/>
        </w:rPr>
        <w:t>(6)</w:t>
      </w:r>
      <w:r>
        <w:rPr>
          <w:rFonts w:ascii="宋体" w:hAnsi="宋体" w:cs="宋体" w:eastAsia="宋体" w:hint="default"/>
          <w:spacing w:val="-1"/>
        </w:rPr>
        <w:t> </w:t>
      </w:r>
      <w:r>
        <w:rPr/>
        <w:t>北京厚盾科技有限公司，成立于</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28</w:t>
      </w:r>
      <w:r>
        <w:rPr/>
        <w:t>日，注册资本：</w:t>
      </w:r>
      <w:r>
        <w:rPr>
          <w:rFonts w:ascii="宋体" w:hAnsi="宋体" w:cs="宋体" w:eastAsia="宋体" w:hint="default"/>
        </w:rPr>
        <w:t>500</w:t>
      </w:r>
      <w:r>
        <w:rPr/>
        <w:t>万元，注册地点：北京市，经营范围：技术开发、 技术咨询、技术服务、技术转让；销售自行开发后的产品；计算机系统服务。</w:t>
      </w:r>
    </w:p>
    <w:p>
      <w:pPr>
        <w:pStyle w:val="BodyText"/>
        <w:spacing w:line="240" w:lineRule="auto" w:before="137"/>
        <w:ind w:left="513" w:right="94"/>
        <w:jc w:val="left"/>
      </w:pPr>
      <w:r>
        <w:rPr/>
        <w:t>北京厚盾科技有限公司系本公司非同一控制下的子公司。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rFonts w:ascii="宋体" w:hAnsi="宋体" w:cs="宋体" w:eastAsia="宋体" w:hint="default"/>
        </w:rPr>
        <w:t>(7)</w:t>
      </w:r>
      <w:r>
        <w:rPr>
          <w:rFonts w:ascii="宋体" w:hAnsi="宋体" w:cs="宋体" w:eastAsia="宋体" w:hint="default"/>
          <w:spacing w:val="42"/>
        </w:rPr>
        <w:t> </w:t>
      </w:r>
      <w:r>
        <w:rPr>
          <w:spacing w:val="-4"/>
        </w:rPr>
        <w:t>东华软件工程有限公司，成立于</w:t>
      </w:r>
      <w:r>
        <w:rPr>
          <w:rFonts w:ascii="宋体" w:hAnsi="宋体" w:cs="宋体" w:eastAsia="宋体" w:hint="default"/>
          <w:spacing w:val="-4"/>
        </w:rPr>
        <w:t>2009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16</w:t>
      </w:r>
      <w:r>
        <w:rPr>
          <w:spacing w:val="-4"/>
        </w:rPr>
        <w:t>日，注册资本：</w:t>
      </w:r>
      <w:r>
        <w:rPr>
          <w:rFonts w:ascii="宋体" w:hAnsi="宋体" w:cs="宋体" w:eastAsia="宋体" w:hint="default"/>
          <w:spacing w:val="-4"/>
        </w:rPr>
        <w:t>10,000</w:t>
      </w:r>
      <w:r>
        <w:rPr>
          <w:spacing w:val="-4"/>
        </w:rPr>
        <w:t>万元，注册地点：安徽省马鞍山市，经营范围</w:t>
      </w:r>
      <w:r>
        <w:rPr>
          <w:rFonts w:ascii="宋体" w:hAnsi="宋体" w:cs="宋体" w:eastAsia="宋体" w:hint="default"/>
          <w:spacing w:val="-4"/>
        </w:rPr>
        <w:t>:</w:t>
      </w:r>
      <w:r>
        <w:rPr>
          <w:rFonts w:ascii="宋体" w:hAnsi="宋体" w:cs="宋体" w:eastAsia="宋体" w:hint="default"/>
        </w:rPr>
        <w:t> </w:t>
      </w:r>
      <w:r>
        <w:rPr>
          <w:spacing w:val="-2"/>
        </w:rPr>
        <w:t>计算机应用软件开发、服务及销售；代理软件产品销售及服务，信息系统集成和服务；计算机和网络信息系统相关硬件产品</w:t>
      </w:r>
      <w:r>
        <w:rPr>
          <w:spacing w:val="-64"/>
        </w:rPr>
        <w:t> </w:t>
      </w:r>
      <w:r>
        <w:rPr>
          <w:spacing w:val="-64"/>
        </w:rPr>
      </w:r>
      <w:r>
        <w:rPr/>
        <w:t>的研制、开发、销售及维修服务；自动控制系统、监控系统、弱电工程、容灾系统的研制、开发、销售、施工及服务。</w:t>
      </w:r>
    </w:p>
    <w:p>
      <w:pPr>
        <w:pStyle w:val="BodyText"/>
        <w:spacing w:line="316" w:lineRule="auto" w:before="139"/>
        <w:ind w:right="194" w:firstLine="360"/>
        <w:jc w:val="both"/>
      </w:pPr>
      <w:r>
        <w:rPr>
          <w:rFonts w:ascii="宋体" w:hAnsi="宋体" w:cs="宋体" w:eastAsia="宋体" w:hint="default"/>
        </w:rPr>
        <w:t>(8) </w:t>
      </w:r>
      <w:r>
        <w:rPr/>
        <w:t>哈尔滨东华软件有限公司，成立于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6</w:t>
      </w:r>
      <w:r>
        <w:rPr/>
        <w:t>日，注册资本：</w:t>
      </w:r>
      <w:r>
        <w:rPr>
          <w:rFonts w:ascii="宋体" w:hAnsi="宋体" w:cs="宋体" w:eastAsia="宋体" w:hint="default"/>
        </w:rPr>
        <w:t>2,000</w:t>
      </w:r>
      <w:r>
        <w:rPr/>
        <w:t>万元，注册地点：黑龙江省哈尔滨市，经营范 围：计算机软件技术开发、技术服务及相关产品销售；计算机系统集成及技术服务；网络工程、弱电工程的设计、施工。</w:t>
      </w:r>
    </w:p>
    <w:p>
      <w:pPr>
        <w:pStyle w:val="BodyText"/>
        <w:spacing w:line="316" w:lineRule="auto" w:before="139"/>
        <w:ind w:right="193" w:firstLine="360"/>
        <w:jc w:val="both"/>
      </w:pPr>
      <w:r>
        <w:rPr>
          <w:rFonts w:ascii="宋体" w:hAnsi="宋体" w:cs="宋体" w:eastAsia="宋体" w:hint="default"/>
        </w:rPr>
        <w:t>(9)</w:t>
      </w:r>
      <w:r>
        <w:rPr>
          <w:rFonts w:ascii="宋体" w:hAnsi="宋体" w:cs="宋体" w:eastAsia="宋体" w:hint="default"/>
          <w:spacing w:val="10"/>
        </w:rPr>
        <w:t> </w:t>
      </w:r>
      <w:r>
        <w:rPr>
          <w:spacing w:val="-5"/>
        </w:rPr>
        <w:t>东华合创软件有限公司，成立于</w:t>
      </w:r>
      <w:r>
        <w:rPr>
          <w:rFonts w:ascii="宋体" w:hAnsi="宋体" w:cs="宋体" w:eastAsia="宋体" w:hint="default"/>
          <w:spacing w:val="-5"/>
        </w:rPr>
        <w:t>2010</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15</w:t>
      </w:r>
      <w:r>
        <w:rPr>
          <w:spacing w:val="-5"/>
        </w:rPr>
        <w:t>日，注册资本：</w:t>
      </w:r>
      <w:r>
        <w:rPr>
          <w:rFonts w:ascii="宋体" w:hAnsi="宋体" w:cs="宋体" w:eastAsia="宋体" w:hint="default"/>
          <w:spacing w:val="-5"/>
        </w:rPr>
        <w:t>5,000</w:t>
      </w:r>
      <w:r>
        <w:rPr>
          <w:spacing w:val="-5"/>
        </w:rPr>
        <w:t>万元，注册地点：天津市，经营范围：软件制作；</w:t>
      </w:r>
      <w:r>
        <w:rPr/>
        <w:t> </w:t>
      </w:r>
      <w:r>
        <w:rPr>
          <w:spacing w:val="-5"/>
        </w:rPr>
        <w:t>机电一体化；软件技术开发、咨询、服务、转让；计算机系统集成；计算机及外围设备、机械设备、电器设备的批发兼零售；</w:t>
      </w:r>
      <w:r>
        <w:rPr>
          <w:spacing w:val="-81"/>
        </w:rPr>
        <w:t> </w:t>
      </w:r>
      <w:r>
        <w:rPr>
          <w:spacing w:val="-81"/>
        </w:rPr>
      </w:r>
      <w:r>
        <w:rPr/>
        <w:t>安全技术防范工程设计、施工；楼宇智能化工程设计、施工；货物和技术进出口业务。</w:t>
      </w:r>
    </w:p>
    <w:p>
      <w:pPr>
        <w:pStyle w:val="BodyText"/>
        <w:spacing w:line="316" w:lineRule="auto" w:before="139"/>
        <w:ind w:right="191" w:firstLine="360"/>
        <w:jc w:val="both"/>
      </w:pPr>
      <w:r>
        <w:rPr>
          <w:rFonts w:ascii="宋体" w:hAnsi="宋体" w:cs="宋体" w:eastAsia="宋体" w:hint="default"/>
        </w:rPr>
        <w:t>(10)</w:t>
      </w:r>
      <w:r>
        <w:rPr>
          <w:rFonts w:ascii="宋体" w:hAnsi="宋体" w:cs="宋体" w:eastAsia="宋体" w:hint="default"/>
          <w:spacing w:val="14"/>
        </w:rPr>
        <w:t> </w:t>
      </w:r>
      <w:r>
        <w:rPr>
          <w:spacing w:val="-2"/>
        </w:rPr>
        <w:t>东华软件技术有限公司，成立于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日，注册资本：</w:t>
      </w:r>
      <w:r>
        <w:rPr>
          <w:rFonts w:ascii="宋体" w:hAnsi="宋体" w:cs="宋体" w:eastAsia="宋体" w:hint="default"/>
          <w:spacing w:val="-2"/>
        </w:rPr>
        <w:t>5,000</w:t>
      </w:r>
      <w:r>
        <w:rPr>
          <w:spacing w:val="-2"/>
        </w:rPr>
        <w:t>万元，注册地点：江苏省南京市，经营范围：计</w:t>
      </w:r>
      <w:r>
        <w:rPr/>
        <w:t> </w:t>
      </w:r>
      <w:r>
        <w:rPr>
          <w:spacing w:val="-2"/>
        </w:rPr>
        <w:t>算机、自动化、网络通讯系统及软硬件产品的研发、销售、系统集成、维修、咨询服务；智能交通、智能建筑、机电一体化</w:t>
      </w:r>
      <w:r>
        <w:rPr>
          <w:spacing w:val="-69"/>
        </w:rPr>
        <w:t> </w:t>
      </w:r>
      <w:r>
        <w:rPr>
          <w:spacing w:val="-69"/>
        </w:rPr>
      </w:r>
      <w:r>
        <w:rPr/>
        <w:t>系统化及产品的研发、销售、施工。</w:t>
      </w:r>
    </w:p>
    <w:p>
      <w:pPr>
        <w:pStyle w:val="BodyText"/>
        <w:spacing w:line="316" w:lineRule="auto" w:before="139"/>
        <w:ind w:right="190" w:firstLine="360"/>
        <w:jc w:val="both"/>
      </w:pPr>
      <w:r>
        <w:rPr>
          <w:rFonts w:ascii="宋体" w:hAnsi="宋体" w:cs="宋体" w:eastAsia="宋体" w:hint="default"/>
        </w:rPr>
        <w:t>(11)</w:t>
      </w:r>
      <w:r>
        <w:rPr>
          <w:rFonts w:ascii="宋体" w:hAnsi="宋体" w:cs="宋体" w:eastAsia="宋体" w:hint="default"/>
          <w:spacing w:val="-1"/>
        </w:rPr>
        <w:t> </w:t>
      </w:r>
      <w:r>
        <w:rPr/>
        <w:t>东华合创科技有限公司，成立于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23</w:t>
      </w:r>
      <w:r>
        <w:rPr/>
        <w:t>日，注册资本：</w:t>
      </w:r>
      <w:r>
        <w:rPr>
          <w:rFonts w:ascii="宋体" w:hAnsi="宋体" w:cs="宋体" w:eastAsia="宋体" w:hint="default"/>
        </w:rPr>
        <w:t>5,000</w:t>
      </w:r>
      <w:r>
        <w:rPr/>
        <w:t>万元，注册地点：安徽省合肥市，经营范围： </w:t>
      </w:r>
      <w:r>
        <w:rPr>
          <w:spacing w:val="-2"/>
        </w:rPr>
        <w:t>计算机、自动化、网络通讯系统及软硬件产品的研究、设计、开发、外包、维修、咨询服务；系统集成；智能交通、智能建</w:t>
      </w:r>
      <w:r>
        <w:rPr>
          <w:spacing w:val="-74"/>
        </w:rPr>
        <w:t> </w:t>
      </w:r>
      <w:r>
        <w:rPr>
          <w:spacing w:val="-74"/>
        </w:rPr>
      </w:r>
      <w:r>
        <w:rPr>
          <w:spacing w:val="-5"/>
        </w:rPr>
        <w:t>筑、机电一体化系统及产品的研究、设计、开发、销售、施工、服务；公共安全防范工程、信息系统安全工程的设计、施工、</w:t>
      </w:r>
      <w:r>
        <w:rPr>
          <w:spacing w:val="-76"/>
        </w:rPr>
        <w:t> </w:t>
      </w:r>
      <w:r>
        <w:rPr>
          <w:spacing w:val="-76"/>
        </w:rPr>
      </w:r>
      <w:r>
        <w:rPr/>
        <w:t>服务。</w:t>
      </w:r>
    </w:p>
    <w:p>
      <w:pPr>
        <w:pStyle w:val="BodyText"/>
        <w:spacing w:line="316" w:lineRule="auto" w:before="139"/>
        <w:ind w:right="94" w:firstLine="360"/>
        <w:jc w:val="left"/>
      </w:pPr>
      <w:r>
        <w:rPr>
          <w:rFonts w:ascii="宋体" w:hAnsi="宋体" w:cs="宋体" w:eastAsia="宋体" w:hint="default"/>
        </w:rPr>
        <w:t>(12) </w:t>
      </w:r>
      <w:r>
        <w:rPr/>
        <w:t>北京东华厚盾软件有限公司，成立于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22</w:t>
      </w:r>
      <w:r>
        <w:rPr/>
        <w:t>日，注册资本：</w:t>
      </w:r>
      <w:r>
        <w:rPr>
          <w:rFonts w:ascii="宋体" w:hAnsi="宋体" w:cs="宋体" w:eastAsia="宋体" w:hint="default"/>
        </w:rPr>
        <w:t>1,000</w:t>
      </w:r>
      <w:r>
        <w:rPr/>
        <w:t>万元，注册地点：北京市，经营范围：应 用软件服务；货物进出口；技术转让；代理进出口；销售计算机软硬件及外围设备（不含计算机信息系统安全专用产品）；</w:t>
      </w:r>
      <w:r>
        <w:rPr>
          <w:spacing w:val="-83"/>
        </w:rPr>
        <w:t> </w:t>
      </w:r>
      <w:r>
        <w:rPr>
          <w:spacing w:val="-83"/>
        </w:rPr>
      </w:r>
      <w:r>
        <w:rPr/>
        <w:t>技术开发；技术咨询；技术服务；技术转让；计算机系统设计、集成。</w:t>
      </w:r>
    </w:p>
    <w:p>
      <w:pPr>
        <w:pStyle w:val="BodyText"/>
        <w:spacing w:line="319" w:lineRule="auto" w:before="139"/>
        <w:ind w:right="190" w:firstLine="360"/>
        <w:jc w:val="both"/>
      </w:pPr>
      <w:r>
        <w:rPr>
          <w:rFonts w:ascii="宋体" w:hAnsi="宋体" w:cs="宋体" w:eastAsia="宋体" w:hint="default"/>
        </w:rPr>
        <w:t>(13)</w:t>
      </w:r>
      <w:r>
        <w:rPr>
          <w:rFonts w:ascii="宋体" w:hAnsi="宋体" w:cs="宋体" w:eastAsia="宋体" w:hint="default"/>
          <w:spacing w:val="-1"/>
        </w:rPr>
        <w:t> </w:t>
      </w:r>
      <w:r>
        <w:rPr/>
        <w:t>北京东华易时科技有限公司，成立于</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11</w:t>
      </w:r>
      <w:r>
        <w:rPr/>
        <w:t>日，注册资本：</w:t>
      </w:r>
      <w:r>
        <w:rPr>
          <w:rFonts w:ascii="宋体" w:hAnsi="宋体" w:cs="宋体" w:eastAsia="宋体" w:hint="default"/>
        </w:rPr>
        <w:t>2,000</w:t>
      </w:r>
      <w:r>
        <w:rPr/>
        <w:t>万元，注册地点：北京市，经营范围：技 </w:t>
      </w:r>
      <w:r>
        <w:rPr>
          <w:spacing w:val="-2"/>
        </w:rPr>
        <w:t>术开发、技术咨询、技术转让、技术服务；货物进出口、技术进出口、代理进出口；销售计算机软硬件及外围设备（不含计</w:t>
      </w:r>
      <w:r>
        <w:rPr>
          <w:spacing w:val="-65"/>
        </w:rPr>
        <w:t> </w:t>
      </w:r>
      <w:r>
        <w:rPr>
          <w:spacing w:val="-65"/>
        </w:rPr>
      </w:r>
      <w:r>
        <w:rPr/>
        <w:t>算机信息系统安全专用产品）、机械设备、五金交电、通信终端设备；安装机械设备；工程项目管理；计算机系统集成。</w:t>
      </w:r>
    </w:p>
    <w:p>
      <w:pPr>
        <w:pStyle w:val="BodyText"/>
        <w:spacing w:line="316" w:lineRule="auto" w:before="137"/>
        <w:ind w:right="191" w:firstLine="360"/>
        <w:jc w:val="both"/>
      </w:pPr>
      <w:r>
        <w:rPr>
          <w:rFonts w:ascii="宋体" w:hAnsi="宋体" w:cs="宋体" w:eastAsia="宋体" w:hint="default"/>
        </w:rPr>
        <w:t>(14)</w:t>
      </w:r>
      <w:r>
        <w:rPr>
          <w:rFonts w:ascii="宋体" w:hAnsi="宋体" w:cs="宋体" w:eastAsia="宋体" w:hint="default"/>
          <w:spacing w:val="13"/>
        </w:rPr>
        <w:t> </w:t>
      </w:r>
      <w:r>
        <w:rPr>
          <w:spacing w:val="-2"/>
        </w:rPr>
        <w:t>北京神舟新桥科技有限公司，成立于</w:t>
      </w:r>
      <w:r>
        <w:rPr>
          <w:rFonts w:ascii="宋体" w:hAnsi="宋体" w:cs="宋体" w:eastAsia="宋体" w:hint="default"/>
          <w:spacing w:val="-2"/>
        </w:rPr>
        <w:t>2001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30</w:t>
      </w:r>
      <w:r>
        <w:rPr>
          <w:spacing w:val="-2"/>
        </w:rPr>
        <w:t>日，注册资本：</w:t>
      </w:r>
      <w:r>
        <w:rPr>
          <w:rFonts w:ascii="宋体" w:hAnsi="宋体" w:cs="宋体" w:eastAsia="宋体" w:hint="default"/>
          <w:spacing w:val="-2"/>
        </w:rPr>
        <w:t>12,000</w:t>
      </w:r>
      <w:r>
        <w:rPr>
          <w:spacing w:val="-2"/>
        </w:rPr>
        <w:t>万元，注册地点：北京市，经营范围：技</w:t>
      </w:r>
      <w:r>
        <w:rPr/>
        <w:t> 术开发、技术转让、技术咨询、技术服务；计算机系统服务；销售电子产品、计算机及辅助设备、机械设备、通讯设备。</w:t>
      </w:r>
    </w:p>
    <w:p>
      <w:pPr>
        <w:pStyle w:val="BodyText"/>
        <w:spacing w:line="240" w:lineRule="auto" w:before="139"/>
        <w:ind w:left="513" w:right="94"/>
        <w:jc w:val="left"/>
      </w:pPr>
      <w:r>
        <w:rPr/>
        <w:t>北京神州新桥科技有限公司系本公司非同一控制下的子公司。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right="194" w:firstLine="360"/>
        <w:jc w:val="both"/>
      </w:pPr>
      <w:r>
        <w:rPr>
          <w:rFonts w:ascii="宋体" w:hAnsi="宋体" w:cs="宋体" w:eastAsia="宋体" w:hint="default"/>
        </w:rPr>
        <w:t>(15)</w:t>
      </w:r>
      <w:r>
        <w:rPr>
          <w:rFonts w:ascii="宋体" w:hAnsi="宋体" w:cs="宋体" w:eastAsia="宋体" w:hint="default"/>
          <w:spacing w:val="-1"/>
        </w:rPr>
        <w:t> </w:t>
      </w:r>
      <w:r>
        <w:rPr/>
        <w:t>沈阳普林科技有限公司，成立于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23</w:t>
      </w:r>
      <w:r>
        <w:rPr/>
        <w:t>日，注册资本：</w:t>
      </w:r>
      <w:r>
        <w:rPr>
          <w:rFonts w:ascii="宋体" w:hAnsi="宋体" w:cs="宋体" w:eastAsia="宋体" w:hint="default"/>
        </w:rPr>
        <w:t>2,000</w:t>
      </w:r>
      <w:r>
        <w:rPr/>
        <w:t>万元，注册地点：辽宁省沈阳市，经营范围： </w:t>
      </w:r>
      <w:r>
        <w:rPr>
          <w:spacing w:val="-2"/>
        </w:rPr>
        <w:t>软件技术开发；应用软件服务；各类商品和技术的进出口业务；信息系统集成和服务；计算机、软件和计算机辅助设备、通</w:t>
      </w:r>
      <w:r>
        <w:rPr>
          <w:spacing w:val="-70"/>
        </w:rPr>
        <w:t> </w:t>
      </w:r>
      <w:r>
        <w:rPr>
          <w:spacing w:val="-70"/>
        </w:rPr>
      </w:r>
      <w:r>
        <w:rPr/>
        <w:t>信设备及配件销售。</w:t>
      </w:r>
    </w:p>
    <w:p>
      <w:pPr>
        <w:pStyle w:val="BodyText"/>
        <w:spacing w:line="316" w:lineRule="auto" w:before="139"/>
        <w:ind w:right="194" w:firstLine="360"/>
        <w:jc w:val="both"/>
      </w:pPr>
      <w:r>
        <w:rPr>
          <w:rFonts w:ascii="宋体" w:hAnsi="宋体" w:cs="宋体" w:eastAsia="宋体" w:hint="default"/>
        </w:rPr>
        <w:t>(16)</w:t>
      </w:r>
      <w:r>
        <w:rPr>
          <w:rFonts w:ascii="宋体" w:hAnsi="宋体" w:cs="宋体" w:eastAsia="宋体" w:hint="default"/>
          <w:spacing w:val="-1"/>
        </w:rPr>
        <w:t> </w:t>
      </w:r>
      <w:r>
        <w:rPr/>
        <w:t>西安东华软件有限公司，成立于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18</w:t>
      </w:r>
      <w:r>
        <w:rPr/>
        <w:t>日，注册资本：</w:t>
      </w:r>
      <w:r>
        <w:rPr>
          <w:rFonts w:ascii="宋体" w:hAnsi="宋体" w:cs="宋体" w:eastAsia="宋体" w:hint="default"/>
        </w:rPr>
        <w:t>5,000</w:t>
      </w:r>
      <w:r>
        <w:rPr/>
        <w:t>万元，注册地点：陕西省西安市，经营范围： </w:t>
      </w:r>
      <w:r>
        <w:rPr>
          <w:spacing w:val="-2"/>
        </w:rPr>
        <w:t>计算机、自动化、网络通讯系统及软硬件产品的研发、销售、集成、维修、咨询服务；智能交通、智能建筑、机电一体化系</w:t>
      </w:r>
      <w:r>
        <w:rPr>
          <w:spacing w:val="-70"/>
        </w:rPr>
        <w:t> </w:t>
      </w:r>
      <w:r>
        <w:rPr>
          <w:spacing w:val="-70"/>
        </w:rPr>
      </w:r>
      <w:r>
        <w:rPr/>
        <w:t>统及产品的研发、制造、销售、施工及服务。</w:t>
      </w:r>
    </w:p>
    <w:p>
      <w:pPr>
        <w:pStyle w:val="BodyText"/>
        <w:spacing w:line="316" w:lineRule="auto" w:before="139"/>
        <w:ind w:right="97" w:firstLine="360"/>
        <w:jc w:val="left"/>
      </w:pPr>
      <w:r>
        <w:rPr>
          <w:rFonts w:ascii="宋体" w:hAnsi="宋体" w:cs="宋体" w:eastAsia="宋体" w:hint="default"/>
        </w:rPr>
        <w:t>(17)</w:t>
      </w:r>
      <w:r>
        <w:rPr>
          <w:rFonts w:ascii="宋体" w:hAnsi="宋体" w:cs="宋体" w:eastAsia="宋体" w:hint="default"/>
          <w:spacing w:val="-3"/>
        </w:rPr>
        <w:t> </w:t>
      </w:r>
      <w:r>
        <w:rPr/>
        <w:t>南昌东华软件有限公司，成立于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29</w:t>
      </w:r>
      <w:r>
        <w:rPr/>
        <w:t>日，注册资本：</w:t>
      </w:r>
      <w:r>
        <w:rPr>
          <w:rFonts w:ascii="宋体" w:hAnsi="宋体" w:cs="宋体" w:eastAsia="宋体" w:hint="default"/>
        </w:rPr>
        <w:t>5,000</w:t>
      </w:r>
      <w:r>
        <w:rPr/>
        <w:t>万元，注册地点：江西省南昌市，经营范围： </w:t>
      </w:r>
      <w:r>
        <w:rPr>
          <w:spacing w:val="-5"/>
        </w:rPr>
        <w:t>计算机软硬件产品的研发、生产、销售；建筑智能化、机电一体化、智能交通系统的研发、销售；安防工程；信息系统集成；</w:t>
      </w:r>
      <w:r>
        <w:rPr>
          <w:spacing w:val="-83"/>
        </w:rPr>
        <w:t> </w:t>
      </w:r>
      <w:r>
        <w:rPr>
          <w:spacing w:val="-83"/>
        </w:rPr>
      </w:r>
      <w:r>
        <w:rPr/>
        <w:t>网络通讯系统的研发、设计、维修、咨询服务。</w:t>
      </w:r>
    </w:p>
    <w:p>
      <w:pPr>
        <w:pStyle w:val="BodyText"/>
        <w:spacing w:line="316" w:lineRule="auto" w:before="139"/>
        <w:ind w:right="191" w:firstLine="360"/>
        <w:jc w:val="both"/>
      </w:pPr>
      <w:r>
        <w:rPr>
          <w:rFonts w:ascii="宋体" w:hAnsi="宋体" w:cs="宋体" w:eastAsia="宋体" w:hint="default"/>
        </w:rPr>
        <w:t>(18)</w:t>
      </w:r>
      <w:r>
        <w:rPr>
          <w:rFonts w:ascii="宋体" w:hAnsi="宋体" w:cs="宋体" w:eastAsia="宋体" w:hint="default"/>
          <w:spacing w:val="14"/>
        </w:rPr>
        <w:t> </w:t>
      </w:r>
      <w:r>
        <w:rPr>
          <w:spacing w:val="-2"/>
        </w:rPr>
        <w:t>山西东华软件有限公司，成立于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4</w:t>
      </w:r>
      <w:r>
        <w:rPr>
          <w:spacing w:val="-2"/>
        </w:rPr>
        <w:t>日，注册资本：</w:t>
      </w:r>
      <w:r>
        <w:rPr>
          <w:rFonts w:ascii="宋体" w:hAnsi="宋体" w:cs="宋体" w:eastAsia="宋体" w:hint="default"/>
          <w:spacing w:val="-2"/>
        </w:rPr>
        <w:t>5,000</w:t>
      </w:r>
      <w:r>
        <w:rPr>
          <w:spacing w:val="-2"/>
        </w:rPr>
        <w:t>万元，注册地点：山西省太原市，经营范围：计</w:t>
      </w:r>
      <w:r>
        <w:rPr/>
        <w:t> </w:t>
      </w:r>
      <w:r>
        <w:rPr>
          <w:spacing w:val="-2"/>
        </w:rPr>
        <w:t>算机的技术开发、技术推广、技术咨询；计算机系统集成、数据处理及维修；监控工程；工矿产品、计算机软硬件及辅助设</w:t>
      </w:r>
      <w:r>
        <w:rPr>
          <w:spacing w:val="-73"/>
        </w:rPr>
        <w:t> </w:t>
      </w:r>
      <w:r>
        <w:rPr>
          <w:spacing w:val="-73"/>
        </w:rPr>
      </w:r>
      <w:r>
        <w:rPr/>
        <w:t>备的销售。</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rFonts w:ascii="宋体" w:hAnsi="宋体" w:cs="宋体" w:eastAsia="宋体" w:hint="default"/>
        </w:rPr>
        <w:t>(19)</w:t>
      </w:r>
      <w:r>
        <w:rPr>
          <w:rFonts w:ascii="宋体" w:hAnsi="宋体" w:cs="宋体" w:eastAsia="宋体" w:hint="default"/>
          <w:spacing w:val="-1"/>
        </w:rPr>
        <w:t> </w:t>
      </w:r>
      <w:r>
        <w:rPr/>
        <w:t>北京卓讯科信技术有限公司，成立于</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23</w:t>
      </w:r>
      <w:r>
        <w:rPr/>
        <w:t>日，注册资本：</w:t>
      </w:r>
      <w:r>
        <w:rPr>
          <w:rFonts w:ascii="宋体" w:hAnsi="宋体" w:cs="宋体" w:eastAsia="宋体" w:hint="default"/>
        </w:rPr>
        <w:t>1,000</w:t>
      </w:r>
      <w:r>
        <w:rPr/>
        <w:t>万元，注册地点：北京市，经营范围：技 </w:t>
      </w:r>
      <w:r>
        <w:rPr>
          <w:spacing w:val="-2"/>
        </w:rPr>
        <w:t>术开发、技术推广、技术转让、技术咨询、技术服务；经济贸易咨询；市场调查；投资调查、企业管理咨询、企业计划、设</w:t>
      </w:r>
      <w:r>
        <w:rPr>
          <w:spacing w:val="-74"/>
        </w:rPr>
        <w:t> </w:t>
      </w:r>
      <w:r>
        <w:rPr>
          <w:spacing w:val="-74"/>
        </w:rPr>
      </w:r>
      <w:r>
        <w:rPr/>
        <w:t>计；销售电子产品、器件和元件、计算机、软件及辅助设备、通讯设备、机械设备、五金交电。</w:t>
      </w:r>
    </w:p>
    <w:p>
      <w:pPr>
        <w:pStyle w:val="BodyText"/>
        <w:spacing w:line="240" w:lineRule="auto" w:before="137"/>
        <w:ind w:left="513" w:right="94"/>
        <w:jc w:val="left"/>
      </w:pPr>
      <w:r>
        <w:rPr/>
        <w:t>北京卓讯科信技术有限公司系本公司非同一控制下的子公司。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rFonts w:ascii="宋体" w:hAnsi="宋体" w:cs="宋体" w:eastAsia="宋体" w:hint="default"/>
        </w:rPr>
        <w:t>(20)</w:t>
      </w:r>
      <w:r>
        <w:rPr>
          <w:rFonts w:ascii="宋体" w:hAnsi="宋体" w:cs="宋体" w:eastAsia="宋体" w:hint="default"/>
          <w:spacing w:val="-3"/>
        </w:rPr>
        <w:t> </w:t>
      </w:r>
      <w:r>
        <w:rPr/>
        <w:t>北京东华信息技术有限公司，成立于</w:t>
      </w:r>
      <w:r>
        <w:rPr>
          <w:rFonts w:ascii="宋体" w:hAnsi="宋体" w:cs="宋体" w:eastAsia="宋体" w:hint="default"/>
        </w:rPr>
        <w:t>2006</w:t>
      </w:r>
      <w:r>
        <w:rPr/>
        <w:t>年</w:t>
      </w:r>
      <w:r>
        <w:rPr>
          <w:rFonts w:ascii="宋体" w:hAnsi="宋体" w:cs="宋体" w:eastAsia="宋体" w:hint="default"/>
        </w:rPr>
        <w:t>4</w:t>
      </w:r>
      <w:r>
        <w:rPr/>
        <w:t>月</w:t>
      </w:r>
      <w:r>
        <w:rPr>
          <w:rFonts w:ascii="宋体" w:hAnsi="宋体" w:cs="宋体" w:eastAsia="宋体" w:hint="default"/>
        </w:rPr>
        <w:t>14</w:t>
      </w:r>
      <w:r>
        <w:rPr/>
        <w:t>日，注册资本：</w:t>
      </w:r>
      <w:r>
        <w:rPr>
          <w:rFonts w:ascii="宋体" w:hAnsi="宋体" w:cs="宋体" w:eastAsia="宋体" w:hint="default"/>
        </w:rPr>
        <w:t>200</w:t>
      </w:r>
      <w:r>
        <w:rPr/>
        <w:t>万元，注册地点：北京市，经营范围：应用 </w:t>
      </w:r>
      <w:r>
        <w:rPr>
          <w:spacing w:val="-2"/>
        </w:rPr>
        <w:t>软件服务；基础软件服务；计算机系统服务；销售计算机、软件及辅助设备、电子产品、机械设备；自然科学研究与试验发</w:t>
      </w:r>
      <w:r>
        <w:rPr>
          <w:spacing w:val="-71"/>
        </w:rPr>
        <w:t> </w:t>
      </w:r>
      <w:r>
        <w:rPr>
          <w:spacing w:val="-71"/>
        </w:rPr>
      </w:r>
      <w:r>
        <w:rPr/>
        <w:t>展；教学咨询。</w:t>
      </w:r>
    </w:p>
    <w:p>
      <w:pPr>
        <w:pStyle w:val="BodyText"/>
        <w:spacing w:line="240" w:lineRule="auto" w:before="139"/>
        <w:ind w:left="513" w:right="94"/>
        <w:jc w:val="left"/>
      </w:pPr>
      <w:r>
        <w:rPr/>
        <w:t>北京东华信息技术有限公司系本公司非同一控制下的子公司。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rFonts w:ascii="宋体" w:hAnsi="宋体" w:cs="宋体" w:eastAsia="宋体" w:hint="default"/>
        </w:rPr>
        <w:t>(21) </w:t>
      </w:r>
      <w:r>
        <w:rPr/>
        <w:t>东华软件开发有限公司，成立于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日，注册资本：</w:t>
      </w:r>
      <w:r>
        <w:rPr>
          <w:rFonts w:ascii="宋体" w:hAnsi="宋体" w:cs="宋体" w:eastAsia="宋体" w:hint="default"/>
        </w:rPr>
        <w:t>5,000</w:t>
      </w:r>
      <w:r>
        <w:rPr/>
        <w:t>万元，注册地点：江苏省盐城市，经营范围： 计算机、自动化、网络通信系统及软硬件产品的研究、设计、开发、制造、系统集成、及相应的外包、维修、咨询等服务；</w:t>
      </w:r>
      <w:r>
        <w:rPr>
          <w:spacing w:val="-83"/>
        </w:rPr>
        <w:t> </w:t>
      </w:r>
      <w:r>
        <w:rPr>
          <w:spacing w:val="-83"/>
        </w:rPr>
      </w:r>
      <w:r>
        <w:rPr>
          <w:spacing w:val="-2"/>
        </w:rPr>
        <w:t>数字医疗、智能交通、智能建筑、机电一体化系统及产品的研究、设计、开发、制造、施工及服务；公共安全防范工作及系</w:t>
      </w:r>
      <w:r>
        <w:rPr>
          <w:spacing w:val="-65"/>
        </w:rPr>
        <w:t> </w:t>
      </w:r>
      <w:r>
        <w:rPr>
          <w:spacing w:val="-65"/>
        </w:rPr>
      </w:r>
      <w:r>
        <w:rPr/>
        <w:t>统信息安全工程的设计、施工及服务。</w:t>
      </w:r>
    </w:p>
    <w:p>
      <w:pPr>
        <w:pStyle w:val="BodyText"/>
        <w:spacing w:line="316" w:lineRule="auto" w:before="139"/>
        <w:ind w:right="94" w:firstLine="360"/>
        <w:jc w:val="left"/>
      </w:pPr>
      <w:r>
        <w:rPr>
          <w:rFonts w:ascii="宋体" w:hAnsi="宋体" w:cs="宋体" w:eastAsia="宋体" w:hint="default"/>
        </w:rPr>
        <w:t>(22) </w:t>
      </w:r>
      <w:r>
        <w:rPr/>
        <w:t>天津东华博雅软件有限公司，成立于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29</w:t>
      </w:r>
      <w:r>
        <w:rPr/>
        <w:t>日，注册资本：</w:t>
      </w:r>
      <w:r>
        <w:rPr>
          <w:rFonts w:ascii="宋体" w:hAnsi="宋体" w:cs="宋体" w:eastAsia="宋体" w:hint="default"/>
        </w:rPr>
        <w:t>5,000</w:t>
      </w:r>
      <w:r>
        <w:rPr/>
        <w:t>万元，注册地点：天津市，经营范围：法 律、行政法规、国务院决定禁止的，不得经营；应经审批的，未获批准不得经营；法律、行政法规、国务院决定未审批的，</w:t>
      </w:r>
      <w:r>
        <w:rPr>
          <w:spacing w:val="-83"/>
        </w:rPr>
        <w:t> </w:t>
      </w:r>
      <w:r>
        <w:rPr>
          <w:spacing w:val="-83"/>
        </w:rPr>
      </w:r>
      <w:r>
        <w:rPr/>
        <w:t>自主经营。</w:t>
      </w:r>
    </w:p>
    <w:p>
      <w:pPr>
        <w:pStyle w:val="BodyText"/>
        <w:spacing w:line="316" w:lineRule="auto" w:before="139"/>
        <w:ind w:right="94" w:firstLine="360"/>
        <w:jc w:val="left"/>
      </w:pPr>
      <w:r>
        <w:rPr>
          <w:rFonts w:ascii="宋体" w:hAnsi="宋体" w:cs="宋体" w:eastAsia="宋体" w:hint="default"/>
        </w:rPr>
        <w:t>(23) </w:t>
      </w:r>
      <w:r>
        <w:rPr/>
        <w:t>东华星联科技有限公司，成立于</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24</w:t>
      </w:r>
      <w:r>
        <w:rPr/>
        <w:t>日，注册资本：</w:t>
      </w:r>
      <w:r>
        <w:rPr>
          <w:rFonts w:ascii="宋体" w:hAnsi="宋体" w:cs="宋体" w:eastAsia="宋体" w:hint="default"/>
        </w:rPr>
        <w:t>20,000</w:t>
      </w:r>
      <w:r>
        <w:rPr/>
        <w:t>万元，注册地点：广东省深圳市，经营范围： </w:t>
      </w:r>
      <w:r>
        <w:rPr>
          <w:spacing w:val="-2"/>
        </w:rPr>
        <w:t>计算机软件、信息系统软件的开发、销售；信息系统设计、集成、运行维护；信息技术系统咨询；集成电路设计、研发；计</w:t>
      </w:r>
      <w:r>
        <w:rPr>
          <w:spacing w:val="-70"/>
        </w:rPr>
        <w:t> </w:t>
      </w:r>
      <w:r>
        <w:rPr>
          <w:spacing w:val="-70"/>
        </w:rPr>
      </w:r>
      <w:r>
        <w:rPr>
          <w:spacing w:val="-5"/>
        </w:rPr>
        <w:t>算机、软件及辅助设备的销售；通讯设备的销售；电子产品批发销售；国内贸易；经营进出口业务；计算机及通讯设备租赁；</w:t>
      </w:r>
      <w:r>
        <w:rPr>
          <w:spacing w:val="-77"/>
        </w:rPr>
        <w:t> </w:t>
      </w:r>
      <w:r>
        <w:rPr>
          <w:spacing w:val="-77"/>
        </w:rPr>
      </w:r>
      <w:r>
        <w:rPr/>
        <w:t>信息咨询；电子、通信与自动化控制技术研究；计算机科学技术研究；新材料技术、节能技术推广；供应链管理。</w:t>
      </w:r>
    </w:p>
    <w:p>
      <w:pPr>
        <w:pStyle w:val="BodyText"/>
        <w:spacing w:line="316" w:lineRule="auto" w:before="139"/>
        <w:ind w:right="107" w:firstLine="360"/>
        <w:jc w:val="both"/>
      </w:pPr>
      <w:r>
        <w:rPr>
          <w:rFonts w:ascii="宋体" w:hAnsi="宋体" w:cs="宋体" w:eastAsia="宋体" w:hint="default"/>
        </w:rPr>
        <w:t>(24) </w:t>
      </w:r>
      <w:r>
        <w:rPr/>
        <w:t>东华云计算有限公司，成立于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25</w:t>
      </w:r>
      <w:r>
        <w:rPr/>
        <w:t>日，注册资本：</w:t>
      </w:r>
      <w:r>
        <w:rPr>
          <w:rFonts w:ascii="宋体" w:hAnsi="宋体" w:cs="宋体" w:eastAsia="宋体" w:hint="default"/>
        </w:rPr>
        <w:t>10,000</w:t>
      </w:r>
      <w:r>
        <w:rPr/>
        <w:t>万元，注册地点：浙江省衢州市，经营范围： 云计算技术开发、技术推广、技术咨询、技术服务；计算机系统服务、数据处理；软件咨询；计算机软硬件的开发及销售。</w:t>
      </w:r>
    </w:p>
    <w:p>
      <w:pPr>
        <w:pStyle w:val="BodyText"/>
        <w:spacing w:line="319" w:lineRule="auto" w:before="139"/>
        <w:ind w:right="194" w:firstLine="360"/>
        <w:jc w:val="both"/>
      </w:pPr>
      <w:r>
        <w:rPr>
          <w:rFonts w:ascii="宋体" w:hAnsi="宋体" w:cs="宋体" w:eastAsia="宋体" w:hint="default"/>
        </w:rPr>
        <w:t>(25)</w:t>
      </w:r>
      <w:r>
        <w:rPr>
          <w:rFonts w:ascii="宋体" w:hAnsi="宋体" w:cs="宋体" w:eastAsia="宋体" w:hint="default"/>
          <w:spacing w:val="-3"/>
        </w:rPr>
        <w:t> </w:t>
      </w:r>
      <w:r>
        <w:rPr/>
        <w:t>北京光明数据信息技术有限公司，成立于</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13</w:t>
      </w:r>
      <w:r>
        <w:rPr/>
        <w:t>日，注册资本：</w:t>
      </w:r>
      <w:r>
        <w:rPr>
          <w:rFonts w:ascii="宋体" w:hAnsi="宋体" w:cs="宋体" w:eastAsia="宋体" w:hint="default"/>
        </w:rPr>
        <w:t>100</w:t>
      </w:r>
      <w:r>
        <w:rPr/>
        <w:t>万元，注册地点：北京市，经营范围： </w:t>
      </w:r>
      <w:r>
        <w:rPr>
          <w:spacing w:val="-2"/>
        </w:rPr>
        <w:t>技术开发、技术推广、技术转让、技术咨询、技术服务；计算机技术培训；数据处理；计算机系统服务；基础软件服务；应</w:t>
      </w:r>
      <w:r>
        <w:rPr>
          <w:spacing w:val="-70"/>
        </w:rPr>
        <w:t> </w:t>
      </w:r>
      <w:r>
        <w:rPr>
          <w:spacing w:val="-70"/>
        </w:rPr>
      </w:r>
      <w:r>
        <w:rPr/>
        <w:t>用软件服务；市场调查；经济贸易咨询；投资咨询；销售计算机、软件及辅助设备、机械设备、电子产品。</w:t>
      </w:r>
    </w:p>
    <w:p>
      <w:pPr>
        <w:pStyle w:val="BodyText"/>
        <w:spacing w:line="316" w:lineRule="auto" w:before="137"/>
        <w:ind w:right="194" w:firstLine="360"/>
        <w:jc w:val="both"/>
      </w:pPr>
      <w:r>
        <w:rPr>
          <w:rFonts w:ascii="宋体" w:hAnsi="宋体" w:cs="宋体" w:eastAsia="宋体" w:hint="default"/>
        </w:rPr>
        <w:t>(26)</w:t>
      </w:r>
      <w:r>
        <w:rPr>
          <w:rFonts w:ascii="宋体" w:hAnsi="宋体" w:cs="宋体" w:eastAsia="宋体" w:hint="default"/>
          <w:spacing w:val="-1"/>
        </w:rPr>
        <w:t> </w:t>
      </w:r>
      <w:r>
        <w:rPr/>
        <w:t>北京威锐达测控系统有限公司，成立于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23</w:t>
      </w:r>
      <w:r>
        <w:rPr/>
        <w:t>日，注册资本：</w:t>
      </w:r>
      <w:r>
        <w:rPr>
          <w:rFonts w:ascii="宋体" w:hAnsi="宋体" w:cs="宋体" w:eastAsia="宋体" w:hint="default"/>
        </w:rPr>
        <w:t>1,210</w:t>
      </w:r>
      <w:r>
        <w:rPr/>
        <w:t>万元，注册地点；北京市，经营范围： 测控系统；机电产品和计算机软件的开发、销售；技术服务；经济信息咨询。</w:t>
      </w:r>
    </w:p>
    <w:p>
      <w:pPr>
        <w:pStyle w:val="BodyText"/>
        <w:spacing w:line="240" w:lineRule="auto" w:before="139"/>
        <w:ind w:left="513" w:right="94"/>
        <w:jc w:val="left"/>
      </w:pPr>
      <w:r>
        <w:rPr/>
        <w:t>北京威锐达测控系统有限公司系本公司非同一控制下的子公司。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rFonts w:ascii="宋体" w:hAnsi="宋体" w:cs="宋体" w:eastAsia="宋体" w:hint="default"/>
        </w:rPr>
        <w:t>(27)</w:t>
      </w:r>
      <w:r>
        <w:rPr>
          <w:rFonts w:ascii="宋体" w:hAnsi="宋体" w:cs="宋体" w:eastAsia="宋体" w:hint="default"/>
          <w:spacing w:val="16"/>
        </w:rPr>
        <w:t> </w:t>
      </w:r>
      <w:r>
        <w:rPr>
          <w:spacing w:val="-2"/>
        </w:rPr>
        <w:t>兰州东华软件有限公司，成立于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日，注册资本：</w:t>
      </w:r>
      <w:r>
        <w:rPr>
          <w:rFonts w:ascii="宋体" w:hAnsi="宋体" w:cs="宋体" w:eastAsia="宋体" w:hint="default"/>
          <w:spacing w:val="-2"/>
        </w:rPr>
        <w:t>500</w:t>
      </w:r>
      <w:r>
        <w:rPr>
          <w:spacing w:val="-2"/>
        </w:rPr>
        <w:t>万元，注册地点</w:t>
      </w:r>
      <w:r>
        <w:rPr>
          <w:rFonts w:ascii="宋体" w:hAnsi="宋体" w:cs="宋体" w:eastAsia="宋体" w:hint="default"/>
          <w:spacing w:val="-2"/>
        </w:rPr>
        <w:t>:</w:t>
      </w:r>
      <w:r>
        <w:rPr>
          <w:spacing w:val="-2"/>
        </w:rPr>
        <w:t>甘肃省兰州市，经营范围：软件</w:t>
      </w:r>
      <w:r>
        <w:rPr/>
        <w:t> </w:t>
      </w:r>
      <w:r>
        <w:rPr>
          <w:spacing w:val="-2"/>
        </w:rPr>
        <w:t>技术开发、咨询、服务、转让；计算机技术培训；数据处理；计算机系统服务；基础软件服务；应用软件服务；公共软件服</w:t>
      </w:r>
      <w:r>
        <w:rPr>
          <w:spacing w:val="-70"/>
        </w:rPr>
        <w:t> </w:t>
      </w:r>
      <w:r>
        <w:rPr>
          <w:spacing w:val="-70"/>
        </w:rPr>
      </w:r>
      <w:r>
        <w:rPr>
          <w:spacing w:val="-2"/>
        </w:rPr>
        <w:t>务；销售计算机软硬件及外围设备、通讯设备；承接计算机工业自动化控制系统工程；计算机通讯工程、智能楼宇以及数据</w:t>
      </w:r>
      <w:r>
        <w:rPr>
          <w:spacing w:val="-67"/>
        </w:rPr>
        <w:t> </w:t>
      </w:r>
      <w:r>
        <w:rPr>
          <w:spacing w:val="-67"/>
        </w:rPr>
      </w:r>
      <w:r>
        <w:rPr/>
        <w:t>中心计算机系统工程。</w:t>
      </w:r>
    </w:p>
    <w:p>
      <w:pPr>
        <w:pStyle w:val="BodyText"/>
        <w:spacing w:line="319" w:lineRule="auto" w:before="139"/>
        <w:ind w:right="191" w:firstLine="360"/>
        <w:jc w:val="both"/>
      </w:pPr>
      <w:r>
        <w:rPr>
          <w:rFonts w:ascii="宋体" w:hAnsi="宋体" w:cs="宋体" w:eastAsia="宋体" w:hint="default"/>
        </w:rPr>
        <w:t>(28)</w:t>
      </w:r>
      <w:r>
        <w:rPr>
          <w:rFonts w:ascii="宋体" w:hAnsi="宋体" w:cs="宋体" w:eastAsia="宋体" w:hint="default"/>
          <w:spacing w:val="15"/>
        </w:rPr>
        <w:t> </w:t>
      </w:r>
      <w:r>
        <w:rPr>
          <w:spacing w:val="-2"/>
        </w:rPr>
        <w:t>健康乐软件有限公司，成立于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日，注册资本：</w:t>
      </w:r>
      <w:r>
        <w:rPr>
          <w:rFonts w:ascii="宋体" w:hAnsi="宋体" w:cs="宋体" w:eastAsia="宋体" w:hint="default"/>
          <w:spacing w:val="-2"/>
        </w:rPr>
        <w:t>10,000</w:t>
      </w:r>
      <w:r>
        <w:rPr>
          <w:spacing w:val="-2"/>
        </w:rPr>
        <w:t>万元，注册地点：海南省，经营范围：设计、研</w:t>
      </w:r>
      <w:r>
        <w:rPr/>
        <w:t> </w:t>
      </w:r>
      <w:r>
        <w:rPr>
          <w:spacing w:val="-2"/>
        </w:rPr>
        <w:t>究、开发、销售计算机软件；基于智能移动终端的健康管理应用产品；提供技术服务、技术咨询、健康管理服务、健康信息</w:t>
      </w:r>
      <w:r>
        <w:rPr>
          <w:spacing w:val="-73"/>
        </w:rPr>
        <w:t> </w:t>
      </w:r>
      <w:r>
        <w:rPr>
          <w:spacing w:val="-73"/>
        </w:rPr>
      </w:r>
      <w:r>
        <w:rPr/>
        <w:t>咨询；互联网信息服务。</w:t>
      </w:r>
    </w:p>
    <w:p>
      <w:pPr>
        <w:pStyle w:val="BodyText"/>
        <w:spacing w:line="316" w:lineRule="auto" w:before="137"/>
        <w:ind w:right="194" w:firstLine="360"/>
        <w:jc w:val="both"/>
      </w:pPr>
      <w:r>
        <w:rPr>
          <w:rFonts w:ascii="宋体" w:hAnsi="宋体" w:cs="宋体" w:eastAsia="宋体" w:hint="default"/>
        </w:rPr>
        <w:t>(29)</w:t>
      </w:r>
      <w:r>
        <w:rPr>
          <w:rFonts w:ascii="宋体" w:hAnsi="宋体" w:cs="宋体" w:eastAsia="宋体" w:hint="default"/>
          <w:spacing w:val="-2"/>
        </w:rPr>
        <w:t> </w:t>
      </w:r>
      <w:r>
        <w:rPr/>
        <w:t>东华智慧城市股份有限公司，成立于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27</w:t>
      </w:r>
      <w:r>
        <w:rPr/>
        <w:t>日，注册资本：</w:t>
      </w:r>
      <w:r>
        <w:rPr>
          <w:rFonts w:ascii="宋体" w:hAnsi="宋体" w:cs="宋体" w:eastAsia="宋体" w:hint="default"/>
        </w:rPr>
        <w:t>10,000</w:t>
      </w:r>
      <w:r>
        <w:rPr/>
        <w:t>万元，注册地点：衢州市，经营范围： </w:t>
      </w:r>
      <w:r>
        <w:rPr>
          <w:spacing w:val="-2"/>
        </w:rPr>
        <w:t>基于智慧城市及云产业的技术研发、技术咨询、技术服务、技术推广、技术转让；应用软件服务；公共软件服务；技术进出</w:t>
      </w:r>
      <w:r>
        <w:rPr>
          <w:spacing w:val="-73"/>
        </w:rPr>
        <w:t> </w:t>
      </w:r>
      <w:r>
        <w:rPr>
          <w:spacing w:val="-73"/>
        </w:rPr>
      </w:r>
      <w:r>
        <w:rPr/>
        <w:t>口（法律法规限制的除外，应当取得许可证的凭许可证经营）；基于云计算的智慧城市整体解决方案设计、咨询、服务。</w:t>
      </w:r>
    </w:p>
    <w:p>
      <w:pPr>
        <w:pStyle w:val="BodyText"/>
        <w:spacing w:line="316" w:lineRule="auto" w:before="138"/>
        <w:ind w:right="191" w:firstLine="360"/>
        <w:jc w:val="both"/>
      </w:pPr>
      <w:r>
        <w:rPr>
          <w:spacing w:val="-3"/>
        </w:rPr>
        <w:t>（</w:t>
      </w:r>
      <w:r>
        <w:rPr>
          <w:rFonts w:ascii="宋体" w:hAnsi="宋体" w:cs="宋体" w:eastAsia="宋体" w:hint="default"/>
          <w:spacing w:val="-3"/>
        </w:rPr>
        <w:t>30</w:t>
      </w:r>
      <w:r>
        <w:rPr>
          <w:spacing w:val="-3"/>
        </w:rPr>
        <w:t>）深圳市至高通信技术发展有限公司，成立于</w:t>
      </w:r>
      <w:r>
        <w:rPr>
          <w:rFonts w:ascii="宋体" w:hAnsi="宋体" w:cs="宋体" w:eastAsia="宋体" w:hint="default"/>
          <w:spacing w:val="-3"/>
        </w:rPr>
        <w:t>2003</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29</w:t>
      </w:r>
      <w:r>
        <w:rPr>
          <w:spacing w:val="-3"/>
        </w:rPr>
        <w:t>日，注册资本：</w:t>
      </w:r>
      <w:r>
        <w:rPr>
          <w:rFonts w:ascii="宋体" w:hAnsi="宋体" w:cs="宋体" w:eastAsia="宋体" w:hint="default"/>
          <w:spacing w:val="-3"/>
        </w:rPr>
        <w:t>9,500</w:t>
      </w:r>
      <w:r>
        <w:rPr>
          <w:spacing w:val="-3"/>
        </w:rPr>
        <w:t>万元，注册地点：广东省深圳市，</w:t>
      </w:r>
      <w:r>
        <w:rPr/>
        <w:t> </w:t>
      </w:r>
      <w:r>
        <w:rPr>
          <w:spacing w:val="-2"/>
        </w:rPr>
        <w:t>经营范围：移动通讯终端的候机、平板电脑的研发、生产、销售；无线路由器的研发、销售（不含专营、专控、专卖商品及</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441" w:lineRule="auto" w:before="44"/>
        <w:ind w:left="513" w:right="1354" w:hanging="361"/>
        <w:jc w:val="left"/>
      </w:pPr>
      <w:r>
        <w:rPr/>
        <w:t>限制项目）；软件开发；经营进出口业务；行业应用终端软件的开发与销售；系统集成与技术支持与服务。 深圳市至高通信技术发展有限公司系本公司非同一控制下的子公司。</w:t>
      </w:r>
    </w:p>
    <w:p>
      <w:pPr>
        <w:pStyle w:val="BodyText"/>
        <w:spacing w:line="316" w:lineRule="auto" w:before="45"/>
        <w:ind w:right="194" w:firstLine="360"/>
        <w:jc w:val="both"/>
      </w:pPr>
      <w:r>
        <w:rPr/>
        <w:t>（</w:t>
      </w:r>
      <w:r>
        <w:rPr>
          <w:rFonts w:ascii="宋体" w:hAnsi="宋体" w:cs="宋体" w:eastAsia="宋体" w:hint="default"/>
        </w:rPr>
        <w:t>31</w:t>
      </w:r>
      <w:r>
        <w:rPr/>
        <w:t>）东华博育云有限公司，成立于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20</w:t>
      </w:r>
      <w:r>
        <w:rPr/>
        <w:t>日，注册资本：</w:t>
      </w:r>
      <w:r>
        <w:rPr>
          <w:rFonts w:ascii="宋体" w:hAnsi="宋体" w:cs="宋体" w:eastAsia="宋体" w:hint="default"/>
        </w:rPr>
        <w:t>10,000</w:t>
      </w:r>
      <w:r>
        <w:rPr/>
        <w:t>万元，注册地点：海南省海口市，经营范围： </w:t>
      </w:r>
      <w:r>
        <w:rPr>
          <w:spacing w:val="-2"/>
        </w:rPr>
        <w:t>技术开发、技术咨询、技术服务、技术推广，技术转让，计算机基础软件、应用软件服务及集成业务，销售计算机软硬件及</w:t>
      </w:r>
      <w:r>
        <w:rPr>
          <w:spacing w:val="-73"/>
        </w:rPr>
        <w:t> </w:t>
      </w:r>
      <w:r>
        <w:rPr>
          <w:spacing w:val="-73"/>
        </w:rPr>
      </w:r>
      <w:r>
        <w:rPr>
          <w:spacing w:val="-2"/>
        </w:rPr>
        <w:t>外围设备；基于云平台提供互联网教育软件产品及服务、教育信息咨询、教育文化活动组织策划，教育文化交流、与教育有</w:t>
      </w:r>
      <w:r>
        <w:rPr>
          <w:spacing w:val="-67"/>
        </w:rPr>
        <w:t> </w:t>
      </w:r>
      <w:r>
        <w:rPr>
          <w:spacing w:val="-67"/>
        </w:rPr>
      </w:r>
      <w:r>
        <w:rPr/>
        <w:t>关的课程资源、仪器设备生产与销售。</w:t>
      </w:r>
    </w:p>
    <w:p>
      <w:pPr>
        <w:pStyle w:val="BodyText"/>
        <w:spacing w:line="316" w:lineRule="auto" w:before="139"/>
        <w:ind w:right="94" w:firstLine="360"/>
        <w:jc w:val="left"/>
      </w:pPr>
      <w:r>
        <w:rPr>
          <w:spacing w:val="-5"/>
        </w:rPr>
        <w:t>（</w:t>
      </w:r>
      <w:r>
        <w:rPr>
          <w:rFonts w:ascii="宋体" w:hAnsi="宋体" w:cs="宋体" w:eastAsia="宋体" w:hint="default"/>
          <w:spacing w:val="-5"/>
        </w:rPr>
        <w:t>32</w:t>
      </w:r>
      <w:r>
        <w:rPr>
          <w:spacing w:val="-5"/>
        </w:rPr>
        <w:t>）内蒙古东华软件有限公司，成立于</w:t>
      </w:r>
      <w:r>
        <w:rPr>
          <w:rFonts w:ascii="宋体" w:hAnsi="宋体" w:cs="宋体" w:eastAsia="宋体" w:hint="default"/>
          <w:spacing w:val="-5"/>
        </w:rPr>
        <w:t>2015</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19</w:t>
      </w:r>
      <w:r>
        <w:rPr>
          <w:spacing w:val="-5"/>
        </w:rPr>
        <w:t>日，注册资本：</w:t>
      </w:r>
      <w:r>
        <w:rPr>
          <w:rFonts w:ascii="宋体" w:hAnsi="宋体" w:cs="宋体" w:eastAsia="宋体" w:hint="default"/>
          <w:spacing w:val="-5"/>
        </w:rPr>
        <w:t>5,000</w:t>
      </w:r>
      <w:r>
        <w:rPr>
          <w:spacing w:val="-5"/>
        </w:rPr>
        <w:t>万元，注册地点：内蒙古自治区呼和浩特市，</w:t>
      </w:r>
      <w:r>
        <w:rPr/>
        <w:t> </w:t>
      </w:r>
      <w:r>
        <w:rPr>
          <w:spacing w:val="-2"/>
        </w:rPr>
        <w:t>经营范围：技术开发、技术咨询、技术服务、技术推广、技术转让；计算机系统服务、数据处理；基础软件服务、应用软件</w:t>
      </w:r>
      <w:r>
        <w:rPr>
          <w:spacing w:val="-70"/>
        </w:rPr>
        <w:t> </w:t>
      </w:r>
      <w:r>
        <w:rPr>
          <w:spacing w:val="-70"/>
        </w:rPr>
      </w:r>
      <w:r>
        <w:rPr/>
        <w:t>服务、公共软件服务；承接工业控制与自动化系统工程、计算机通信工程（凭资质经营）；销售计算机软硬件及外围设备、</w:t>
      </w:r>
      <w:r>
        <w:rPr>
          <w:spacing w:val="-82"/>
        </w:rPr>
        <w:t> </w:t>
      </w:r>
      <w:r>
        <w:rPr>
          <w:spacing w:val="-82"/>
        </w:rPr>
      </w:r>
      <w:r>
        <w:rPr/>
        <w:t>通信设备；货物进出口。</w:t>
      </w:r>
    </w:p>
    <w:p>
      <w:pPr>
        <w:pStyle w:val="BodyText"/>
        <w:spacing w:line="316" w:lineRule="auto" w:before="139"/>
        <w:ind w:right="191" w:firstLine="360"/>
        <w:jc w:val="both"/>
      </w:pPr>
      <w:r>
        <w:rPr>
          <w:spacing w:val="-5"/>
        </w:rPr>
        <w:t>（</w:t>
      </w:r>
      <w:r>
        <w:rPr>
          <w:rFonts w:ascii="宋体" w:hAnsi="宋体" w:cs="宋体" w:eastAsia="宋体" w:hint="default"/>
          <w:spacing w:val="-5"/>
        </w:rPr>
        <w:t>33</w:t>
      </w:r>
      <w:r>
        <w:rPr>
          <w:spacing w:val="-5"/>
        </w:rPr>
        <w:t>）合力东华（北京）科技有限公司，成立于</w:t>
      </w:r>
      <w:r>
        <w:rPr>
          <w:rFonts w:ascii="宋体" w:hAnsi="宋体" w:cs="宋体" w:eastAsia="宋体" w:hint="default"/>
          <w:spacing w:val="-5"/>
        </w:rPr>
        <w:t>2015</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13</w:t>
      </w:r>
      <w:r>
        <w:rPr>
          <w:spacing w:val="-5"/>
        </w:rPr>
        <w:t>日，注册资本：</w:t>
      </w:r>
      <w:r>
        <w:rPr>
          <w:rFonts w:ascii="宋体" w:hAnsi="宋体" w:cs="宋体" w:eastAsia="宋体" w:hint="default"/>
          <w:spacing w:val="-5"/>
        </w:rPr>
        <w:t>5,000</w:t>
      </w:r>
      <w:r>
        <w:rPr>
          <w:spacing w:val="-5"/>
        </w:rPr>
        <w:t>万元，注册地点：北京市，经营范围：</w:t>
      </w:r>
      <w:r>
        <w:rPr/>
        <w:t> 网络技术服务、转让、咨询、开发、培训；销售开发后的产品、计算机、软件及外围设备；承接计算机网络工程。</w:t>
      </w:r>
    </w:p>
    <w:p>
      <w:pPr>
        <w:pStyle w:val="BodyText"/>
        <w:spacing w:line="316" w:lineRule="auto" w:before="139"/>
        <w:ind w:right="190" w:firstLine="360"/>
        <w:jc w:val="both"/>
      </w:pPr>
      <w:r>
        <w:rPr/>
        <w:t>（</w:t>
      </w:r>
      <w:r>
        <w:rPr>
          <w:rFonts w:ascii="宋体" w:hAnsi="宋体" w:cs="宋体" w:eastAsia="宋体" w:hint="default"/>
        </w:rPr>
        <w:t>34</w:t>
      </w:r>
      <w:r>
        <w:rPr/>
        <w:t>）北京东华万兴软件有限公司，成立于</w:t>
      </w:r>
      <w:r>
        <w:rPr>
          <w:rFonts w:ascii="宋体" w:hAnsi="宋体" w:cs="宋体" w:eastAsia="宋体" w:hint="default"/>
        </w:rPr>
        <w:t>1999</w:t>
      </w:r>
      <w:r>
        <w:rPr/>
        <w:t>年</w:t>
      </w:r>
      <w:r>
        <w:rPr>
          <w:rFonts w:ascii="宋体" w:hAnsi="宋体" w:cs="宋体" w:eastAsia="宋体" w:hint="default"/>
        </w:rPr>
        <w:t>11</w:t>
      </w:r>
      <w:r>
        <w:rPr/>
        <w:t>月</w:t>
      </w:r>
      <w:r>
        <w:rPr>
          <w:rFonts w:ascii="宋体" w:hAnsi="宋体" w:cs="宋体" w:eastAsia="宋体" w:hint="default"/>
        </w:rPr>
        <w:t>17</w:t>
      </w:r>
      <w:r>
        <w:rPr/>
        <w:t>日，注册资本：</w:t>
      </w:r>
      <w:r>
        <w:rPr>
          <w:rFonts w:ascii="宋体" w:hAnsi="宋体" w:cs="宋体" w:eastAsia="宋体" w:hint="default"/>
        </w:rPr>
        <w:t>5,000</w:t>
      </w:r>
      <w:r>
        <w:rPr/>
        <w:t>万元，注册地点：北京市，经营范围： </w:t>
      </w:r>
      <w:r>
        <w:rPr>
          <w:spacing w:val="-2"/>
        </w:rPr>
        <w:t>医院网络信息管理工程、企业内部信息管理工程、计算机软硬件的技术开发、咨询、转让、培训、服务；信息咨询；广告设</w:t>
      </w:r>
      <w:r>
        <w:rPr>
          <w:spacing w:val="-65"/>
        </w:rPr>
        <w:t> </w:t>
      </w:r>
      <w:r>
        <w:rPr>
          <w:spacing w:val="-65"/>
        </w:rPr>
      </w:r>
      <w:r>
        <w:rPr>
          <w:spacing w:val="-2"/>
        </w:rPr>
        <w:t>计；图文设计；企业策划；承接计算机网络工程；销售百货、五金交电、化工产品、计算机软硬件及外围设备、机械电器设</w:t>
      </w:r>
      <w:r>
        <w:rPr>
          <w:spacing w:val="-68"/>
        </w:rPr>
        <w:t> </w:t>
      </w:r>
      <w:r>
        <w:rPr>
          <w:spacing w:val="-68"/>
        </w:rPr>
      </w:r>
      <w:r>
        <w:rPr/>
        <w:t>备、建筑材料、工艺美术品、电子元器件。依法须经批准的项目，经相关部门批准后依批准的内容开展经营活动。</w:t>
      </w:r>
    </w:p>
    <w:p>
      <w:pPr>
        <w:pStyle w:val="BodyText"/>
        <w:spacing w:line="240" w:lineRule="auto" w:before="139"/>
        <w:ind w:left="513" w:right="94"/>
        <w:jc w:val="left"/>
      </w:pPr>
      <w:r>
        <w:rPr/>
        <w:t>北京东华万兴软件有限公司系本公司非同一控制下的子公司。</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t>（</w:t>
      </w:r>
      <w:r>
        <w:rPr>
          <w:rFonts w:ascii="宋体" w:hAnsi="宋体" w:cs="宋体" w:eastAsia="宋体" w:hint="default"/>
        </w:rPr>
        <w:t>35</w:t>
      </w:r>
      <w:r>
        <w:rPr/>
        <w:t>）东华网络股份公司，成立于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20</w:t>
      </w:r>
      <w:r>
        <w:rPr/>
        <w:t>日，注册资本：</w:t>
      </w:r>
      <w:r>
        <w:rPr>
          <w:rFonts w:ascii="宋体" w:hAnsi="宋体" w:cs="宋体" w:eastAsia="宋体" w:hint="default"/>
        </w:rPr>
        <w:t>10,000</w:t>
      </w:r>
      <w:r>
        <w:rPr/>
        <w:t>万元，注册地点：辽宁省盘锦市，经营范围：互 联网技术和软件开发、销售；互联网信息化咨询；计算机系统集成；新兴企业孵化运营；媒体广告制作、互联网服务。</w:t>
      </w:r>
    </w:p>
    <w:p>
      <w:pPr>
        <w:pStyle w:val="BodyText"/>
        <w:spacing w:line="319" w:lineRule="auto" w:before="139"/>
        <w:ind w:right="192" w:firstLine="360"/>
        <w:jc w:val="both"/>
      </w:pPr>
      <w:r>
        <w:rPr/>
        <w:t>（</w:t>
      </w:r>
      <w:r>
        <w:rPr>
          <w:rFonts w:ascii="宋体" w:hAnsi="宋体" w:cs="宋体" w:eastAsia="宋体" w:hint="default"/>
        </w:rPr>
        <w:t>36</w:t>
      </w:r>
      <w:r>
        <w:rPr/>
        <w:t>）苏州东华软件科技有限公司，成立于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11</w:t>
      </w:r>
      <w:r>
        <w:rPr/>
        <w:t>日，注册资本：</w:t>
      </w:r>
      <w:r>
        <w:rPr>
          <w:rFonts w:ascii="宋体" w:hAnsi="宋体" w:cs="宋体" w:eastAsia="宋体" w:hint="default"/>
        </w:rPr>
        <w:t>10,000</w:t>
      </w:r>
      <w:r>
        <w:rPr/>
        <w:t>万元，注册地点：江苏省苏州市，经营 </w:t>
      </w:r>
      <w:r>
        <w:rPr>
          <w:spacing w:val="-2"/>
        </w:rPr>
        <w:t>范围：计算机系统服务、数据处理、基础软件服务、应用软件服务、公共软件服务并提供相关技术开发、技术咨询、技术服</w:t>
      </w:r>
      <w:r>
        <w:rPr>
          <w:spacing w:val="-73"/>
        </w:rPr>
        <w:t> </w:t>
      </w:r>
      <w:r>
        <w:rPr>
          <w:spacing w:val="-73"/>
        </w:rPr>
      </w:r>
      <w:r>
        <w:rPr>
          <w:spacing w:val="-5"/>
        </w:rPr>
        <w:t>务、技术推广、技术转让；销售计算机软、硬件及外围设备、通讯设备；承接工业控制与自动化系统工程、计算机通讯工程、</w:t>
      </w:r>
      <w:r>
        <w:rPr>
          <w:spacing w:val="-84"/>
        </w:rPr>
        <w:t> </w:t>
      </w:r>
      <w:r>
        <w:rPr>
          <w:spacing w:val="-84"/>
        </w:rPr>
      </w:r>
      <w:r>
        <w:rPr>
          <w:spacing w:val="-2"/>
        </w:rPr>
        <w:t>智能楼宇及数据中心计算机系统工程；自营和代理各类商品及技术的进出口业务，但国家限定企业经营或禁止进出口的商品</w:t>
      </w:r>
      <w:r>
        <w:rPr>
          <w:spacing w:val="-63"/>
        </w:rPr>
        <w:t> </w:t>
      </w:r>
      <w:r>
        <w:rPr>
          <w:spacing w:val="-63"/>
        </w:rPr>
      </w:r>
      <w:r>
        <w:rPr/>
        <w:t>及技术除外。</w:t>
      </w:r>
    </w:p>
    <w:p>
      <w:pPr>
        <w:pStyle w:val="BodyText"/>
        <w:spacing w:line="316" w:lineRule="auto" w:before="137"/>
        <w:ind w:right="194" w:firstLine="360"/>
        <w:jc w:val="both"/>
      </w:pPr>
      <w:r>
        <w:rPr/>
        <w:t>（</w:t>
      </w:r>
      <w:r>
        <w:rPr>
          <w:rFonts w:ascii="宋体" w:hAnsi="宋体" w:cs="宋体" w:eastAsia="宋体" w:hint="default"/>
        </w:rPr>
        <w:t>37</w:t>
      </w:r>
      <w:r>
        <w:rPr/>
        <w:t>）东华软件（绵阳）有限公司，成立于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日，注册资本：</w:t>
      </w:r>
      <w:r>
        <w:rPr>
          <w:rFonts w:ascii="宋体" w:hAnsi="宋体" w:cs="宋体" w:eastAsia="宋体" w:hint="default"/>
        </w:rPr>
        <w:t>10,000</w:t>
      </w:r>
      <w:r>
        <w:rPr/>
        <w:t>万元，注册地点：四川省绵阳市，经营 </w:t>
      </w:r>
      <w:r>
        <w:rPr>
          <w:spacing w:val="-2"/>
        </w:rPr>
        <w:t>范围：软件技术开发、技术咨询、技术服务、技术推广、技术转让；计算机系统服务；数据处理；基础软件服务、应用软件</w:t>
      </w:r>
      <w:r>
        <w:rPr>
          <w:spacing w:val="-70"/>
        </w:rPr>
        <w:t> </w:t>
      </w:r>
      <w:r>
        <w:rPr>
          <w:spacing w:val="-70"/>
        </w:rPr>
      </w:r>
      <w:r>
        <w:rPr>
          <w:spacing w:val="-2"/>
        </w:rPr>
        <w:t>服务、公共软件服务；计算机软、硬件及外围设备、通讯设备销售；承接工业控制与自动化系统工程、计算机通讯工程、智</w:t>
      </w:r>
      <w:r>
        <w:rPr>
          <w:spacing w:val="-73"/>
        </w:rPr>
        <w:t> </w:t>
      </w:r>
      <w:r>
        <w:rPr>
          <w:spacing w:val="-73"/>
        </w:rPr>
      </w:r>
      <w:r>
        <w:rPr/>
        <w:t>能楼宇及数据中心计算机系统工程；国家允许的进出口贸易。</w:t>
      </w:r>
    </w:p>
    <w:p>
      <w:pPr>
        <w:pStyle w:val="BodyText"/>
        <w:spacing w:line="316" w:lineRule="auto" w:before="139"/>
        <w:ind w:right="192" w:firstLine="360"/>
        <w:jc w:val="both"/>
      </w:pPr>
      <w:r>
        <w:rPr/>
        <w:t>（</w:t>
      </w:r>
      <w:r>
        <w:rPr>
          <w:rFonts w:ascii="宋体" w:hAnsi="宋体" w:cs="宋体" w:eastAsia="宋体" w:hint="default"/>
        </w:rPr>
        <w:t>38</w:t>
      </w:r>
      <w:r>
        <w:rPr/>
        <w:t>）东华互联宜家数据服务有限公司，成立于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26</w:t>
      </w:r>
      <w:r>
        <w:rPr/>
        <w:t>日，注册资本：</w:t>
      </w:r>
      <w:r>
        <w:rPr>
          <w:rFonts w:ascii="宋体" w:hAnsi="宋体" w:cs="宋体" w:eastAsia="宋体" w:hint="default"/>
        </w:rPr>
        <w:t>20,000</w:t>
      </w:r>
      <w:r>
        <w:rPr/>
        <w:t>万元，注册地点：天津市，经营范 </w:t>
      </w:r>
      <w:r>
        <w:rPr>
          <w:spacing w:val="-2"/>
        </w:rPr>
        <w:t>围：技术服务、技术开发、技术转让；经济信息咨询、培训；销售开发后的产品、计算机、软件及外围设备；设备租赁；设</w:t>
      </w:r>
      <w:r>
        <w:rPr>
          <w:spacing w:val="-74"/>
        </w:rPr>
        <w:t> </w:t>
      </w:r>
      <w:r>
        <w:rPr>
          <w:spacing w:val="-74"/>
        </w:rPr>
      </w:r>
      <w:r>
        <w:rPr/>
        <w:t>计、制作、代理；承接计算机网络工程。</w:t>
      </w:r>
    </w:p>
    <w:p>
      <w:pPr>
        <w:pStyle w:val="BodyText"/>
        <w:spacing w:line="319" w:lineRule="auto" w:before="139"/>
        <w:ind w:right="94" w:firstLine="360"/>
        <w:jc w:val="left"/>
      </w:pPr>
      <w:r>
        <w:rPr/>
        <w:t>（</w:t>
      </w:r>
      <w:r>
        <w:rPr>
          <w:rFonts w:ascii="宋体" w:hAnsi="宋体" w:cs="宋体" w:eastAsia="宋体" w:hint="default"/>
        </w:rPr>
        <w:t>39</w:t>
      </w:r>
      <w:r>
        <w:rPr/>
        <w:t>）东华软件威海有限公司，成立于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20</w:t>
      </w:r>
      <w:r>
        <w:rPr/>
        <w:t>日，注册资本：</w:t>
      </w:r>
      <w:r>
        <w:rPr>
          <w:rFonts w:ascii="宋体" w:hAnsi="宋体" w:cs="宋体" w:eastAsia="宋体" w:hint="default"/>
        </w:rPr>
        <w:t>5,000</w:t>
      </w:r>
      <w:r>
        <w:rPr/>
        <w:t>万元，注册地点：山东省威海市，经营范围： 软件技术开发、技术咨询、技术服务、技术推广、技术转让；计算机系统服务；数据处理；基础软件服务、应用软件服务、</w:t>
      </w:r>
      <w:r>
        <w:rPr>
          <w:spacing w:val="-83"/>
        </w:rPr>
        <w:t> </w:t>
      </w:r>
      <w:r>
        <w:rPr>
          <w:spacing w:val="-83"/>
        </w:rPr>
      </w:r>
      <w:r>
        <w:rPr>
          <w:spacing w:val="-2"/>
        </w:rPr>
        <w:t>公共软件服务；计算机软、硬件及外围设备、通讯设备销售；承接工业控制与自动化系统工程、计算机通讯工程、智能楼宇</w:t>
      </w:r>
      <w:r>
        <w:rPr>
          <w:spacing w:val="-67"/>
        </w:rPr>
        <w:t> </w:t>
      </w:r>
      <w:r>
        <w:rPr>
          <w:spacing w:val="-67"/>
        </w:rPr>
      </w:r>
      <w:r>
        <w:rPr/>
        <w:t>及数据中心计算机系统工程；国家允许的进出口贸易。</w:t>
      </w:r>
    </w:p>
    <w:p>
      <w:pPr>
        <w:pStyle w:val="BodyText"/>
        <w:spacing w:line="316" w:lineRule="auto" w:before="137"/>
        <w:ind w:right="191" w:firstLine="360"/>
        <w:jc w:val="both"/>
      </w:pPr>
      <w:r>
        <w:rPr>
          <w:spacing w:val="-3"/>
        </w:rPr>
        <w:t>（</w:t>
      </w:r>
      <w:r>
        <w:rPr>
          <w:rFonts w:ascii="宋体" w:hAnsi="宋体" w:cs="宋体" w:eastAsia="宋体" w:hint="default"/>
          <w:spacing w:val="-3"/>
        </w:rPr>
        <w:t>40</w:t>
      </w:r>
      <w:r>
        <w:rPr>
          <w:spacing w:val="-3"/>
        </w:rPr>
        <w:t>）海南东华软件有限公司，成立于</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28</w:t>
      </w:r>
      <w:r>
        <w:rPr>
          <w:spacing w:val="-3"/>
        </w:rPr>
        <w:t>日，注册资本：</w:t>
      </w:r>
      <w:r>
        <w:rPr>
          <w:rFonts w:ascii="宋体" w:hAnsi="宋体" w:cs="宋体" w:eastAsia="宋体" w:hint="default"/>
          <w:spacing w:val="-3"/>
        </w:rPr>
        <w:t>10,000</w:t>
      </w:r>
      <w:r>
        <w:rPr>
          <w:spacing w:val="-3"/>
        </w:rPr>
        <w:t>万元，注册地点：海南省儋州市，经营范围：</w:t>
      </w:r>
      <w:r>
        <w:rPr/>
        <w:t> </w:t>
      </w:r>
      <w:r>
        <w:rPr>
          <w:spacing w:val="-2"/>
        </w:rPr>
        <w:t>软件技术开发、技术咨询、技术服务、技术推广、技术转让；计算机基础软件、应用软件服务及集成业务，销售计算机软硬</w:t>
      </w:r>
      <w:r>
        <w:rPr>
          <w:spacing w:val="-73"/>
        </w:rPr>
        <w:t> </w:t>
      </w:r>
      <w:r>
        <w:rPr>
          <w:spacing w:val="-73"/>
        </w:rPr>
      </w:r>
      <w:r>
        <w:rPr>
          <w:spacing w:val="-2"/>
        </w:rPr>
        <w:t>件及外围设备；互联网应用、教育产品研发、智慧城市产品研发、高端网络设备生产、东南亚服务外包、人才培训中心，从</w:t>
      </w:r>
      <w:r>
        <w:rPr>
          <w:spacing w:val="-73"/>
        </w:rPr>
        <w:t> </w:t>
      </w:r>
      <w:r>
        <w:rPr>
          <w:spacing w:val="-73"/>
        </w:rPr>
      </w:r>
      <w:r>
        <w:rPr/>
        <w:t>事服务外包、软件开发、系统集成、技术服务等。</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89" w:firstLine="360"/>
        <w:jc w:val="both"/>
      </w:pPr>
      <w:r>
        <w:rPr/>
        <w:t>（</w:t>
      </w:r>
      <w:r>
        <w:rPr>
          <w:rFonts w:ascii="宋体" w:hAnsi="宋体" w:cs="宋体" w:eastAsia="宋体" w:hint="default"/>
        </w:rPr>
        <w:t>41</w:t>
      </w:r>
      <w:r>
        <w:rPr/>
        <w:t>）北京东华智中能源互联网科技有限公司，成立于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日，注册资本：</w:t>
      </w:r>
      <w:r>
        <w:rPr>
          <w:rFonts w:ascii="宋体" w:hAnsi="宋体" w:cs="宋体" w:eastAsia="宋体" w:hint="default"/>
        </w:rPr>
        <w:t>2,000</w:t>
      </w:r>
      <w:r>
        <w:rPr/>
        <w:t>万元，注册地点：北京市， </w:t>
      </w:r>
      <w:r>
        <w:rPr>
          <w:spacing w:val="-2"/>
        </w:rPr>
        <w:t>经营范围：电力电子、新能源、储能系统及电池材料；电力系统自动化和信息化；微电网规划和运行控制；电力物联网和云</w:t>
      </w:r>
      <w:r>
        <w:rPr>
          <w:spacing w:val="-68"/>
        </w:rPr>
        <w:t> </w:t>
      </w:r>
      <w:r>
        <w:rPr>
          <w:spacing w:val="-68"/>
        </w:rPr>
      </w:r>
      <w:r>
        <w:rPr>
          <w:spacing w:val="-2"/>
        </w:rPr>
        <w:t>计算、数据中心、能源大数据分析；电力信息网络、智能电网设备制造的技术开发、技术转让、技术服务、技术咨询；计算</w:t>
      </w:r>
      <w:r>
        <w:rPr>
          <w:spacing w:val="-65"/>
        </w:rPr>
        <w:t> </w:t>
      </w:r>
      <w:r>
        <w:rPr>
          <w:spacing w:val="-65"/>
        </w:rPr>
      </w:r>
      <w:r>
        <w:rPr>
          <w:spacing w:val="-2"/>
        </w:rPr>
        <w:t>机系统服务；数据处理（数据处理中的银行卡中心、</w:t>
      </w:r>
      <w:r>
        <w:rPr>
          <w:rFonts w:ascii="宋体" w:hAnsi="宋体" w:cs="宋体" w:eastAsia="宋体" w:hint="default"/>
          <w:spacing w:val="-2"/>
        </w:rPr>
        <w:t>PUE</w:t>
      </w:r>
      <w:r>
        <w:rPr>
          <w:spacing w:val="-2"/>
        </w:rPr>
        <w:t>值在</w:t>
      </w:r>
      <w:r>
        <w:rPr>
          <w:rFonts w:ascii="宋体" w:hAnsi="宋体" w:cs="宋体" w:eastAsia="宋体" w:hint="default"/>
          <w:spacing w:val="-2"/>
        </w:rPr>
        <w:t>1.5</w:t>
      </w:r>
      <w:r>
        <w:rPr>
          <w:spacing w:val="-2"/>
        </w:rPr>
        <w:t>以上的云计算数据中心除外）；基础软件服务、应用软件服</w:t>
      </w:r>
      <w:r>
        <w:rPr>
          <w:spacing w:val="-61"/>
        </w:rPr>
        <w:t> </w:t>
      </w:r>
      <w:r>
        <w:rPr>
          <w:spacing w:val="-61"/>
        </w:rPr>
      </w:r>
      <w:r>
        <w:rPr/>
        <w:t>务；销售计算机、软件及辅助设备、通讯设备；专业承包。</w:t>
      </w:r>
    </w:p>
    <w:p>
      <w:pPr>
        <w:pStyle w:val="BodyText"/>
        <w:spacing w:line="316" w:lineRule="auto" w:before="137"/>
        <w:ind w:right="193" w:firstLine="360"/>
        <w:jc w:val="both"/>
      </w:pPr>
      <w:r>
        <w:rPr>
          <w:rFonts w:ascii="宋体" w:hAnsi="宋体" w:cs="宋体" w:eastAsia="宋体" w:hint="default"/>
        </w:rPr>
        <w:t>(42)</w:t>
      </w:r>
      <w:r>
        <w:rPr/>
        <w:t>吉林省东华软件信息工程有限公司，成立时间：</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23</w:t>
      </w:r>
      <w:r>
        <w:rPr/>
        <w:t>日，注册资本：</w:t>
      </w:r>
      <w:r>
        <w:rPr>
          <w:rFonts w:ascii="宋体" w:hAnsi="宋体" w:cs="宋体" w:eastAsia="宋体" w:hint="default"/>
        </w:rPr>
        <w:t>2,000</w:t>
      </w:r>
      <w:r>
        <w:rPr/>
        <w:t>万元，注册地点：吉林省长春 </w:t>
      </w:r>
      <w:r>
        <w:rPr>
          <w:spacing w:val="-2"/>
        </w:rPr>
        <w:t>市，经营范围：技术开发、技术咨询、技术服务、技术推广、技术转让，计算机系统服务；互联网软件产品及服务；基础软</w:t>
      </w:r>
      <w:r>
        <w:rPr>
          <w:spacing w:val="-70"/>
        </w:rPr>
        <w:t> </w:t>
      </w:r>
      <w:r>
        <w:rPr>
          <w:spacing w:val="-70"/>
        </w:rPr>
      </w:r>
      <w:r>
        <w:rPr>
          <w:spacing w:val="-2"/>
        </w:rPr>
        <w:t>件服务；应用软件服务、公共软件服务；销售计算机软、硬件及外围设备、通讯设备；承接工业控制与自动化系统工程、计</w:t>
      </w:r>
      <w:r>
        <w:rPr>
          <w:spacing w:val="-73"/>
        </w:rPr>
        <w:t> </w:t>
      </w:r>
      <w:r>
        <w:rPr>
          <w:spacing w:val="-73"/>
        </w:rPr>
      </w:r>
      <w:r>
        <w:rPr>
          <w:spacing w:val="-5"/>
        </w:rPr>
        <w:t>算机通讯工程、消防工程、智能楼宇及数据中心计算机系统工程；软件及工程类培训、咨询；广告策划与代理；货物进出口、</w:t>
      </w:r>
      <w:r>
        <w:rPr>
          <w:spacing w:val="-81"/>
        </w:rPr>
        <w:t> </w:t>
      </w:r>
      <w:r>
        <w:rPr>
          <w:spacing w:val="-81"/>
        </w:rPr>
      </w:r>
      <w:r>
        <w:rPr/>
        <w:t>技术进出口、代理进出口，但国家限定企业经营或禁止进出口的商品及技术除外。</w:t>
      </w:r>
    </w:p>
    <w:p>
      <w:pPr>
        <w:pStyle w:val="Heading4"/>
        <w:spacing w:line="240" w:lineRule="auto" w:before="139"/>
        <w:ind w:right="94"/>
        <w:jc w:val="left"/>
        <w:rPr>
          <w:b w:val="0"/>
          <w:bCs w:val="0"/>
        </w:rPr>
      </w:pPr>
      <w:r>
        <w:rPr/>
        <w:t>参股公司</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91" w:firstLine="360"/>
        <w:jc w:val="right"/>
      </w:pPr>
      <w:r>
        <w:rPr/>
        <w:t>（</w:t>
      </w:r>
      <w:r>
        <w:rPr>
          <w:rFonts w:ascii="宋体" w:hAnsi="宋体" w:cs="宋体" w:eastAsia="宋体" w:hint="default"/>
        </w:rPr>
        <w:t>1</w:t>
      </w:r>
      <w:r>
        <w:rPr/>
        <w:t>）福州东华炜如数码科技有限公司，成立于</w:t>
      </w:r>
      <w:r>
        <w:rPr>
          <w:rFonts w:ascii="宋体" w:hAnsi="宋体" w:cs="宋体" w:eastAsia="宋体" w:hint="default"/>
        </w:rPr>
        <w:t>2002</w:t>
      </w:r>
      <w:r>
        <w:rPr/>
        <w:t>年</w:t>
      </w:r>
      <w:r>
        <w:rPr>
          <w:rFonts w:ascii="宋体" w:hAnsi="宋体" w:cs="宋体" w:eastAsia="宋体" w:hint="default"/>
        </w:rPr>
        <w:t>6</w:t>
      </w:r>
      <w:r>
        <w:rPr/>
        <w:t>月</w:t>
      </w:r>
      <w:r>
        <w:rPr>
          <w:rFonts w:ascii="宋体" w:hAnsi="宋体" w:cs="宋体" w:eastAsia="宋体" w:hint="default"/>
        </w:rPr>
        <w:t>22</w:t>
      </w:r>
      <w:r>
        <w:rPr/>
        <w:t>日，注册资本：</w:t>
      </w:r>
      <w:r>
        <w:rPr>
          <w:rFonts w:ascii="宋体" w:hAnsi="宋体" w:cs="宋体" w:eastAsia="宋体" w:hint="default"/>
        </w:rPr>
        <w:t>150</w:t>
      </w:r>
      <w:r>
        <w:rPr/>
        <w:t>万元，注册地点：福建省福州市，经营 </w:t>
      </w:r>
      <w:r>
        <w:rPr>
          <w:spacing w:val="-5"/>
        </w:rPr>
        <w:t>范围：软件开发、销售；计算机系统集成及技术应用服务；办公设备、电子产品、网络设备、计算机及配件批发、代购代销。</w:t>
      </w:r>
    </w:p>
    <w:p>
      <w:pPr>
        <w:pStyle w:val="BodyText"/>
        <w:spacing w:line="316" w:lineRule="auto" w:before="137"/>
        <w:ind w:right="191" w:firstLine="451"/>
        <w:jc w:val="both"/>
      </w:pPr>
      <w:r>
        <w:rPr>
          <w:rFonts w:ascii="宋体" w:hAnsi="宋体" w:cs="宋体" w:eastAsia="宋体" w:hint="default"/>
          <w:spacing w:val="-1"/>
        </w:rPr>
        <w:t>(2)</w:t>
      </w:r>
      <w:r>
        <w:rPr>
          <w:rFonts w:ascii="宋体" w:hAnsi="宋体" w:cs="宋体" w:eastAsia="宋体" w:hint="default"/>
          <w:spacing w:val="18"/>
        </w:rPr>
        <w:t> </w:t>
      </w:r>
      <w:r>
        <w:rPr>
          <w:spacing w:val="-2"/>
        </w:rPr>
        <w:t>安徽五星食品股份有限公司，成立于</w:t>
      </w: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日，注册资本：</w:t>
      </w:r>
      <w:r>
        <w:rPr>
          <w:rFonts w:ascii="宋体" w:hAnsi="宋体" w:cs="宋体" w:eastAsia="宋体" w:hint="default"/>
          <w:spacing w:val="-2"/>
        </w:rPr>
        <w:t>6,870</w:t>
      </w:r>
      <w:r>
        <w:rPr>
          <w:spacing w:val="-2"/>
        </w:rPr>
        <w:t>万元，注册地点：安徽省宁国市，经营范</w:t>
      </w:r>
      <w:r>
        <w:rPr/>
        <w:t> </w:t>
      </w:r>
      <w:r>
        <w:rPr>
          <w:spacing w:val="-2"/>
        </w:rPr>
        <w:t>围：家禽家畜育种、养殖、加工、收购、销售；饲料加工、销售；粮食收购；养殖技术学。安徽五星食品股份有限公司系本</w:t>
      </w:r>
      <w:r>
        <w:rPr>
          <w:spacing w:val="-73"/>
        </w:rPr>
        <w:t> </w:t>
      </w:r>
      <w:r>
        <w:rPr>
          <w:spacing w:val="-73"/>
        </w:rPr>
      </w:r>
      <w:r>
        <w:rPr/>
        <w:t>公司参股公司。</w:t>
      </w:r>
    </w:p>
    <w:p>
      <w:pPr>
        <w:pStyle w:val="BodyText"/>
        <w:spacing w:line="316" w:lineRule="auto" w:before="139"/>
        <w:ind w:right="194" w:firstLine="451"/>
        <w:jc w:val="both"/>
      </w:pPr>
      <w:r>
        <w:rPr>
          <w:rFonts w:ascii="宋体" w:hAnsi="宋体" w:cs="宋体" w:eastAsia="宋体" w:hint="default"/>
        </w:rPr>
        <w:t>(3)</w:t>
      </w:r>
      <w:r>
        <w:rPr>
          <w:rFonts w:ascii="宋体" w:hAnsi="宋体" w:cs="宋体" w:eastAsia="宋体" w:hint="default"/>
          <w:spacing w:val="-4"/>
        </w:rPr>
        <w:t> </w:t>
      </w:r>
      <w:r>
        <w:rPr/>
        <w:t>北京东方通科技股份有限公司，成立于</w:t>
      </w:r>
      <w:r>
        <w:rPr>
          <w:rFonts w:ascii="宋体" w:hAnsi="宋体" w:cs="宋体" w:eastAsia="宋体" w:hint="default"/>
        </w:rPr>
        <w:t>1997</w:t>
      </w:r>
      <w:r>
        <w:rPr/>
        <w:t>年</w:t>
      </w:r>
      <w:r>
        <w:rPr>
          <w:rFonts w:ascii="宋体" w:hAnsi="宋体" w:cs="宋体" w:eastAsia="宋体" w:hint="default"/>
        </w:rPr>
        <w:t>8</w:t>
      </w:r>
      <w:r>
        <w:rPr/>
        <w:t>月</w:t>
      </w:r>
      <w:r>
        <w:rPr>
          <w:rFonts w:ascii="宋体" w:hAnsi="宋体" w:cs="宋体" w:eastAsia="宋体" w:hint="default"/>
        </w:rPr>
        <w:t>11</w:t>
      </w:r>
      <w:r>
        <w:rPr/>
        <w:t>日，注册资本：</w:t>
      </w:r>
      <w:r>
        <w:rPr>
          <w:rFonts w:ascii="宋体" w:hAnsi="宋体" w:cs="宋体" w:eastAsia="宋体" w:hint="default"/>
        </w:rPr>
        <w:t>11,522.03</w:t>
      </w:r>
      <w:r>
        <w:rPr/>
        <w:t>万元，注册地点：北京市，经营范 围：技术推广；软件服务；销售计算机、软件、及辅助设备。</w:t>
      </w:r>
    </w:p>
    <w:p>
      <w:pPr>
        <w:pStyle w:val="BodyText"/>
        <w:spacing w:line="316" w:lineRule="auto" w:before="139"/>
        <w:ind w:right="191" w:firstLine="451"/>
        <w:jc w:val="both"/>
      </w:pPr>
      <w:r>
        <w:rPr>
          <w:rFonts w:ascii="宋体" w:hAnsi="宋体" w:cs="宋体" w:eastAsia="宋体" w:hint="default"/>
        </w:rPr>
        <w:t>(4)</w:t>
      </w:r>
      <w:r>
        <w:rPr>
          <w:rFonts w:ascii="宋体" w:hAnsi="宋体" w:cs="宋体" w:eastAsia="宋体" w:hint="default"/>
          <w:spacing w:val="-2"/>
        </w:rPr>
        <w:t> </w:t>
      </w:r>
      <w:r>
        <w:rPr/>
        <w:t>成都高新区中科前程科技有限公司，成立于</w:t>
      </w:r>
      <w:r>
        <w:rPr>
          <w:rFonts w:ascii="宋体" w:hAnsi="宋体" w:cs="宋体" w:eastAsia="宋体" w:hint="default"/>
        </w:rPr>
        <w:t>2002</w:t>
      </w:r>
      <w:r>
        <w:rPr/>
        <w:t>年</w:t>
      </w:r>
      <w:r>
        <w:rPr>
          <w:rFonts w:ascii="宋体" w:hAnsi="宋体" w:cs="宋体" w:eastAsia="宋体" w:hint="default"/>
        </w:rPr>
        <w:t>9</w:t>
      </w:r>
      <w:r>
        <w:rPr/>
        <w:t>月</w:t>
      </w:r>
      <w:r>
        <w:rPr>
          <w:rFonts w:ascii="宋体" w:hAnsi="宋体" w:cs="宋体" w:eastAsia="宋体" w:hint="default"/>
        </w:rPr>
        <w:t>23</w:t>
      </w:r>
      <w:r>
        <w:rPr/>
        <w:t>日，注册资本：</w:t>
      </w:r>
      <w:r>
        <w:rPr>
          <w:rFonts w:ascii="宋体" w:hAnsi="宋体" w:cs="宋体" w:eastAsia="宋体" w:hint="default"/>
        </w:rPr>
        <w:t>1,050</w:t>
      </w:r>
      <w:r>
        <w:rPr/>
        <w:t>万元，注册地点：四川省成都市， </w:t>
      </w:r>
      <w:r>
        <w:rPr>
          <w:spacing w:val="-2"/>
        </w:rPr>
        <w:t>经营范围：计算机软硬件研发、测试、销售及租赁服务；提供电子政务和电子商务软件的全面解决方案；第二类增值电信业</w:t>
      </w:r>
      <w:r>
        <w:rPr>
          <w:spacing w:val="-65"/>
        </w:rPr>
        <w:t> </w:t>
      </w:r>
      <w:r>
        <w:rPr>
          <w:spacing w:val="-65"/>
        </w:rPr>
      </w:r>
      <w:r>
        <w:rPr>
          <w:spacing w:val="-2"/>
        </w:rPr>
        <w:t>务中的信息服务业；提供电讯、家电、医疗等应用软件的解决方案；提供机械制造信息化管理和客户服务管理等的全面解决</w:t>
      </w:r>
      <w:r>
        <w:rPr>
          <w:spacing w:val="-64"/>
        </w:rPr>
        <w:t> </w:t>
      </w:r>
      <w:r>
        <w:rPr>
          <w:spacing w:val="-64"/>
        </w:rPr>
      </w:r>
      <w:r>
        <w:rPr/>
        <w:t>方案；承接网络工程、系统集成、汽车零部件及化工（不含危险品）产品的销售；货物进出口、技术进出口。</w:t>
      </w:r>
    </w:p>
    <w:p>
      <w:pPr>
        <w:pStyle w:val="BodyText"/>
        <w:spacing w:line="319" w:lineRule="auto" w:before="139"/>
        <w:ind w:right="93" w:firstLine="451"/>
        <w:jc w:val="left"/>
      </w:pPr>
      <w:r>
        <w:rPr>
          <w:rFonts w:ascii="宋体" w:hAnsi="宋体" w:cs="宋体" w:eastAsia="宋体" w:hint="default"/>
        </w:rPr>
        <w:t>(5)</w:t>
      </w:r>
      <w:r>
        <w:rPr/>
        <w:t>海南银行股份有限公司，成立于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14</w:t>
      </w:r>
      <w:r>
        <w:rPr/>
        <w:t>日，注册资本：</w:t>
      </w:r>
      <w:r>
        <w:rPr>
          <w:rFonts w:ascii="宋体" w:hAnsi="宋体" w:cs="宋体" w:eastAsia="宋体" w:hint="default"/>
        </w:rPr>
        <w:t>300,000</w:t>
      </w:r>
      <w:r>
        <w:rPr/>
        <w:t>万元，注册地点：海南省海口市，经营范围： </w:t>
      </w:r>
      <w:r>
        <w:rPr>
          <w:spacing w:val="-5"/>
        </w:rPr>
        <w:t>吸收公众存款；发放短期、中期和长期贷款；办理国内外结算；办理票据承兑与贴现；发行金融债券；代理发行、代理兑付、</w:t>
      </w:r>
      <w:r>
        <w:rPr>
          <w:spacing w:val="-83"/>
        </w:rPr>
        <w:t> </w:t>
      </w:r>
      <w:r>
        <w:rPr>
          <w:spacing w:val="-83"/>
        </w:rPr>
      </w:r>
      <w:r>
        <w:rPr>
          <w:spacing w:val="-5"/>
        </w:rPr>
        <w:t>承销政府债券；买卖政府债券、金融债券；从事同业拆借；买卖、代理买卖外汇；从事银行卡业务；提供信用证服务及担保；</w:t>
      </w:r>
      <w:r>
        <w:rPr>
          <w:spacing w:val="-81"/>
        </w:rPr>
        <w:t> </w:t>
      </w:r>
      <w:r>
        <w:rPr>
          <w:spacing w:val="-81"/>
        </w:rPr>
      </w:r>
      <w:r>
        <w:rPr/>
        <w:t>代理收付款项及代理的其他业务；提供保管箱服务；经国务院银行业监督管理机构批准的其他业务。</w:t>
      </w:r>
    </w:p>
    <w:p>
      <w:pPr>
        <w:pStyle w:val="BodyText"/>
        <w:spacing w:line="316" w:lineRule="auto" w:before="137"/>
        <w:ind w:right="190" w:firstLine="451"/>
        <w:jc w:val="both"/>
      </w:pPr>
      <w:r>
        <w:rPr>
          <w:rFonts w:ascii="宋体" w:hAnsi="宋体" w:cs="宋体" w:eastAsia="宋体" w:hint="default"/>
        </w:rPr>
        <w:t>(6) </w:t>
      </w:r>
      <w:r>
        <w:rPr/>
        <w:t>北京首创金融资产交易信息服务股份有限公司，成立于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日，注册资本：</w:t>
      </w:r>
      <w:r>
        <w:rPr>
          <w:rFonts w:ascii="宋体" w:hAnsi="宋体" w:cs="宋体" w:eastAsia="宋体" w:hint="default"/>
        </w:rPr>
        <w:t>20,000</w:t>
      </w:r>
      <w:r>
        <w:rPr/>
        <w:t>万元，注册地点：北 </w:t>
      </w:r>
      <w:r>
        <w:rPr>
          <w:spacing w:val="-2"/>
        </w:rPr>
        <w:t>京市，经营范围：金融信息服务（未经行政许可不得开展金融业务）；经济贸易咨询；投资及投资管理；投资咨询；企业管</w:t>
      </w:r>
      <w:r>
        <w:rPr>
          <w:spacing w:val="-65"/>
        </w:rPr>
        <w:t> </w:t>
      </w:r>
      <w:r>
        <w:rPr>
          <w:spacing w:val="-65"/>
        </w:rPr>
      </w:r>
      <w:r>
        <w:rPr>
          <w:spacing w:val="-5"/>
        </w:rPr>
        <w:t>理咨询；市场调查；技术开发、技术服务、技术咨询、技术转让；软件开发；应用软件服务；计算机系统服务；数据处理（数</w:t>
      </w:r>
      <w:r>
        <w:rPr>
          <w:spacing w:val="-85"/>
        </w:rPr>
        <w:t> </w:t>
      </w:r>
      <w:r>
        <w:rPr>
          <w:spacing w:val="-85"/>
        </w:rPr>
      </w:r>
      <w:r>
        <w:rPr/>
        <w:t>据处理中的银行卡中心、</w:t>
      </w:r>
      <w:r>
        <w:rPr>
          <w:rFonts w:ascii="宋体" w:hAnsi="宋体" w:cs="宋体" w:eastAsia="宋体" w:hint="default"/>
        </w:rPr>
        <w:t>PUE</w:t>
      </w:r>
      <w:r>
        <w:rPr/>
        <w:t>值在</w:t>
      </w:r>
      <w:r>
        <w:rPr>
          <w:rFonts w:ascii="宋体" w:hAnsi="宋体" w:cs="宋体" w:eastAsia="宋体" w:hint="default"/>
        </w:rPr>
        <w:t>1.5</w:t>
      </w:r>
      <w:r>
        <w:rPr/>
        <w:t>以上的云计算数据中心除外）；产品设计；设计、制作、代理、发布广告。</w:t>
      </w:r>
    </w:p>
    <w:p>
      <w:pPr>
        <w:pStyle w:val="BodyText"/>
        <w:spacing w:line="316" w:lineRule="auto" w:before="139"/>
        <w:ind w:right="190" w:firstLine="451"/>
        <w:jc w:val="both"/>
      </w:pPr>
      <w:r>
        <w:rPr>
          <w:rFonts w:ascii="宋体" w:hAnsi="宋体" w:cs="宋体" w:eastAsia="宋体" w:hint="default"/>
          <w:spacing w:val="-1"/>
        </w:rPr>
        <w:t>(7)</w:t>
      </w:r>
      <w:r>
        <w:rPr>
          <w:rFonts w:ascii="宋体" w:hAnsi="宋体" w:cs="宋体" w:eastAsia="宋体" w:hint="default"/>
          <w:spacing w:val="17"/>
        </w:rPr>
        <w:t> </w:t>
      </w:r>
      <w:r>
        <w:rPr>
          <w:spacing w:val="-2"/>
        </w:rPr>
        <w:t>天津南大通用数据技术股份有限公司，成立于</w:t>
      </w:r>
      <w:r>
        <w:rPr>
          <w:rFonts w:ascii="宋体" w:hAnsi="宋体" w:cs="宋体" w:eastAsia="宋体" w:hint="default"/>
          <w:spacing w:val="-2"/>
        </w:rPr>
        <w:t>2004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11</w:t>
      </w:r>
      <w:r>
        <w:rPr>
          <w:spacing w:val="-2"/>
        </w:rPr>
        <w:t>日，注册资本：</w:t>
      </w:r>
      <w:r>
        <w:rPr>
          <w:rFonts w:ascii="宋体" w:hAnsi="宋体" w:cs="宋体" w:eastAsia="宋体" w:hint="default"/>
          <w:spacing w:val="-2"/>
        </w:rPr>
        <w:t>10,870</w:t>
      </w:r>
      <w:r>
        <w:rPr>
          <w:spacing w:val="-2"/>
        </w:rPr>
        <w:t>万元，注册地点：天津市，经营</w:t>
      </w:r>
      <w:r>
        <w:rPr/>
        <w:t> </w:t>
      </w:r>
      <w:r>
        <w:rPr>
          <w:spacing w:val="-2"/>
        </w:rPr>
        <w:t>范围：电子信息、软件技术开发、咨询、服务、转让、培训；软件制作；计算机及外围设备、计算机软件、文化办公用机械</w:t>
      </w:r>
      <w:r>
        <w:rPr>
          <w:spacing w:val="-77"/>
        </w:rPr>
        <w:t> </w:t>
      </w:r>
      <w:r>
        <w:rPr>
          <w:spacing w:val="-77"/>
        </w:rPr>
      </w:r>
      <w:r>
        <w:rPr>
          <w:spacing w:val="-5"/>
        </w:rPr>
        <w:t>的批发兼零售；货物及技术的进出口业务；销售经国家密码管理局审批并通过指定检测机构产品质量检测的商用密码产品（以</w:t>
      </w:r>
      <w:r>
        <w:rPr>
          <w:spacing w:val="-76"/>
        </w:rPr>
        <w:t> </w:t>
      </w:r>
      <w:r>
        <w:rPr>
          <w:spacing w:val="-76"/>
        </w:rPr>
      </w:r>
      <w:r>
        <w:rPr/>
        <w:t>商用密码产品销售许可证为准）。</w:t>
      </w:r>
    </w:p>
    <w:p>
      <w:pPr>
        <w:pStyle w:val="BodyText"/>
        <w:spacing w:line="316" w:lineRule="auto" w:before="139"/>
        <w:ind w:right="94" w:firstLine="451"/>
        <w:jc w:val="left"/>
      </w:pPr>
      <w:r>
        <w:rPr>
          <w:rFonts w:ascii="宋体" w:hAnsi="宋体" w:cs="宋体" w:eastAsia="宋体" w:hint="default"/>
        </w:rPr>
        <w:t>(8)</w:t>
      </w:r>
      <w:r>
        <w:rPr>
          <w:rFonts w:ascii="宋体" w:hAnsi="宋体" w:cs="宋体" w:eastAsia="宋体" w:hint="default"/>
          <w:spacing w:val="-42"/>
        </w:rPr>
        <w:t> </w:t>
      </w:r>
      <w:r>
        <w:rPr/>
        <w:t>瑞客东华转化医学研究中心有限公司，成立于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w:t>
      </w:r>
      <w:r>
        <w:rPr/>
        <w:t>日，注册资本：</w:t>
      </w:r>
      <w:r>
        <w:rPr>
          <w:rFonts w:ascii="宋体" w:hAnsi="宋体" w:cs="宋体" w:eastAsia="宋体" w:hint="default"/>
        </w:rPr>
        <w:t>5,000</w:t>
      </w:r>
      <w:r>
        <w:rPr/>
        <w:t>万元，注册地点：北京市，经营范 围：医学研究与试验发展；转化医学的技术开发、技术转让、技术咨询、技术服务；投资咨询、投资管理（但</w:t>
      </w:r>
      <w:r>
        <w:rPr>
          <w:rFonts w:ascii="宋体" w:hAnsi="宋体" w:cs="宋体" w:eastAsia="宋体" w:hint="default"/>
        </w:rPr>
        <w:t>1</w:t>
      </w:r>
      <w:r>
        <w:rPr/>
        <w:t>、不得以公</w:t>
      </w:r>
      <w:r>
        <w:rPr>
          <w:spacing w:val="-82"/>
        </w:rPr>
        <w:t> </w:t>
      </w:r>
      <w:r>
        <w:rPr/>
        <w:t>开方式募集资金；</w:t>
      </w:r>
      <w:r>
        <w:rPr>
          <w:rFonts w:ascii="宋体" w:hAnsi="宋体" w:cs="宋体" w:eastAsia="宋体" w:hint="default"/>
        </w:rPr>
        <w:t>2</w:t>
      </w:r>
      <w:r>
        <w:rPr/>
        <w:t>、不得公开交易证券类产品和金融衍生品；</w:t>
      </w:r>
      <w:r>
        <w:rPr>
          <w:rFonts w:ascii="宋体" w:hAnsi="宋体" w:cs="宋体" w:eastAsia="宋体" w:hint="default"/>
        </w:rPr>
        <w:t>3</w:t>
      </w:r>
      <w:r>
        <w:rPr/>
        <w:t>、不得发放贷款；</w:t>
      </w:r>
      <w:r>
        <w:rPr>
          <w:rFonts w:ascii="宋体" w:hAnsi="宋体" w:cs="宋体" w:eastAsia="宋体" w:hint="default"/>
        </w:rPr>
        <w:t>4</w:t>
      </w:r>
      <w:r>
        <w:rPr/>
        <w:t>、不得向所投资企业以外的其他企业提</w:t>
      </w:r>
      <w:r>
        <w:rPr>
          <w:spacing w:val="-84"/>
        </w:rPr>
        <w:t> </w:t>
      </w:r>
      <w:r>
        <w:rPr>
          <w:spacing w:val="-84"/>
        </w:rPr>
      </w:r>
      <w:r>
        <w:rPr/>
        <w:t>供担保；</w:t>
      </w:r>
      <w:r>
        <w:rPr>
          <w:rFonts w:ascii="宋体" w:hAnsi="宋体" w:cs="宋体" w:eastAsia="宋体" w:hint="default"/>
        </w:rPr>
        <w:t>5</w:t>
      </w:r>
      <w:r>
        <w:rPr/>
        <w:t>、不得向投资者承诺投资本金不受损失或者承诺最低收益）；经济信息咨询；承办展览展示活动；设计、制件、</w:t>
      </w:r>
      <w:r>
        <w:rPr>
          <w:spacing w:val="-84"/>
        </w:rPr>
        <w:t> </w:t>
      </w:r>
      <w:r>
        <w:rPr>
          <w:spacing w:val="-84"/>
        </w:rPr>
      </w:r>
      <w:r>
        <w:rPr>
          <w:spacing w:val="-2"/>
        </w:rPr>
        <w:t>代理、发布广告；会议服务；计算机系统集成；数据处理（数据处理中的银行卡中心、</w:t>
      </w:r>
      <w:r>
        <w:rPr>
          <w:rFonts w:ascii="宋体" w:hAnsi="宋体" w:cs="宋体" w:eastAsia="宋体" w:hint="default"/>
          <w:spacing w:val="-2"/>
        </w:rPr>
        <w:t>PUE</w:t>
      </w:r>
      <w:r>
        <w:rPr>
          <w:spacing w:val="-2"/>
        </w:rPr>
        <w:t>值在</w:t>
      </w:r>
      <w:r>
        <w:rPr>
          <w:rFonts w:ascii="宋体" w:hAnsi="宋体" w:cs="宋体" w:eastAsia="宋体" w:hint="default"/>
          <w:spacing w:val="-2"/>
        </w:rPr>
        <w:t>1.5</w:t>
      </w:r>
      <w:r>
        <w:rPr>
          <w:spacing w:val="-2"/>
        </w:rPr>
        <w:t>以上的云计算数据中心除</w:t>
      </w:r>
      <w:r>
        <w:rPr>
          <w:spacing w:val="-60"/>
        </w:rPr>
        <w:t> </w:t>
      </w:r>
      <w:r>
        <w:rPr>
          <w:spacing w:val="-60"/>
        </w:rPr>
      </w:r>
      <w:r>
        <w:rPr/>
        <w:t>外）；基础软件服务；应用软件服务；销售计算机、软件及辅助设备、通讯设备；货物进出口、技术进出口、代理进出口。</w:t>
      </w:r>
      <w:r>
        <w:rPr>
          <w:spacing w:val="-83"/>
        </w:rPr>
        <w:t> </w:t>
      </w:r>
      <w:r>
        <w:rPr>
          <w:spacing w:val="-83"/>
        </w:rPr>
      </w:r>
      <w:r>
        <w:rPr/>
        <w:t>瑞客东华转化医学研究中心有限公司系本公司参股公司。</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firstLine="360"/>
        <w:jc w:val="left"/>
      </w:pPr>
      <w:r>
        <w:rPr/>
        <w:t>（</w:t>
      </w:r>
      <w:r>
        <w:rPr>
          <w:rFonts w:ascii="宋体" w:hAnsi="宋体" w:cs="宋体" w:eastAsia="宋体" w:hint="default"/>
        </w:rPr>
        <w:t>9</w:t>
      </w:r>
      <w:r>
        <w:rPr/>
        <w:t>）东华之星（北京）软件有限公司，成立于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w:t>
      </w:r>
      <w:r>
        <w:rPr/>
        <w:t>日，注册资本：</w:t>
      </w:r>
      <w:r>
        <w:rPr>
          <w:rFonts w:ascii="宋体" w:hAnsi="宋体" w:cs="宋体" w:eastAsia="宋体" w:hint="default"/>
        </w:rPr>
        <w:t>1,000</w:t>
      </w:r>
      <w:r>
        <w:rPr/>
        <w:t>万元，注册地点：北京市，经营范围： </w:t>
      </w:r>
      <w:r>
        <w:rPr>
          <w:spacing w:val="-2"/>
        </w:rPr>
        <w:t>专业承包；物业管理；软件开发；软件咨询；销售自行开发的产品、电子产品、机械设备、计算机、软件及辅助设备；技术</w:t>
      </w:r>
      <w:r>
        <w:rPr>
          <w:spacing w:val="-70"/>
        </w:rPr>
        <w:t> </w:t>
      </w:r>
      <w:r>
        <w:rPr>
          <w:spacing w:val="-70"/>
        </w:rPr>
      </w:r>
      <w:r>
        <w:rPr/>
        <w:t>开发、技术转让、技术咨询；租赁计算机；经济贸易咨询；健康管理、健康咨询（须经审批的诊疗活动除外）；企业管理。</w:t>
      </w:r>
    </w:p>
    <w:p>
      <w:pPr>
        <w:pStyle w:val="BodyText"/>
        <w:spacing w:line="316" w:lineRule="auto" w:before="137"/>
        <w:ind w:right="189" w:firstLine="360"/>
        <w:jc w:val="both"/>
      </w:pPr>
      <w:r>
        <w:rPr>
          <w:spacing w:val="-2"/>
        </w:rPr>
        <w:t>（</w:t>
      </w:r>
      <w:r>
        <w:rPr>
          <w:rFonts w:ascii="宋体" w:hAnsi="宋体" w:cs="宋体" w:eastAsia="宋体" w:hint="default"/>
          <w:spacing w:val="-2"/>
        </w:rPr>
        <w:t>10</w:t>
      </w:r>
      <w:r>
        <w:rPr>
          <w:spacing w:val="-2"/>
        </w:rPr>
        <w:t>）东华瑞泽（海南）软件有限公司，成立于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日，注册资本：</w:t>
      </w:r>
      <w:r>
        <w:rPr>
          <w:rFonts w:ascii="宋体" w:hAnsi="宋体" w:cs="宋体" w:eastAsia="宋体" w:hint="default"/>
          <w:spacing w:val="-2"/>
        </w:rPr>
        <w:t>1,000</w:t>
      </w:r>
      <w:r>
        <w:rPr>
          <w:spacing w:val="-2"/>
        </w:rPr>
        <w:t>万元，注册地点：海南省三亚市，经</w:t>
      </w:r>
      <w:r>
        <w:rPr/>
        <w:t> </w:t>
      </w:r>
      <w:r>
        <w:rPr>
          <w:spacing w:val="-2"/>
        </w:rPr>
        <w:t>营范围：基于智慧城市产业的技术研发、技术咨询、技术服务、技术推广、技术转让；应用软件服务；公共软件服务；技术</w:t>
      </w:r>
      <w:r>
        <w:rPr>
          <w:spacing w:val="-64"/>
        </w:rPr>
        <w:t> </w:t>
      </w:r>
      <w:r>
        <w:rPr>
          <w:spacing w:val="-64"/>
        </w:rPr>
      </w:r>
      <w:r>
        <w:rPr>
          <w:spacing w:val="-2"/>
        </w:rPr>
        <w:t>进出口；基于云计算的软件整体解决方案涉及、咨询、服务。东华瑞泽（海南）软件有限公司系本公司子公司云计算的参股</w:t>
      </w:r>
      <w:r>
        <w:rPr>
          <w:spacing w:val="-68"/>
        </w:rPr>
        <w:t> </w:t>
      </w:r>
      <w:r>
        <w:rPr>
          <w:spacing w:val="-68"/>
        </w:rPr>
      </w:r>
      <w:r>
        <w:rPr/>
        <w:t>公司。</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九、公司未来发展的展望</w:t>
      </w:r>
      <w:r>
        <w:rPr>
          <w:b w:val="0"/>
          <w:bCs w:val="0"/>
        </w:rPr>
      </w:r>
    </w:p>
    <w:p>
      <w:pPr>
        <w:pStyle w:val="BodyText"/>
        <w:spacing w:line="430" w:lineRule="atLeast" w:before="152"/>
        <w:ind w:left="693" w:right="94" w:hanging="180"/>
        <w:jc w:val="left"/>
        <w:rPr>
          <w:rFonts w:ascii="宋体" w:hAnsi="宋体" w:cs="宋体" w:eastAsia="宋体" w:hint="default"/>
        </w:rPr>
      </w:pPr>
      <w:r>
        <w:rPr/>
        <w:t>（一）行业竞争格局和发展趋势 </w:t>
      </w:r>
      <w:r>
        <w:rPr>
          <w:rFonts w:ascii="宋体" w:hAnsi="宋体" w:cs="宋体" w:eastAsia="宋体" w:hint="default"/>
          <w:spacing w:val="-5"/>
        </w:rPr>
        <w:t>2015</w:t>
      </w:r>
      <w:r>
        <w:rPr>
          <w:spacing w:val="-5"/>
        </w:rPr>
        <w:t>年，在全球经济弱势复苏和</w:t>
      </w:r>
      <w:r>
        <w:rPr>
          <w:rFonts w:ascii="宋体" w:hAnsi="宋体" w:cs="宋体" w:eastAsia="宋体" w:hint="default"/>
          <w:spacing w:val="-5"/>
        </w:rPr>
        <w:t>IT</w:t>
      </w:r>
      <w:r>
        <w:rPr>
          <w:spacing w:val="-5"/>
        </w:rPr>
        <w:t>行业加速转型调整背景下，我国软件产业逐步迈入转型调整期，从工信部发布的</w:t>
      </w:r>
      <w:r>
        <w:rPr>
          <w:rFonts w:ascii="宋体" w:hAnsi="宋体" w:cs="宋体" w:eastAsia="宋体" w:hint="default"/>
          <w:spacing w:val="-5"/>
        </w:rPr>
        <w:t>2015</w:t>
      </w:r>
    </w:p>
    <w:p>
      <w:pPr>
        <w:pStyle w:val="BodyText"/>
        <w:spacing w:line="316" w:lineRule="auto" w:before="76"/>
        <w:ind w:right="190"/>
        <w:jc w:val="both"/>
      </w:pPr>
      <w:r>
        <w:rPr>
          <w:spacing w:val="-2"/>
        </w:rPr>
        <w:t>年软件行业经济运行情况来看，</w:t>
      </w:r>
      <w:r>
        <w:rPr>
          <w:rFonts w:ascii="宋体" w:hAnsi="宋体" w:cs="宋体" w:eastAsia="宋体" w:hint="default"/>
          <w:spacing w:val="-2"/>
        </w:rPr>
        <w:t>2015</w:t>
      </w:r>
      <w:r>
        <w:rPr>
          <w:spacing w:val="-2"/>
        </w:rPr>
        <w:t>年</w:t>
      </w:r>
      <w:r>
        <w:rPr>
          <w:rFonts w:ascii="宋体" w:hAnsi="宋体" w:cs="宋体" w:eastAsia="宋体" w:hint="default"/>
          <w:spacing w:val="-2"/>
        </w:rPr>
        <w:t>1-12</w:t>
      </w:r>
      <w:r>
        <w:rPr>
          <w:spacing w:val="-2"/>
        </w:rPr>
        <w:t>月，我国软件和信息技术行业实现软件收入</w:t>
      </w:r>
      <w:r>
        <w:rPr>
          <w:rFonts w:ascii="宋体" w:hAnsi="宋体" w:cs="宋体" w:eastAsia="宋体" w:hint="default"/>
          <w:spacing w:val="-2"/>
        </w:rPr>
        <w:t>4.3</w:t>
      </w:r>
      <w:r>
        <w:rPr>
          <w:spacing w:val="-2"/>
        </w:rPr>
        <w:t>万亿，同比增长</w:t>
      </w:r>
      <w:r>
        <w:rPr>
          <w:rFonts w:ascii="宋体" w:hAnsi="宋体" w:cs="宋体" w:eastAsia="宋体" w:hint="default"/>
          <w:spacing w:val="-2"/>
        </w:rPr>
        <w:t>16.6%</w:t>
      </w:r>
      <w:r>
        <w:rPr>
          <w:spacing w:val="-2"/>
        </w:rPr>
        <w:t>，整体继续</w:t>
      </w:r>
      <w:r>
        <w:rPr>
          <w:spacing w:val="-55"/>
        </w:rPr>
        <w:t> </w:t>
      </w:r>
      <w:r>
        <w:rPr>
          <w:spacing w:val="-55"/>
        </w:rPr>
      </w:r>
      <w:r>
        <w:rPr>
          <w:spacing w:val="-5"/>
        </w:rPr>
        <w:t>保持呈平稳较快增长态势，虽收入增速比去年同期有所放缓，但仍高于电子信息制造业水平，产业结构和布局实现良性调整，</w:t>
      </w:r>
      <w:r>
        <w:rPr>
          <w:spacing w:val="-76"/>
        </w:rPr>
        <w:t> </w:t>
      </w:r>
      <w:r>
        <w:rPr>
          <w:spacing w:val="-76"/>
        </w:rPr>
      </w:r>
      <w:r>
        <w:rPr/>
        <w:t>新兴领域业务快速增长。</w:t>
      </w:r>
    </w:p>
    <w:p>
      <w:pPr>
        <w:pStyle w:val="BodyText"/>
        <w:spacing w:line="316" w:lineRule="auto" w:before="139"/>
        <w:ind w:right="192"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月，“十三五规划”的颁布，明确指出要坚持创新发展，着力提高发展质量和效益；拓展网络经济空间，实施</w:t>
      </w:r>
      <w:r>
        <w:rPr/>
        <w:t> “互联网+”行动计划；发展物联网技术和应用，发展分享经济，促进互联网和经济社会融合发展；实施国家大数据战略，</w:t>
      </w:r>
      <w:r>
        <w:rPr>
          <w:spacing w:val="-85"/>
        </w:rPr>
        <w:t> </w:t>
      </w:r>
      <w:r>
        <w:rPr>
          <w:spacing w:val="-85"/>
        </w:rPr>
      </w:r>
      <w:r>
        <w:rPr>
          <w:spacing w:val="-2"/>
        </w:rPr>
        <w:t>推进数据资源开放共享；</w:t>
      </w:r>
      <w:r>
        <w:rPr>
          <w:rFonts w:ascii="宋体" w:hAnsi="宋体" w:cs="宋体" w:eastAsia="宋体" w:hint="default"/>
          <w:spacing w:val="-2"/>
        </w:rPr>
        <w:t>2016</w:t>
      </w:r>
      <w:r>
        <w:rPr>
          <w:spacing w:val="-2"/>
        </w:rPr>
        <w:t>年，政府工作报告也明确指出，促进大数据、云计算、物联网广泛应用；同年，《关于积极推</w:t>
      </w:r>
      <w:r>
        <w:rPr>
          <w:spacing w:val="-65"/>
        </w:rPr>
        <w:t> </w:t>
      </w:r>
      <w:r>
        <w:rPr>
          <w:spacing w:val="-65"/>
        </w:rPr>
      </w:r>
      <w:r>
        <w:rPr/>
        <w:t>进“互联网+”行动的指导意见》、《中国制造</w:t>
      </w:r>
      <w:r>
        <w:rPr>
          <w:rFonts w:ascii="宋体" w:hAnsi="宋体" w:cs="宋体" w:eastAsia="宋体" w:hint="default"/>
        </w:rPr>
        <w:t>2025</w:t>
      </w:r>
      <w:r>
        <w:rPr/>
        <w:t>》、《促进大数据发展行动纲要》等一系列政策效应持续释放，软件产</w:t>
      </w:r>
      <w:r>
        <w:rPr>
          <w:spacing w:val="-85"/>
        </w:rPr>
        <w:t> </w:t>
      </w:r>
      <w:r>
        <w:rPr>
          <w:spacing w:val="-85"/>
        </w:rPr>
      </w:r>
      <w:r>
        <w:rPr/>
        <w:t>业面临更广阔的发展空间，并将继续保持平稳较快发展的良好势头。</w:t>
      </w:r>
    </w:p>
    <w:p>
      <w:pPr>
        <w:pStyle w:val="BodyText"/>
        <w:spacing w:line="316" w:lineRule="auto" w:before="139"/>
        <w:ind w:right="194" w:firstLine="360"/>
        <w:jc w:val="both"/>
      </w:pPr>
      <w:r>
        <w:rPr>
          <w:rFonts w:ascii="宋体" w:hAnsi="宋体" w:cs="宋体" w:eastAsia="宋体" w:hint="default"/>
          <w:spacing w:val="-2"/>
        </w:rPr>
        <w:t>2016</w:t>
      </w:r>
      <w:r>
        <w:rPr>
          <w:spacing w:val="-2"/>
        </w:rPr>
        <w:t>年，“云计算”、“物联网”、“移动互联”、“大数据”等新兴行业，新模式、新业态快速发展，继续成为软件</w:t>
      </w:r>
      <w:r>
        <w:rPr/>
        <w:t> </w:t>
      </w:r>
      <w:r>
        <w:rPr>
          <w:spacing w:val="-2"/>
        </w:rPr>
        <w:t>产业新的增长点，并将持续影响未来十年社会经济发展，重塑经济形态，不断推动产业发展，推动经济转型，倒逼传统行业</w:t>
      </w:r>
      <w:r>
        <w:rPr>
          <w:spacing w:val="-67"/>
        </w:rPr>
        <w:t> </w:t>
      </w:r>
      <w:r>
        <w:rPr>
          <w:spacing w:val="-67"/>
        </w:rPr>
      </w:r>
      <w:r>
        <w:rPr/>
        <w:t>商业模式创新与核心技术革新。</w:t>
      </w:r>
    </w:p>
    <w:p>
      <w:pPr>
        <w:pStyle w:val="BodyText"/>
        <w:spacing w:line="432" w:lineRule="exact" w:before="3"/>
        <w:ind w:left="513" w:right="94"/>
        <w:jc w:val="left"/>
      </w:pPr>
      <w:r>
        <w:rPr/>
        <w:t>（二）公司发展战略 </w:t>
      </w:r>
      <w:r>
        <w:rPr>
          <w:spacing w:val="-2"/>
        </w:rPr>
        <w:t>公司持续专注于信息化产业，致力成为国内最优秀的计算机信息系统综合解决方案服务商，通过多行业布局战略，在软</w:t>
      </w:r>
    </w:p>
    <w:p>
      <w:pPr>
        <w:pStyle w:val="BodyText"/>
        <w:spacing w:line="240" w:lineRule="auto" w:before="15"/>
        <w:ind w:right="0"/>
        <w:jc w:val="both"/>
      </w:pPr>
      <w:r>
        <w:rPr/>
        <w:t>件开发、计算机系统集成及信息技术服务行业奠定坚实行业地位和市场地位。</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rFonts w:ascii="宋体" w:hAnsi="宋体" w:cs="宋体" w:eastAsia="宋体" w:hint="default"/>
          <w:spacing w:val="-2"/>
        </w:rPr>
        <w:t>2016</w:t>
      </w:r>
      <w:r>
        <w:rPr>
          <w:spacing w:val="-2"/>
        </w:rPr>
        <w:t>年，公司继续专注主业，深耕行业细分市场，实施多行业战略布局，确保公司业务持续、稳定增长；在不断强化公</w:t>
      </w:r>
      <w:r>
        <w:rPr/>
        <w:t> 司传统技术优势和市场优势的同时，积极拓宽投资领域，不断构建和完善产业布局，贯彻实行“内生</w:t>
      </w:r>
      <w:r>
        <w:rPr>
          <w:rFonts w:ascii="宋体" w:hAnsi="宋体" w:cs="宋体" w:eastAsia="宋体" w:hint="default"/>
        </w:rPr>
        <w:t>+</w:t>
      </w:r>
      <w:r>
        <w:rPr/>
        <w:t>外延”并举的发展战</w:t>
      </w:r>
      <w:r>
        <w:rPr>
          <w:spacing w:val="-82"/>
        </w:rPr>
        <w:t> </w:t>
      </w:r>
      <w:r>
        <w:rPr>
          <w:spacing w:val="-2"/>
        </w:rPr>
        <w:t>略，为公司长远发展布局谋篇，助力公司快速发展。</w:t>
      </w:r>
      <w:r>
        <w:rPr>
          <w:rFonts w:ascii="宋体" w:hAnsi="宋体" w:cs="宋体" w:eastAsia="宋体" w:hint="default"/>
          <w:spacing w:val="-2"/>
        </w:rPr>
        <w:t>2016</w:t>
      </w:r>
      <w:r>
        <w:rPr>
          <w:spacing w:val="-2"/>
        </w:rPr>
        <w:t>年，公司正式布局国际化战略，瞄准海外市场，通过与国外合作伙</w:t>
      </w:r>
      <w:r>
        <w:rPr>
          <w:spacing w:val="-64"/>
        </w:rPr>
        <w:t> </w:t>
      </w:r>
      <w:r>
        <w:rPr>
          <w:spacing w:val="-64"/>
        </w:rPr>
      </w:r>
      <w:r>
        <w:rPr/>
        <w:t>伴展开深度合作，以及股权投资或者战略投资的方式实现公司国际化。</w:t>
      </w:r>
    </w:p>
    <w:p>
      <w:pPr>
        <w:pStyle w:val="BodyText"/>
        <w:spacing w:line="432" w:lineRule="exact" w:before="3"/>
        <w:ind w:left="513" w:right="94"/>
        <w:jc w:val="left"/>
      </w:pPr>
      <w:r>
        <w:rPr/>
        <w:t>（三）经营计划 </w:t>
      </w:r>
      <w:r>
        <w:rPr>
          <w:spacing w:val="-2"/>
        </w:rPr>
        <w:t>近年来，“云计算”、“物联网”、“移动互联”、“大数据”等新技术、新业务蓬勃发展，业务模式、服务模式创新</w:t>
      </w:r>
    </w:p>
    <w:p>
      <w:pPr>
        <w:pStyle w:val="BodyText"/>
        <w:spacing w:line="316" w:lineRule="auto" w:before="15"/>
        <w:ind w:right="191"/>
        <w:jc w:val="both"/>
      </w:pPr>
      <w:r>
        <w:rPr>
          <w:spacing w:val="-2"/>
        </w:rPr>
        <w:t>不断涌现，软件、硬件、内容、服务之间的边界日益模糊，软件产业加快向网络化、平台化、服务化、融合化方向发展。伴</w:t>
      </w:r>
      <w:r>
        <w:rPr>
          <w:spacing w:val="-70"/>
        </w:rPr>
        <w:t> </w:t>
      </w:r>
      <w:r>
        <w:rPr>
          <w:spacing w:val="-70"/>
        </w:rPr>
      </w:r>
      <w:r>
        <w:rPr>
          <w:spacing w:val="-4"/>
        </w:rPr>
        <w:t>随着“互联网+”在传统行业的全面渗透，“智慧城市”、“智慧社区”、“智慧家居”在各省、市的切实规划和快速发展，</w:t>
      </w:r>
      <w:r>
        <w:rPr>
          <w:spacing w:val="-45"/>
        </w:rPr>
        <w:t> </w:t>
      </w:r>
      <w:r>
        <w:rPr>
          <w:spacing w:val="-45"/>
        </w:rPr>
      </w:r>
      <w:r>
        <w:rPr>
          <w:rFonts w:ascii="宋体" w:hAnsi="宋体" w:cs="宋体" w:eastAsia="宋体" w:hint="default"/>
        </w:rPr>
        <w:t>IT</w:t>
      </w:r>
      <w:r>
        <w:rPr/>
        <w:t>建设更加深入地融入社会生活的方方面面，从而进一步推动了软件信息服务业的快速发展。</w:t>
      </w:r>
    </w:p>
    <w:p>
      <w:pPr>
        <w:pStyle w:val="BodyText"/>
        <w:spacing w:line="316" w:lineRule="auto" w:before="138"/>
        <w:ind w:right="189" w:firstLine="360"/>
        <w:jc w:val="both"/>
      </w:pPr>
      <w:r>
        <w:rPr>
          <w:rFonts w:ascii="宋体" w:hAnsi="宋体" w:cs="宋体" w:eastAsia="宋体" w:hint="default"/>
        </w:rPr>
        <w:t>2015</w:t>
      </w:r>
      <w:r>
        <w:rPr/>
        <w:t>年，公司明确提出了转变经营思路，加速了公司商业模式转型，成功突破了传统业务瓶颈；公司“互联网+”产品 </w:t>
      </w:r>
      <w:r>
        <w:rPr>
          <w:spacing w:val="-2"/>
        </w:rPr>
        <w:t>及服务得到客户的一致好评，公司“金融云”、“医疗云”、“企业管理云”、“移动互联”等终端产品在各细分市场捷报</w:t>
      </w:r>
    </w:p>
    <w:p>
      <w:pPr>
        <w:spacing w:after="0" w:line="316" w:lineRule="auto"/>
        <w:jc w:val="both"/>
        <w:sectPr>
          <w:footerReference w:type="default" r:id="rId15"/>
          <w:pgSz w:w="11910" w:h="16840"/>
          <w:pgMar w:footer="980" w:header="745" w:top="1060" w:bottom="1160" w:left="980" w:right="940"/>
          <w:pgNumType w:start="39"/>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频传，大大增强公司客户粘性及稳定性，奠定公司行业内坚实的龙头地位。</w:t>
      </w:r>
    </w:p>
    <w:p>
      <w:pPr>
        <w:spacing w:line="240" w:lineRule="auto" w:before="1"/>
        <w:rPr>
          <w:rFonts w:ascii="宋体" w:hAnsi="宋体" w:cs="宋体" w:eastAsia="宋体" w:hint="default"/>
          <w:sz w:val="15"/>
          <w:szCs w:val="15"/>
        </w:rPr>
      </w:pPr>
    </w:p>
    <w:p>
      <w:pPr>
        <w:pStyle w:val="BodyText"/>
        <w:spacing w:line="316" w:lineRule="auto"/>
        <w:ind w:right="190" w:firstLine="360"/>
        <w:jc w:val="both"/>
      </w:pPr>
      <w:r>
        <w:rPr>
          <w:rFonts w:ascii="宋体" w:hAnsi="宋体" w:cs="宋体" w:eastAsia="宋体" w:hint="default"/>
          <w:spacing w:val="-2"/>
        </w:rPr>
        <w:t>2016</w:t>
      </w:r>
      <w:r>
        <w:rPr>
          <w:spacing w:val="-2"/>
        </w:rPr>
        <w:t>年，公司将坚定不移地专注主业，深耕传统业务市场，加速公司业务模式转型，加快推进互联网与公司各行业领域</w:t>
      </w:r>
      <w:r>
        <w:rPr/>
        <w:t> 深入融合和创新发展，释放企业潜力和活力。</w:t>
      </w:r>
    </w:p>
    <w:p>
      <w:pPr>
        <w:pStyle w:val="BodyText"/>
        <w:spacing w:line="240" w:lineRule="auto" w:before="139"/>
        <w:ind w:left="513" w:right="94"/>
        <w:jc w:val="left"/>
      </w:pPr>
      <w:r>
        <w:rPr>
          <w:rFonts w:ascii="宋体" w:hAnsi="宋体" w:cs="宋体" w:eastAsia="宋体" w:hint="default"/>
        </w:rPr>
        <w:t>2016</w:t>
      </w:r>
      <w:r>
        <w:rPr/>
        <w:t>年具体经营计划如下：</w:t>
      </w:r>
    </w:p>
    <w:p>
      <w:pPr>
        <w:pStyle w:val="BodyText"/>
        <w:spacing w:line="430" w:lineRule="atLeast" w:before="2"/>
        <w:ind w:left="513" w:right="94"/>
        <w:jc w:val="left"/>
      </w:pPr>
      <w:r>
        <w:rPr>
          <w:rFonts w:ascii="宋体" w:hAnsi="宋体" w:cs="宋体" w:eastAsia="宋体" w:hint="default"/>
        </w:rPr>
        <w:t>1.</w:t>
      </w:r>
      <w:r>
        <w:rPr/>
        <w:t>继续深耕公司主业，发挥行业龙头优势 </w:t>
      </w:r>
      <w:r>
        <w:rPr>
          <w:spacing w:val="-2"/>
        </w:rPr>
        <w:t>伴随着与社会发展新需求的结合，特别是与中国新经济结构调整的结合，软件行业未来增长动力十足。公司作为一家综</w:t>
      </w:r>
    </w:p>
    <w:p>
      <w:pPr>
        <w:pStyle w:val="BodyText"/>
        <w:spacing w:line="316" w:lineRule="auto" w:before="76"/>
        <w:ind w:right="94"/>
        <w:jc w:val="left"/>
      </w:pPr>
      <w:r>
        <w:rPr>
          <w:spacing w:val="-4"/>
        </w:rPr>
        <w:t>合性的行业应用软件、计算机信息系统集成及相关技术服务的提供商，一直跟进新老客户为其提供持续的行业整体解决方案。</w:t>
      </w:r>
      <w:r>
        <w:rPr>
          <w:spacing w:val="-43"/>
        </w:rPr>
        <w:t> </w:t>
      </w:r>
      <w:r>
        <w:rPr>
          <w:spacing w:val="-43"/>
        </w:rPr>
      </w:r>
      <w:r>
        <w:rPr/>
        <w:t>公司拥有行业内系统集成一级资质、“CMMI5级软件成熟认证”、国家规划布局重点软件企业、《国家安全可靠计算机信息</w:t>
      </w:r>
      <w:r>
        <w:rPr>
          <w:spacing w:val="-85"/>
        </w:rPr>
        <w:t> </w:t>
      </w:r>
      <w:r>
        <w:rPr>
          <w:spacing w:val="-85"/>
        </w:rPr>
      </w:r>
      <w:r>
        <w:rPr>
          <w:spacing w:val="-2"/>
        </w:rPr>
        <w:t>系统集成重点企业》等各项顶级资质；十几年来，在金融、医疗、保险、电力、电信、交通运输、政府等二十几个行业积累</w:t>
      </w:r>
      <w:r>
        <w:rPr>
          <w:spacing w:val="-68"/>
        </w:rPr>
        <w:t> </w:t>
      </w:r>
      <w:r>
        <w:rPr>
          <w:spacing w:val="-68"/>
        </w:rPr>
      </w:r>
      <w:r>
        <w:rPr/>
        <w:t>了扎实的客户基础和良好的客户口碑，并拥有自己核心技术和研发实力。</w:t>
      </w:r>
    </w:p>
    <w:p>
      <w:pPr>
        <w:pStyle w:val="BodyText"/>
        <w:spacing w:line="319" w:lineRule="auto" w:before="139"/>
        <w:ind w:right="188" w:firstLine="360"/>
        <w:jc w:val="both"/>
      </w:pPr>
      <w:r>
        <w:rPr>
          <w:rFonts w:ascii="宋体" w:hAnsi="宋体" w:cs="宋体" w:eastAsia="宋体" w:hint="default"/>
          <w:spacing w:val="-2"/>
        </w:rPr>
        <w:t>2016</w:t>
      </w:r>
      <w:r>
        <w:rPr>
          <w:spacing w:val="-2"/>
        </w:rPr>
        <w:t>年，公司继续坚定不移地专注主业，深度挖掘客户需求，不断加强研发力度，不断优化传统应用、通用软件，不断</w:t>
      </w:r>
      <w:r>
        <w:rPr/>
        <w:t> </w:t>
      </w:r>
      <w:r>
        <w:rPr>
          <w:spacing w:val="-2"/>
        </w:rPr>
        <w:t>完善业务生态链，致力为客户提供更前沿、更便捷更符合客户需求的定制化产品和服务。同时，公司积极发挥“安全可靠”</w:t>
      </w:r>
      <w:r>
        <w:rPr>
          <w:spacing w:val="-63"/>
        </w:rPr>
        <w:t> </w:t>
      </w:r>
      <w:r>
        <w:rPr>
          <w:spacing w:val="-63"/>
        </w:rPr>
      </w:r>
      <w:r>
        <w:rPr>
          <w:spacing w:val="-2"/>
        </w:rPr>
        <w:t>自主品牌优势，在政府、金融、电力、医疗等关键行业，响应国家推进</w:t>
      </w:r>
      <w:r>
        <w:rPr>
          <w:rFonts w:ascii="宋体" w:hAnsi="宋体" w:cs="宋体" w:eastAsia="宋体" w:hint="default"/>
          <w:spacing w:val="-2"/>
        </w:rPr>
        <w:t>IT</w:t>
      </w:r>
      <w:r>
        <w:rPr>
          <w:spacing w:val="-2"/>
        </w:rPr>
        <w:t>国产化号召，大力推广公司自主研发产品，在保证</w:t>
      </w:r>
      <w:r>
        <w:rPr>
          <w:spacing w:val="-70"/>
        </w:rPr>
        <w:t> </w:t>
      </w:r>
      <w:r>
        <w:rPr>
          <w:spacing w:val="-70"/>
        </w:rPr>
      </w:r>
      <w:r>
        <w:rPr>
          <w:spacing w:val="-2"/>
        </w:rPr>
        <w:t>客户信息安全前提下，不断提高技术和产品、服务体验。在保证主营业务规模不断增长的前提下，公司不断调整主营业务结</w:t>
      </w:r>
      <w:r>
        <w:rPr>
          <w:spacing w:val="-62"/>
        </w:rPr>
        <w:t> </w:t>
      </w:r>
      <w:r>
        <w:rPr>
          <w:spacing w:val="-62"/>
        </w:rPr>
      </w:r>
      <w:r>
        <w:rPr/>
        <w:t>构，逐步提升自主产品和软件服务等高毛利产品的占比，增长公司的盈利能力。</w:t>
      </w:r>
    </w:p>
    <w:p>
      <w:pPr>
        <w:pStyle w:val="BodyText"/>
        <w:spacing w:line="432" w:lineRule="exact" w:before="1"/>
        <w:ind w:left="513" w:right="94"/>
        <w:jc w:val="left"/>
      </w:pPr>
      <w:r>
        <w:rPr>
          <w:rFonts w:ascii="宋体" w:hAnsi="宋体" w:cs="宋体" w:eastAsia="宋体" w:hint="default"/>
        </w:rPr>
        <w:t>2.</w:t>
      </w:r>
      <w:r>
        <w:rPr/>
        <w:t>聚焦新一代技术，提高持续创新能力 </w:t>
      </w:r>
      <w:r>
        <w:rPr>
          <w:spacing w:val="-2"/>
        </w:rPr>
        <w:t>在国家政策和产业政策的大力推动下，以“云计算”、“物联网”、“移动互联”、“大数据”等新技术、新业务蓬勃</w:t>
      </w:r>
    </w:p>
    <w:p>
      <w:pPr>
        <w:pStyle w:val="BodyText"/>
        <w:spacing w:line="316" w:lineRule="auto" w:before="15"/>
        <w:ind w:right="191"/>
        <w:jc w:val="both"/>
      </w:pPr>
      <w:r>
        <w:rPr>
          <w:spacing w:val="-2"/>
        </w:rPr>
        <w:t>发展，带来整个</w:t>
      </w:r>
      <w:r>
        <w:rPr>
          <w:rFonts w:ascii="宋体" w:hAnsi="宋体" w:cs="宋体" w:eastAsia="宋体" w:hint="default"/>
          <w:spacing w:val="-2"/>
        </w:rPr>
        <w:t>IT</w:t>
      </w:r>
      <w:r>
        <w:rPr>
          <w:spacing w:val="-2"/>
        </w:rPr>
        <w:t>行业经营模式和技术创新的颠覆。公司时刻紧跟行业趋势，追踪行业发展新方向。从</w:t>
      </w:r>
      <w:r>
        <w:rPr>
          <w:rFonts w:ascii="宋体" w:hAnsi="宋体" w:cs="宋体" w:eastAsia="宋体" w:hint="default"/>
          <w:spacing w:val="-2"/>
        </w:rPr>
        <w:t>2013</w:t>
      </w:r>
      <w:r>
        <w:rPr>
          <w:spacing w:val="-2"/>
        </w:rPr>
        <w:t>年初提出“拥抱</w:t>
      </w:r>
      <w:r>
        <w:rPr>
          <w:spacing w:val="-62"/>
        </w:rPr>
        <w:t> </w:t>
      </w:r>
      <w:r>
        <w:rPr>
          <w:spacing w:val="-62"/>
        </w:rPr>
      </w:r>
      <w:r>
        <w:rPr/>
        <w:t>互联网”，到</w:t>
      </w:r>
      <w:r>
        <w:rPr>
          <w:rFonts w:ascii="宋体" w:hAnsi="宋体" w:cs="宋体" w:eastAsia="宋体" w:hint="default"/>
        </w:rPr>
        <w:t>2015</w:t>
      </w:r>
      <w:r>
        <w:rPr/>
        <w:t>年全面进军“互联网+”，作为一个传统软件企业，经历了整整两年的转型期，核心竞争力得到强化，业</w:t>
      </w:r>
      <w:r>
        <w:rPr>
          <w:spacing w:val="-85"/>
        </w:rPr>
        <w:t> </w:t>
      </w:r>
      <w:r>
        <w:rPr>
          <w:spacing w:val="-85"/>
        </w:rPr>
      </w:r>
      <w:r>
        <w:rPr>
          <w:spacing w:val="-2"/>
        </w:rPr>
        <w:t>务模式瓶颈成功突破。</w:t>
      </w:r>
      <w:r>
        <w:rPr>
          <w:rFonts w:ascii="宋体" w:hAnsi="宋体" w:cs="宋体" w:eastAsia="宋体" w:hint="default"/>
          <w:spacing w:val="-2"/>
        </w:rPr>
        <w:t>2016</w:t>
      </w:r>
      <w:r>
        <w:rPr>
          <w:spacing w:val="-2"/>
        </w:rPr>
        <w:t>年，将是公司在“云计算”、“物联网”、“移动互联”、“大数据”等行业热点领域，展露成</w:t>
      </w:r>
      <w:r>
        <w:rPr>
          <w:spacing w:val="-64"/>
        </w:rPr>
        <w:t> </w:t>
      </w:r>
      <w:r>
        <w:rPr>
          <w:spacing w:val="-64"/>
        </w:rPr>
      </w:r>
      <w:r>
        <w:rPr/>
        <w:t>绩的一年。</w:t>
      </w:r>
    </w:p>
    <w:p>
      <w:pPr>
        <w:pStyle w:val="BodyText"/>
        <w:spacing w:line="316" w:lineRule="auto" w:before="139"/>
        <w:ind w:right="188" w:firstLine="360"/>
        <w:jc w:val="both"/>
      </w:pPr>
      <w:r>
        <w:rPr/>
        <w:t>“云服务”方面：</w:t>
      </w:r>
      <w:r>
        <w:rPr>
          <w:rFonts w:ascii="宋体" w:hAnsi="宋体" w:cs="宋体" w:eastAsia="宋体" w:hint="default"/>
        </w:rPr>
        <w:t>2013</w:t>
      </w:r>
      <w:r>
        <w:rPr/>
        <w:t>年东华正式成立云计算子公司，全面进军云计算领域，</w:t>
      </w:r>
      <w:r>
        <w:rPr>
          <w:rFonts w:ascii="宋体" w:hAnsi="宋体" w:cs="宋体" w:eastAsia="宋体" w:hint="default"/>
        </w:rPr>
        <w:t>2015</w:t>
      </w:r>
      <w:r>
        <w:rPr/>
        <w:t>年，公司在马鞍山投资</w:t>
      </w:r>
      <w:r>
        <w:rPr>
          <w:rFonts w:ascii="宋体" w:hAnsi="宋体" w:cs="宋体" w:eastAsia="宋体" w:hint="default"/>
        </w:rPr>
        <w:t>7.5</w:t>
      </w:r>
      <w:r>
        <w:rPr/>
        <w:t>亿人民币 </w:t>
      </w:r>
      <w:r>
        <w:rPr>
          <w:spacing w:val="-5"/>
        </w:rPr>
        <w:t>建立的私有云中心，构建一平台四中心（即云计算平台、呼叫中心、银行后台服务中心、互联网</w:t>
      </w:r>
      <w:hyperlink r:id="rId17">
        <w:r>
          <w:rPr>
            <w:spacing w:val="-5"/>
          </w:rPr>
          <w:t>金融</w:t>
        </w:r>
      </w:hyperlink>
      <w:r>
        <w:rPr>
          <w:spacing w:val="-5"/>
        </w:rPr>
        <w:t>中心、</w:t>
      </w:r>
      <w:hyperlink r:id="rId17">
        <w:r>
          <w:rPr>
            <w:spacing w:val="-5"/>
          </w:rPr>
          <w:t>金融</w:t>
        </w:r>
      </w:hyperlink>
      <w:r>
        <w:rPr>
          <w:spacing w:val="-5"/>
        </w:rPr>
        <w:t>培训中心），</w:t>
      </w:r>
      <w:r>
        <w:rPr>
          <w:spacing w:val="-82"/>
        </w:rPr>
        <w:t> </w:t>
      </w:r>
      <w:r>
        <w:rPr>
          <w:spacing w:val="-82"/>
        </w:rPr>
      </w:r>
      <w:r>
        <w:rPr>
          <w:spacing w:val="-2"/>
        </w:rPr>
        <w:t>公司云平台的托管客户不断攀升，金融云、医疗云、企业管理云等云服务，受到客户的广泛认可和推广；公司全面预算管理</w:t>
      </w:r>
      <w:r>
        <w:rPr>
          <w:spacing w:val="-65"/>
        </w:rPr>
        <w:t> </w:t>
      </w:r>
      <w:r>
        <w:rPr>
          <w:spacing w:val="-65"/>
        </w:rPr>
      </w:r>
      <w:r>
        <w:rPr>
          <w:spacing w:val="-2"/>
        </w:rPr>
        <w:t>软件，</w:t>
      </w:r>
      <w:r>
        <w:rPr>
          <w:rFonts w:ascii="宋体" w:hAnsi="宋体" w:cs="宋体" w:eastAsia="宋体" w:hint="default"/>
          <w:spacing w:val="-2"/>
        </w:rPr>
        <w:t>ERP</w:t>
      </w:r>
      <w:r>
        <w:rPr>
          <w:spacing w:val="-2"/>
        </w:rPr>
        <w:t>系统等产品成功迁移到云平台，丰富公司云服务模式，扩大公司在云上建设和应用；</w:t>
      </w:r>
      <w:r>
        <w:rPr>
          <w:spacing w:val="21"/>
        </w:rPr>
        <w:t> </w:t>
      </w:r>
      <w:r>
        <w:rPr>
          <w:rFonts w:ascii="宋体" w:hAnsi="宋体" w:cs="宋体" w:eastAsia="宋体" w:hint="default"/>
          <w:spacing w:val="-2"/>
        </w:rPr>
        <w:t>2016</w:t>
      </w:r>
      <w:r>
        <w:rPr>
          <w:spacing w:val="-2"/>
        </w:rPr>
        <w:t>年，公司将大力推广公</w:t>
      </w:r>
      <w:r>
        <w:rPr>
          <w:spacing w:val="-83"/>
        </w:rPr>
        <w:t> </w:t>
      </w:r>
      <w:r>
        <w:rPr>
          <w:spacing w:val="-83"/>
        </w:rPr>
      </w:r>
      <w:r>
        <w:rPr>
          <w:spacing w:val="-2"/>
        </w:rPr>
        <w:t>司云服务，不断增加在云服务上的软件工具服务，全面升级东华网智云管理平台，为网络安全使用保驾护航，全面布局东华</w:t>
      </w:r>
      <w:r>
        <w:rPr>
          <w:spacing w:val="-65"/>
        </w:rPr>
        <w:t> </w:t>
      </w:r>
      <w:r>
        <w:rPr>
          <w:spacing w:val="-65"/>
        </w:rPr>
      </w:r>
      <w:r>
        <w:rPr>
          <w:rFonts w:ascii="宋体" w:hAnsi="宋体" w:cs="宋体" w:eastAsia="宋体" w:hint="default"/>
        </w:rPr>
        <w:t>Saas</w:t>
      </w:r>
      <w:r>
        <w:rPr/>
        <w:t>云平台，完善公司与计算业务布局，提升云平台客户粘性和溢价能力，打造东华云服务品牌。</w:t>
      </w:r>
    </w:p>
    <w:p>
      <w:pPr>
        <w:pStyle w:val="BodyText"/>
        <w:spacing w:line="316" w:lineRule="auto" w:before="139"/>
        <w:ind w:right="190" w:firstLine="360"/>
        <w:jc w:val="both"/>
      </w:pPr>
      <w:r>
        <w:rPr/>
        <w:t>大数据方面：</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5</w:t>
      </w:r>
      <w:r>
        <w:rPr/>
        <w:t>日</w:t>
      </w:r>
      <w:r>
        <w:rPr>
          <w:rFonts w:ascii="宋体" w:hAnsi="宋体" w:cs="宋体" w:eastAsia="宋体" w:hint="default"/>
        </w:rPr>
        <w:t>,</w:t>
      </w:r>
      <w:r>
        <w:rPr/>
        <w:t>国务院印发《促进大数据发展行动纲要》，首次从国家层面提出建设政府数据统一开放平 台</w:t>
      </w:r>
      <w:r>
        <w:rPr>
          <w:rFonts w:ascii="宋体" w:hAnsi="宋体" w:cs="宋体" w:eastAsia="宋体" w:hint="default"/>
        </w:rPr>
        <w:t>,</w:t>
      </w:r>
      <w:r>
        <w:rPr/>
        <w:t>将大数据行业定位到国家战略层面，成为国家重要的基础性战略资源。公司深耕行业二十年，从传统集成商到软件服务</w:t>
      </w:r>
      <w:r>
        <w:rPr>
          <w:spacing w:val="-85"/>
        </w:rPr>
        <w:t> </w:t>
      </w:r>
      <w:r>
        <w:rPr>
          <w:spacing w:val="-85"/>
        </w:rPr>
      </w:r>
      <w:r>
        <w:rPr/>
        <w:t>提供商，积累了丰富的客户资源和行业资源，在</w:t>
      </w:r>
      <w:r>
        <w:rPr>
          <w:rFonts w:ascii="宋体" w:hAnsi="宋体" w:cs="宋体" w:eastAsia="宋体" w:hint="default"/>
        </w:rPr>
        <w:t>2015</w:t>
      </w:r>
      <w:r>
        <w:rPr/>
        <w:t>中国大数据生态系统百强即首届</w:t>
      </w:r>
      <w:r>
        <w:rPr>
          <w:rFonts w:ascii="宋体" w:hAnsi="宋体" w:cs="宋体" w:eastAsia="宋体" w:hint="default"/>
        </w:rPr>
        <w:t>BIGDATA</w:t>
      </w:r>
      <w:r>
        <w:rPr>
          <w:rFonts w:ascii="宋体" w:hAnsi="宋体" w:cs="宋体" w:eastAsia="宋体" w:hint="default"/>
          <w:spacing w:val="3"/>
        </w:rPr>
        <w:t> </w:t>
      </w:r>
      <w:r>
        <w:rPr>
          <w:rFonts w:ascii="宋体" w:hAnsi="宋体" w:cs="宋体" w:eastAsia="宋体" w:hint="default"/>
        </w:rPr>
        <w:t>100</w:t>
      </w:r>
      <w:r>
        <w:rPr/>
        <w:t>榜单，被评为优秀大数据 </w:t>
      </w:r>
      <w:r>
        <w:rPr>
          <w:spacing w:val="-5"/>
        </w:rPr>
        <w:t>应用。</w:t>
      </w:r>
      <w:r>
        <w:rPr>
          <w:rFonts w:ascii="宋体" w:hAnsi="宋体" w:cs="宋体" w:eastAsia="宋体" w:hint="default"/>
          <w:spacing w:val="-5"/>
        </w:rPr>
        <w:t>2016</w:t>
      </w:r>
      <w:r>
        <w:rPr>
          <w:spacing w:val="-5"/>
        </w:rPr>
        <w:t>年，公司整合行业资源，重点围绕医疗大数据课题，建设医疗大数据协调中心，致力医疗健康大数据收集、处理、</w:t>
      </w:r>
      <w:r>
        <w:rPr>
          <w:spacing w:val="-70"/>
        </w:rPr>
        <w:t> </w:t>
      </w:r>
      <w:r>
        <w:rPr>
          <w:spacing w:val="-70"/>
        </w:rPr>
      </w:r>
      <w:r>
        <w:rPr/>
        <w:t>分析和应用等相关领域的研发与实施，共同推进医疗大数据价值实现。</w:t>
      </w:r>
    </w:p>
    <w:p>
      <w:pPr>
        <w:pStyle w:val="BodyText"/>
        <w:spacing w:line="319" w:lineRule="auto" w:before="139"/>
        <w:ind w:right="89" w:firstLine="360"/>
        <w:jc w:val="left"/>
      </w:pPr>
      <w:r>
        <w:rPr>
          <w:spacing w:val="-2"/>
        </w:rPr>
        <w:t>“物联网”方面：</w:t>
      </w:r>
      <w:r>
        <w:rPr>
          <w:rFonts w:ascii="宋体" w:hAnsi="宋体" w:cs="宋体" w:eastAsia="宋体" w:hint="default"/>
          <w:spacing w:val="-2"/>
        </w:rPr>
        <w:t>2016</w:t>
      </w:r>
      <w:r>
        <w:rPr>
          <w:spacing w:val="-2"/>
        </w:rPr>
        <w:t>年，公司重点开拓物联网领域，年初公司与企业互联网平台及应用软件的全球顶级供应商</w:t>
      </w:r>
      <w:r>
        <w:rPr>
          <w:rFonts w:ascii="宋体" w:hAnsi="宋体" w:cs="宋体" w:eastAsia="宋体" w:hint="default"/>
          <w:spacing w:val="-2"/>
        </w:rPr>
        <w:t>C3</w:t>
      </w:r>
      <w:r>
        <w:rPr>
          <w:spacing w:val="-2"/>
        </w:rPr>
        <w:t>物联</w:t>
      </w:r>
      <w:r>
        <w:rPr/>
        <w:t> 网技术公司（</w:t>
      </w:r>
      <w:r>
        <w:rPr>
          <w:rFonts w:ascii="宋体" w:hAnsi="宋体" w:cs="宋体" w:eastAsia="宋体" w:hint="default"/>
        </w:rPr>
        <w:t>C3</w:t>
      </w:r>
      <w:r>
        <w:rPr>
          <w:rFonts w:ascii="宋体" w:hAnsi="宋体" w:cs="宋体" w:eastAsia="宋体" w:hint="default"/>
          <w:spacing w:val="5"/>
        </w:rPr>
        <w:t> </w:t>
      </w:r>
      <w:r>
        <w:rPr>
          <w:rFonts w:ascii="宋体" w:hAnsi="宋体" w:cs="宋体" w:eastAsia="宋体" w:hint="default"/>
        </w:rPr>
        <w:t>IOT</w:t>
      </w:r>
      <w:r>
        <w:rPr/>
        <w:t>）建立了战略合作伙伴关系。双方致力于推动中国能源互联网、工业大数据领域的建设及数字化转型。 利用</w:t>
      </w:r>
      <w:r>
        <w:rPr>
          <w:rFonts w:ascii="宋体" w:hAnsi="宋体" w:cs="宋体" w:eastAsia="宋体" w:hint="default"/>
        </w:rPr>
        <w:t>C3</w:t>
      </w:r>
      <w:r>
        <w:rPr>
          <w:rFonts w:ascii="宋体" w:hAnsi="宋体" w:cs="宋体" w:eastAsia="宋体" w:hint="default"/>
          <w:spacing w:val="37"/>
        </w:rPr>
        <w:t> </w:t>
      </w:r>
      <w:r>
        <w:rPr/>
        <w:t>经实践检验的，基于弹性云计算、大数据分析和机器学习的物联网应用，共同面向中国用户提供工业级大数据的专 </w:t>
      </w:r>
      <w:r>
        <w:rPr>
          <w:spacing w:val="-2"/>
        </w:rPr>
        <w:t>项服务。公司将以电力市场为试点，进一步提升中国电力网络的效率与稳定性，包括发电、输电、配电、用电侧等全产业链</w:t>
      </w:r>
      <w:r>
        <w:rPr>
          <w:spacing w:val="-70"/>
        </w:rPr>
        <w:t> </w:t>
      </w:r>
      <w:r>
        <w:rPr>
          <w:spacing w:val="-70"/>
        </w:rPr>
      </w:r>
      <w:r>
        <w:rPr>
          <w:spacing w:val="-2"/>
        </w:rPr>
        <w:t>数据服务，降低能源消耗，扩大可再生能源的利用，利用</w:t>
      </w:r>
      <w:r>
        <w:rPr>
          <w:rFonts w:ascii="宋体" w:hAnsi="宋体" w:cs="宋体" w:eastAsia="宋体" w:hint="default"/>
          <w:spacing w:val="-2"/>
        </w:rPr>
        <w:t>C3</w:t>
      </w:r>
      <w:r>
        <w:rPr>
          <w:spacing w:val="-2"/>
        </w:rPr>
        <w:t>的平台及工具为包括电力、石油、石化、煤炭等中国能源行业提</w:t>
      </w:r>
      <w:r>
        <w:rPr>
          <w:spacing w:val="-66"/>
        </w:rPr>
        <w:t> </w:t>
      </w:r>
      <w:r>
        <w:rPr>
          <w:spacing w:val="-66"/>
        </w:rPr>
      </w:r>
      <w:r>
        <w:rPr>
          <w:spacing w:val="-2"/>
        </w:rPr>
        <w:t>供大数据服务，通过数据集成、处理和分析帮助用户实现各种应用，以支撑预测性决策，优化运营效率，降低行业风险，创</w:t>
      </w:r>
      <w:r>
        <w:rPr>
          <w:spacing w:val="-70"/>
        </w:rPr>
        <w:t> </w:t>
      </w:r>
      <w:r>
        <w:rPr>
          <w:spacing w:val="-70"/>
        </w:rPr>
      </w:r>
      <w:r>
        <w:rPr/>
        <w:t>造巨大的经济和社会价值。</w:t>
      </w:r>
    </w:p>
    <w:p>
      <w:pPr>
        <w:pStyle w:val="BodyText"/>
        <w:spacing w:line="240" w:lineRule="auto" w:before="137"/>
        <w:ind w:left="513" w:right="94"/>
        <w:jc w:val="left"/>
      </w:pPr>
      <w:r>
        <w:rPr>
          <w:spacing w:val="-4"/>
        </w:rPr>
        <w:t>“互联网+”：公司作为软件企业最早一批拥抱互联网的企业，先后推出互联网医疗、互联网金融、互联网教育等产品。</w:t>
      </w:r>
    </w:p>
    <w:p>
      <w:pPr>
        <w:spacing w:after="0" w:line="240" w:lineRule="auto"/>
        <w:jc w:val="left"/>
        <w:sectPr>
          <w:footerReference w:type="default" r:id="rId16"/>
          <w:pgSz w:w="11910" w:h="16840"/>
          <w:pgMar w:footer="980" w:header="745" w:top="1060" w:bottom="1160" w:left="980" w:right="940"/>
          <w:pgNumType w:start="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rFonts w:ascii="宋体" w:hAnsi="宋体" w:cs="宋体" w:eastAsia="宋体" w:hint="default"/>
          <w:spacing w:val="-2"/>
        </w:rPr>
        <w:t>2016</w:t>
      </w:r>
      <w:r>
        <w:rPr>
          <w:spacing w:val="-2"/>
        </w:rPr>
        <w:t>年，公司积极布局互联网领域，不断完善公司现有互联网产品，我们将着力打造华金在线，构建互联网</w:t>
      </w:r>
      <w:hyperlink r:id="rId17">
        <w:r>
          <w:rPr>
            <w:spacing w:val="-2"/>
          </w:rPr>
          <w:t>金融</w:t>
        </w:r>
      </w:hyperlink>
      <w:r>
        <w:rPr>
          <w:spacing w:val="-2"/>
        </w:rPr>
        <w:t>生态圈；继</w:t>
      </w:r>
      <w:r>
        <w:rPr>
          <w:spacing w:val="-64"/>
        </w:rPr>
        <w:t> </w:t>
      </w:r>
      <w:r>
        <w:rPr>
          <w:spacing w:val="-64"/>
        </w:rPr>
      </w:r>
      <w:r>
        <w:rPr>
          <w:spacing w:val="-2"/>
        </w:rPr>
        <w:t>续依托东华信息化</w:t>
      </w:r>
      <w:hyperlink r:id="rId18">
        <w:r>
          <w:rPr>
            <w:spacing w:val="-2"/>
          </w:rPr>
          <w:t>医疗</w:t>
        </w:r>
      </w:hyperlink>
      <w:r>
        <w:rPr>
          <w:spacing w:val="-2"/>
        </w:rPr>
        <w:t>传统优势，强力推进健康乐线上线下互动互通，打通互联网医疗闭环；大力推广</w:t>
      </w:r>
      <w:r>
        <w:rPr>
          <w:rFonts w:ascii="宋体" w:hAnsi="宋体" w:cs="宋体" w:eastAsia="宋体" w:hint="default"/>
          <w:spacing w:val="-2"/>
        </w:rPr>
        <w:t>DRGS</w:t>
      </w:r>
      <w:r>
        <w:rPr>
          <w:spacing w:val="-2"/>
        </w:rPr>
        <w:t>业务发展，加速</w:t>
      </w:r>
      <w:r>
        <w:rPr>
          <w:spacing w:val="-59"/>
        </w:rPr>
        <w:t> </w:t>
      </w:r>
      <w:r>
        <w:rPr>
          <w:spacing w:val="-59"/>
        </w:rPr>
      </w:r>
      <w:r>
        <w:rPr>
          <w:spacing w:val="-2"/>
        </w:rPr>
        <w:t>医保控费建设；积极探索教育信息化改革创新模式，搭建面向普教的全新东华智慧教育云平台；强强合作切入能源互联网行</w:t>
      </w:r>
      <w:r>
        <w:rPr>
          <w:spacing w:val="-63"/>
        </w:rPr>
        <w:t> </w:t>
      </w:r>
      <w:r>
        <w:rPr>
          <w:spacing w:val="-63"/>
        </w:rPr>
      </w:r>
      <w:r>
        <w:rPr/>
        <w:t>业，助力国家能源互联网建设。充分利用公司行业资源、技术优势、客户群体，不断寻求互联网与公司传统业务深度融合，</w:t>
      </w:r>
      <w:r>
        <w:rPr>
          <w:spacing w:val="-83"/>
        </w:rPr>
        <w:t> </w:t>
      </w:r>
      <w:r>
        <w:rPr>
          <w:spacing w:val="-83"/>
        </w:rPr>
      </w:r>
      <w:r>
        <w:rPr/>
        <w:t>寻求技术模式以及商业模式创新升级。</w:t>
      </w:r>
    </w:p>
    <w:p>
      <w:pPr>
        <w:pStyle w:val="BodyText"/>
        <w:spacing w:line="432" w:lineRule="exact" w:before="1"/>
        <w:ind w:left="513" w:right="94"/>
        <w:jc w:val="left"/>
      </w:pPr>
      <w:r>
        <w:rPr>
          <w:rFonts w:ascii="宋体" w:hAnsi="宋体" w:cs="宋体" w:eastAsia="宋体" w:hint="default"/>
        </w:rPr>
        <w:t>3.</w:t>
      </w:r>
      <w:r>
        <w:rPr/>
        <w:t>加快智慧城市建设，打造东华智慧生态 </w:t>
      </w:r>
      <w:r>
        <w:rPr>
          <w:spacing w:val="-2"/>
        </w:rPr>
        <w:t>“智慧城市”方面：智慧城市是惠及百姓民生的信息化工程，也是网络信息化技术服务生活的终极体现，公司率先构建</w:t>
      </w:r>
    </w:p>
    <w:p>
      <w:pPr>
        <w:pStyle w:val="BodyText"/>
        <w:spacing w:line="316" w:lineRule="auto" w:before="15"/>
        <w:ind w:right="94"/>
        <w:jc w:val="left"/>
      </w:pPr>
      <w:r>
        <w:rPr/>
        <w:t>智慧城市集团，积极投身国家智慧城市发展建设大局。东华智慧城市集团凭借近年在智慧城市领域的成功案例和优秀表现，</w:t>
      </w:r>
      <w:r>
        <w:rPr>
          <w:spacing w:val="-83"/>
        </w:rPr>
        <w:t> </w:t>
      </w:r>
      <w:r>
        <w:rPr>
          <w:spacing w:val="-83"/>
        </w:rPr>
      </w:r>
      <w:r>
        <w:rPr>
          <w:spacing w:val="-5"/>
        </w:rPr>
        <w:t>荣获“十二五中国智慧城市领军企业”称号。东华智慧城市集团以集团总部为支撑，以东华云计算为主导，联合东华发思特、</w:t>
      </w:r>
      <w:r>
        <w:rPr>
          <w:spacing w:val="-76"/>
        </w:rPr>
        <w:t> </w:t>
      </w:r>
      <w:r>
        <w:rPr>
          <w:spacing w:val="-76"/>
        </w:rPr>
      </w:r>
      <w:r>
        <w:rPr/>
        <w:t>东华网络、东华惠生活、东华之星、东华瑞泽等分支结构，共同推进东华软件在智慧城市领域的设计、研发、交付和运营。</w:t>
      </w:r>
    </w:p>
    <w:p>
      <w:pPr>
        <w:pStyle w:val="BodyText"/>
        <w:spacing w:line="319" w:lineRule="auto" w:before="139"/>
        <w:ind w:right="194" w:firstLine="360"/>
        <w:jc w:val="both"/>
      </w:pPr>
      <w:r>
        <w:rPr/>
        <w:t>“东华惠生活”采用云计算和物联网技术，建设区域性智慧城市互联网＋社区</w:t>
      </w:r>
      <w:r>
        <w:rPr>
          <w:rFonts w:ascii="宋体" w:hAnsi="宋体" w:cs="宋体" w:eastAsia="宋体" w:hint="default"/>
        </w:rPr>
        <w:t>O2O</w:t>
      </w:r>
      <w:r>
        <w:rPr/>
        <w:t>平台，整合政府、企业、物业、医疗 </w:t>
      </w:r>
      <w:r>
        <w:rPr>
          <w:spacing w:val="-2"/>
        </w:rPr>
        <w:t>和商业服务，为居民提供更加便捷、舒适、安全的生活环境，带动区域商业服务业的发展。目前已经在济宁市、泰安市、北</w:t>
      </w:r>
      <w:r>
        <w:rPr>
          <w:spacing w:val="-73"/>
        </w:rPr>
        <w:t> </w:t>
      </w:r>
      <w:r>
        <w:rPr>
          <w:spacing w:val="-73"/>
        </w:rPr>
      </w:r>
      <w:r>
        <w:rPr/>
        <w:t>京燕山石化等多地成功签约、实施和推广。</w:t>
      </w:r>
    </w:p>
    <w:p>
      <w:pPr>
        <w:pStyle w:val="BodyText"/>
        <w:spacing w:line="316" w:lineRule="auto" w:before="137"/>
        <w:ind w:right="189" w:firstLine="360"/>
        <w:jc w:val="both"/>
      </w:pPr>
      <w:r>
        <w:rPr>
          <w:spacing w:val="-2"/>
        </w:rPr>
        <w:t>“东华互联宜家”公司致力于打造全国最大的面向家庭用户的社区服务平台，提供从线上到线下的一体化社区综合服务</w:t>
      </w:r>
      <w:r>
        <w:rPr/>
        <w:t> </w:t>
      </w:r>
      <w:r>
        <w:rPr>
          <w:spacing w:val="-2"/>
        </w:rPr>
        <w:t>平台的建设及运营，成为具有政治高度、社会效益、经济利益为一体的综合解决方案平台。</w:t>
      </w:r>
      <w:r>
        <w:rPr>
          <w:rFonts w:ascii="宋体" w:hAnsi="宋体" w:cs="宋体" w:eastAsia="宋体" w:hint="default"/>
          <w:spacing w:val="-2"/>
        </w:rPr>
        <w:t>2016</w:t>
      </w:r>
      <w:r>
        <w:rPr>
          <w:spacing w:val="-2"/>
        </w:rPr>
        <w:t>年计划除已达成合作意向的</w:t>
      </w:r>
      <w:r>
        <w:rPr>
          <w:spacing w:val="-59"/>
        </w:rPr>
        <w:t> </w:t>
      </w:r>
      <w:r>
        <w:rPr/>
        <w:t>省市之外，与北京、重庆、江苏、云南、四川等省市达成业务合作意向，逐步实现全国范围内电视社区覆盖</w:t>
      </w:r>
      <w:r>
        <w:rPr>
          <w:rFonts w:ascii="宋体" w:hAnsi="宋体" w:cs="宋体" w:eastAsia="宋体" w:hint="default"/>
        </w:rPr>
        <w:t>10000</w:t>
      </w:r>
      <w:r>
        <w:rPr/>
        <w:t>个，线下</w:t>
      </w:r>
      <w:r>
        <w:rPr>
          <w:spacing w:val="-84"/>
        </w:rPr>
        <w:t> </w:t>
      </w:r>
      <w:r>
        <w:rPr>
          <w:spacing w:val="-84"/>
        </w:rPr>
      </w:r>
      <w:r>
        <w:rPr/>
        <w:t>服务站建设</w:t>
      </w:r>
      <w:r>
        <w:rPr>
          <w:rFonts w:ascii="宋体" w:hAnsi="宋体" w:cs="宋体" w:eastAsia="宋体" w:hint="default"/>
        </w:rPr>
        <w:t>5000</w:t>
      </w:r>
      <w:r>
        <w:rPr/>
        <w:t>个，用户覆盖</w:t>
      </w:r>
      <w:r>
        <w:rPr>
          <w:rFonts w:ascii="宋体" w:hAnsi="宋体" w:cs="宋体" w:eastAsia="宋体" w:hint="default"/>
        </w:rPr>
        <w:t>3000</w:t>
      </w:r>
      <w:r>
        <w:rPr/>
        <w:t>万，活跃家庭用户组</w:t>
      </w:r>
      <w:r>
        <w:rPr>
          <w:rFonts w:ascii="宋体" w:hAnsi="宋体" w:cs="宋体" w:eastAsia="宋体" w:hint="default"/>
        </w:rPr>
        <w:t>600</w:t>
      </w:r>
      <w:r>
        <w:rPr/>
        <w:t>万的目标。</w:t>
      </w:r>
    </w:p>
    <w:p>
      <w:pPr>
        <w:pStyle w:val="BodyText"/>
        <w:spacing w:line="316" w:lineRule="auto" w:before="139"/>
        <w:ind w:right="192" w:firstLine="360"/>
        <w:jc w:val="both"/>
      </w:pPr>
      <w:r>
        <w:rPr>
          <w:spacing w:val="-2"/>
        </w:rPr>
        <w:t>未来公司将从产业、政策、信息技术支撑等多维度规划智慧城市建设与运营，为更多城市的智慧城市建设带去技术、资</w:t>
      </w:r>
      <w:r>
        <w:rPr/>
        <w:t> 金、人才、市场形成本地化运维公司，把“互联网</w:t>
      </w:r>
      <w:r>
        <w:rPr>
          <w:rFonts w:ascii="宋体" w:hAnsi="宋体" w:cs="宋体" w:eastAsia="宋体" w:hint="default"/>
        </w:rPr>
        <w:t>+</w:t>
      </w:r>
      <w:r>
        <w:rPr/>
        <w:t>技术、人才、资金、政务资源”等多位一体的运营理念凸显出来，通过</w:t>
      </w:r>
      <w:r>
        <w:rPr>
          <w:spacing w:val="-83"/>
        </w:rPr>
        <w:t> </w:t>
      </w:r>
      <w:hyperlink r:id="rId19">
        <w:r>
          <w:rPr>
            <w:spacing w:val="-83"/>
          </w:rPr>
        </w:r>
        <w:r>
          <w:rPr/>
          <w:t>顶层设计、政府</w:t>
        </w:r>
      </w:hyperlink>
      <w:r>
        <w:rPr/>
        <w:t>大数据产业建设等不断推进智慧城市建设与运营，助力智慧城市建设，让城市生活更加美好。</w:t>
      </w:r>
    </w:p>
    <w:p>
      <w:pPr>
        <w:pStyle w:val="BodyText"/>
        <w:spacing w:line="432" w:lineRule="exact" w:before="3"/>
        <w:ind w:left="513" w:right="94"/>
        <w:jc w:val="left"/>
      </w:pPr>
      <w:r>
        <w:rPr>
          <w:rFonts w:ascii="宋体" w:hAnsi="宋体" w:cs="宋体" w:eastAsia="宋体" w:hint="default"/>
        </w:rPr>
        <w:t>4.</w:t>
      </w:r>
      <w:r>
        <w:rPr/>
        <w:t>提升持续并购能力，做好集团化管理 </w:t>
      </w:r>
      <w:r>
        <w:rPr>
          <w:spacing w:val="-2"/>
        </w:rPr>
        <w:t>公司自上市以来，充分利用资本市场多样的支付手段，便利的政策支持，通过收购、参股和再融资等方式实现公司业务</w:t>
      </w:r>
    </w:p>
    <w:p>
      <w:pPr>
        <w:pStyle w:val="BodyText"/>
        <w:spacing w:line="319" w:lineRule="auto" w:before="15"/>
        <w:ind w:right="194"/>
        <w:jc w:val="both"/>
      </w:pPr>
      <w:r>
        <w:rPr>
          <w:spacing w:val="-2"/>
        </w:rPr>
        <w:t>跨越式发展。</w:t>
      </w:r>
      <w:r>
        <w:rPr>
          <w:rFonts w:ascii="宋体" w:hAnsi="宋体" w:cs="宋体" w:eastAsia="宋体" w:hint="default"/>
          <w:spacing w:val="-2"/>
        </w:rPr>
        <w:t>2015</w:t>
      </w:r>
      <w:r>
        <w:rPr>
          <w:spacing w:val="-2"/>
        </w:rPr>
        <w:t>年，公司资本动作更频繁，主要着眼于拓宽业务渠道，先后收购深至高，投资首创金服、互联宜家、南大</w:t>
      </w:r>
      <w:r>
        <w:rPr>
          <w:spacing w:val="-70"/>
        </w:rPr>
        <w:t> </w:t>
      </w:r>
      <w:r>
        <w:rPr>
          <w:spacing w:val="-70"/>
        </w:rPr>
      </w:r>
      <w:r>
        <w:rPr>
          <w:spacing w:val="-2"/>
        </w:rPr>
        <w:t>通用、智中能源等机构，新成立东华万兴、合力东华、东华网络、瑞客东华、</w:t>
      </w:r>
      <w:hyperlink r:id="rId17">
        <w:r>
          <w:rPr>
            <w:spacing w:val="-2"/>
          </w:rPr>
          <w:t>金融</w:t>
        </w:r>
      </w:hyperlink>
      <w:r>
        <w:rPr>
          <w:spacing w:val="-2"/>
        </w:rPr>
        <w:t>云计算等多家具有专业优势的子公司，强</w:t>
      </w:r>
      <w:r>
        <w:rPr>
          <w:spacing w:val="-71"/>
        </w:rPr>
        <w:t> </w:t>
      </w:r>
      <w:r>
        <w:rPr>
          <w:spacing w:val="-71"/>
        </w:rPr>
      </w:r>
      <w:r>
        <w:rPr/>
        <w:t>化行业优势。</w:t>
      </w:r>
      <w:r>
        <w:rPr>
          <w:rFonts w:ascii="宋体" w:hAnsi="宋体" w:cs="宋体" w:eastAsia="宋体" w:hint="default"/>
        </w:rPr>
        <w:t>2016</w:t>
      </w:r>
      <w:r>
        <w:rPr/>
        <w:t>年，公司仍会在资本市场大踏步前进，通过外延并购寻求企业发展，不断提升综合实力。</w:t>
      </w:r>
    </w:p>
    <w:p>
      <w:pPr>
        <w:pStyle w:val="BodyText"/>
        <w:spacing w:line="316" w:lineRule="auto" w:before="137"/>
        <w:ind w:right="193" w:firstLine="360"/>
        <w:jc w:val="both"/>
      </w:pPr>
      <w:r>
        <w:rPr>
          <w:spacing w:val="-2"/>
        </w:rPr>
        <w:t>与此同时，公司将着重并购后的企业整合，从战略整合、产品整合、财务整合、文化整合以及人事整合等方面，培训和</w:t>
      </w:r>
      <w:r>
        <w:rPr/>
        <w:t> 提高企业并购后的核心竞争力；进一步规范公司规范管理，推动集团化内控建设，做好集团化管理。</w:t>
      </w:r>
    </w:p>
    <w:p>
      <w:pPr>
        <w:pStyle w:val="BodyText"/>
        <w:spacing w:line="240" w:lineRule="auto" w:before="139"/>
        <w:ind w:left="513" w:right="94"/>
        <w:jc w:val="left"/>
      </w:pPr>
      <w:r>
        <w:rPr>
          <w:rFonts w:ascii="宋体" w:hAnsi="宋体" w:cs="宋体" w:eastAsia="宋体" w:hint="default"/>
        </w:rPr>
        <w:t>5.</w:t>
      </w:r>
      <w:r>
        <w:rPr/>
        <w:t>放眼全球软件市场，布局国际化战略</w:t>
      </w:r>
    </w:p>
    <w:p>
      <w:pPr>
        <w:spacing w:line="240" w:lineRule="auto" w:before="0"/>
        <w:rPr>
          <w:rFonts w:ascii="宋体" w:hAnsi="宋体" w:cs="宋体" w:eastAsia="宋体" w:hint="default"/>
          <w:sz w:val="15"/>
          <w:szCs w:val="15"/>
        </w:rPr>
      </w:pPr>
    </w:p>
    <w:p>
      <w:pPr>
        <w:pStyle w:val="BodyText"/>
        <w:spacing w:line="316" w:lineRule="auto"/>
        <w:ind w:right="188" w:firstLine="360"/>
        <w:jc w:val="both"/>
      </w:pPr>
      <w:r>
        <w:rPr>
          <w:rFonts w:ascii="宋体" w:hAnsi="宋体" w:cs="宋体" w:eastAsia="宋体" w:hint="default"/>
          <w:spacing w:val="-2"/>
        </w:rPr>
        <w:t>2016</w:t>
      </w:r>
      <w:r>
        <w:rPr>
          <w:spacing w:val="-2"/>
        </w:rPr>
        <w:t>年，公司战略布局将放眼国际大环境、国家大变革中考量中，瞄准海外市场，布局国际化战略，通过与国外合作伙</w:t>
      </w:r>
      <w:r>
        <w:rPr/>
        <w:t> </w:t>
      </w:r>
      <w:r>
        <w:rPr>
          <w:spacing w:val="-2"/>
        </w:rPr>
        <w:t>伴展开深度合作，以及股权投资或者战略投资的方式实现公司国际化。计划用五年的时完善自身国际化布局，将公司打造成</w:t>
      </w:r>
      <w:r>
        <w:rPr>
          <w:spacing w:val="-61"/>
        </w:rPr>
        <w:t> </w:t>
      </w:r>
      <w:r>
        <w:rPr>
          <w:spacing w:val="-61"/>
        </w:rPr>
      </w:r>
      <w:r>
        <w:rPr>
          <w:spacing w:val="-5"/>
        </w:rPr>
        <w:t>技术国际化、产品国际化、服务国际化、市场国际化、人才国际化的国际顶级的软件企业，树立中国民营软件企业国际形象，</w:t>
      </w:r>
      <w:r>
        <w:rPr>
          <w:spacing w:val="-80"/>
        </w:rPr>
        <w:t> </w:t>
      </w:r>
      <w:r>
        <w:rPr>
          <w:spacing w:val="-80"/>
        </w:rPr>
      </w:r>
      <w:r>
        <w:rPr/>
        <w:t>提升中国软件企业在国际市场的地位。</w:t>
      </w:r>
    </w:p>
    <w:p>
      <w:pPr>
        <w:pStyle w:val="BodyText"/>
        <w:spacing w:line="441" w:lineRule="auto" w:before="139"/>
        <w:ind w:left="513" w:right="7653"/>
        <w:jc w:val="left"/>
      </w:pPr>
      <w:r>
        <w:rPr/>
        <w:t>（四）可能面对的风险 </w:t>
      </w:r>
      <w:r>
        <w:rPr>
          <w:rFonts w:ascii="宋体" w:hAnsi="宋体" w:cs="宋体" w:eastAsia="宋体" w:hint="default"/>
        </w:rPr>
        <w:t>1.</w:t>
      </w:r>
      <w:r>
        <w:rPr>
          <w:rFonts w:ascii="宋体" w:hAnsi="宋体" w:cs="宋体" w:eastAsia="宋体" w:hint="default"/>
          <w:spacing w:val="3"/>
        </w:rPr>
        <w:t> </w:t>
      </w:r>
      <w:r>
        <w:rPr/>
        <w:t>市场风险：</w:t>
      </w:r>
    </w:p>
    <w:p>
      <w:pPr>
        <w:pStyle w:val="BodyText"/>
        <w:spacing w:line="316" w:lineRule="auto" w:before="45"/>
        <w:ind w:left="513" w:right="93" w:firstLine="360"/>
        <w:jc w:val="left"/>
      </w:pPr>
      <w:r>
        <w:rPr/>
        <w:t>“互联网+”行动计划的提出促进了移动互联网、云计算、大数据、物联网等与现代制造业的结合发展。使得软件 </w:t>
      </w:r>
      <w:r>
        <w:rPr>
          <w:spacing w:val="-2"/>
        </w:rPr>
        <w:t>行业市场规模持续扩大，吸引了大量国内外企业不断进入，市场竞争加剧。同时，新业态正在改变</w:t>
      </w:r>
      <w:r>
        <w:rPr>
          <w:rFonts w:ascii="宋体" w:hAnsi="宋体" w:cs="宋体" w:eastAsia="宋体" w:hint="default"/>
          <w:spacing w:val="-2"/>
        </w:rPr>
        <w:t>IT</w:t>
      </w:r>
      <w:r>
        <w:rPr>
          <w:spacing w:val="-2"/>
        </w:rPr>
        <w:t>产业格局和业务模</w:t>
      </w:r>
      <w:r>
        <w:rPr>
          <w:spacing w:val="-63"/>
        </w:rPr>
        <w:t> </w:t>
      </w:r>
      <w:r>
        <w:rPr>
          <w:spacing w:val="-2"/>
        </w:rPr>
        <w:t>式，激烈的市场竞争格局对公司的业务能力、发展模式提出更高的要求。如果公司未来在技术开发、服务提升等方面不</w:t>
      </w:r>
      <w:r>
        <w:rPr>
          <w:spacing w:val="-71"/>
        </w:rPr>
        <w:t> </w:t>
      </w:r>
      <w:r>
        <w:rPr>
          <w:spacing w:val="-71"/>
        </w:rPr>
      </w:r>
      <w:r>
        <w:rPr/>
        <w:t>能有效适应市场的变化，则在市场竞争中难以保持优势地位及快速增长的良好趋势，甚至失去已有的市场份额。为此，</w:t>
      </w:r>
      <w:r>
        <w:rPr>
          <w:spacing w:val="-85"/>
        </w:rPr>
        <w:t> </w:t>
      </w:r>
      <w:r>
        <w:rPr>
          <w:spacing w:val="-85"/>
        </w:rPr>
      </w:r>
      <w:r>
        <w:rPr/>
        <w:t>面对新的市场需求与竞争，公司将积极与客户进行深入的沟通，及时审视发展战略，聚焦核心业务发展，加强专业化、</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193"/>
        <w:jc w:val="both"/>
      </w:pPr>
      <w:r>
        <w:rPr>
          <w:spacing w:val="-2"/>
        </w:rPr>
        <w:t>系统化竞争能力，实现个性化服务、智能化服务和自然的人机交互方式，从而将用户体验提升到一个新高度，推动行业</w:t>
      </w:r>
      <w:r>
        <w:rPr>
          <w:spacing w:val="-71"/>
        </w:rPr>
        <w:t> </w:t>
      </w:r>
      <w:r>
        <w:rPr>
          <w:spacing w:val="-71"/>
        </w:rPr>
      </w:r>
      <w:r>
        <w:rPr/>
        <w:t>信息化的发展。</w:t>
      </w:r>
    </w:p>
    <w:p>
      <w:pPr>
        <w:pStyle w:val="BodyText"/>
        <w:spacing w:line="240" w:lineRule="auto" w:before="137"/>
        <w:ind w:left="513" w:right="0"/>
        <w:jc w:val="both"/>
      </w:pPr>
      <w:r>
        <w:rPr>
          <w:rFonts w:ascii="宋体" w:hAnsi="宋体" w:cs="宋体" w:eastAsia="宋体" w:hint="default"/>
        </w:rPr>
        <w:t>2.</w:t>
      </w:r>
      <w:r>
        <w:rPr/>
        <w:t>研发风险</w:t>
      </w:r>
    </w:p>
    <w:p>
      <w:pPr>
        <w:spacing w:line="240" w:lineRule="auto" w:before="0"/>
        <w:rPr>
          <w:rFonts w:ascii="宋体" w:hAnsi="宋体" w:cs="宋体" w:eastAsia="宋体" w:hint="default"/>
          <w:sz w:val="15"/>
          <w:szCs w:val="15"/>
        </w:rPr>
      </w:pPr>
    </w:p>
    <w:p>
      <w:pPr>
        <w:pStyle w:val="BodyText"/>
        <w:spacing w:line="316" w:lineRule="auto"/>
        <w:ind w:left="513" w:right="190" w:firstLine="360"/>
        <w:jc w:val="both"/>
      </w:pPr>
      <w:r>
        <w:rPr>
          <w:spacing w:val="-2"/>
        </w:rPr>
        <w:t>对</w:t>
      </w:r>
      <w:r>
        <w:rPr>
          <w:rFonts w:ascii="宋体" w:hAnsi="宋体" w:cs="宋体" w:eastAsia="宋体" w:hint="default"/>
          <w:spacing w:val="-2"/>
        </w:rPr>
        <w:t>IT</w:t>
      </w:r>
      <w:r>
        <w:rPr>
          <w:spacing w:val="-2"/>
        </w:rPr>
        <w:t>产业来说，技术及产品开发是核心竞争要素。由于信息技术发展速度较快，公司必须全面了解业内技术发展的</w:t>
      </w:r>
      <w:r>
        <w:rPr/>
        <w:t> </w:t>
      </w:r>
      <w:r>
        <w:rPr>
          <w:spacing w:val="-2"/>
        </w:rPr>
        <w:t>最新趋势，满足客户不断升级的要求。所以，及时跟踪技术的发展升级，将储备技术开发成符合市场需求的新产品就变</w:t>
      </w:r>
      <w:r>
        <w:rPr>
          <w:spacing w:val="-68"/>
        </w:rPr>
        <w:t> </w:t>
      </w:r>
      <w:r>
        <w:rPr>
          <w:spacing w:val="-68"/>
        </w:rPr>
      </w:r>
      <w:r>
        <w:rPr>
          <w:spacing w:val="-2"/>
        </w:rPr>
        <w:t>得格外重要。但新产品往往需要较长的运行周期及大量的资源投入，并面临着开发失败的风险，一旦公司对技术、产品</w:t>
      </w:r>
      <w:r>
        <w:rPr>
          <w:spacing w:val="-70"/>
        </w:rPr>
        <w:t> </w:t>
      </w:r>
      <w:r>
        <w:rPr>
          <w:spacing w:val="-70"/>
        </w:rPr>
      </w:r>
      <w:r>
        <w:rPr>
          <w:spacing w:val="-2"/>
        </w:rPr>
        <w:t>及市场发展趋势预测出现偏差或新技术研发失败，前期的高额投入将无法产生预期效益。为此公司需要保持灵活的市场</w:t>
      </w:r>
      <w:r>
        <w:rPr>
          <w:spacing w:val="-68"/>
        </w:rPr>
        <w:t> </w:t>
      </w:r>
      <w:r>
        <w:rPr>
          <w:spacing w:val="-68"/>
        </w:rPr>
      </w:r>
      <w:r>
        <w:rPr>
          <w:spacing w:val="-2"/>
        </w:rPr>
        <w:t>需求反应体系，积极跟进前沿技术，优化产品规划，加强研发管理人员培训，更好的执行研发项目管理制度，控制项目</w:t>
      </w:r>
      <w:r>
        <w:rPr>
          <w:spacing w:val="-71"/>
        </w:rPr>
        <w:t> </w:t>
      </w:r>
      <w:r>
        <w:rPr>
          <w:spacing w:val="-71"/>
        </w:rPr>
      </w:r>
      <w:r>
        <w:rPr/>
        <w:t>进度，借助新技术、新产品的发展提高公司在行业内的核心竞争力。</w:t>
      </w:r>
    </w:p>
    <w:p>
      <w:pPr>
        <w:pStyle w:val="BodyText"/>
        <w:spacing w:line="432" w:lineRule="exact" w:before="3"/>
        <w:ind w:left="873" w:right="94" w:hanging="360"/>
        <w:jc w:val="left"/>
      </w:pPr>
      <w:r>
        <w:rPr>
          <w:rFonts w:ascii="宋体" w:hAnsi="宋体" w:cs="宋体" w:eastAsia="宋体" w:hint="default"/>
        </w:rPr>
        <w:t>3.</w:t>
      </w:r>
      <w:r>
        <w:rPr/>
        <w:t>并购整合风险 </w:t>
      </w:r>
      <w:r>
        <w:rPr>
          <w:spacing w:val="-2"/>
        </w:rPr>
        <w:t>公司始终坚持“内生式成长与外延式发展并举”的发展战略，通过并购具有独特竞争力的公司产生协同效应，从而</w:t>
      </w:r>
    </w:p>
    <w:p>
      <w:pPr>
        <w:pStyle w:val="BodyText"/>
        <w:spacing w:line="319" w:lineRule="auto" w:before="15"/>
        <w:ind w:left="513" w:right="106"/>
        <w:jc w:val="both"/>
      </w:pPr>
      <w:r>
        <w:rPr>
          <w:spacing w:val="-2"/>
        </w:rPr>
        <w:t>优化公司整体资源配置，使公司多行业布局的战略得以实现，有利于提高公司业务规模，充实服务内容，培养新的战略</w:t>
      </w:r>
      <w:r>
        <w:rPr>
          <w:spacing w:val="-70"/>
        </w:rPr>
        <w:t> </w:t>
      </w:r>
      <w:r>
        <w:rPr>
          <w:spacing w:val="-70"/>
        </w:rPr>
      </w:r>
      <w:r>
        <w:rPr>
          <w:spacing w:val="-2"/>
        </w:rPr>
        <w:t>性客户，有效增强公司的持续盈利能力和市场竞争力，更好的促进公司未来快速稳定发展。但是，由于被并购公司在业</w:t>
      </w:r>
      <w:r>
        <w:rPr>
          <w:spacing w:val="-70"/>
        </w:rPr>
        <w:t> </w:t>
      </w:r>
      <w:r>
        <w:rPr>
          <w:spacing w:val="-70"/>
        </w:rPr>
      </w:r>
      <w:r>
        <w:rPr>
          <w:spacing w:val="-2"/>
        </w:rPr>
        <w:t>务类型、管理风格、企业文化等方面与公司目前存在一定差异，因此在收购之后能否做到资源、业务与文化的有效整合</w:t>
      </w:r>
      <w:r>
        <w:rPr>
          <w:spacing w:val="-70"/>
        </w:rPr>
        <w:t> </w:t>
      </w:r>
      <w:r>
        <w:rPr>
          <w:spacing w:val="-70"/>
        </w:rPr>
      </w:r>
      <w:r>
        <w:rPr>
          <w:spacing w:val="-2"/>
        </w:rPr>
        <w:t>仍存在不确定性，这将会为公司经营和管理带来风险，甚至对公司原有业务的正常运营产生不利影响。对此，公司将通</w:t>
      </w:r>
      <w:r>
        <w:rPr>
          <w:spacing w:val="-71"/>
        </w:rPr>
        <w:t> </w:t>
      </w:r>
      <w:r>
        <w:rPr>
          <w:spacing w:val="-71"/>
        </w:rPr>
      </w:r>
      <w:r>
        <w:rPr/>
        <w:t>过合理确定并购目标，进行完善的调查，建立科学的收购风险管理机制，妥善完成并购、整合，以规避并购整合风险。</w:t>
      </w:r>
    </w:p>
    <w:p>
      <w:pPr>
        <w:pStyle w:val="BodyText"/>
        <w:spacing w:line="240" w:lineRule="auto" w:before="137"/>
        <w:ind w:left="513" w:right="0"/>
        <w:jc w:val="both"/>
      </w:pPr>
      <w:r>
        <w:rPr>
          <w:rFonts w:ascii="宋体" w:hAnsi="宋体" w:cs="宋体" w:eastAsia="宋体" w:hint="default"/>
        </w:rPr>
        <w:t>4.</w:t>
      </w:r>
      <w:r>
        <w:rPr/>
        <w:t>人力资源</w:t>
      </w:r>
    </w:p>
    <w:p>
      <w:pPr>
        <w:spacing w:line="240" w:lineRule="auto" w:before="0"/>
        <w:rPr>
          <w:rFonts w:ascii="宋体" w:hAnsi="宋体" w:cs="宋体" w:eastAsia="宋体" w:hint="default"/>
          <w:sz w:val="15"/>
          <w:szCs w:val="15"/>
        </w:rPr>
      </w:pPr>
    </w:p>
    <w:p>
      <w:pPr>
        <w:pStyle w:val="BodyText"/>
        <w:spacing w:line="316" w:lineRule="auto"/>
        <w:ind w:left="513" w:right="102" w:firstLine="360"/>
        <w:jc w:val="both"/>
      </w:pPr>
      <w:r>
        <w:rPr>
          <w:spacing w:val="-2"/>
        </w:rPr>
        <w:t>对于软件企业来说，核心技术与优秀领导团队是维持和提高公司竞争力的核心力量。近年来软件行业发展迅速，业</w:t>
      </w:r>
      <w:r>
        <w:rPr/>
        <w:t> </w:t>
      </w:r>
      <w:r>
        <w:rPr>
          <w:spacing w:val="-5"/>
        </w:rPr>
        <w:t>务扩张和市场竞争加剧，公司面临人力资源成本上升、技术人员和核心业务骨干缺乏的风险，在高端人才的吸引和保留、</w:t>
      </w:r>
      <w:r>
        <w:rPr>
          <w:spacing w:val="-86"/>
        </w:rPr>
        <w:t> </w:t>
      </w:r>
      <w:r>
        <w:rPr>
          <w:spacing w:val="-86"/>
        </w:rPr>
      </w:r>
      <w:r>
        <w:rPr>
          <w:spacing w:val="-2"/>
        </w:rPr>
        <w:t>人力资源体系结构优化等方面面临压力和挑战。为此，公司始终重视人力资源对公司发展的影响，持续完善人事与薪酬</w:t>
      </w:r>
      <w:r>
        <w:rPr>
          <w:spacing w:val="-70"/>
        </w:rPr>
        <w:t> </w:t>
      </w:r>
      <w:r>
        <w:rPr>
          <w:spacing w:val="-70"/>
        </w:rPr>
      </w:r>
      <w:r>
        <w:rPr>
          <w:spacing w:val="-2"/>
        </w:rPr>
        <w:t>政策，为吸引和保留核心人才发挥重要作用，并且通过实施有效的创新激励机制，持续激发员工的热情，加大员工与培</w:t>
      </w:r>
      <w:r>
        <w:rPr>
          <w:spacing w:val="-71"/>
        </w:rPr>
        <w:t> </w:t>
      </w:r>
      <w:r>
        <w:rPr>
          <w:spacing w:val="-71"/>
        </w:rPr>
      </w:r>
      <w:r>
        <w:rPr/>
        <w:t>养投入，聚焦新业务、业务转型、高端职位等关键人群，提升人力资源准备制，为公司持续发展提供人才储备和保障。</w:t>
      </w:r>
    </w:p>
    <w:p>
      <w:pPr>
        <w:pStyle w:val="BodyText"/>
        <w:spacing w:line="240" w:lineRule="auto" w:before="139"/>
        <w:ind w:left="513" w:right="0"/>
        <w:jc w:val="both"/>
      </w:pPr>
      <w:r>
        <w:rPr>
          <w:rFonts w:ascii="宋体" w:hAnsi="宋体" w:cs="宋体" w:eastAsia="宋体" w:hint="default"/>
        </w:rPr>
        <w:t>5.</w:t>
      </w:r>
      <w:r>
        <w:rPr/>
        <w:t>管理风险</w:t>
      </w:r>
    </w:p>
    <w:p>
      <w:pPr>
        <w:spacing w:line="240" w:lineRule="auto" w:before="1"/>
        <w:rPr>
          <w:rFonts w:ascii="宋体" w:hAnsi="宋体" w:cs="宋体" w:eastAsia="宋体" w:hint="default"/>
          <w:sz w:val="15"/>
          <w:szCs w:val="15"/>
        </w:rPr>
      </w:pPr>
    </w:p>
    <w:p>
      <w:pPr>
        <w:pStyle w:val="BodyText"/>
        <w:spacing w:line="316" w:lineRule="auto"/>
        <w:ind w:left="513" w:right="190" w:firstLine="360"/>
        <w:jc w:val="both"/>
      </w:pPr>
      <w:r>
        <w:rPr>
          <w:spacing w:val="-2"/>
        </w:rPr>
        <w:t>随着公司业务的发展，公司的产品种类、员工数量和面对的市场规模出现了较大提升，这对于公司在资源整合、产</w:t>
      </w:r>
      <w:r>
        <w:rPr/>
        <w:t> </w:t>
      </w:r>
      <w:r>
        <w:rPr>
          <w:spacing w:val="-2"/>
        </w:rPr>
        <w:t>品研发、市场开拓，财务管理等方面提出了更多、更全面的要求。一旦在制度建设、组织设置、运营管理、资金管理和</w:t>
      </w:r>
      <w:r>
        <w:rPr>
          <w:spacing w:val="-77"/>
        </w:rPr>
        <w:t> </w:t>
      </w:r>
      <w:r>
        <w:rPr>
          <w:spacing w:val="-77"/>
        </w:rPr>
      </w:r>
      <w:r>
        <w:rPr>
          <w:spacing w:val="-2"/>
        </w:rPr>
        <w:t>内部控制等方面无法满足公司需求则会带来管理风险。为此公司将通过持续引进国内、外优秀的专业人才，在短期内建</w:t>
      </w:r>
      <w:r>
        <w:rPr>
          <w:spacing w:val="-67"/>
        </w:rPr>
        <w:t> </w:t>
      </w:r>
      <w:r>
        <w:rPr>
          <w:spacing w:val="-67"/>
        </w:rPr>
      </w:r>
      <w:r>
        <w:rPr>
          <w:spacing w:val="-2"/>
        </w:rPr>
        <w:t>立和完善适应企业发展的管理体系、制度及约束机制，提高管理层能力，实施科学高效管理，提升公司市场竞争力，实</w:t>
      </w:r>
      <w:r>
        <w:rPr>
          <w:spacing w:val="-71"/>
        </w:rPr>
        <w:t> </w:t>
      </w:r>
      <w:r>
        <w:rPr>
          <w:spacing w:val="-71"/>
        </w:rPr>
      </w:r>
      <w:r>
        <w:rPr/>
        <w:t>现公司的可持续性发展。</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宋体" w:hAnsi="宋体" w:cs="宋体" w:eastAsia="宋体"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134" w:right="8278"/>
        <w:jc w:val="center"/>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1417"/>
        <w:gridCol w:w="5459"/>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5"/>
              <w:jc w:val="left"/>
              <w:rPr>
                <w:rFonts w:ascii="宋体" w:hAnsi="宋体" w:cs="宋体" w:eastAsia="宋体" w:hint="default"/>
                <w:sz w:val="18"/>
                <w:szCs w:val="18"/>
              </w:rPr>
            </w:pPr>
            <w:r>
              <w:rPr>
                <w:rFonts w:ascii="宋体" w:hAnsi="宋体" w:cs="宋体" w:eastAsia="宋体" w:hint="default"/>
                <w:sz w:val="18"/>
                <w:szCs w:val="18"/>
              </w:rPr>
              <w:t>互动易平台 </w:t>
            </w:r>
            <w:hyperlink r:id="rId20">
              <w:r>
                <w:rPr>
                  <w:rFonts w:ascii="宋体" w:hAnsi="宋体" w:cs="宋体" w:eastAsia="宋体" w:hint="default"/>
                  <w:spacing w:val="-1"/>
                  <w:sz w:val="18"/>
                  <w:szCs w:val="18"/>
                </w:rPr>
                <w:t>http://irm.cninfo.com.cn/ssessgs/S002065/index.html</w:t>
              </w:r>
            </w:hyperlink>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5"/>
              <w:jc w:val="left"/>
              <w:rPr>
                <w:rFonts w:ascii="宋体" w:hAnsi="宋体" w:cs="宋体" w:eastAsia="宋体" w:hint="default"/>
                <w:sz w:val="18"/>
                <w:szCs w:val="18"/>
              </w:rPr>
            </w:pPr>
            <w:r>
              <w:rPr>
                <w:rFonts w:ascii="宋体" w:hAnsi="宋体" w:cs="宋体" w:eastAsia="宋体" w:hint="default"/>
                <w:sz w:val="18"/>
                <w:szCs w:val="18"/>
              </w:rPr>
              <w:t>互动易平台 </w:t>
            </w:r>
            <w:hyperlink r:id="rId20">
              <w:r>
                <w:rPr>
                  <w:rFonts w:ascii="宋体" w:hAnsi="宋体" w:cs="宋体" w:eastAsia="宋体" w:hint="default"/>
                  <w:spacing w:val="-1"/>
                  <w:sz w:val="18"/>
                  <w:szCs w:val="18"/>
                </w:rPr>
                <w:t>http://irm.cninfo.com.cn/ssessgs/S002065/index.html</w:t>
              </w:r>
            </w:hyperlink>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公司基本情况、行业发展情况等</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135"/>
        <w:gridCol w:w="1417"/>
        <w:gridCol w:w="5459"/>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5"/>
              <w:jc w:val="left"/>
              <w:rPr>
                <w:rFonts w:ascii="宋体" w:hAnsi="宋体" w:cs="宋体" w:eastAsia="宋体" w:hint="default"/>
                <w:sz w:val="18"/>
                <w:szCs w:val="18"/>
              </w:rPr>
            </w:pPr>
            <w:r>
              <w:rPr>
                <w:rFonts w:ascii="宋体" w:hAnsi="宋体" w:cs="宋体" w:eastAsia="宋体" w:hint="default"/>
                <w:sz w:val="18"/>
                <w:szCs w:val="18"/>
              </w:rPr>
              <w:t>互动易平台 </w:t>
            </w:r>
            <w:hyperlink r:id="rId20">
              <w:r>
                <w:rPr>
                  <w:rFonts w:ascii="宋体" w:hAnsi="宋体" w:cs="宋体" w:eastAsia="宋体" w:hint="default"/>
                  <w:spacing w:val="-1"/>
                  <w:sz w:val="18"/>
                  <w:szCs w:val="18"/>
                </w:rPr>
                <w:t>http://irm.cninfo.com.cn/ssessgs/S002065/index.html</w:t>
              </w:r>
            </w:hyperlink>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5"/>
              <w:jc w:val="left"/>
              <w:rPr>
                <w:rFonts w:ascii="宋体" w:hAnsi="宋体" w:cs="宋体" w:eastAsia="宋体" w:hint="default"/>
                <w:sz w:val="18"/>
                <w:szCs w:val="18"/>
              </w:rPr>
            </w:pPr>
            <w:r>
              <w:rPr>
                <w:rFonts w:ascii="宋体" w:hAnsi="宋体" w:cs="宋体" w:eastAsia="宋体" w:hint="default"/>
                <w:sz w:val="18"/>
                <w:szCs w:val="18"/>
              </w:rPr>
              <w:t>互动易平台 </w:t>
            </w:r>
            <w:hyperlink r:id="rId20">
              <w:r>
                <w:rPr>
                  <w:rFonts w:ascii="宋体" w:hAnsi="宋体" w:cs="宋体" w:eastAsia="宋体" w:hint="default"/>
                  <w:spacing w:val="-1"/>
                  <w:sz w:val="18"/>
                  <w:szCs w:val="18"/>
                </w:rPr>
                <w:t>http://irm.cninfo.com.cn/ssessgs/S002065/index.html</w:t>
              </w:r>
            </w:hyperlink>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5"/>
              <w:jc w:val="left"/>
              <w:rPr>
                <w:rFonts w:ascii="宋体" w:hAnsi="宋体" w:cs="宋体" w:eastAsia="宋体" w:hint="default"/>
                <w:sz w:val="18"/>
                <w:szCs w:val="18"/>
              </w:rPr>
            </w:pPr>
            <w:r>
              <w:rPr>
                <w:rFonts w:ascii="宋体" w:hAnsi="宋体" w:cs="宋体" w:eastAsia="宋体" w:hint="default"/>
                <w:sz w:val="18"/>
                <w:szCs w:val="18"/>
              </w:rPr>
              <w:t>互动易平台 </w:t>
            </w:r>
            <w:hyperlink r:id="rId20">
              <w:r>
                <w:rPr>
                  <w:rFonts w:ascii="宋体" w:hAnsi="宋体" w:cs="宋体" w:eastAsia="宋体" w:hint="default"/>
                  <w:spacing w:val="-1"/>
                  <w:sz w:val="18"/>
                  <w:szCs w:val="18"/>
                </w:rPr>
                <w:t>http://irm.cninfo.com.cn/ssessgs/S002065/index.html</w:t>
              </w:r>
            </w:hyperlink>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公司基本情况、行业发展情况等</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5"/>
              <w:jc w:val="left"/>
              <w:rPr>
                <w:rFonts w:ascii="宋体" w:hAnsi="宋体" w:cs="宋体" w:eastAsia="宋体" w:hint="default"/>
                <w:sz w:val="18"/>
                <w:szCs w:val="18"/>
              </w:rPr>
            </w:pPr>
            <w:r>
              <w:rPr>
                <w:rFonts w:ascii="宋体" w:hAnsi="宋体" w:cs="宋体" w:eastAsia="宋体" w:hint="default"/>
                <w:sz w:val="18"/>
                <w:szCs w:val="18"/>
              </w:rPr>
              <w:t>互动易平台 </w:t>
            </w:r>
            <w:hyperlink r:id="rId20">
              <w:r>
                <w:rPr>
                  <w:rFonts w:ascii="宋体" w:hAnsi="宋体" w:cs="宋体" w:eastAsia="宋体" w:hint="default"/>
                  <w:spacing w:val="-1"/>
                  <w:sz w:val="18"/>
                  <w:szCs w:val="18"/>
                </w:rPr>
                <w:t>http://irm.cninfo.com.cn/ssessgs/S002065/index.html</w:t>
              </w:r>
            </w:hyperlink>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公司基本情况、行业发展情况及公司半年报进展情况等</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公司基本情况、行业发展情况等</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公司基本情况、行业发展情况及三季报等</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134" w:right="172"/>
        <w:jc w:val="center"/>
        <w:rPr>
          <w:b w:val="0"/>
          <w:bCs w:val="0"/>
        </w:rPr>
      </w:pPr>
      <w:bookmarkStart w:name="_bookmark3" w:id="4"/>
      <w:bookmarkEnd w:id="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t>□ 适用 √</w:t>
      </w:r>
      <w:r>
        <w:rPr>
          <w:spacing w:val="3"/>
        </w:rPr>
        <w:t> </w:t>
      </w:r>
      <w:r>
        <w:rPr/>
        <w:t>不适用</w:t>
      </w:r>
    </w:p>
    <w:p>
      <w:pPr>
        <w:pStyle w:val="BodyText"/>
        <w:spacing w:line="240" w:lineRule="auto" w:before="115"/>
        <w:ind w:right="0"/>
        <w:jc w:val="both"/>
      </w:pPr>
      <w:r>
        <w:rPr/>
        <w:t>公司近</w:t>
      </w:r>
      <w:r>
        <w:rPr>
          <w:spacing w:val="-44"/>
        </w:rPr>
        <w:t> </w:t>
      </w:r>
      <w:r>
        <w:rPr>
          <w:rFonts w:ascii="宋体" w:hAnsi="宋体" w:cs="宋体" w:eastAsia="宋体" w:hint="default"/>
        </w:rPr>
        <w:t>3</w:t>
      </w:r>
      <w:r>
        <w:rPr>
          <w:rFonts w:ascii="宋体" w:hAnsi="宋体" w:cs="宋体" w:eastAsia="宋体" w:hint="default"/>
          <w:spacing w:val="-44"/>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430" w:lineRule="atLeast" w:before="4"/>
        <w:ind w:left="513" w:right="94"/>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2013</w:t>
      </w:r>
      <w:r>
        <w:rPr/>
        <w:t>年度利润分配方案 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5</w:t>
      </w:r>
      <w:r>
        <w:rPr/>
        <w:t>日召开</w:t>
      </w:r>
      <w:r>
        <w:rPr>
          <w:rFonts w:ascii="宋体" w:hAnsi="宋体" w:cs="宋体" w:eastAsia="宋体" w:hint="default"/>
        </w:rPr>
        <w:t>2013</w:t>
      </w:r>
      <w:r>
        <w:rPr/>
        <w:t>年度股东大会审议通过了《</w:t>
      </w:r>
      <w:r>
        <w:rPr>
          <w:rFonts w:ascii="宋体" w:hAnsi="宋体" w:cs="宋体" w:eastAsia="宋体" w:hint="default"/>
        </w:rPr>
        <w:t>2013</w:t>
      </w:r>
      <w:r>
        <w:rPr/>
        <w:t>年度利润分配预案》，以公司权益分派股权登记日</w:t>
      </w:r>
      <w:r>
        <w:rPr>
          <w:rFonts w:ascii="宋体" w:hAnsi="宋体" w:cs="宋体" w:eastAsia="宋体" w:hint="default"/>
        </w:rPr>
        <w:t>2014</w:t>
      </w:r>
    </w:p>
    <w:p>
      <w:pPr>
        <w:pStyle w:val="BodyText"/>
        <w:spacing w:line="319" w:lineRule="auto" w:before="76"/>
        <w:ind w:right="189"/>
        <w:jc w:val="both"/>
      </w:pP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日收盘时公司股本</w:t>
      </w:r>
      <w:r>
        <w:rPr>
          <w:rFonts w:ascii="宋体" w:hAnsi="宋体" w:cs="宋体" w:eastAsia="宋体" w:hint="default"/>
          <w:spacing w:val="-2"/>
        </w:rPr>
        <w:t>735,041,371</w:t>
      </w:r>
      <w:r>
        <w:rPr>
          <w:spacing w:val="-2"/>
        </w:rPr>
        <w:t>股为基数（注：公司自</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日起进入可转债转股期，公司股本随转股数的增加</w:t>
      </w:r>
      <w:r>
        <w:rPr>
          <w:spacing w:val="-50"/>
        </w:rPr>
        <w:t> </w:t>
      </w:r>
      <w:r>
        <w:rPr>
          <w:spacing w:val="-50"/>
        </w:rPr>
      </w:r>
      <w:r>
        <w:rPr>
          <w:spacing w:val="-2"/>
        </w:rPr>
        <w:t>随时发生变化），向全体股东每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2.0</w:t>
      </w:r>
      <w:r>
        <w:rPr>
          <w:spacing w:val="-2"/>
        </w:rPr>
        <w:t>元（含税）共计</w:t>
      </w:r>
      <w:r>
        <w:rPr>
          <w:rFonts w:ascii="宋体" w:hAnsi="宋体" w:cs="宋体" w:eastAsia="宋体" w:hint="default"/>
          <w:spacing w:val="-2"/>
        </w:rPr>
        <w:t>147,008,274.2</w:t>
      </w:r>
      <w:r>
        <w:rPr>
          <w:spacing w:val="-2"/>
        </w:rPr>
        <w:t>（含税）；同时，以资本公积转增股本</w:t>
      </w:r>
      <w:r>
        <w:rPr>
          <w:spacing w:val="-58"/>
        </w:rPr>
        <w:t> </w:t>
      </w:r>
      <w:r>
        <w:rPr>
          <w:spacing w:val="-58"/>
        </w:rPr>
      </w:r>
      <w:r>
        <w:rPr/>
        <w:t>方式向全体股东每</w:t>
      </w:r>
      <w:r>
        <w:rPr>
          <w:rFonts w:ascii="宋体" w:hAnsi="宋体" w:cs="宋体" w:eastAsia="宋体" w:hint="default"/>
        </w:rPr>
        <w:t>10</w:t>
      </w:r>
      <w:r>
        <w:rPr/>
        <w:t>股转增</w:t>
      </w:r>
      <w:r>
        <w:rPr>
          <w:rFonts w:ascii="宋体" w:hAnsi="宋体" w:cs="宋体" w:eastAsia="宋体" w:hint="default"/>
        </w:rPr>
        <w:t>10</w:t>
      </w:r>
      <w:r>
        <w:rPr/>
        <w:t>股，共计</w:t>
      </w:r>
      <w:r>
        <w:rPr>
          <w:rFonts w:ascii="宋体" w:hAnsi="宋体" w:cs="宋体" w:eastAsia="宋体" w:hint="default"/>
        </w:rPr>
        <w:t>735,041,371</w:t>
      </w:r>
      <w:r>
        <w:rPr/>
        <w:t>股。本方案已于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4</w:t>
      </w:r>
      <w:r>
        <w:rPr/>
        <w:t>日实施完毕。</w:t>
      </w:r>
    </w:p>
    <w:p>
      <w:pPr>
        <w:pStyle w:val="BodyText"/>
        <w:spacing w:line="432" w:lineRule="exact" w:before="1"/>
        <w:ind w:left="513" w:right="183"/>
        <w:jc w:val="left"/>
      </w:pPr>
      <w:r>
        <w:rPr>
          <w:rFonts w:ascii="宋体" w:hAnsi="宋体" w:cs="宋体" w:eastAsia="宋体" w:hint="default"/>
        </w:rPr>
        <w:t>2</w:t>
      </w:r>
      <w:r>
        <w:rPr/>
        <w:t>、</w:t>
      </w:r>
      <w:r>
        <w:rPr>
          <w:rFonts w:ascii="宋体" w:hAnsi="宋体" w:cs="宋体" w:eastAsia="宋体" w:hint="default"/>
        </w:rPr>
        <w:t>2014</w:t>
      </w:r>
      <w:r>
        <w:rPr/>
        <w:t>年度利润分配方案 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27</w:t>
      </w:r>
      <w:r>
        <w:rPr/>
        <w:t>日召开第五届董事会第六次会议审议通过了《</w:t>
      </w:r>
      <w:r>
        <w:rPr>
          <w:rFonts w:ascii="宋体" w:hAnsi="宋体" w:cs="宋体" w:eastAsia="宋体" w:hint="default"/>
        </w:rPr>
        <w:t>2014</w:t>
      </w:r>
      <w:r>
        <w:rPr/>
        <w:t>年度利润分配预案》，以公司权益分派股权登记</w:t>
      </w:r>
    </w:p>
    <w:p>
      <w:pPr>
        <w:pStyle w:val="BodyText"/>
        <w:spacing w:line="316" w:lineRule="auto" w:before="15"/>
        <w:ind w:right="194"/>
        <w:jc w:val="both"/>
      </w:pPr>
      <w:r>
        <w:rPr>
          <w:spacing w:val="-2"/>
        </w:rPr>
        <w:t>日的公司股本为基数（注：公司自</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日起进入可转债转股期，公司股本随转股数的增加随时发生变化），向全体股</w:t>
      </w:r>
      <w:r>
        <w:rPr>
          <w:spacing w:val="-63"/>
        </w:rPr>
        <w:t> </w:t>
      </w:r>
      <w:r>
        <w:rPr>
          <w:spacing w:val="-63"/>
        </w:rPr>
      </w:r>
      <w:r>
        <w:rPr/>
        <w:t>东每</w:t>
      </w:r>
      <w:r>
        <w:rPr>
          <w:rFonts w:ascii="宋体" w:hAnsi="宋体" w:cs="宋体" w:eastAsia="宋体" w:hint="default"/>
        </w:rPr>
        <w:t>10</w:t>
      </w:r>
      <w:r>
        <w:rPr/>
        <w:t>股派发现金红利</w:t>
      </w:r>
      <w:r>
        <w:rPr>
          <w:rFonts w:ascii="宋体" w:hAnsi="宋体" w:cs="宋体" w:eastAsia="宋体" w:hint="default"/>
        </w:rPr>
        <w:t>1.5</w:t>
      </w:r>
      <w:r>
        <w:rPr/>
        <w:t>元（含税）。共计派发现金股利</w:t>
      </w:r>
      <w:r>
        <w:rPr>
          <w:rFonts w:ascii="宋体" w:hAnsi="宋体" w:cs="宋体" w:eastAsia="宋体" w:hint="default"/>
        </w:rPr>
        <w:t>229,118,219.22</w:t>
      </w:r>
      <w:r>
        <w:rPr/>
        <w:t>元。本方案已于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日实施完毕。</w:t>
      </w:r>
    </w:p>
    <w:p>
      <w:pPr>
        <w:pStyle w:val="BodyText"/>
        <w:spacing w:line="432" w:lineRule="exact" w:before="3"/>
        <w:ind w:left="513" w:right="183"/>
        <w:jc w:val="left"/>
      </w:pPr>
      <w:r>
        <w:rPr>
          <w:rFonts w:ascii="宋体" w:hAnsi="宋体" w:cs="宋体" w:eastAsia="宋体" w:hint="default"/>
        </w:rPr>
        <w:t>3</w:t>
      </w:r>
      <w:r>
        <w:rPr/>
        <w:t>、</w:t>
      </w:r>
      <w:r>
        <w:rPr>
          <w:rFonts w:ascii="宋体" w:hAnsi="宋体" w:cs="宋体" w:eastAsia="宋体" w:hint="default"/>
        </w:rPr>
        <w:t>2015</w:t>
      </w:r>
      <w:r>
        <w:rPr/>
        <w:t>年度利润分配方案 公司于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日召开第五届董事会第三十五次会议审议通过了《</w:t>
      </w:r>
      <w:r>
        <w:rPr>
          <w:rFonts w:ascii="宋体" w:hAnsi="宋体" w:cs="宋体" w:eastAsia="宋体" w:hint="default"/>
        </w:rPr>
        <w:t>2015</w:t>
      </w:r>
      <w:r>
        <w:rPr/>
        <w:t>年度利润分配预案》，以公司权益分派登记</w:t>
      </w:r>
    </w:p>
    <w:p>
      <w:pPr>
        <w:pStyle w:val="BodyText"/>
        <w:spacing w:line="439" w:lineRule="auto" w:before="15"/>
        <w:ind w:left="513" w:right="94" w:hanging="361"/>
        <w:jc w:val="left"/>
      </w:pPr>
      <w:r>
        <w:rPr/>
        <w:t>日的公司股本为股份基数，向全体股东每</w:t>
      </w:r>
      <w:r>
        <w:rPr>
          <w:rFonts w:ascii="宋体" w:hAnsi="宋体" w:cs="宋体" w:eastAsia="宋体" w:hint="default"/>
        </w:rPr>
        <w:t>10</w:t>
      </w:r>
      <w:r>
        <w:rPr/>
        <w:t>股派发现金红利</w:t>
      </w:r>
      <w:r>
        <w:rPr>
          <w:rFonts w:ascii="宋体" w:hAnsi="宋体" w:cs="宋体" w:eastAsia="宋体" w:hint="default"/>
        </w:rPr>
        <w:t>1.50</w:t>
      </w:r>
      <w:r>
        <w:rPr/>
        <w:t>元（含税），该方案尚需提交</w:t>
      </w:r>
      <w:r>
        <w:rPr>
          <w:rFonts w:ascii="宋体" w:hAnsi="宋体" w:cs="宋体" w:eastAsia="宋体" w:hint="default"/>
        </w:rPr>
        <w:t>2015</w:t>
      </w:r>
      <w:r>
        <w:rPr/>
        <w:t>年度股东大会审议批准。</w:t>
      </w:r>
      <w:r>
        <w:rPr>
          <w:spacing w:val="-86"/>
        </w:rPr>
        <w:t> </w:t>
      </w:r>
      <w:r>
        <w:rPr>
          <w:spacing w:val="-86"/>
        </w:rPr>
      </w:r>
      <w:r>
        <w:rPr/>
        <w:t>公司近三年（包括本报告期）普通股现金分红情况表</w:t>
      </w:r>
    </w:p>
    <w:p>
      <w:pPr>
        <w:pStyle w:val="BodyText"/>
        <w:spacing w:line="240" w:lineRule="auto" w:before="47"/>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381"/>
        <w:gridCol w:w="2126"/>
        <w:gridCol w:w="1844"/>
        <w:gridCol w:w="1277"/>
        <w:gridCol w:w="134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62"/>
              <w:jc w:val="center"/>
              <w:rPr>
                <w:rFonts w:ascii="宋体" w:hAnsi="宋体" w:cs="宋体" w:eastAsia="宋体" w:hint="default"/>
                <w:sz w:val="18"/>
                <w:szCs w:val="18"/>
              </w:rPr>
            </w:pPr>
            <w:r>
              <w:rPr>
                <w:rFonts w:ascii="宋体" w:hAnsi="宋体" w:cs="宋体" w:eastAsia="宋体" w:hint="default"/>
                <w:sz w:val="18"/>
                <w:szCs w:val="18"/>
              </w:rPr>
              <w:t>分红年度合并报表中归属 于上市公司普通股股东的 净利润</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7" w:right="10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126"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1"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2126"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6"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1,141,878,403.18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229,118,219.22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1,038,654,013.57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22.06%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147,008,274.20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770,870,494.95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4"/>
        <w:jc w:val="left"/>
      </w:pPr>
      <w:r>
        <w:rPr/>
        <w:t>公司报告期内盈利且母公司可供普通股股东分配利润为正但未提出普通股现金红利分配预案</w:t>
      </w:r>
    </w:p>
    <w:p>
      <w:pPr>
        <w:pStyle w:val="BodyText"/>
        <w:spacing w:line="240" w:lineRule="auto" w:before="117"/>
        <w:ind w:right="9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83"/>
        <w:gridCol w:w="5786"/>
      </w:tblGrid>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w:t>
            </w:r>
          </w:p>
        </w:tc>
      </w:tr>
      <w:tr>
        <w:trPr>
          <w:trHeight w:val="401" w:hRule="exact"/>
        </w:trPr>
        <w:tc>
          <w:tcPr>
            <w:tcW w:w="3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以公司权益分派登记日的公司股本为股份基数</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r>
        <w:rPr/>
        <w:pict>
          <v:group style="position:absolute;margin-left:432.670013pt;margin-top:639.555969pt;width:27.85pt;height:48.9pt;mso-position-horizontal-relative:page;mso-position-vertical-relative:page;z-index:-1060048" coordorigin="8653,12791" coordsize="557,978">
            <v:group style="position:absolute;left:8653;top:12791;width:557;height:625" coordorigin="8653,12791" coordsize="557,625">
              <v:shape style="position:absolute;left:8653;top:12791;width:557;height:625" coordorigin="8653,12791" coordsize="557,625" path="m8653,13416l9210,13416,9210,12791,8653,12791,8653,13416xe" filled="true" fillcolor="#ffffff" stroked="false">
                <v:path arrowok="t"/>
                <v:fill type="solid"/>
              </v:shape>
            </v:group>
            <v:group style="position:absolute;left:8677;top:13416;width:509;height:353" coordorigin="8677,13416" coordsize="509,353">
              <v:shape style="position:absolute;left:8677;top:13416;width:509;height:353" coordorigin="8677,13416" coordsize="509,353" path="m8677,13768l9186,13768,9186,13416,8677,13416,8677,1376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2,279,422,503.07</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87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28"/>
              <w:ind w:left="24" w:right="23" w:firstLine="360"/>
              <w:jc w:val="left"/>
              <w:rPr>
                <w:rFonts w:ascii="宋体" w:hAnsi="宋体" w:cs="宋体" w:eastAsia="宋体" w:hint="default"/>
                <w:sz w:val="18"/>
                <w:szCs w:val="18"/>
              </w:rPr>
            </w:pPr>
            <w:r>
              <w:rPr>
                <w:rFonts w:ascii="宋体" w:hAnsi="宋体" w:cs="宋体" w:eastAsia="宋体" w:hint="default"/>
                <w:spacing w:val="-1"/>
                <w:sz w:val="18"/>
                <w:szCs w:val="18"/>
              </w:rPr>
              <w:t>公司发展阶段不易区分但有重大资金支出安排的，进行利润分配时，现金分红在本次利润分配中所占比例最低应达到</w:t>
            </w:r>
            <w:r>
              <w:rPr>
                <w:rFonts w:ascii="宋体" w:hAnsi="宋体" w:cs="宋体" w:eastAsia="宋体" w:hint="default"/>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4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28"/>
              <w:ind w:left="24" w:right="14" w:firstLine="360"/>
              <w:jc w:val="both"/>
              <w:rPr>
                <w:rFonts w:ascii="宋体" w:hAnsi="宋体" w:cs="宋体" w:eastAsia="宋体" w:hint="default"/>
                <w:sz w:val="18"/>
                <w:szCs w:val="18"/>
              </w:rPr>
            </w:pPr>
            <w:r>
              <w:rPr>
                <w:rFonts w:ascii="宋体" w:hAnsi="宋体" w:cs="宋体" w:eastAsia="宋体" w:hint="default"/>
                <w:spacing w:val="-1"/>
                <w:sz w:val="18"/>
                <w:szCs w:val="18"/>
              </w:rPr>
              <w:t>经北京兴华会计师事务所（特殊普通合伙）审计，</w:t>
            </w:r>
            <w:r>
              <w:rPr>
                <w:rFonts w:ascii="宋体" w:hAnsi="宋体" w:cs="宋体" w:eastAsia="宋体" w:hint="default"/>
                <w:spacing w:val="-1"/>
                <w:sz w:val="18"/>
                <w:szCs w:val="18"/>
              </w:rPr>
              <w:t>2015</w:t>
            </w:r>
            <w:r>
              <w:rPr>
                <w:rFonts w:ascii="宋体" w:hAnsi="宋体" w:cs="宋体" w:eastAsia="宋体" w:hint="default"/>
                <w:spacing w:val="-1"/>
                <w:sz w:val="18"/>
                <w:szCs w:val="18"/>
              </w:rPr>
              <w:t>年度，母公司净利润为</w:t>
            </w:r>
            <w:r>
              <w:rPr>
                <w:rFonts w:ascii="宋体" w:hAnsi="宋体" w:cs="宋体" w:eastAsia="宋体" w:hint="default"/>
                <w:spacing w:val="-1"/>
                <w:sz w:val="18"/>
                <w:szCs w:val="18"/>
              </w:rPr>
              <w:t>932,330,349.25</w:t>
            </w:r>
            <w:r>
              <w:rPr>
                <w:rFonts w:ascii="宋体" w:hAnsi="宋体" w:cs="宋体" w:eastAsia="宋体" w:hint="default"/>
                <w:spacing w:val="-1"/>
                <w:sz w:val="18"/>
                <w:szCs w:val="18"/>
              </w:rPr>
              <w:t>元，提取法定盈余公积</w:t>
            </w:r>
            <w:r>
              <w:rPr>
                <w:rFonts w:ascii="宋体" w:hAnsi="宋体" w:cs="宋体" w:eastAsia="宋体" w:hint="default"/>
                <w:sz w:val="18"/>
                <w:szCs w:val="18"/>
              </w:rPr>
              <w:t> 金</w:t>
            </w:r>
            <w:r>
              <w:rPr>
                <w:rFonts w:ascii="宋体" w:hAnsi="宋体" w:cs="宋体" w:eastAsia="宋体" w:hint="default"/>
                <w:sz w:val="18"/>
                <w:szCs w:val="18"/>
              </w:rPr>
              <w:t>93,233,034.93</w:t>
            </w:r>
            <w:r>
              <w:rPr>
                <w:rFonts w:ascii="宋体" w:hAnsi="宋体" w:cs="宋体" w:eastAsia="宋体" w:hint="default"/>
                <w:sz w:val="18"/>
                <w:szCs w:val="18"/>
              </w:rPr>
              <w:t>元，加上年初未分配利润</w:t>
            </w:r>
            <w:r>
              <w:rPr>
                <w:rFonts w:ascii="宋体" w:hAnsi="宋体" w:cs="宋体" w:eastAsia="宋体" w:hint="default"/>
                <w:sz w:val="18"/>
                <w:szCs w:val="18"/>
              </w:rPr>
              <w:t>1,669,443,407.97</w:t>
            </w:r>
            <w:r>
              <w:rPr>
                <w:rFonts w:ascii="宋体" w:hAnsi="宋体" w:cs="宋体" w:eastAsia="宋体" w:hint="default"/>
                <w:sz w:val="18"/>
                <w:szCs w:val="18"/>
              </w:rPr>
              <w:t>元，减去</w:t>
            </w:r>
            <w:r>
              <w:rPr>
                <w:rFonts w:ascii="宋体" w:hAnsi="宋体" w:cs="宋体" w:eastAsia="宋体" w:hint="default"/>
                <w:sz w:val="18"/>
                <w:szCs w:val="18"/>
              </w:rPr>
              <w:t>2014</w:t>
            </w:r>
            <w:r>
              <w:rPr>
                <w:rFonts w:ascii="宋体" w:hAnsi="宋体" w:cs="宋体" w:eastAsia="宋体" w:hint="default"/>
                <w:sz w:val="18"/>
                <w:szCs w:val="18"/>
              </w:rPr>
              <w:t>年已分配现金股利</w:t>
            </w:r>
            <w:r>
              <w:rPr>
                <w:rFonts w:ascii="宋体" w:hAnsi="宋体" w:cs="宋体" w:eastAsia="宋体" w:hint="default"/>
                <w:sz w:val="18"/>
                <w:szCs w:val="18"/>
              </w:rPr>
              <w:t>229,118,219.22</w:t>
            </w:r>
            <w:r>
              <w:rPr>
                <w:rFonts w:ascii="宋体" w:hAnsi="宋体" w:cs="宋体" w:eastAsia="宋体" w:hint="default"/>
                <w:sz w:val="18"/>
                <w:szCs w:val="18"/>
              </w:rPr>
              <w:t>元，本年度</w:t>
            </w:r>
            <w:r>
              <w:rPr>
                <w:rFonts w:ascii="宋体" w:hAnsi="宋体" w:cs="宋体" w:eastAsia="宋体" w:hint="default"/>
                <w:spacing w:val="-49"/>
                <w:sz w:val="18"/>
                <w:szCs w:val="18"/>
              </w:rPr>
              <w:t> </w:t>
            </w:r>
            <w:r>
              <w:rPr>
                <w:rFonts w:ascii="宋体" w:hAnsi="宋体" w:cs="宋体" w:eastAsia="宋体" w:hint="default"/>
                <w:sz w:val="18"/>
                <w:szCs w:val="18"/>
              </w:rPr>
              <w:t>可供股东分配利润为</w:t>
            </w:r>
            <w:r>
              <w:rPr>
                <w:rFonts w:ascii="宋体" w:hAnsi="宋体" w:cs="宋体" w:eastAsia="宋体" w:hint="default"/>
                <w:sz w:val="18"/>
                <w:szCs w:val="18"/>
              </w:rPr>
              <w:t>2,279,422,503.07</w:t>
            </w:r>
            <w:r>
              <w:rPr>
                <w:rFonts w:ascii="宋体" w:hAnsi="宋体" w:cs="宋体" w:eastAsia="宋体" w:hint="default"/>
                <w:sz w:val="18"/>
                <w:szCs w:val="18"/>
              </w:rPr>
              <w:t>元。</w:t>
            </w:r>
          </w:p>
          <w:p>
            <w:pPr>
              <w:pStyle w:val="TableParagraph"/>
              <w:spacing w:line="316" w:lineRule="auto" w:before="139"/>
              <w:ind w:left="24" w:right="17" w:firstLine="360"/>
              <w:jc w:val="both"/>
              <w:rPr>
                <w:rFonts w:ascii="宋体" w:hAnsi="宋体" w:cs="宋体" w:eastAsia="宋体" w:hint="default"/>
                <w:sz w:val="18"/>
                <w:szCs w:val="18"/>
              </w:rPr>
            </w:pPr>
            <w:r>
              <w:rPr>
                <w:rFonts w:ascii="宋体" w:hAnsi="宋体" w:cs="宋体" w:eastAsia="宋体" w:hint="default"/>
                <w:spacing w:val="-1"/>
                <w:sz w:val="18"/>
                <w:szCs w:val="18"/>
              </w:rPr>
              <w:t>本年度进行利润分配，拟以公司权益分派登记日的公司股本为股份基数，向全体股东每</w:t>
            </w:r>
            <w:r>
              <w:rPr>
                <w:rFonts w:ascii="宋体" w:hAnsi="宋体" w:cs="宋体" w:eastAsia="宋体" w:hint="default"/>
                <w:spacing w:val="-1"/>
                <w:sz w:val="18"/>
                <w:szCs w:val="18"/>
              </w:rPr>
              <w:t>10</w:t>
            </w:r>
            <w:r>
              <w:rPr>
                <w:rFonts w:ascii="宋体" w:hAnsi="宋体" w:cs="宋体" w:eastAsia="宋体" w:hint="default"/>
                <w:spacing w:val="-1"/>
                <w:sz w:val="18"/>
                <w:szCs w:val="18"/>
              </w:rPr>
              <w:t>股派发现金红利</w:t>
            </w:r>
            <w:r>
              <w:rPr>
                <w:rFonts w:ascii="宋体" w:hAnsi="宋体" w:cs="宋体" w:eastAsia="宋体" w:hint="default"/>
                <w:spacing w:val="-1"/>
                <w:sz w:val="18"/>
                <w:szCs w:val="18"/>
              </w:rPr>
              <w:t>1.50</w:t>
            </w:r>
            <w:r>
              <w:rPr>
                <w:rFonts w:ascii="宋体" w:hAnsi="宋体" w:cs="宋体" w:eastAsia="宋体" w:hint="default"/>
                <w:spacing w:val="-1"/>
                <w:sz w:val="18"/>
                <w:szCs w:val="18"/>
              </w:rPr>
              <w:t>元（含</w:t>
            </w:r>
            <w:r>
              <w:rPr>
                <w:rFonts w:ascii="宋体" w:hAnsi="宋体" w:cs="宋体" w:eastAsia="宋体" w:hint="default"/>
                <w:sz w:val="18"/>
                <w:szCs w:val="18"/>
              </w:rPr>
              <w:t> </w:t>
            </w:r>
            <w:r>
              <w:rPr>
                <w:rFonts w:ascii="宋体" w:hAnsi="宋体" w:cs="宋体" w:eastAsia="宋体" w:hint="default"/>
                <w:spacing w:val="-1"/>
                <w:sz w:val="18"/>
                <w:szCs w:val="18"/>
              </w:rPr>
              <w:t>税）。经权益分派后，剩余未分配利润滚存至下一年度。本次利润分配预案，需提交公司</w:t>
            </w:r>
            <w:r>
              <w:rPr>
                <w:rFonts w:ascii="宋体" w:hAnsi="宋体" w:cs="宋体" w:eastAsia="宋体" w:hint="default"/>
                <w:spacing w:val="-1"/>
                <w:sz w:val="18"/>
                <w:szCs w:val="18"/>
              </w:rPr>
              <w:t>2015</w:t>
            </w:r>
            <w:r>
              <w:rPr>
                <w:rFonts w:ascii="宋体" w:hAnsi="宋体" w:cs="宋体" w:eastAsia="宋体" w:hint="default"/>
                <w:spacing w:val="-1"/>
                <w:sz w:val="18"/>
                <w:szCs w:val="18"/>
              </w:rPr>
              <w:t>年度股东大会审议，批准后</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实施。</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三、承诺事项履行情况</w:t>
      </w:r>
      <w:r>
        <w:rPr>
          <w:b w:val="0"/>
          <w:bCs w:val="0"/>
        </w:rPr>
      </w:r>
    </w:p>
    <w:p>
      <w:pPr>
        <w:spacing w:line="240" w:lineRule="auto" w:before="10"/>
        <w:rPr>
          <w:rFonts w:ascii="宋体" w:hAnsi="宋体" w:cs="宋体" w:eastAsia="宋体" w:hint="default"/>
          <w:b/>
          <w:bCs/>
          <w:sz w:val="30"/>
          <w:szCs w:val="30"/>
        </w:rPr>
      </w:pPr>
    </w:p>
    <w:p>
      <w:pPr>
        <w:pStyle w:val="Heading3"/>
        <w:spacing w:line="408" w:lineRule="auto"/>
        <w:ind w:right="153"/>
        <w:jc w:val="left"/>
        <w:rPr>
          <w:b w:val="0"/>
          <w:bCs w:val="0"/>
        </w:rPr>
      </w:pPr>
      <w:r>
        <w:rPr>
          <w:rFonts w:ascii="宋体" w:hAnsi="宋体" w:cs="宋体" w:eastAsia="宋体" w:hint="default"/>
        </w:rPr>
        <w:t>1</w:t>
      </w:r>
      <w:r>
        <w:rPr/>
        <w:t>、公司、股东、实际控制人、收购人、董事、监事、高级管理人员或其他关联方在报告期内履行完毕及</w:t>
      </w:r>
      <w:r>
        <w:rPr>
          <w:spacing w:val="-66"/>
        </w:rPr>
        <w:t> </w:t>
      </w:r>
      <w:r>
        <w:rPr>
          <w:spacing w:val="-66"/>
        </w:rPr>
      </w:r>
      <w:r>
        <w:rPr/>
        <w:t>截至报告期末尚未履行完毕的承诺事项</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right="153"/>
        <w:jc w:val="left"/>
      </w:pPr>
      <w:r>
        <w:rPr/>
        <w:pict>
          <v:shape style="position:absolute;margin-left:203.05101pt;margin-top:73.41172pt;width:44.8pt;height:54.6pt;mso-position-horizontal-relative:page;mso-position-vertical-relative:paragraph;z-index:-10600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吴勇、</w:t>
                  </w:r>
                </w:p>
              </w:txbxContent>
            </v:textbox>
            <w10:wrap type="none"/>
          </v:shape>
        </w:pict>
      </w: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4"/>
        <w:gridCol w:w="2269"/>
        <w:gridCol w:w="425"/>
        <w:gridCol w:w="3684"/>
        <w:gridCol w:w="569"/>
        <w:gridCol w:w="567"/>
        <w:gridCol w:w="919"/>
      </w:tblGrid>
      <w:tr>
        <w:trPr>
          <w:trHeight w:val="161"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0"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2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3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9"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26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 w:right="74"/>
              <w:jc w:val="left"/>
              <w:rPr>
                <w:rFonts w:ascii="宋体" w:hAnsi="宋体" w:cs="宋体" w:eastAsia="宋体" w:hint="default"/>
                <w:sz w:val="18"/>
                <w:szCs w:val="18"/>
              </w:rPr>
            </w:pPr>
            <w:r>
              <w:rPr>
                <w:rFonts w:ascii="宋体" w:hAnsi="宋体" w:cs="宋体" w:eastAsia="宋体" w:hint="default"/>
                <w:sz w:val="18"/>
                <w:szCs w:val="18"/>
              </w:rPr>
              <w:t>黄麟雏、侯丹军、侯丹云、 </w:t>
            </w:r>
            <w:r>
              <w:rPr>
                <w:rFonts w:ascii="宋体" w:hAnsi="宋体" w:cs="宋体" w:eastAsia="宋体" w:hint="default"/>
                <w:spacing w:val="-3"/>
                <w:sz w:val="18"/>
                <w:szCs w:val="18"/>
              </w:rPr>
              <w:t>程相利、李宇、白钢、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范学义、赫长云、姜永淑、 储著荣、汪汉文、李姝、付 琪舒、闫旭光、王静、秦友 奎、姜以波</w:t>
            </w:r>
          </w:p>
        </w:tc>
        <w:tc>
          <w:tcPr>
            <w:tcW w:w="425" w:type="dxa"/>
            <w:vMerge w:val="restart"/>
            <w:tcBorders>
              <w:top w:val="single" w:sz="4" w:space="0" w:color="000000"/>
              <w:left w:val="single" w:sz="4" w:space="0" w:color="000000"/>
              <w:right w:val="single" w:sz="4" w:space="0" w:color="000000"/>
            </w:tcBorders>
          </w:tcPr>
          <w:p>
            <w:pPr>
              <w:pStyle w:val="TableParagraph"/>
              <w:spacing w:line="1092" w:lineRule="exact"/>
              <w:ind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20.8pt;height:54.6pt;mso-position-horizontal-relative:char;mso-position-vertical-relative:line" coordorigin="0,0" coordsize="416,1092">
                  <v:group style="position:absolute;left:0;top:0;width:416;height:1092" coordorigin="0,0" coordsize="416,1092">
                    <v:shape style="position:absolute;left:0;top:0;width:416;height:1092" coordorigin="0,0" coordsize="416,1092" path="m0,1092l415,1092,415,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3684" w:type="dxa"/>
            <w:vMerge w:val="restart"/>
            <w:tcBorders>
              <w:top w:val="single" w:sz="4" w:space="0" w:color="000000"/>
              <w:left w:val="single" w:sz="4" w:space="0" w:color="000000"/>
              <w:right w:val="single" w:sz="10" w:space="0" w:color="FFFFFF"/>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）北京威锐达测控系统有限公司</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年实 现扣除非经常性损益后归属于母公司股东的净 利润不低于</w:t>
            </w:r>
            <w:r>
              <w:rPr>
                <w:rFonts w:ascii="宋体" w:hAnsi="宋体" w:cs="宋体" w:eastAsia="宋体" w:hint="default"/>
                <w:spacing w:val="-43"/>
                <w:sz w:val="18"/>
                <w:szCs w:val="18"/>
              </w:rPr>
              <w:t> </w:t>
            </w:r>
            <w:r>
              <w:rPr>
                <w:rFonts w:ascii="宋体" w:hAnsi="宋体" w:cs="宋体" w:eastAsia="宋体" w:hint="default"/>
                <w:spacing w:val="-1"/>
                <w:sz w:val="18"/>
                <w:szCs w:val="18"/>
              </w:rPr>
              <w:t>5,300</w:t>
            </w:r>
            <w:r>
              <w:rPr>
                <w:rFonts w:ascii="宋体" w:hAnsi="宋体" w:cs="宋体" w:eastAsia="宋体" w:hint="default"/>
                <w:spacing w:val="-41"/>
                <w:sz w:val="18"/>
                <w:szCs w:val="18"/>
              </w:rPr>
              <w:t> </w:t>
            </w:r>
            <w:r>
              <w:rPr>
                <w:rFonts w:ascii="宋体" w:hAnsi="宋体" w:cs="宋体" w:eastAsia="宋体" w:hint="default"/>
                <w:spacing w:val="-13"/>
                <w:sz w:val="18"/>
                <w:szCs w:val="18"/>
              </w:rPr>
              <w:t>万元，</w:t>
            </w:r>
            <w:r>
              <w:rPr>
                <w:rFonts w:ascii="宋体" w:hAnsi="宋体" w:cs="宋体" w:eastAsia="宋体" w:hint="default"/>
                <w:spacing w:val="-13"/>
                <w:sz w:val="18"/>
                <w:szCs w:val="18"/>
              </w:rPr>
              <w:t>2014</w:t>
            </w:r>
            <w:r>
              <w:rPr>
                <w:rFonts w:ascii="宋体" w:hAnsi="宋体" w:cs="宋体" w:eastAsia="宋体" w:hint="default"/>
                <w:spacing w:val="-44"/>
                <w:sz w:val="18"/>
                <w:szCs w:val="18"/>
              </w:rPr>
              <w:t> </w:t>
            </w:r>
            <w:r>
              <w:rPr>
                <w:rFonts w:ascii="宋体" w:hAnsi="宋体" w:cs="宋体" w:eastAsia="宋体" w:hint="default"/>
                <w:spacing w:val="-14"/>
                <w:sz w:val="18"/>
                <w:szCs w:val="18"/>
              </w:rPr>
              <w:t>年、</w:t>
            </w:r>
            <w:r>
              <w:rPr>
                <w:rFonts w:ascii="宋体" w:hAnsi="宋体" w:cs="宋体" w:eastAsia="宋体" w:hint="default"/>
                <w:spacing w:val="-14"/>
                <w:sz w:val="18"/>
                <w:szCs w:val="18"/>
              </w:rPr>
              <w:t>2015</w:t>
            </w:r>
            <w:r>
              <w:rPr>
                <w:rFonts w:ascii="宋体" w:hAnsi="宋体" w:cs="宋体" w:eastAsia="宋体" w:hint="default"/>
                <w:spacing w:val="-41"/>
                <w:sz w:val="18"/>
                <w:szCs w:val="18"/>
              </w:rPr>
              <w:t> </w:t>
            </w:r>
            <w:r>
              <w:rPr>
                <w:rFonts w:ascii="宋体" w:hAnsi="宋体" w:cs="宋体" w:eastAsia="宋体" w:hint="default"/>
                <w:spacing w:val="-14"/>
                <w:sz w:val="18"/>
                <w:szCs w:val="18"/>
              </w:rPr>
              <w:t>年、</w:t>
            </w:r>
            <w:r>
              <w:rPr>
                <w:rFonts w:ascii="宋体" w:hAnsi="宋体" w:cs="宋体" w:eastAsia="宋体" w:hint="default"/>
                <w:spacing w:val="-14"/>
                <w:sz w:val="18"/>
                <w:szCs w:val="18"/>
              </w:rPr>
              <w:t>2016</w:t>
            </w:r>
            <w:r>
              <w:rPr>
                <w:rFonts w:ascii="宋体" w:hAnsi="宋体" w:cs="宋体" w:eastAsia="宋体" w:hint="default"/>
                <w:sz w:val="18"/>
                <w:szCs w:val="18"/>
              </w:rPr>
              <w:t> </w:t>
            </w:r>
            <w:r>
              <w:rPr>
                <w:rFonts w:ascii="宋体" w:hAnsi="宋体" w:cs="宋体" w:eastAsia="宋体" w:hint="default"/>
                <w:sz w:val="18"/>
                <w:szCs w:val="18"/>
              </w:rPr>
              <w:t>年实现扣除非经常性损益后归属于母公司股东 的净利润分别不低于</w:t>
            </w:r>
            <w:r>
              <w:rPr>
                <w:rFonts w:ascii="宋体" w:hAnsi="宋体" w:cs="宋体" w:eastAsia="宋体" w:hint="default"/>
                <w:spacing w:val="-44"/>
                <w:sz w:val="18"/>
                <w:szCs w:val="18"/>
              </w:rPr>
              <w:t> </w:t>
            </w:r>
            <w:r>
              <w:rPr>
                <w:rFonts w:ascii="宋体" w:hAnsi="宋体" w:cs="宋体" w:eastAsia="宋体" w:hint="default"/>
                <w:sz w:val="18"/>
                <w:szCs w:val="18"/>
              </w:rPr>
              <w:t>6,360</w:t>
            </w:r>
            <w:r>
              <w:rPr>
                <w:rFonts w:ascii="宋体" w:hAnsi="宋体" w:cs="宋体" w:eastAsia="宋体" w:hint="default"/>
                <w:spacing w:val="-43"/>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7,632</w:t>
            </w:r>
            <w:r>
              <w:rPr>
                <w:rFonts w:ascii="宋体" w:hAnsi="宋体" w:cs="宋体" w:eastAsia="宋体" w:hint="default"/>
                <w:spacing w:val="-43"/>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8,777</w:t>
            </w:r>
            <w:r>
              <w:rPr>
                <w:rFonts w:ascii="宋体" w:hAnsi="宋体" w:cs="宋体" w:eastAsia="宋体" w:hint="default"/>
                <w:spacing w:val="-38"/>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2</w:t>
            </w:r>
            <w:r>
              <w:rPr>
                <w:rFonts w:ascii="宋体" w:hAnsi="宋体" w:cs="宋体" w:eastAsia="宋体" w:hint="default"/>
                <w:spacing w:val="-6"/>
                <w:sz w:val="18"/>
                <w:szCs w:val="18"/>
              </w:rPr>
              <w:t>）本次交易获得的股份自上市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之日起三十六个月内不得转让；（</w:t>
            </w:r>
            <w:r>
              <w:rPr>
                <w:rFonts w:ascii="宋体" w:hAnsi="宋体" w:cs="宋体" w:eastAsia="宋体" w:hint="default"/>
                <w:spacing w:val="-5"/>
                <w:sz w:val="18"/>
                <w:szCs w:val="18"/>
              </w:rPr>
              <w:t>3</w:t>
            </w:r>
            <w:r>
              <w:rPr>
                <w:rFonts w:ascii="宋体" w:hAnsi="宋体" w:cs="宋体" w:eastAsia="宋体" w:hint="default"/>
                <w:spacing w:val="-5"/>
                <w:sz w:val="18"/>
                <w:szCs w:val="18"/>
              </w:rPr>
              <w:t>）避免同业</w:t>
            </w:r>
            <w:r>
              <w:rPr>
                <w:rFonts w:ascii="宋体" w:hAnsi="宋体" w:cs="宋体" w:eastAsia="宋体" w:hint="default"/>
                <w:spacing w:val="-73"/>
                <w:sz w:val="18"/>
                <w:szCs w:val="18"/>
              </w:rPr>
              <w:t> </w:t>
            </w:r>
            <w:r>
              <w:rPr>
                <w:rFonts w:ascii="宋体" w:hAnsi="宋体" w:cs="宋体" w:eastAsia="宋体" w:hint="default"/>
                <w:sz w:val="18"/>
                <w:szCs w:val="18"/>
              </w:rPr>
              <w:t>竞争的承诺</w:t>
            </w:r>
          </w:p>
        </w:tc>
        <w:tc>
          <w:tcPr>
            <w:tcW w:w="569" w:type="dxa"/>
            <w:vMerge w:val="restart"/>
            <w:tcBorders>
              <w:top w:val="single" w:sz="4" w:space="0" w:color="000000"/>
              <w:left w:val="single" w:sz="1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07</w:t>
            </w:r>
          </w:p>
          <w:p>
            <w:pPr>
              <w:pStyle w:val="TableParagraph"/>
              <w:spacing w:line="316" w:lineRule="auto" w:before="76"/>
              <w:ind w:left="19" w:right="122" w:hanging="108"/>
              <w:jc w:val="left"/>
              <w:rPr>
                <w:rFonts w:ascii="宋体" w:hAnsi="宋体" w:cs="宋体" w:eastAsia="宋体" w:hint="default"/>
                <w:sz w:val="18"/>
                <w:szCs w:val="18"/>
              </w:rPr>
            </w:pPr>
            <w:r>
              <w:rPr>
                <w:rFonts w:ascii="宋体" w:hAnsi="宋体" w:cs="宋体" w:eastAsia="宋体" w:hint="default"/>
                <w:spacing w:val="-36"/>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2" w:lineRule="exact"/>
              <w:ind w:left="13"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25.45pt;height:15.6pt;mso-position-horizontal-relative:char;mso-position-vertical-relative:line" coordorigin="0,0" coordsize="509,312">
                  <v:group style="position:absolute;left:0;top:0;width:509;height:312" coordorigin="0,0" coordsize="509,312">
                    <v:shape style="position:absolute;left:0;top:0;width:509;height:312" coordorigin="0,0" coordsize="509,312" path="m0,312l509,312,50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3"/>
              <w:ind w:right="0"/>
              <w:jc w:val="left"/>
              <w:rPr>
                <w:rFonts w:ascii="宋体" w:hAnsi="宋体" w:cs="宋体" w:eastAsia="宋体" w:hint="default"/>
                <w:sz w:val="24"/>
                <w:szCs w:val="24"/>
              </w:rPr>
            </w:pP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sz w:val="18"/>
              </w:rPr>
              <w:t>2017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7</w:t>
            </w:r>
            <w:r>
              <w:rPr>
                <w:rFonts w:ascii="宋体" w:hAnsi="宋体" w:cs="宋体" w:eastAsia="宋体" w:hint="default"/>
                <w:spacing w:val="-58"/>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5"/>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665" w:hRule="exact"/>
        </w:trPr>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2"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2269" w:type="dxa"/>
            <w:vMerge/>
            <w:tcBorders>
              <w:left w:val="single" w:sz="10"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10" w:space="0" w:color="FFFFFF"/>
            </w:tcBorders>
          </w:tcPr>
          <w:p>
            <w:pPr/>
          </w:p>
        </w:tc>
        <w:tc>
          <w:tcPr>
            <w:tcW w:w="569" w:type="dxa"/>
            <w:vMerge/>
            <w:tcBorders>
              <w:left w:val="single" w:sz="14" w:space="0" w:color="FFFFFF"/>
              <w:bottom w:val="nil" w:sz="6" w:space="0" w:color="auto"/>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663"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2269"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章云芳、刘玉龙、苏美娴、 杨铭、李旭东、红塔创新投 资股份有限公司、深圳市招 商局科技投资有限公司、深 圳市光启松禾超材料创业投 </w:t>
            </w:r>
            <w:r>
              <w:rPr>
                <w:rFonts w:ascii="宋体" w:hAnsi="宋体" w:cs="宋体" w:eastAsia="宋体" w:hint="default"/>
                <w:spacing w:val="-11"/>
                <w:sz w:val="18"/>
                <w:szCs w:val="18"/>
              </w:rPr>
              <w:t>资合伙企业（有限合伙）、新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疆锦尚睦合股权投资有限合 伙企业</w:t>
            </w:r>
          </w:p>
        </w:tc>
        <w:tc>
          <w:tcPr>
            <w:tcW w:w="425" w:type="dxa"/>
            <w:vMerge w:val="restart"/>
            <w:tcBorders>
              <w:top w:val="single" w:sz="4" w:space="0" w:color="000000"/>
              <w:left w:val="single" w:sz="4" w:space="0" w:color="000000"/>
              <w:right w:val="single" w:sz="4" w:space="0" w:color="000000"/>
            </w:tcBorders>
          </w:tcPr>
          <w:p>
            <w:pPr/>
          </w:p>
        </w:tc>
        <w:tc>
          <w:tcPr>
            <w:tcW w:w="3684" w:type="dxa"/>
            <w:vMerge w:val="restart"/>
            <w:tcBorders>
              <w:top w:val="single" w:sz="4" w:space="0" w:color="000000"/>
              <w:left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）业绩承诺方（章云芳、刘玉龙、杨铭、苏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美娴）承诺标的资产</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z w:val="18"/>
                <w:szCs w:val="18"/>
              </w:rPr>
              <w:t>2016 2017</w:t>
            </w:r>
            <w:r>
              <w:rPr>
                <w:rFonts w:ascii="宋体" w:hAnsi="宋体" w:cs="宋体" w:eastAsia="宋体" w:hint="default"/>
                <w:spacing w:val="-63"/>
                <w:sz w:val="18"/>
                <w:szCs w:val="18"/>
              </w:rPr>
              <w:t> </w:t>
            </w:r>
            <w:r>
              <w:rPr>
                <w:rFonts w:ascii="宋体" w:hAnsi="宋体" w:cs="宋体" w:eastAsia="宋体" w:hint="default"/>
                <w:sz w:val="18"/>
                <w:szCs w:val="18"/>
              </w:rPr>
              <w:t>年实现扣除非经常性损益后归属于母公司</w:t>
            </w:r>
          </w:p>
          <w:p>
            <w:pPr>
              <w:pStyle w:val="TableParagraph"/>
              <w:spacing w:line="316" w:lineRule="auto" w:before="19"/>
              <w:ind w:left="24" w:right="10"/>
              <w:jc w:val="left"/>
              <w:rPr>
                <w:rFonts w:ascii="宋体" w:hAnsi="宋体" w:cs="宋体" w:eastAsia="宋体" w:hint="default"/>
                <w:sz w:val="18"/>
                <w:szCs w:val="18"/>
              </w:rPr>
            </w:pPr>
            <w:r>
              <w:rPr>
                <w:rFonts w:ascii="宋体" w:hAnsi="宋体" w:cs="宋体" w:eastAsia="宋体" w:hint="default"/>
                <w:sz w:val="18"/>
                <w:szCs w:val="18"/>
              </w:rPr>
              <w:t>股东的净利润分别不低于</w:t>
            </w:r>
            <w:r>
              <w:rPr>
                <w:rFonts w:ascii="宋体" w:hAnsi="宋体" w:cs="宋体" w:eastAsia="宋体" w:hint="default"/>
                <w:spacing w:val="-45"/>
                <w:sz w:val="18"/>
                <w:szCs w:val="18"/>
              </w:rPr>
              <w:t> </w:t>
            </w:r>
            <w:r>
              <w:rPr>
                <w:rFonts w:ascii="宋体" w:hAnsi="宋体" w:cs="宋体" w:eastAsia="宋体" w:hint="default"/>
                <w:sz w:val="18"/>
                <w:szCs w:val="18"/>
              </w:rPr>
              <w:t>6,840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8,438 </w:t>
            </w:r>
            <w:r>
              <w:rPr>
                <w:rFonts w:ascii="宋体" w:hAnsi="宋体" w:cs="宋体" w:eastAsia="宋体" w:hint="default"/>
                <w:spacing w:val="-3"/>
                <w:sz w:val="18"/>
                <w:szCs w:val="18"/>
              </w:rPr>
              <w:t>万元、</w:t>
            </w:r>
            <w:r>
              <w:rPr>
                <w:rFonts w:ascii="宋体" w:hAnsi="宋体" w:cs="宋体" w:eastAsia="宋体" w:hint="default"/>
                <w:spacing w:val="-3"/>
                <w:sz w:val="18"/>
                <w:szCs w:val="18"/>
              </w:rPr>
              <w:t>10,544</w:t>
            </w:r>
            <w:r>
              <w:rPr>
                <w:rFonts w:ascii="宋体" w:hAnsi="宋体" w:cs="宋体" w:eastAsia="宋体" w:hint="default"/>
                <w:spacing w:val="-36"/>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12,653</w:t>
            </w:r>
            <w:r>
              <w:rPr>
                <w:rFonts w:ascii="宋体" w:hAnsi="宋体" w:cs="宋体" w:eastAsia="宋体" w:hint="default"/>
                <w:spacing w:val="-36"/>
                <w:sz w:val="18"/>
                <w:szCs w:val="18"/>
              </w:rPr>
              <w:t> </w:t>
            </w:r>
            <w:r>
              <w:rPr>
                <w:rFonts w:ascii="宋体" w:hAnsi="宋体" w:cs="宋体" w:eastAsia="宋体" w:hint="default"/>
                <w:spacing w:val="-14"/>
                <w:sz w:val="18"/>
                <w:szCs w:val="18"/>
              </w:rPr>
              <w:t>万元；（</w:t>
            </w:r>
            <w:r>
              <w:rPr>
                <w:rFonts w:ascii="宋体" w:hAnsi="宋体" w:cs="宋体" w:eastAsia="宋体" w:hint="default"/>
                <w:spacing w:val="-14"/>
                <w:sz w:val="18"/>
                <w:szCs w:val="18"/>
              </w:rPr>
              <w:t>2</w:t>
            </w:r>
            <w:r>
              <w:rPr>
                <w:rFonts w:ascii="宋体" w:hAnsi="宋体" w:cs="宋体" w:eastAsia="宋体" w:hint="default"/>
                <w:spacing w:val="-14"/>
                <w:sz w:val="18"/>
                <w:szCs w:val="18"/>
              </w:rPr>
              <w:t>）本次交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易获得的股份自上市之日起三十六个月内不得 </w:t>
            </w:r>
            <w:r>
              <w:rPr>
                <w:rFonts w:ascii="宋体" w:hAnsi="宋体" w:cs="宋体" w:eastAsia="宋体" w:hint="default"/>
                <w:spacing w:val="-7"/>
                <w:sz w:val="18"/>
                <w:szCs w:val="18"/>
              </w:rPr>
              <w:t>转让；（</w:t>
            </w:r>
            <w:r>
              <w:rPr>
                <w:rFonts w:ascii="宋体" w:hAnsi="宋体" w:cs="宋体" w:eastAsia="宋体" w:hint="default"/>
                <w:spacing w:val="-7"/>
                <w:sz w:val="18"/>
                <w:szCs w:val="18"/>
              </w:rPr>
              <w:t>3</w:t>
            </w:r>
            <w:r>
              <w:rPr>
                <w:rFonts w:ascii="宋体" w:hAnsi="宋体" w:cs="宋体" w:eastAsia="宋体" w:hint="default"/>
                <w:spacing w:val="-7"/>
                <w:sz w:val="18"/>
                <w:szCs w:val="18"/>
              </w:rPr>
              <w:t>）避免同业竞争的承诺</w:t>
            </w:r>
          </w:p>
        </w:tc>
        <w:tc>
          <w:tcPr>
            <w:tcW w:w="569"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9"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07</w:t>
            </w:r>
          </w:p>
          <w:p>
            <w:pPr>
              <w:pStyle w:val="TableParagraph"/>
              <w:spacing w:line="316" w:lineRule="auto" w:before="74"/>
              <w:ind w:left="19"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sz w:val="18"/>
              </w:rPr>
              <w:t>2018</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7</w:t>
            </w:r>
            <w:r>
              <w:rPr>
                <w:rFonts w:ascii="宋体" w:hAnsi="宋体" w:cs="宋体" w:eastAsia="宋体" w:hint="default"/>
                <w:spacing w:val="-58"/>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5"/>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1922"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9" w:type="dxa"/>
            <w:vMerge/>
            <w:tcBorders>
              <w:left w:val="single" w:sz="10"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10" w:space="0" w:color="FFFFFF"/>
            </w:tcBorders>
          </w:tcPr>
          <w:p>
            <w:pPr/>
          </w:p>
        </w:tc>
        <w:tc>
          <w:tcPr>
            <w:tcW w:w="569" w:type="dxa"/>
            <w:vMerge/>
            <w:tcBorders>
              <w:left w:val="single" w:sz="10" w:space="0" w:color="FFFFFF"/>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3684"/>
        <w:gridCol w:w="569"/>
        <w:gridCol w:w="567"/>
        <w:gridCol w:w="919"/>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22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薛向东、北京东华诚信电脑 科技发展有限公司、北京东 华诚信工业设备有限公司、 北京合创电商投资顾问有限 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不竞争承诺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2005</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p>
          <w:p>
            <w:pPr>
              <w:pStyle w:val="TableParagraph"/>
              <w:spacing w:line="316" w:lineRule="auto" w:before="76"/>
              <w:ind w:left="26"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5"/>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164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薛向东、北京东华诚信电脑 科技发展有限公司、北京东 华诚信工业设备有限公司、 北京合创电商投资顾问有限 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p>
          <w:p>
            <w:pPr>
              <w:pStyle w:val="TableParagraph"/>
              <w:spacing w:line="316" w:lineRule="auto" w:before="76"/>
              <w:ind w:left="26"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71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22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8"/>
              <w:jc w:val="both"/>
              <w:rPr>
                <w:rFonts w:ascii="宋体" w:hAnsi="宋体" w:cs="宋体" w:eastAsia="宋体" w:hint="default"/>
                <w:sz w:val="18"/>
                <w:szCs w:val="18"/>
              </w:rPr>
            </w:pPr>
            <w:r>
              <w:rPr>
                <w:rFonts w:ascii="宋体" w:hAnsi="宋体" w:cs="宋体" w:eastAsia="宋体" w:hint="default"/>
                <w:sz w:val="18"/>
                <w:szCs w:val="18"/>
              </w:rPr>
              <w:t>公司在使用部分闲置募集资金暂时补充流动资 金，承诺在使用闲置资金暂时补充流动资金期 间不进行风险投资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316" w:lineRule="auto" w:before="76"/>
              <w:ind w:left="26"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8</w:t>
            </w:r>
            <w:r>
              <w:rPr>
                <w:rFonts w:ascii="宋体" w:hAnsi="宋体" w:cs="宋体" w:eastAsia="宋体" w:hint="default"/>
                <w:spacing w:val="-58"/>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165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薛向东、北京东华诚信电脑 科技发展有限公司、北京东 华诚信工业设备有限公司、 北京合创电商投资顾问有限 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公司控股股东及实际控制人计划自公司股票复 牌起三个月内，通过证券公司、基金管理公司 定向资产管理等方式累计增持公司股份不低于 人民币 </w:t>
            </w:r>
            <w:r>
              <w:rPr>
                <w:rFonts w:ascii="宋体" w:hAnsi="宋体" w:cs="宋体" w:eastAsia="宋体" w:hint="default"/>
                <w:sz w:val="18"/>
                <w:szCs w:val="18"/>
              </w:rPr>
              <w:t>1.5</w:t>
            </w:r>
            <w:r>
              <w:rPr>
                <w:rFonts w:ascii="宋体" w:hAnsi="宋体" w:cs="宋体" w:eastAsia="宋体" w:hint="default"/>
                <w:spacing w:val="10"/>
                <w:sz w:val="18"/>
                <w:szCs w:val="18"/>
              </w:rPr>
              <w:t> </w:t>
            </w:r>
            <w:r>
              <w:rPr>
                <w:rFonts w:ascii="宋体" w:hAnsi="宋体" w:cs="宋体" w:eastAsia="宋体" w:hint="default"/>
                <w:spacing w:val="-5"/>
                <w:sz w:val="18"/>
                <w:szCs w:val="18"/>
              </w:rPr>
              <w:t>亿元，通过上述方式购买的公司股</w:t>
            </w:r>
            <w:r>
              <w:rPr>
                <w:rFonts w:ascii="宋体" w:hAnsi="宋体" w:cs="宋体" w:eastAsia="宋体" w:hint="default"/>
                <w:sz w:val="18"/>
                <w:szCs w:val="18"/>
              </w:rPr>
              <w:t> 票在六个月内不进行减持。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2015</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316" w:lineRule="auto" w:before="76"/>
              <w:ind w:left="26"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2016</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5"/>
              <w:jc w:val="left"/>
              <w:rPr>
                <w:rFonts w:ascii="宋体" w:hAnsi="宋体" w:cs="宋体" w:eastAsia="宋体" w:hint="default"/>
                <w:sz w:val="18"/>
                <w:szCs w:val="18"/>
              </w:rPr>
            </w:pPr>
            <w:r>
              <w:rPr>
                <w:rFonts w:ascii="宋体" w:hAnsi="宋体" w:cs="宋体" w:eastAsia="宋体" w:hint="default"/>
                <w:sz w:val="18"/>
                <w:szCs w:val="18"/>
              </w:rPr>
              <w:t>报告期内， 承诺人履 行了承诺。</w:t>
            </w:r>
          </w:p>
        </w:tc>
      </w:tr>
      <w:tr>
        <w:trPr>
          <w:trHeight w:val="71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73" w:lineRule="auto" w:before="36"/>
        <w:ind w:right="153"/>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5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850"/>
        <w:gridCol w:w="1135"/>
        <w:gridCol w:w="1133"/>
        <w:gridCol w:w="1277"/>
        <w:gridCol w:w="850"/>
        <w:gridCol w:w="2194"/>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9" w:right="58"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5" w:right="108"/>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10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6" w:right="8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51" w:right="59"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27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61"/>
              <w:jc w:val="both"/>
              <w:rPr>
                <w:rFonts w:ascii="宋体" w:hAnsi="宋体" w:cs="宋体" w:eastAsia="宋体" w:hint="default"/>
                <w:sz w:val="18"/>
                <w:szCs w:val="18"/>
              </w:rPr>
            </w:pPr>
            <w:r>
              <w:rPr>
                <w:rFonts w:ascii="宋体" w:hAnsi="宋体" w:cs="宋体" w:eastAsia="宋体" w:hint="default"/>
                <w:sz w:val="18"/>
                <w:szCs w:val="18"/>
              </w:rPr>
              <w:t>北京威锐达测 控系统有限公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7,632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7,660.53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16"/>
                <w:sz w:val="18"/>
                <w:szCs w:val="18"/>
              </w:rPr>
              <w:t>刊登在中国证券报》、《证券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日报》、《证券时报》及巨潮</w:t>
            </w:r>
            <w:r>
              <w:rPr>
                <w:rFonts w:ascii="宋体" w:hAnsi="宋体" w:cs="宋体" w:eastAsia="宋体" w:hint="default"/>
                <w:sz w:val="18"/>
                <w:szCs w:val="18"/>
              </w:rPr>
              <w:t> 资讯网</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r>
              <w:rPr>
                <w:rFonts w:ascii="宋体" w:hAnsi="宋体" w:cs="宋体" w:eastAsia="宋体" w:hint="default"/>
                <w:sz w:val="18"/>
                <w:szCs w:val="18"/>
              </w:rPr>
              <w:t>）上 </w:t>
            </w:r>
            <w:r>
              <w:rPr>
                <w:rFonts w:ascii="宋体" w:hAnsi="宋体" w:cs="宋体" w:eastAsia="宋体" w:hint="default"/>
                <w:spacing w:val="-2"/>
                <w:sz w:val="18"/>
                <w:szCs w:val="18"/>
              </w:rPr>
              <w:t>的《东华软件股份公司关于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发行股份购买资金相关方 承诺事项的公告》</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61"/>
              <w:jc w:val="left"/>
              <w:rPr>
                <w:rFonts w:ascii="宋体" w:hAnsi="宋体" w:cs="宋体" w:eastAsia="宋体" w:hint="default"/>
                <w:sz w:val="18"/>
                <w:szCs w:val="18"/>
              </w:rPr>
            </w:pPr>
            <w:r>
              <w:rPr>
                <w:rFonts w:ascii="宋体" w:hAnsi="宋体" w:cs="宋体" w:eastAsia="宋体" w:hint="default"/>
                <w:sz w:val="18"/>
                <w:szCs w:val="18"/>
              </w:rPr>
              <w:t>深圳市至高通 信技术发展有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8,438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8,896.09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07</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2"/>
              <w:jc w:val="left"/>
              <w:rPr>
                <w:rFonts w:ascii="宋体" w:hAnsi="宋体" w:cs="宋体" w:eastAsia="宋体" w:hint="default"/>
                <w:sz w:val="18"/>
                <w:szCs w:val="18"/>
              </w:rPr>
            </w:pPr>
            <w:r>
              <w:rPr>
                <w:rFonts w:ascii="宋体" w:hAnsi="宋体" w:cs="宋体" w:eastAsia="宋体" w:hint="default"/>
                <w:sz w:val="18"/>
                <w:szCs w:val="18"/>
              </w:rPr>
              <w:t>刊登在中国证券报</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《证券</w:t>
            </w:r>
            <w:r>
              <w:rPr>
                <w:rFonts w:ascii="宋体" w:hAnsi="宋体" w:cs="宋体" w:eastAsia="宋体" w:hint="default"/>
                <w:sz w:val="18"/>
                <w:szCs w:val="18"/>
              </w:rPr>
              <w:t> 日报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13"/>
                <w:sz w:val="18"/>
                <w:szCs w:val="18"/>
              </w:rPr>
              <w:t>》</w:t>
            </w:r>
            <w:r>
              <w:rPr>
                <w:rFonts w:ascii="宋体" w:hAnsi="宋体" w:cs="宋体" w:eastAsia="宋体" w:hint="default"/>
                <w:sz w:val="18"/>
                <w:szCs w:val="18"/>
              </w:rPr>
              <w:t>及巨潮</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850"/>
        <w:gridCol w:w="1135"/>
        <w:gridCol w:w="1133"/>
        <w:gridCol w:w="1277"/>
        <w:gridCol w:w="850"/>
        <w:gridCol w:w="2194"/>
      </w:tblGrid>
      <w:tr>
        <w:trPr>
          <w:trHeight w:val="16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316" w:lineRule="auto" w:before="77"/>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r>
              <w:rPr>
                <w:rFonts w:ascii="宋体" w:hAnsi="宋体" w:cs="宋体" w:eastAsia="宋体" w:hint="default"/>
                <w:sz w:val="18"/>
                <w:szCs w:val="18"/>
              </w:rPr>
              <w:t>）上 </w:t>
            </w:r>
            <w:r>
              <w:rPr>
                <w:rFonts w:ascii="宋体" w:hAnsi="宋体" w:cs="宋体" w:eastAsia="宋体" w:hint="default"/>
                <w:spacing w:val="-2"/>
                <w:sz w:val="18"/>
                <w:szCs w:val="18"/>
              </w:rPr>
              <w:t>的《东华软件股份公司关于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发行股份购买资金相关方 承诺事项的公告》</w:t>
            </w:r>
          </w:p>
        </w:tc>
      </w:tr>
    </w:tbl>
    <w:p>
      <w:pPr>
        <w:pStyle w:val="BodyText"/>
        <w:spacing w:line="240" w:lineRule="auto" w:before="49"/>
        <w:ind w:right="153"/>
        <w:jc w:val="left"/>
      </w:pPr>
      <w:r>
        <w:rPr/>
        <w:t>公司股东、交易对手方在报告年度经营业绩做出的承诺情况</w:t>
      </w:r>
    </w:p>
    <w:p>
      <w:pPr>
        <w:pStyle w:val="BodyText"/>
        <w:spacing w:line="360" w:lineRule="auto" w:before="115"/>
        <w:ind w:right="1134"/>
        <w:jc w:val="left"/>
      </w:pPr>
      <w:r>
        <w:rPr/>
        <w:t>√ 适用 □</w:t>
      </w:r>
      <w:r>
        <w:rPr>
          <w:spacing w:val="3"/>
        </w:rPr>
        <w:t> </w:t>
      </w:r>
      <w:r>
        <w:rPr/>
        <w:t>不适用</w:t>
      </w:r>
      <w:r>
        <w:rPr/>
        <w:t> 上述两项交易的交易对手方对相关资产在</w:t>
      </w:r>
      <w:r>
        <w:rPr>
          <w:rFonts w:ascii="宋体" w:hAnsi="宋体" w:cs="宋体" w:eastAsia="宋体" w:hint="default"/>
        </w:rPr>
        <w:t>2015</w:t>
      </w:r>
      <w:r>
        <w:rPr/>
        <w:t>年度的经营业绩所作承诺详见本节“三、承诺事项履行情况”。</w:t>
      </w:r>
    </w:p>
    <w:p>
      <w:pPr>
        <w:spacing w:line="240" w:lineRule="auto" w:before="5"/>
        <w:rPr>
          <w:rFonts w:ascii="宋体" w:hAnsi="宋体" w:cs="宋体" w:eastAsia="宋体" w:hint="default"/>
          <w:sz w:val="18"/>
          <w:szCs w:val="18"/>
        </w:rPr>
      </w:pPr>
    </w:p>
    <w:p>
      <w:pPr>
        <w:pStyle w:val="Heading2"/>
        <w:spacing w:line="240" w:lineRule="auto"/>
        <w:ind w:right="15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014"/>
        <w:jc w:val="left"/>
      </w:pPr>
      <w:r>
        <w:rPr/>
        <w:t>□ 适用 √</w:t>
      </w:r>
      <w:r>
        <w:rPr>
          <w:spacing w:val="3"/>
        </w:rPr>
        <w:t> </w:t>
      </w:r>
      <w:r>
        <w:rPr/>
        <w:t>不适用</w:t>
      </w:r>
      <w:r>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13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734"/>
        <w:jc w:val="left"/>
      </w:pPr>
      <w:r>
        <w:rPr/>
        <w:t>□ 适用 √</w:t>
      </w:r>
      <w:r>
        <w:rPr>
          <w:spacing w:val="3"/>
        </w:rPr>
        <w:t> </w:t>
      </w:r>
      <w:r>
        <w:rPr/>
        <w:t>不适用</w:t>
      </w:r>
      <w:r>
        <w:rPr/>
        <w:t> 公司报告期无会计政策、会计估计和核算方法发生变化的情况。</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634"/>
        <w:jc w:val="left"/>
      </w:pPr>
      <w:r>
        <w:rPr/>
        <w:t>□ 适用 √</w:t>
      </w:r>
      <w:r>
        <w:rPr>
          <w:spacing w:val="3"/>
        </w:rPr>
        <w:t> </w:t>
      </w:r>
      <w:r>
        <w:rPr/>
        <w:t>不适用</w:t>
      </w:r>
      <w:r>
        <w:rPr/>
        <w:t> 公司报告期无重大会计差错更正需追溯重述的情况。</w:t>
      </w:r>
    </w:p>
    <w:p>
      <w:pPr>
        <w:spacing w:line="240" w:lineRule="auto" w:before="2"/>
        <w:rPr>
          <w:rFonts w:ascii="宋体" w:hAnsi="宋体" w:cs="宋体" w:eastAsia="宋体" w:hint="default"/>
          <w:sz w:val="18"/>
          <w:szCs w:val="18"/>
        </w:rPr>
      </w:pPr>
    </w:p>
    <w:p>
      <w:pPr>
        <w:pStyle w:val="Heading2"/>
        <w:spacing w:line="240" w:lineRule="auto"/>
        <w:ind w:right="1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49"/>
        <w:jc w:val="left"/>
      </w:pPr>
      <w:r>
        <w:rPr/>
        <w:t>√ 适用 □</w:t>
      </w:r>
      <w:r>
        <w:rPr>
          <w:spacing w:val="3"/>
        </w:rPr>
        <w:t> </w:t>
      </w:r>
      <w:r>
        <w:rPr/>
        <w:t>不适用</w:t>
      </w:r>
      <w:r>
        <w:rPr/>
        <w:t> </w:t>
      </w:r>
      <w:r>
        <w:rPr>
          <w:spacing w:val="-2"/>
        </w:rPr>
        <w:t>参见“第四节管理层讨论与分析”中的“二、主营业务与分析”中的“2、收入与成本”中的“（</w:t>
      </w:r>
      <w:r>
        <w:rPr>
          <w:rFonts w:ascii="宋体" w:hAnsi="宋体" w:cs="宋体" w:eastAsia="宋体" w:hint="default"/>
          <w:spacing w:val="-2"/>
        </w:rPr>
        <w:t>6</w:t>
      </w:r>
      <w:r>
        <w:rPr>
          <w:spacing w:val="-2"/>
        </w:rPr>
        <w:t>）报告期内合并范围是否</w:t>
      </w:r>
      <w:r>
        <w:rPr>
          <w:spacing w:val="-65"/>
        </w:rPr>
        <w:t> </w:t>
      </w:r>
      <w:r>
        <w:rPr>
          <w:spacing w:val="-65"/>
        </w:rPr>
      </w:r>
      <w:r>
        <w:rPr/>
        <w:t>发生变动”相关内容。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sz w:val="18"/>
              </w:rPr>
              <w:t>15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胡毅、叶立萍</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当期是否改聘会计师事务所</w:t>
      </w:r>
    </w:p>
    <w:p>
      <w:pPr>
        <w:pStyle w:val="BodyText"/>
        <w:spacing w:line="357" w:lineRule="auto" w:before="117"/>
        <w:ind w:right="5274"/>
        <w:jc w:val="left"/>
      </w:pPr>
      <w:r>
        <w:rPr/>
        <w:t>□ 是 √</w:t>
      </w:r>
      <w:r>
        <w:rPr>
          <w:spacing w:val="3"/>
        </w:rPr>
        <w:t> </w:t>
      </w:r>
      <w:r>
        <w:rPr/>
        <w:t>否</w:t>
      </w:r>
      <w:r>
        <w:rPr/>
        <w:t> 聘请内部控制审计会计师事务所、财务顾问或保荐人情况</w:t>
      </w:r>
    </w:p>
    <w:p>
      <w:pPr>
        <w:pStyle w:val="BodyText"/>
        <w:spacing w:line="360" w:lineRule="auto" w:before="29"/>
        <w:ind w:right="594"/>
        <w:jc w:val="left"/>
      </w:pPr>
      <w:r>
        <w:rPr/>
        <w:t>√ 适用 □</w:t>
      </w:r>
      <w:r>
        <w:rPr>
          <w:spacing w:val="3"/>
        </w:rPr>
        <w:t> </w:t>
      </w:r>
      <w:r>
        <w:rPr/>
        <w:t>不适用</w:t>
      </w:r>
      <w:r>
        <w:rPr/>
        <w:t> 本报告期，公司因发行股份及支付现金购买资产并配套募集资金事项，聘请华泰联合证券有限责任公司为财务顾问。</w:t>
      </w:r>
    </w:p>
    <w:p>
      <w:pPr>
        <w:spacing w:line="240" w:lineRule="auto" w:before="5"/>
        <w:rPr>
          <w:rFonts w:ascii="宋体" w:hAnsi="宋体" w:cs="宋体" w:eastAsia="宋体" w:hint="default"/>
          <w:sz w:val="18"/>
          <w:szCs w:val="18"/>
        </w:rPr>
      </w:pPr>
    </w:p>
    <w:p>
      <w:pPr>
        <w:pStyle w:val="Heading2"/>
        <w:spacing w:line="240" w:lineRule="auto"/>
        <w:ind w:right="153"/>
        <w:jc w:val="left"/>
        <w:rPr>
          <w:b w:val="0"/>
          <w:bCs w:val="0"/>
        </w:rPr>
      </w:pPr>
      <w:r>
        <w:rPr/>
        <w:t>十、年度报告披露后面临暂停上市和终止上市情况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14"/>
        <w:jc w:val="left"/>
      </w:pPr>
      <w:r>
        <w:rPr/>
        <w:t>□ 适用 √</w:t>
      </w:r>
      <w:r>
        <w:rPr>
          <w:spacing w:val="3"/>
        </w:rPr>
        <w:t> </w:t>
      </w:r>
      <w:r>
        <w:rPr/>
        <w:t>不适用</w:t>
      </w:r>
      <w:r>
        <w:rPr/>
        <w:t> 公司报告期未发生破产重整相关事项。</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14"/>
        <w:jc w:val="left"/>
      </w:pPr>
      <w:r>
        <w:rPr/>
        <w:t>□ 适用 √</w:t>
      </w:r>
      <w:r>
        <w:rPr>
          <w:spacing w:val="3"/>
        </w:rPr>
        <w:t> </w:t>
      </w:r>
      <w:r>
        <w:rPr/>
        <w:t>不适用</w:t>
      </w:r>
      <w:r>
        <w:rPr/>
        <w:t> 本报告期公司无重大诉讼、仲裁事项。</w:t>
      </w:r>
    </w:p>
    <w:p>
      <w:pPr>
        <w:spacing w:line="240" w:lineRule="auto" w:before="2"/>
        <w:rPr>
          <w:rFonts w:ascii="宋体" w:hAnsi="宋体" w:cs="宋体" w:eastAsia="宋体" w:hint="default"/>
          <w:sz w:val="18"/>
          <w:szCs w:val="18"/>
        </w:rPr>
      </w:pPr>
    </w:p>
    <w:p>
      <w:pPr>
        <w:pStyle w:val="Heading2"/>
        <w:spacing w:line="240" w:lineRule="auto"/>
        <w:ind w:right="15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894"/>
        <w:jc w:val="left"/>
      </w:pPr>
      <w:r>
        <w:rPr/>
        <w:t>□ 适用 √</w:t>
      </w:r>
      <w:r>
        <w:rPr>
          <w:spacing w:val="3"/>
        </w:rPr>
        <w:t> </w:t>
      </w:r>
      <w:r>
        <w:rPr/>
        <w:t>不适用</w:t>
      </w:r>
      <w:r>
        <w:rPr/>
        <w:t> 公司报告期不存在处罚及整改情况。</w:t>
      </w:r>
    </w:p>
    <w:p>
      <w:pPr>
        <w:spacing w:line="240" w:lineRule="auto" w:before="3"/>
        <w:rPr>
          <w:rFonts w:ascii="宋体" w:hAnsi="宋体" w:cs="宋体" w:eastAsia="宋体" w:hint="default"/>
          <w:sz w:val="18"/>
          <w:szCs w:val="18"/>
        </w:rPr>
      </w:pPr>
    </w:p>
    <w:p>
      <w:pPr>
        <w:pStyle w:val="Heading2"/>
        <w:spacing w:line="240" w:lineRule="auto"/>
        <w:ind w:right="15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441" w:lineRule="auto"/>
        <w:ind w:left="513" w:right="7163" w:hanging="361"/>
        <w:jc w:val="left"/>
      </w:pPr>
      <w:r>
        <w:rPr/>
        <w:t>√ 适用 □</w:t>
      </w:r>
      <w:r>
        <w:rPr>
          <w:spacing w:val="3"/>
        </w:rPr>
        <w:t> </w:t>
      </w:r>
      <w:r>
        <w:rPr/>
        <w:t>不适用</w:t>
      </w:r>
      <w:r>
        <w:rPr/>
        <w:t> </w:t>
      </w:r>
      <w:r>
        <w:rPr>
          <w:rFonts w:ascii="宋体" w:hAnsi="宋体" w:cs="宋体" w:eastAsia="宋体" w:hint="default"/>
        </w:rPr>
        <w:t>1</w:t>
      </w:r>
      <w:r>
        <w:rPr/>
        <w:t>、公司股权激励计划简述：</w:t>
      </w:r>
    </w:p>
    <w:p>
      <w:pPr>
        <w:pStyle w:val="BodyText"/>
        <w:spacing w:line="316" w:lineRule="auto" w:before="43"/>
        <w:ind w:right="151" w:firstLine="360"/>
        <w:jc w:val="both"/>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7</w:t>
      </w:r>
      <w:r>
        <w:rPr/>
        <w:t>日，公司第四届董事会第十四次会议审议通过了《东华软件股份公司股票期权激励计划（草案）》（以下 </w:t>
      </w:r>
      <w:r>
        <w:rPr>
          <w:spacing w:val="-2"/>
        </w:rPr>
        <w:t>简称“草案”）及其摘要、《东华软件股份公司股票期权激励计划实施考核办法》（以下简称“《考核办法》”）、《关于</w:t>
      </w:r>
      <w:r>
        <w:rPr>
          <w:spacing w:val="-70"/>
        </w:rPr>
        <w:t> </w:t>
      </w:r>
      <w:r>
        <w:rPr>
          <w:spacing w:val="-70"/>
        </w:rPr>
      </w:r>
      <w:r>
        <w:rPr/>
        <w:t>提请股东大会授权董事会办理公司股票期权激励计划相关事宜的议案》，公司独立董事对《草案》发表了独立意见。</w:t>
      </w:r>
    </w:p>
    <w:p>
      <w:pPr>
        <w:pStyle w:val="BodyText"/>
        <w:spacing w:line="316" w:lineRule="auto" w:before="139"/>
        <w:ind w:right="150" w:firstLine="360"/>
        <w:jc w:val="both"/>
      </w:pPr>
      <w:r>
        <w:rPr>
          <w:spacing w:val="-2"/>
        </w:rPr>
        <w:t>同日，公司第四届监事会第五次会议审议通过了《草案》及其摘要、《考核办法》、《东华软件股份公司股票期权激励</w:t>
      </w:r>
      <w:r>
        <w:rPr/>
        <w:t> 计划（草案）激励对象名单》（以下简称“《激励名单》”）。</w:t>
      </w:r>
    </w:p>
    <w:p>
      <w:pPr>
        <w:pStyle w:val="BodyText"/>
        <w:spacing w:line="240" w:lineRule="auto" w:before="139"/>
        <w:ind w:left="513" w:right="153"/>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12</w:t>
      </w:r>
      <w:r>
        <w:rPr/>
        <w:t>日，公司将有关激励计划的申请材料上报中国证券监督管理委员会（以下简称“证监会”）备案。</w:t>
      </w:r>
    </w:p>
    <w:p>
      <w:pPr>
        <w:spacing w:line="240" w:lineRule="auto" w:before="0"/>
        <w:rPr>
          <w:rFonts w:ascii="宋体" w:hAnsi="宋体" w:cs="宋体" w:eastAsia="宋体" w:hint="default"/>
          <w:sz w:val="15"/>
          <w:szCs w:val="15"/>
        </w:rPr>
      </w:pPr>
    </w:p>
    <w:p>
      <w:pPr>
        <w:pStyle w:val="BodyText"/>
        <w:spacing w:line="316" w:lineRule="auto"/>
        <w:ind w:right="151" w:firstLine="360"/>
        <w:jc w:val="both"/>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20</w:t>
      </w:r>
      <w:r>
        <w:rPr/>
        <w:t>日，根据证监会反馈意见，《东华软件股份公司股票期权激励计划</w:t>
      </w:r>
      <w:r>
        <w:rPr>
          <w:spacing w:val="3"/>
        </w:rPr>
        <w:t> </w:t>
      </w:r>
      <w:r>
        <w:rPr>
          <w:rFonts w:ascii="宋体" w:hAnsi="宋体" w:cs="宋体" w:eastAsia="宋体" w:hint="default"/>
        </w:rPr>
        <w:t>(</w:t>
      </w:r>
      <w:r>
        <w:rPr/>
        <w:t>草案</w:t>
      </w:r>
      <w:r>
        <w:rPr>
          <w:rFonts w:ascii="宋体" w:hAnsi="宋体" w:cs="宋体" w:eastAsia="宋体" w:hint="default"/>
        </w:rPr>
        <w:t>)</w:t>
      </w:r>
      <w:r>
        <w:rPr/>
        <w:t>修订稿》（以下简称“《修订 稿》”）获证监会备案无异议。</w:t>
      </w:r>
    </w:p>
    <w:p>
      <w:pPr>
        <w:pStyle w:val="BodyText"/>
        <w:spacing w:line="240" w:lineRule="auto" w:before="139"/>
        <w:ind w:left="513" w:right="153"/>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30</w:t>
      </w:r>
      <w:r>
        <w:rPr/>
        <w:t>日，公司第四届董事会第十五次会议发出召开股东大会通知，审议股权激励相关事项。</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95" w:firstLine="360"/>
        <w:jc w:val="both"/>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17</w:t>
      </w:r>
      <w:r>
        <w:rPr/>
        <w:t>日，公司</w:t>
      </w:r>
      <w:r>
        <w:rPr>
          <w:rFonts w:ascii="宋体" w:hAnsi="宋体" w:cs="宋体" w:eastAsia="宋体" w:hint="default"/>
        </w:rPr>
        <w:t>2012</w:t>
      </w:r>
      <w:r>
        <w:rPr/>
        <w:t>年第一次临时股东大会审议通过了《修订稿》及其摘要、《考核办法》、《关于提请股东大 会授权董事会办理公司股票期权激励计划相关事宜的议案》。</w:t>
      </w:r>
    </w:p>
    <w:p>
      <w:pPr>
        <w:pStyle w:val="BodyText"/>
        <w:spacing w:line="439" w:lineRule="auto" w:before="137"/>
        <w:ind w:left="513" w:right="2523"/>
        <w:jc w:val="left"/>
      </w:pPr>
      <w:r>
        <w:rPr/>
        <w:t>公司将通过向激励对象定向发行人民币普通股（</w:t>
      </w:r>
      <w:r>
        <w:rPr>
          <w:rFonts w:ascii="宋体" w:hAnsi="宋体" w:cs="宋体" w:eastAsia="宋体" w:hint="default"/>
        </w:rPr>
        <w:t>A</w:t>
      </w:r>
      <w:r>
        <w:rPr/>
        <w:t>股）股票作为本激励计划的股票来源。 </w:t>
      </w:r>
      <w:r>
        <w:rPr>
          <w:rFonts w:ascii="宋体" w:hAnsi="宋体" w:cs="宋体" w:eastAsia="宋体" w:hint="default"/>
        </w:rPr>
        <w:t>2</w:t>
      </w:r>
      <w:r>
        <w:rPr/>
        <w:t>、股票期权激励计划授予及登记情况</w:t>
      </w:r>
    </w:p>
    <w:p>
      <w:pPr>
        <w:pStyle w:val="BodyText"/>
        <w:spacing w:line="316" w:lineRule="auto" w:before="47"/>
        <w:ind w:right="195" w:firstLine="360"/>
        <w:jc w:val="both"/>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日，公司第四届董事会第十六次会议审议通过了《关于股票期权激励计划授予相关事项的议案》，确定授 予日为</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日，独立董事对授予股票期权的授予日发表了独立意见。（公告编号：</w:t>
      </w:r>
      <w:r>
        <w:rPr>
          <w:rFonts w:ascii="宋体" w:hAnsi="宋体" w:cs="宋体" w:eastAsia="宋体" w:hint="default"/>
        </w:rPr>
        <w:t>2012-005</w:t>
      </w:r>
      <w:r>
        <w:rPr/>
        <w:t>）</w:t>
      </w:r>
    </w:p>
    <w:p>
      <w:pPr>
        <w:pStyle w:val="BodyText"/>
        <w:spacing w:line="432" w:lineRule="exact" w:before="3"/>
        <w:ind w:left="513" w:right="94"/>
        <w:jc w:val="left"/>
      </w:pPr>
      <w:r>
        <w:rPr/>
        <w:t>同日，公司第四届监事会第七次会议审议通过了《关于股票期权激励计划授予相关事项的议案》。 </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日，公司监事会出具了《关于股票期权激励计划授予名单调整的核查意见》，认为</w:t>
      </w:r>
      <w:r>
        <w:rPr>
          <w:rFonts w:ascii="宋体" w:hAnsi="宋体" w:cs="宋体" w:eastAsia="宋体" w:hint="default"/>
          <w:spacing w:val="-2"/>
        </w:rPr>
        <w:t>1</w:t>
      </w:r>
      <w:r>
        <w:rPr>
          <w:spacing w:val="-2"/>
        </w:rPr>
        <w:t>名激励对象离职，</w:t>
      </w:r>
      <w:r>
        <w:rPr>
          <w:rFonts w:ascii="宋体" w:hAnsi="宋体" w:cs="宋体" w:eastAsia="宋体" w:hint="default"/>
          <w:spacing w:val="-2"/>
        </w:rPr>
        <w:t>2</w:t>
      </w:r>
      <w:r>
        <w:rPr>
          <w:spacing w:val="-2"/>
        </w:rPr>
        <w:t>名激</w:t>
      </w:r>
    </w:p>
    <w:p>
      <w:pPr>
        <w:pStyle w:val="BodyText"/>
        <w:spacing w:line="240" w:lineRule="auto" w:before="15"/>
        <w:ind w:right="94"/>
        <w:jc w:val="left"/>
      </w:pPr>
      <w:r>
        <w:rPr/>
        <w:t>励对象因个人原因自愿放弃，同意公司取消其未登记的股票期权。（公告编号：</w:t>
      </w:r>
      <w:r>
        <w:rPr>
          <w:rFonts w:ascii="宋体" w:hAnsi="宋体" w:cs="宋体" w:eastAsia="宋体" w:hint="default"/>
        </w:rPr>
        <w:t>2012-006</w:t>
      </w:r>
      <w:r>
        <w:rPr/>
        <w:t>）</w:t>
      </w:r>
    </w:p>
    <w:p>
      <w:pPr>
        <w:spacing w:line="240" w:lineRule="auto" w:before="0"/>
        <w:rPr>
          <w:rFonts w:ascii="宋体" w:hAnsi="宋体" w:cs="宋体" w:eastAsia="宋体" w:hint="default"/>
          <w:sz w:val="15"/>
          <w:szCs w:val="15"/>
        </w:rPr>
      </w:pPr>
    </w:p>
    <w:p>
      <w:pPr>
        <w:pStyle w:val="BodyText"/>
        <w:spacing w:line="319" w:lineRule="auto"/>
        <w:ind w:right="188" w:firstLine="360"/>
        <w:jc w:val="both"/>
      </w:pPr>
      <w:r>
        <w:rPr>
          <w:rFonts w:ascii="宋体" w:hAnsi="宋体" w:cs="宋体" w:eastAsia="宋体" w:hint="default"/>
          <w:spacing w:val="-7"/>
        </w:rPr>
        <w:t>2012</w:t>
      </w:r>
      <w:r>
        <w:rPr>
          <w:spacing w:val="-7"/>
        </w:rPr>
        <w:t>年</w:t>
      </w:r>
      <w:r>
        <w:rPr>
          <w:rFonts w:ascii="宋体" w:hAnsi="宋体" w:cs="宋体" w:eastAsia="宋体" w:hint="default"/>
          <w:spacing w:val="-7"/>
        </w:rPr>
        <w:t>2</w:t>
      </w:r>
      <w:r>
        <w:rPr>
          <w:spacing w:val="-7"/>
        </w:rPr>
        <w:t>月</w:t>
      </w:r>
      <w:r>
        <w:rPr>
          <w:rFonts w:ascii="宋体" w:hAnsi="宋体" w:cs="宋体" w:eastAsia="宋体" w:hint="default"/>
          <w:spacing w:val="-7"/>
        </w:rPr>
        <w:t>13</w:t>
      </w:r>
      <w:r>
        <w:rPr>
          <w:spacing w:val="-7"/>
        </w:rPr>
        <w:t>日，完成了公司股票期权激励计划的股票期权登记工作，公司发布了《关于股票期权授予登记完成的公告》，</w:t>
      </w:r>
      <w:r>
        <w:rPr/>
        <w:t> </w:t>
      </w:r>
      <w:r>
        <w:rPr>
          <w:spacing w:val="-2"/>
        </w:rPr>
        <w:t>期权简称：东华</w:t>
      </w:r>
      <w:r>
        <w:rPr>
          <w:rFonts w:ascii="宋体" w:hAnsi="宋体" w:cs="宋体" w:eastAsia="宋体" w:hint="default"/>
          <w:spacing w:val="-2"/>
        </w:rPr>
        <w:t>JLC1,</w:t>
      </w:r>
      <w:r>
        <w:rPr>
          <w:spacing w:val="-2"/>
        </w:rPr>
        <w:t>期权代码：</w:t>
      </w:r>
      <w:r>
        <w:rPr>
          <w:rFonts w:ascii="宋体" w:hAnsi="宋体" w:cs="宋体" w:eastAsia="宋体" w:hint="default"/>
          <w:spacing w:val="-2"/>
        </w:rPr>
        <w:t>037577</w:t>
      </w:r>
      <w:r>
        <w:rPr>
          <w:spacing w:val="-2"/>
        </w:rPr>
        <w:t>。授予数量：</w:t>
      </w:r>
      <w:r>
        <w:rPr>
          <w:rFonts w:ascii="宋体" w:hAnsi="宋体" w:cs="宋体" w:eastAsia="宋体" w:hint="default"/>
          <w:spacing w:val="-2"/>
        </w:rPr>
        <w:t>1,173.9</w:t>
      </w:r>
      <w:r>
        <w:rPr>
          <w:spacing w:val="-2"/>
        </w:rPr>
        <w:t>万份股票期权，行权价格：</w:t>
      </w:r>
      <w:r>
        <w:rPr>
          <w:rFonts w:ascii="宋体" w:hAnsi="宋体" w:cs="宋体" w:eastAsia="宋体" w:hint="default"/>
          <w:spacing w:val="-2"/>
        </w:rPr>
        <w:t>21.59</w:t>
      </w:r>
      <w:r>
        <w:rPr>
          <w:spacing w:val="-2"/>
        </w:rPr>
        <w:t>元，授予人数</w:t>
      </w:r>
      <w:r>
        <w:rPr>
          <w:rFonts w:ascii="宋体" w:hAnsi="宋体" w:cs="宋体" w:eastAsia="宋体" w:hint="default"/>
          <w:spacing w:val="-2"/>
        </w:rPr>
        <w:t>361</w:t>
      </w:r>
      <w:r>
        <w:rPr>
          <w:spacing w:val="-2"/>
        </w:rPr>
        <w:t>人。（公告</w:t>
      </w:r>
      <w:r>
        <w:rPr>
          <w:spacing w:val="-48"/>
        </w:rPr>
        <w:t> </w:t>
      </w:r>
      <w:r>
        <w:rPr>
          <w:spacing w:val="-48"/>
        </w:rPr>
      </w:r>
      <w:r>
        <w:rPr/>
        <w:t>编号：</w:t>
      </w:r>
      <w:r>
        <w:rPr>
          <w:rFonts w:ascii="宋体" w:hAnsi="宋体" w:cs="宋体" w:eastAsia="宋体" w:hint="default"/>
        </w:rPr>
        <w:t>2012-007</w:t>
      </w:r>
      <w:r>
        <w:rPr/>
        <w:t>）</w:t>
      </w:r>
    </w:p>
    <w:p>
      <w:pPr>
        <w:pStyle w:val="BodyText"/>
        <w:spacing w:line="240" w:lineRule="auto" w:before="137"/>
        <w:ind w:left="513" w:right="94"/>
        <w:jc w:val="left"/>
      </w:pPr>
      <w:r>
        <w:rPr>
          <w:rFonts w:ascii="宋体" w:hAnsi="宋体" w:cs="宋体" w:eastAsia="宋体" w:hint="default"/>
        </w:rPr>
        <w:t>3</w:t>
      </w:r>
      <w:r>
        <w:rPr/>
        <w:t>、股票期权激励计划股票期权数量和行权价格调整及行权情况</w:t>
      </w:r>
    </w:p>
    <w:p>
      <w:pPr>
        <w:spacing w:line="240" w:lineRule="auto" w:before="0"/>
        <w:rPr>
          <w:rFonts w:ascii="宋体" w:hAnsi="宋体" w:cs="宋体" w:eastAsia="宋体" w:hint="default"/>
          <w:sz w:val="15"/>
          <w:szCs w:val="15"/>
        </w:rPr>
      </w:pPr>
    </w:p>
    <w:p>
      <w:pPr>
        <w:pStyle w:val="BodyText"/>
        <w:spacing w:line="316" w:lineRule="auto"/>
        <w:ind w:right="194" w:firstLine="360"/>
        <w:jc w:val="both"/>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18</w:t>
      </w:r>
      <w:r>
        <w:rPr/>
        <w:t>日，公司</w:t>
      </w:r>
      <w:r>
        <w:rPr>
          <w:rFonts w:ascii="宋体" w:hAnsi="宋体" w:cs="宋体" w:eastAsia="宋体" w:hint="default"/>
        </w:rPr>
        <w:t>2011</w:t>
      </w:r>
      <w:r>
        <w:rPr/>
        <w:t>年年度股东大会审议通过了《</w:t>
      </w:r>
      <w:r>
        <w:rPr>
          <w:rFonts w:ascii="宋体" w:hAnsi="宋体" w:cs="宋体" w:eastAsia="宋体" w:hint="default"/>
        </w:rPr>
        <w:t>2011</w:t>
      </w:r>
      <w:r>
        <w:rPr/>
        <w:t>年度利润分配预案》。根据《股票期权激励计划》第十九 条规定，经公司第四届董事会第二十次会议审议通过，对公司股票期权激励计划股票期权数量及行权价格进行调整：</w:t>
      </w:r>
      <w:r>
        <w:rPr>
          <w:rFonts w:ascii="宋体" w:hAnsi="宋体" w:cs="宋体" w:eastAsia="宋体" w:hint="default"/>
        </w:rPr>
        <w:t>2011</w:t>
      </w:r>
      <w:r>
        <w:rPr>
          <w:rFonts w:ascii="宋体" w:hAnsi="宋体" w:cs="宋体" w:eastAsia="宋体" w:hint="default"/>
          <w:spacing w:val="-3"/>
        </w:rPr>
        <w:t> </w:t>
      </w:r>
      <w:r>
        <w:rPr>
          <w:rFonts w:ascii="宋体" w:hAnsi="宋体" w:cs="宋体" w:eastAsia="宋体" w:hint="default"/>
          <w:spacing w:val="-3"/>
        </w:rPr>
      </w:r>
      <w:r>
        <w:rPr/>
        <w:t>年度利润分配后，股票期权数量调整为</w:t>
      </w:r>
      <w:r>
        <w:rPr>
          <w:rFonts w:ascii="宋体" w:hAnsi="宋体" w:cs="宋体" w:eastAsia="宋体" w:hint="default"/>
        </w:rPr>
        <w:t>1,526.07</w:t>
      </w:r>
      <w:r>
        <w:rPr/>
        <w:t>万份，行权价格调整为</w:t>
      </w:r>
      <w:r>
        <w:rPr>
          <w:rFonts w:ascii="宋体" w:hAnsi="宋体" w:cs="宋体" w:eastAsia="宋体" w:hint="default"/>
        </w:rPr>
        <w:t>16.45</w:t>
      </w:r>
      <w:r>
        <w:rPr/>
        <w:t>元（公告编号：</w:t>
      </w:r>
      <w:r>
        <w:rPr>
          <w:rFonts w:ascii="宋体" w:hAnsi="宋体" w:cs="宋体" w:eastAsia="宋体" w:hint="default"/>
        </w:rPr>
        <w:t>2012-036</w:t>
      </w:r>
      <w:r>
        <w:rPr/>
        <w:t>）。</w:t>
      </w:r>
    </w:p>
    <w:p>
      <w:pPr>
        <w:pStyle w:val="BodyText"/>
        <w:spacing w:line="316" w:lineRule="auto" w:before="139"/>
        <w:ind w:right="94" w:firstLine="360"/>
        <w:jc w:val="left"/>
      </w:pP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22</w:t>
      </w:r>
      <w:r>
        <w:rPr/>
        <w:t>日，公司第四届董事会第二十七次会议审议通过了《关于调整股票期权激励计划激励对象、期权数量及行 权价格的议案》，</w:t>
      </w:r>
      <w:r>
        <w:rPr>
          <w:rFonts w:ascii="宋体" w:hAnsi="宋体" w:cs="宋体" w:eastAsia="宋体" w:hint="default"/>
        </w:rPr>
        <w:t>16</w:t>
      </w:r>
      <w:r>
        <w:rPr/>
        <w:t>名原激励因个人原因离职，公司对激励对象进行相应的调整，首次授予激励对象由</w:t>
      </w:r>
      <w:r>
        <w:rPr>
          <w:rFonts w:ascii="宋体" w:hAnsi="宋体" w:cs="宋体" w:eastAsia="宋体" w:hint="default"/>
        </w:rPr>
        <w:t>361</w:t>
      </w:r>
      <w:r>
        <w:rPr/>
        <w:t>名调整为</w:t>
      </w:r>
      <w:r>
        <w:rPr>
          <w:rFonts w:ascii="宋体" w:hAnsi="宋体" w:cs="宋体" w:eastAsia="宋体" w:hint="default"/>
        </w:rPr>
        <w:t>345</w:t>
      </w:r>
      <w:r>
        <w:rPr/>
        <w:t>名，</w:t>
      </w:r>
      <w:r>
        <w:rPr>
          <w:spacing w:val="-84"/>
        </w:rPr>
        <w:t> </w:t>
      </w:r>
      <w:r>
        <w:rPr>
          <w:spacing w:val="-2"/>
        </w:rPr>
        <w:t>首次授予期权数量由</w:t>
      </w:r>
      <w:r>
        <w:rPr>
          <w:rFonts w:ascii="宋体" w:hAnsi="宋体" w:cs="宋体" w:eastAsia="宋体" w:hint="default"/>
          <w:spacing w:val="-2"/>
        </w:rPr>
        <w:t>1526.07</w:t>
      </w:r>
      <w:r>
        <w:rPr>
          <w:spacing w:val="-2"/>
        </w:rPr>
        <w:t>万份变更为</w:t>
      </w:r>
      <w:r>
        <w:rPr>
          <w:rFonts w:ascii="宋体" w:hAnsi="宋体" w:cs="宋体" w:eastAsia="宋体" w:hint="default"/>
          <w:spacing w:val="-2"/>
        </w:rPr>
        <w:t>1463.67</w:t>
      </w:r>
      <w:r>
        <w:rPr>
          <w:spacing w:val="-2"/>
        </w:rPr>
        <w:t>万份。同时，公司因实施</w:t>
      </w:r>
      <w:r>
        <w:rPr>
          <w:rFonts w:ascii="宋体" w:hAnsi="宋体" w:cs="宋体" w:eastAsia="宋体" w:hint="default"/>
          <w:spacing w:val="-2"/>
        </w:rPr>
        <w:t>2012</w:t>
      </w:r>
      <w:r>
        <w:rPr>
          <w:spacing w:val="-2"/>
        </w:rPr>
        <w:t>年度利润分配方案，股票期权行权价格调整为</w:t>
      </w:r>
      <w:r>
        <w:rPr>
          <w:spacing w:val="-53"/>
        </w:rPr>
        <w:t> </w:t>
      </w:r>
      <w:r>
        <w:rPr>
          <w:spacing w:val="-53"/>
        </w:rPr>
      </w:r>
      <w:r>
        <w:rPr>
          <w:rFonts w:ascii="宋体" w:hAnsi="宋体" w:cs="宋体" w:eastAsia="宋体" w:hint="default"/>
        </w:rPr>
        <w:t>16.25</w:t>
      </w:r>
      <w:r>
        <w:rPr/>
        <w:t>元。</w:t>
      </w:r>
    </w:p>
    <w:p>
      <w:pPr>
        <w:pStyle w:val="BodyText"/>
        <w:spacing w:line="319" w:lineRule="auto" w:before="139"/>
        <w:ind w:right="192" w:firstLine="360"/>
        <w:jc w:val="both"/>
      </w:pP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日，公司第四届董事会第三十一次会议审议通过了《关于调整股票期权激励计划激励对象和期权数量的议</w:t>
      </w:r>
      <w:r>
        <w:rPr/>
        <w:t> </w:t>
      </w:r>
      <w:r>
        <w:rPr>
          <w:spacing w:val="-2"/>
        </w:rPr>
        <w:t>案》，因</w:t>
      </w:r>
      <w:r>
        <w:rPr>
          <w:rFonts w:ascii="宋体" w:hAnsi="宋体" w:cs="宋体" w:eastAsia="宋体" w:hint="default"/>
          <w:spacing w:val="-2"/>
        </w:rPr>
        <w:t>1</w:t>
      </w:r>
      <w:r>
        <w:rPr>
          <w:spacing w:val="-2"/>
        </w:rPr>
        <w:t>名激励对象离职，</w:t>
      </w:r>
      <w:r>
        <w:rPr>
          <w:rFonts w:ascii="宋体" w:hAnsi="宋体" w:cs="宋体" w:eastAsia="宋体" w:hint="default"/>
          <w:spacing w:val="-2"/>
        </w:rPr>
        <w:t>1</w:t>
      </w:r>
      <w:r>
        <w:rPr>
          <w:spacing w:val="-2"/>
        </w:rPr>
        <w:t>名激励对象考核不合格，不再满足成为激励对象的条件，公司对激励对象进行相应的调整，激</w:t>
      </w:r>
      <w:r>
        <w:rPr>
          <w:spacing w:val="-68"/>
        </w:rPr>
        <w:t> </w:t>
      </w:r>
      <w:r>
        <w:rPr>
          <w:spacing w:val="-68"/>
        </w:rPr>
      </w:r>
      <w:r>
        <w:rPr/>
        <w:t>励对象由</w:t>
      </w:r>
      <w:r>
        <w:rPr>
          <w:rFonts w:ascii="宋体" w:hAnsi="宋体" w:cs="宋体" w:eastAsia="宋体" w:hint="default"/>
        </w:rPr>
        <w:t>345</w:t>
      </w:r>
      <w:r>
        <w:rPr/>
        <w:t>名调整为</w:t>
      </w:r>
      <w:r>
        <w:rPr>
          <w:rFonts w:ascii="宋体" w:hAnsi="宋体" w:cs="宋体" w:eastAsia="宋体" w:hint="default"/>
        </w:rPr>
        <w:t>343</w:t>
      </w:r>
      <w:r>
        <w:rPr/>
        <w:t>名，期权数量由</w:t>
      </w:r>
      <w:r>
        <w:rPr>
          <w:rFonts w:ascii="宋体" w:hAnsi="宋体" w:cs="宋体" w:eastAsia="宋体" w:hint="default"/>
        </w:rPr>
        <w:t>1463.67</w:t>
      </w:r>
      <w:r>
        <w:rPr/>
        <w:t>万份调整为</w:t>
      </w:r>
      <w:r>
        <w:rPr>
          <w:rFonts w:ascii="宋体" w:hAnsi="宋体" w:cs="宋体" w:eastAsia="宋体" w:hint="default"/>
        </w:rPr>
        <w:t>1455.87</w:t>
      </w:r>
      <w:r>
        <w:rPr/>
        <w:t>万份。</w:t>
      </w:r>
    </w:p>
    <w:p>
      <w:pPr>
        <w:pStyle w:val="BodyText"/>
        <w:spacing w:line="316" w:lineRule="auto" w:before="137"/>
        <w:ind w:right="187" w:firstLine="360"/>
        <w:jc w:val="both"/>
      </w:pP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日，经公司董事会申请、深圳证券交易所确认，中国证券登记结算有限责任公司深圳分公司核准登记，公</w:t>
      </w:r>
      <w:r>
        <w:rPr/>
        <w:t> </w:t>
      </w:r>
      <w:r>
        <w:rPr>
          <w:spacing w:val="-3"/>
        </w:rPr>
        <w:t>司对提出股权激励第一个行权期行权申请的</w:t>
      </w:r>
      <w:r>
        <w:rPr>
          <w:rFonts w:ascii="宋体" w:hAnsi="宋体" w:cs="宋体" w:eastAsia="宋体" w:hint="default"/>
          <w:spacing w:val="-3"/>
        </w:rPr>
        <w:t>342</w:t>
      </w:r>
      <w:r>
        <w:rPr>
          <w:spacing w:val="-3"/>
        </w:rPr>
        <w:t>名激励对象的</w:t>
      </w:r>
      <w:r>
        <w:rPr>
          <w:rFonts w:ascii="宋体" w:hAnsi="宋体" w:cs="宋体" w:eastAsia="宋体" w:hint="default"/>
          <w:spacing w:val="-3"/>
        </w:rPr>
        <w:t>433.641</w:t>
      </w:r>
      <w:r>
        <w:rPr>
          <w:spacing w:val="-3"/>
        </w:rPr>
        <w:t>万份股票期权予以行权，并于</w:t>
      </w:r>
      <w:r>
        <w:rPr>
          <w:rFonts w:ascii="宋体" w:hAnsi="宋体" w:cs="宋体" w:eastAsia="宋体" w:hint="default"/>
          <w:spacing w:val="-3"/>
        </w:rPr>
        <w:t>2013</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5</w:t>
      </w:r>
      <w:r>
        <w:rPr>
          <w:spacing w:val="-3"/>
        </w:rPr>
        <w:t>日上市。</w:t>
      </w:r>
      <w:r>
        <w:rPr>
          <w:rFonts w:ascii="宋体" w:hAnsi="宋体" w:cs="宋体" w:eastAsia="宋体" w:hint="default"/>
          <w:spacing w:val="-3"/>
        </w:rPr>
        <w:t>2014</w:t>
      </w:r>
      <w:r>
        <w:rPr>
          <w:rFonts w:ascii="宋体" w:hAnsi="宋体" w:cs="宋体" w:eastAsia="宋体" w:hint="default"/>
          <w:spacing w:val="-71"/>
        </w:rPr>
        <w:t> </w:t>
      </w:r>
      <w:r>
        <w:rPr>
          <w:rFonts w:ascii="宋体" w:hAnsi="宋体" w:cs="宋体" w:eastAsia="宋体" w:hint="default"/>
          <w:spacing w:val="-71"/>
        </w:rPr>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7</w:t>
      </w:r>
      <w:r>
        <w:rPr>
          <w:spacing w:val="-2"/>
        </w:rPr>
        <w:t>日，经公司董事会申请、深圳证券交易所确认，中国证券登记结算有限责任公司深圳分公司核准登记，公司副总裁李</w:t>
      </w:r>
      <w:r>
        <w:rPr>
          <w:spacing w:val="-61"/>
        </w:rPr>
        <w:t> </w:t>
      </w:r>
      <w:r>
        <w:rPr>
          <w:spacing w:val="-61"/>
        </w:rPr>
      </w:r>
      <w:r>
        <w:rPr/>
        <w:t>建国先生申请行权，行权数量</w:t>
      </w:r>
      <w:r>
        <w:rPr>
          <w:rFonts w:ascii="宋体" w:hAnsi="宋体" w:cs="宋体" w:eastAsia="宋体" w:hint="default"/>
        </w:rPr>
        <w:t>3.12</w:t>
      </w:r>
      <w:r>
        <w:rPr/>
        <w:t>万份，并于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日上市。</w:t>
      </w:r>
    </w:p>
    <w:p>
      <w:pPr>
        <w:pStyle w:val="BodyText"/>
        <w:spacing w:line="316" w:lineRule="auto" w:before="139"/>
        <w:ind w:right="104" w:firstLine="360"/>
        <w:jc w:val="both"/>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27</w:t>
      </w:r>
      <w:r>
        <w:rPr/>
        <w:t>日，经公司董事会申请、深圳证券交易所确认，中国证券登记结算有限责任公司深圳分公司核准登记，公 </w:t>
      </w:r>
      <w:r>
        <w:rPr>
          <w:spacing w:val="-3"/>
        </w:rPr>
        <w:t>司对提出股权激励第二个行权期行权申请的</w:t>
      </w:r>
      <w:r>
        <w:rPr>
          <w:rFonts w:ascii="宋体" w:hAnsi="宋体" w:cs="宋体" w:eastAsia="宋体" w:hint="default"/>
          <w:spacing w:val="-3"/>
        </w:rPr>
        <w:t>339</w:t>
      </w:r>
      <w:r>
        <w:rPr>
          <w:spacing w:val="-3"/>
        </w:rPr>
        <w:t>名激励对象的</w:t>
      </w:r>
      <w:r>
        <w:rPr>
          <w:rFonts w:ascii="宋体" w:hAnsi="宋体" w:cs="宋体" w:eastAsia="宋体" w:hint="default"/>
          <w:spacing w:val="-3"/>
        </w:rPr>
        <w:t>426.426</w:t>
      </w:r>
      <w:r>
        <w:rPr>
          <w:spacing w:val="-3"/>
        </w:rPr>
        <w:t>万份股票期权予以行权，并于</w:t>
      </w:r>
      <w:r>
        <w:rPr>
          <w:rFonts w:ascii="宋体" w:hAnsi="宋体" w:cs="宋体" w:eastAsia="宋体" w:hint="default"/>
          <w:spacing w:val="-3"/>
        </w:rPr>
        <w:t>2014</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12</w:t>
      </w:r>
      <w:r>
        <w:rPr>
          <w:spacing w:val="-3"/>
        </w:rPr>
        <w:t>日上市。</w:t>
      </w:r>
      <w:r>
        <w:rPr>
          <w:rFonts w:ascii="宋体" w:hAnsi="宋体" w:cs="宋体" w:eastAsia="宋体" w:hint="default"/>
          <w:spacing w:val="-3"/>
        </w:rPr>
        <w:t>2014</w:t>
      </w:r>
      <w:r>
        <w:rPr>
          <w:rFonts w:ascii="宋体" w:hAnsi="宋体" w:cs="宋体" w:eastAsia="宋体" w:hint="default"/>
          <w:spacing w:val="-71"/>
        </w:rPr>
        <w:t> </w:t>
      </w:r>
      <w:r>
        <w:rPr>
          <w:rFonts w:ascii="宋体" w:hAnsi="宋体" w:cs="宋体" w:eastAsia="宋体" w:hint="default"/>
          <w:spacing w:val="-71"/>
        </w:rPr>
      </w:r>
      <w:r>
        <w:rPr/>
        <w:t>年</w:t>
      </w:r>
      <w:r>
        <w:rPr>
          <w:rFonts w:ascii="宋体" w:hAnsi="宋体" w:cs="宋体" w:eastAsia="宋体" w:hint="default"/>
        </w:rPr>
        <w:t>8</w:t>
      </w:r>
      <w:r>
        <w:rPr/>
        <w:t>月</w:t>
      </w:r>
      <w:r>
        <w:rPr>
          <w:rFonts w:ascii="宋体" w:hAnsi="宋体" w:cs="宋体" w:eastAsia="宋体" w:hint="default"/>
        </w:rPr>
        <w:t>15</w:t>
      </w:r>
      <w:r>
        <w:rPr/>
        <w:t>日，公司第五届董事会第十一次会议审议通过了《关于调整股票期权激励计划期权数量和行权价格的议案》，因实</w:t>
      </w:r>
      <w:r>
        <w:rPr>
          <w:spacing w:val="-85"/>
        </w:rPr>
        <w:t> </w:t>
      </w:r>
      <w:r>
        <w:rPr>
          <w:spacing w:val="-85"/>
        </w:rPr>
      </w:r>
      <w:r>
        <w:rPr/>
        <w:t>施</w:t>
      </w:r>
      <w:r>
        <w:rPr>
          <w:rFonts w:ascii="宋体" w:hAnsi="宋体" w:cs="宋体" w:eastAsia="宋体" w:hint="default"/>
        </w:rPr>
        <w:t>2013</w:t>
      </w:r>
      <w:r>
        <w:rPr/>
        <w:t>年度利润分配方案，授予激励对象的尚未行权股票期权激励总数调整为</w:t>
      </w:r>
      <w:r>
        <w:rPr>
          <w:rFonts w:ascii="宋体" w:hAnsi="宋体" w:cs="宋体" w:eastAsia="宋体" w:hint="default"/>
        </w:rPr>
        <w:t>1,185.366</w:t>
      </w:r>
      <w:r>
        <w:rPr/>
        <w:t>万份，行权价格调整为</w:t>
      </w:r>
      <w:r>
        <w:rPr>
          <w:rFonts w:ascii="宋体" w:hAnsi="宋体" w:cs="宋体" w:eastAsia="宋体" w:hint="default"/>
        </w:rPr>
        <w:t>8.03</w:t>
      </w:r>
      <w:r>
        <w:rPr/>
        <w:t>元</w:t>
      </w:r>
      <w:r>
        <w:rPr>
          <w:rFonts w:ascii="宋体" w:hAnsi="宋体" w:cs="宋体" w:eastAsia="宋体" w:hint="default"/>
        </w:rPr>
        <w:t>/</w:t>
      </w:r>
      <w:r>
        <w:rPr/>
        <w:t>股。</w:t>
      </w:r>
    </w:p>
    <w:p>
      <w:pPr>
        <w:pStyle w:val="BodyText"/>
        <w:spacing w:line="319" w:lineRule="auto" w:before="139"/>
        <w:ind w:right="188"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日，经公司董事会申请、深圳证券交易所确认，中国证券登记结算有限责任公司深圳分公司核准登记，公</w:t>
      </w:r>
      <w:r>
        <w:rPr/>
        <w:t> </w:t>
      </w:r>
      <w:r>
        <w:rPr>
          <w:spacing w:val="-5"/>
        </w:rPr>
        <w:t>司副总裁刘志华先生申请行权，行权数量</w:t>
      </w:r>
      <w:r>
        <w:rPr>
          <w:rFonts w:ascii="宋体" w:hAnsi="宋体" w:cs="宋体" w:eastAsia="宋体" w:hint="default"/>
          <w:spacing w:val="-5"/>
        </w:rPr>
        <w:t>6.24</w:t>
      </w:r>
      <w:r>
        <w:rPr>
          <w:spacing w:val="-5"/>
        </w:rPr>
        <w:t>万份，并于</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15</w:t>
      </w:r>
      <w:r>
        <w:rPr>
          <w:spacing w:val="-5"/>
        </w:rPr>
        <w:t>日上市。行权后公司尚未行权期权数量调整为</w:t>
      </w:r>
      <w:r>
        <w:rPr>
          <w:rFonts w:ascii="宋体" w:hAnsi="宋体" w:cs="宋体" w:eastAsia="宋体" w:hint="default"/>
          <w:spacing w:val="-5"/>
        </w:rPr>
        <w:t>1,179.126</w:t>
      </w:r>
      <w:r>
        <w:rPr>
          <w:rFonts w:ascii="宋体" w:hAnsi="宋体" w:cs="宋体" w:eastAsia="宋体" w:hint="default"/>
          <w:spacing w:val="-33"/>
        </w:rPr>
        <w:t> </w:t>
      </w:r>
      <w:r>
        <w:rPr>
          <w:rFonts w:ascii="宋体" w:hAnsi="宋体" w:cs="宋体" w:eastAsia="宋体" w:hint="default"/>
          <w:spacing w:val="-33"/>
        </w:rPr>
      </w:r>
      <w:r>
        <w:rPr/>
        <w:t>万份。</w:t>
      </w:r>
    </w:p>
    <w:p>
      <w:pPr>
        <w:pStyle w:val="BodyText"/>
        <w:spacing w:line="316" w:lineRule="auto" w:before="137"/>
        <w:ind w:right="94" w:firstLine="360"/>
        <w:jc w:val="left"/>
      </w:pP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10</w:t>
      </w:r>
      <w:r>
        <w:rPr>
          <w:spacing w:val="-5"/>
        </w:rPr>
        <w:t>日，公司第五届董事会第十五次会议审议通过了《关于调整股票期权激励计划激励对象和期权数量的议案》，</w:t>
      </w:r>
      <w:r>
        <w:rPr/>
        <w:t> </w:t>
      </w:r>
      <w:r>
        <w:rPr>
          <w:spacing w:val="-2"/>
        </w:rPr>
        <w:t>因</w:t>
      </w:r>
      <w:r>
        <w:rPr>
          <w:rFonts w:ascii="宋体" w:hAnsi="宋体" w:cs="宋体" w:eastAsia="宋体" w:hint="default"/>
          <w:spacing w:val="-2"/>
        </w:rPr>
        <w:t>5</w:t>
      </w:r>
      <w:r>
        <w:rPr>
          <w:spacing w:val="-2"/>
        </w:rPr>
        <w:t>名激励对象离职，</w:t>
      </w:r>
      <w:r>
        <w:rPr>
          <w:rFonts w:ascii="宋体" w:hAnsi="宋体" w:cs="宋体" w:eastAsia="宋体" w:hint="default"/>
          <w:spacing w:val="-2"/>
        </w:rPr>
        <w:t>3</w:t>
      </w:r>
      <w:r>
        <w:rPr>
          <w:spacing w:val="-2"/>
        </w:rPr>
        <w:t>名激励对象考核不合格，不再满足成为激励对象的条件，公司对激励对象进行相应的调整，激励对象</w:t>
      </w:r>
      <w:r>
        <w:rPr>
          <w:spacing w:val="-62"/>
        </w:rPr>
        <w:t> </w:t>
      </w:r>
      <w:r>
        <w:rPr>
          <w:spacing w:val="-62"/>
        </w:rPr>
      </w:r>
      <w:r>
        <w:rPr/>
        <w:t>由</w:t>
      </w:r>
      <w:r>
        <w:rPr>
          <w:rFonts w:ascii="宋体" w:hAnsi="宋体" w:cs="宋体" w:eastAsia="宋体" w:hint="default"/>
        </w:rPr>
        <w:t>343</w:t>
      </w:r>
      <w:r>
        <w:rPr/>
        <w:t>名调整为</w:t>
      </w:r>
      <w:r>
        <w:rPr>
          <w:rFonts w:ascii="宋体" w:hAnsi="宋体" w:cs="宋体" w:eastAsia="宋体" w:hint="default"/>
        </w:rPr>
        <w:t>335</w:t>
      </w:r>
      <w:r>
        <w:rPr/>
        <w:t>名，期权数量由</w:t>
      </w:r>
      <w:r>
        <w:rPr>
          <w:rFonts w:ascii="宋体" w:hAnsi="宋体" w:cs="宋体" w:eastAsia="宋体" w:hint="default"/>
        </w:rPr>
        <w:t>1148.576</w:t>
      </w:r>
      <w:r>
        <w:rPr/>
        <w:t>万份变更为</w:t>
      </w:r>
      <w:r>
        <w:rPr>
          <w:rFonts w:ascii="宋体" w:hAnsi="宋体" w:cs="宋体" w:eastAsia="宋体" w:hint="default"/>
        </w:rPr>
        <w:t>1132.456</w:t>
      </w:r>
      <w:r>
        <w:rPr/>
        <w:t>万份。</w:t>
      </w:r>
    </w:p>
    <w:p>
      <w:pPr>
        <w:pStyle w:val="BodyText"/>
        <w:spacing w:line="316" w:lineRule="auto" w:before="138"/>
        <w:ind w:right="187" w:firstLine="360"/>
        <w:jc w:val="both"/>
        <w:rPr>
          <w:rFonts w:ascii="宋体" w:hAnsi="宋体" w:cs="宋体" w:eastAsia="宋体" w:hint="default"/>
        </w:rPr>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21</w:t>
      </w:r>
      <w:r>
        <w:rPr/>
        <w:t>日，经公司董事会申请、深圳证券交易所确认，中国证券登记结算有限责任公司深圳分公司核准登记，公 </w:t>
      </w:r>
      <w:r>
        <w:rPr>
          <w:spacing w:val="-3"/>
        </w:rPr>
        <w:t>司对提出股权激励第三个行权期行权申请的</w:t>
      </w:r>
      <w:r>
        <w:rPr>
          <w:rFonts w:ascii="宋体" w:hAnsi="宋体" w:cs="宋体" w:eastAsia="宋体" w:hint="default"/>
          <w:spacing w:val="-3"/>
        </w:rPr>
        <w:t>333</w:t>
      </w:r>
      <w:r>
        <w:rPr>
          <w:spacing w:val="-3"/>
        </w:rPr>
        <w:t>名激励对象的</w:t>
      </w:r>
      <w:r>
        <w:rPr>
          <w:rFonts w:ascii="宋体" w:hAnsi="宋体" w:cs="宋体" w:eastAsia="宋体" w:hint="default"/>
          <w:spacing w:val="-3"/>
        </w:rPr>
        <w:t>566.228</w:t>
      </w:r>
      <w:r>
        <w:rPr>
          <w:spacing w:val="-3"/>
        </w:rPr>
        <w:t>万份股票期权予以行权，并于</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日上市。</w:t>
      </w:r>
      <w:r>
        <w:rPr>
          <w:rFonts w:ascii="宋体" w:hAnsi="宋体" w:cs="宋体" w:eastAsia="宋体" w:hint="default"/>
          <w:spacing w:val="-3"/>
        </w:rPr>
        <w:t>2014</w:t>
      </w:r>
    </w:p>
    <w:p>
      <w:pPr>
        <w:spacing w:after="0" w:line="316" w:lineRule="auto"/>
        <w:jc w:val="both"/>
        <w:rPr>
          <w:rFonts w:ascii="宋体" w:hAnsi="宋体" w:cs="宋体" w:eastAsia="宋体" w:hint="default"/>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t>年</w:t>
      </w:r>
      <w:r>
        <w:rPr>
          <w:rFonts w:ascii="宋体" w:hAnsi="宋体" w:cs="宋体" w:eastAsia="宋体" w:hint="default"/>
        </w:rPr>
        <w:t>8</w:t>
      </w:r>
      <w:r>
        <w:rPr/>
        <w:t>月</w:t>
      </w:r>
      <w:r>
        <w:rPr>
          <w:rFonts w:ascii="宋体" w:hAnsi="宋体" w:cs="宋体" w:eastAsia="宋体" w:hint="default"/>
        </w:rPr>
        <w:t>15</w:t>
      </w:r>
      <w:r>
        <w:rPr/>
        <w:t>日，公司第五届董事会第十一次会议审议通过了《关于调整股票期权激励计划期权数量和行权价格的议案》，因实</w:t>
      </w:r>
      <w:r>
        <w:rPr>
          <w:spacing w:val="-85"/>
        </w:rPr>
        <w:t> </w:t>
      </w:r>
      <w:r>
        <w:rPr>
          <w:spacing w:val="-85"/>
        </w:rPr>
      </w:r>
      <w:r>
        <w:rPr/>
        <w:t>施</w:t>
      </w:r>
      <w:r>
        <w:rPr>
          <w:rFonts w:ascii="宋体" w:hAnsi="宋体" w:cs="宋体" w:eastAsia="宋体" w:hint="default"/>
        </w:rPr>
        <w:t>2013</w:t>
      </w:r>
      <w:r>
        <w:rPr/>
        <w:t>年度利润分配方案，授予激励对象的尚未行权股票期权激励总数调整为</w:t>
      </w:r>
      <w:r>
        <w:rPr>
          <w:rFonts w:ascii="宋体" w:hAnsi="宋体" w:cs="宋体" w:eastAsia="宋体" w:hint="default"/>
        </w:rPr>
        <w:t>1,185.366</w:t>
      </w:r>
      <w:r>
        <w:rPr/>
        <w:t>万份，行权价格调整为</w:t>
      </w:r>
      <w:r>
        <w:rPr>
          <w:rFonts w:ascii="宋体" w:hAnsi="宋体" w:cs="宋体" w:eastAsia="宋体" w:hint="default"/>
        </w:rPr>
        <w:t>8.03</w:t>
      </w:r>
      <w:r>
        <w:rPr/>
        <w:t>元</w:t>
      </w:r>
      <w:r>
        <w:rPr>
          <w:rFonts w:ascii="宋体" w:hAnsi="宋体" w:cs="宋体" w:eastAsia="宋体" w:hint="default"/>
        </w:rPr>
        <w:t>/</w:t>
      </w:r>
      <w:r>
        <w:rPr/>
        <w:t>股。</w:t>
      </w:r>
    </w:p>
    <w:p>
      <w:pPr>
        <w:pStyle w:val="BodyText"/>
        <w:spacing w:line="316" w:lineRule="auto" w:before="137"/>
        <w:ind w:right="191" w:firstLine="360"/>
        <w:jc w:val="both"/>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21</w:t>
      </w:r>
      <w:r>
        <w:rPr/>
        <w:t>日，公司</w:t>
      </w:r>
      <w:r>
        <w:rPr>
          <w:rFonts w:ascii="宋体" w:hAnsi="宋体" w:cs="宋体" w:eastAsia="宋体" w:hint="default"/>
        </w:rPr>
        <w:t>2014</w:t>
      </w:r>
      <w:r>
        <w:rPr/>
        <w:t>年年度股东大会审议通过了《</w:t>
      </w:r>
      <w:r>
        <w:rPr>
          <w:rFonts w:ascii="宋体" w:hAnsi="宋体" w:cs="宋体" w:eastAsia="宋体" w:hint="default"/>
        </w:rPr>
        <w:t>2014</w:t>
      </w:r>
      <w:r>
        <w:rPr/>
        <w:t>年度利润分配方案》，以公司现有总股本</w:t>
      </w:r>
      <w:r>
        <w:rPr>
          <w:rFonts w:ascii="宋体" w:hAnsi="宋体" w:cs="宋体" w:eastAsia="宋体" w:hint="default"/>
        </w:rPr>
        <w:t>1,527,454,795 </w:t>
      </w:r>
      <w:r>
        <w:rPr/>
        <w:t>为基数，向全体股东每 </w:t>
      </w:r>
      <w:r>
        <w:rPr>
          <w:rFonts w:ascii="宋体" w:hAnsi="宋体" w:cs="宋体" w:eastAsia="宋体" w:hint="default"/>
        </w:rPr>
        <w:t>10 </w:t>
      </w:r>
      <w:r>
        <w:rPr/>
        <w:t>股派 </w:t>
      </w:r>
      <w:r>
        <w:rPr>
          <w:rFonts w:ascii="宋体" w:hAnsi="宋体" w:cs="宋体" w:eastAsia="宋体" w:hint="default"/>
        </w:rPr>
        <w:t>1.5</w:t>
      </w:r>
      <w:r>
        <w:rPr>
          <w:rFonts w:ascii="宋体" w:hAnsi="宋体" w:cs="宋体" w:eastAsia="宋体" w:hint="default"/>
          <w:spacing w:val="23"/>
        </w:rPr>
        <w:t> </w:t>
      </w:r>
      <w:r>
        <w:rPr>
          <w:spacing w:val="-3"/>
        </w:rPr>
        <w:t>元人民币现金（含税），送红股</w:t>
      </w:r>
      <w:r>
        <w:rPr>
          <w:rFonts w:ascii="宋体" w:hAnsi="宋体" w:cs="宋体" w:eastAsia="宋体" w:hint="default"/>
          <w:spacing w:val="-3"/>
        </w:rPr>
        <w:t>0</w:t>
      </w:r>
      <w:r>
        <w:rPr>
          <w:spacing w:val="-3"/>
        </w:rPr>
        <w:t>股（含税），不以资本公积金转增股本。公司本次权</w:t>
      </w:r>
      <w:r>
        <w:rPr/>
        <w:t> 益分派股权登记日为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日，除权除息日为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日。公司本次权益分派方案已于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日实施完毕。 根据公司《股票期权激励计划（草案）修订稿》第 </w:t>
      </w:r>
      <w:r>
        <w:rPr>
          <w:rFonts w:ascii="宋体" w:hAnsi="宋体" w:cs="宋体" w:eastAsia="宋体" w:hint="default"/>
        </w:rPr>
        <w:t>5</w:t>
      </w:r>
      <w:r>
        <w:rPr>
          <w:rFonts w:ascii="宋体" w:hAnsi="宋体" w:cs="宋体" w:eastAsia="宋体" w:hint="default"/>
          <w:spacing w:val="4"/>
        </w:rPr>
        <w:t> </w:t>
      </w:r>
      <w:r>
        <w:rPr/>
        <w:t>条规定，公司</w:t>
      </w:r>
      <w:r>
        <w:rPr>
          <w:rFonts w:ascii="宋体" w:hAnsi="宋体" w:cs="宋体" w:eastAsia="宋体" w:hint="default"/>
        </w:rPr>
        <w:t>2014</w:t>
      </w:r>
      <w:r>
        <w:rPr/>
        <w:t>年年度权益分派方案实施之后，行权价格将根据派 息公式</w:t>
      </w:r>
      <w:r>
        <w:rPr>
          <w:rFonts w:ascii="宋体" w:hAnsi="宋体" w:cs="宋体" w:eastAsia="宋体" w:hint="default"/>
        </w:rPr>
        <w:t>P</w:t>
      </w:r>
      <w:r>
        <w:rPr/>
        <w:t>＝</w:t>
      </w:r>
      <w:r>
        <w:rPr>
          <w:rFonts w:ascii="宋体" w:hAnsi="宋体" w:cs="宋体" w:eastAsia="宋体" w:hint="default"/>
        </w:rPr>
        <w:t>P0</w:t>
      </w:r>
      <w:r>
        <w:rPr/>
        <w:t>－</w:t>
      </w:r>
      <w:r>
        <w:rPr>
          <w:rFonts w:ascii="宋体" w:hAnsi="宋体" w:cs="宋体" w:eastAsia="宋体" w:hint="default"/>
        </w:rPr>
        <w:t>V</w:t>
      </w:r>
      <w:r>
        <w:rPr/>
        <w:t>进行调整，据此，调整后的股票期权行权价格应为</w:t>
      </w:r>
      <w:r>
        <w:rPr>
          <w:rFonts w:ascii="宋体" w:hAnsi="宋体" w:cs="宋体" w:eastAsia="宋体" w:hint="default"/>
        </w:rPr>
        <w:t>7.88</w:t>
      </w:r>
      <w:r>
        <w:rPr/>
        <w:t>元</w:t>
      </w:r>
      <w:r>
        <w:rPr>
          <w:rFonts w:ascii="宋体" w:hAnsi="宋体" w:cs="宋体" w:eastAsia="宋体" w:hint="default"/>
        </w:rPr>
        <w:t>/</w:t>
      </w:r>
      <w:r>
        <w:rPr/>
        <w:t>股。</w:t>
      </w:r>
    </w:p>
    <w:p>
      <w:pPr>
        <w:pStyle w:val="BodyText"/>
        <w:spacing w:line="316" w:lineRule="auto" w:before="139"/>
        <w:ind w:right="184" w:firstLine="360"/>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21</w:t>
      </w:r>
      <w:r>
        <w:rPr/>
        <w:t>日，经公司董事会申请、深圳证券交易所确认，中国证券登记结算有限责任公司深圳分公司核准登记，公 司董事郑晓清女士、副总裁董国勇先生申请行权，行权数量</w:t>
      </w:r>
      <w:r>
        <w:rPr>
          <w:rFonts w:ascii="宋体" w:hAnsi="宋体" w:cs="宋体" w:eastAsia="宋体" w:hint="default"/>
        </w:rPr>
        <w:t>7.28</w:t>
      </w:r>
      <w:r>
        <w:rPr/>
        <w:t>万份，并于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w:t>
      </w:r>
      <w:r>
        <w:rPr/>
        <w:t>日上市。</w:t>
      </w:r>
    </w:p>
    <w:p>
      <w:pPr>
        <w:pStyle w:val="BodyText"/>
        <w:spacing w:line="439" w:lineRule="auto" w:before="139"/>
        <w:ind w:left="784" w:right="4774" w:hanging="272"/>
        <w:jc w:val="left"/>
      </w:pPr>
      <w:r>
        <w:rPr/>
        <w:t>股票期权激励计划有效期为授予股票期权的授权日起五年。 </w:t>
      </w:r>
      <w:r>
        <w:rPr>
          <w:rFonts w:ascii="宋体" w:hAnsi="宋体" w:cs="宋体" w:eastAsia="宋体" w:hint="default"/>
        </w:rPr>
        <w:t>4</w:t>
      </w:r>
      <w:r>
        <w:rPr/>
        <w:t>、股权期权激励计划行权情况</w:t>
      </w:r>
    </w:p>
    <w:p>
      <w:pPr>
        <w:pStyle w:val="BodyText"/>
        <w:spacing w:line="316" w:lineRule="auto" w:before="47"/>
        <w:ind w:right="94" w:firstLine="360"/>
        <w:jc w:val="left"/>
      </w:pPr>
      <w:r>
        <w:rPr/>
        <w:t>本激励计划授予的股票期权自授权日起满</w:t>
      </w:r>
      <w:r>
        <w:rPr>
          <w:rFonts w:ascii="宋体" w:hAnsi="宋体" w:cs="宋体" w:eastAsia="宋体" w:hint="default"/>
        </w:rPr>
        <w:t>12</w:t>
      </w:r>
      <w:r>
        <w:rPr/>
        <w:t>个月后可以开始行权，激励对象应按本激励计划规定的行权比例分期行权。 </w:t>
      </w:r>
      <w:r>
        <w:rPr>
          <w:spacing w:val="-2"/>
        </w:rPr>
        <w:t>本次次授予的股票期权计划分四次行权，截止本报告出具日，公司股权激励已实施完毕第一期、第二期和第三期行权，具体</w:t>
      </w:r>
      <w:r>
        <w:rPr>
          <w:spacing w:val="-64"/>
        </w:rPr>
        <w:t> </w:t>
      </w:r>
      <w:r>
        <w:rPr>
          <w:spacing w:val="-64"/>
        </w:rPr>
      </w:r>
      <w:r>
        <w:rPr/>
        <w:t>情况如下：</w:t>
      </w:r>
    </w:p>
    <w:p>
      <w:pPr>
        <w:spacing w:line="240" w:lineRule="auto" w:before="5"/>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1136"/>
        <w:gridCol w:w="2708"/>
        <w:gridCol w:w="1402"/>
        <w:gridCol w:w="3843"/>
      </w:tblGrid>
      <w:tr>
        <w:trPr>
          <w:trHeight w:val="659" w:hRule="exact"/>
        </w:trPr>
        <w:tc>
          <w:tcPr>
            <w:tcW w:w="11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270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40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316" w:lineRule="auto" w:before="13"/>
              <w:ind w:left="62" w:right="59"/>
              <w:jc w:val="left"/>
              <w:rPr>
                <w:rFonts w:ascii="宋体" w:hAnsi="宋体" w:cs="宋体" w:eastAsia="宋体" w:hint="default"/>
                <w:sz w:val="18"/>
                <w:szCs w:val="18"/>
              </w:rPr>
            </w:pPr>
            <w:r>
              <w:rPr>
                <w:rFonts w:ascii="宋体" w:hAnsi="宋体" w:cs="宋体" w:eastAsia="宋体" w:hint="default"/>
                <w:sz w:val="18"/>
                <w:szCs w:val="18"/>
              </w:rPr>
              <w:t>可行权数量占获 授期权数量比例</w:t>
            </w:r>
          </w:p>
        </w:tc>
        <w:tc>
          <w:tcPr>
            <w:tcW w:w="3843"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行权情况</w:t>
            </w:r>
          </w:p>
        </w:tc>
      </w:tr>
      <w:tr>
        <w:trPr>
          <w:trHeight w:val="976" w:hRule="exact"/>
        </w:trPr>
        <w:tc>
          <w:tcPr>
            <w:tcW w:w="11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right="29"/>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270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9"/>
              <w:ind w:right="166"/>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12</w:t>
            </w:r>
            <w:r>
              <w:rPr>
                <w:rFonts w:ascii="宋体" w:hAnsi="宋体" w:cs="宋体" w:eastAsia="宋体" w:hint="default"/>
                <w:sz w:val="18"/>
                <w:szCs w:val="18"/>
              </w:rPr>
              <w:t>个月后的首个交易 日起至授权日起</w:t>
            </w:r>
            <w:r>
              <w:rPr>
                <w:rFonts w:ascii="宋体" w:hAnsi="宋体" w:cs="宋体" w:eastAsia="宋体" w:hint="default"/>
                <w:sz w:val="18"/>
                <w:szCs w:val="18"/>
              </w:rPr>
              <w:t>24</w:t>
            </w:r>
            <w:r>
              <w:rPr>
                <w:rFonts w:ascii="宋体" w:hAnsi="宋体" w:cs="宋体" w:eastAsia="宋体" w:hint="default"/>
                <w:sz w:val="18"/>
                <w:szCs w:val="18"/>
              </w:rPr>
              <w:t>个月内的最后 一个交易日当日止。</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4" w:right="0"/>
              <w:jc w:val="center"/>
              <w:rPr>
                <w:rFonts w:ascii="宋体" w:hAnsi="宋体" w:cs="宋体" w:eastAsia="宋体" w:hint="default"/>
                <w:sz w:val="18"/>
                <w:szCs w:val="18"/>
              </w:rPr>
            </w:pPr>
            <w:r>
              <w:rPr>
                <w:rFonts w:ascii="宋体"/>
                <w:sz w:val="18"/>
              </w:rPr>
              <w:t>30%</w:t>
            </w:r>
          </w:p>
        </w:tc>
        <w:tc>
          <w:tcPr>
            <w:tcW w:w="38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9"/>
              <w:ind w:left="2" w:right="-1"/>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r>
              <w:rPr>
                <w:rFonts w:ascii="宋体" w:hAnsi="宋体" w:cs="宋体" w:eastAsia="宋体" w:hint="default"/>
                <w:sz w:val="18"/>
                <w:szCs w:val="18"/>
              </w:rPr>
              <w:t>4,336,410</w:t>
            </w:r>
            <w:r>
              <w:rPr>
                <w:rFonts w:ascii="宋体" w:hAnsi="宋体" w:cs="宋体" w:eastAsia="宋体" w:hint="default"/>
                <w:sz w:val="18"/>
                <w:szCs w:val="18"/>
              </w:rPr>
              <w:t>份股票权期权流通上 </w:t>
            </w:r>
            <w:r>
              <w:rPr>
                <w:rFonts w:ascii="宋体" w:hAnsi="宋体" w:cs="宋体" w:eastAsia="宋体" w:hint="default"/>
                <w:spacing w:val="-5"/>
                <w:sz w:val="18"/>
                <w:szCs w:val="18"/>
              </w:rPr>
              <w:t>市，涉及激励对象</w:t>
            </w:r>
            <w:r>
              <w:rPr>
                <w:rFonts w:ascii="宋体" w:hAnsi="宋体" w:cs="宋体" w:eastAsia="宋体" w:hint="default"/>
                <w:spacing w:val="-5"/>
                <w:sz w:val="18"/>
                <w:szCs w:val="18"/>
              </w:rPr>
              <w:t>342</w:t>
            </w:r>
            <w:r>
              <w:rPr>
                <w:rFonts w:ascii="宋体" w:hAnsi="宋体" w:cs="宋体" w:eastAsia="宋体" w:hint="default"/>
                <w:spacing w:val="-5"/>
                <w:sz w:val="18"/>
                <w:szCs w:val="18"/>
              </w:rPr>
              <w:t>名；</w:t>
            </w:r>
            <w:r>
              <w:rPr>
                <w:rFonts w:ascii="宋体" w:hAnsi="宋体" w:cs="宋体" w:eastAsia="宋体" w:hint="default"/>
                <w:spacing w:val="-5"/>
                <w:sz w:val="18"/>
                <w:szCs w:val="18"/>
              </w:rPr>
              <w:t>2014</w:t>
            </w:r>
            <w:r>
              <w:rPr>
                <w:rFonts w:ascii="宋体" w:hAnsi="宋体" w:cs="宋体" w:eastAsia="宋体" w:hint="default"/>
                <w:spacing w:val="-5"/>
                <w:sz w:val="18"/>
                <w:szCs w:val="18"/>
              </w:rPr>
              <w:t>年</w:t>
            </w:r>
            <w:r>
              <w:rPr>
                <w:rFonts w:ascii="宋体" w:hAnsi="宋体" w:cs="宋体" w:eastAsia="宋体" w:hint="default"/>
                <w:spacing w:val="-5"/>
                <w:sz w:val="18"/>
                <w:szCs w:val="18"/>
              </w:rPr>
              <w:t>1</w:t>
            </w:r>
            <w:r>
              <w:rPr>
                <w:rFonts w:ascii="宋体" w:hAnsi="宋体" w:cs="宋体" w:eastAsia="宋体" w:hint="default"/>
                <w:spacing w:val="-5"/>
                <w:sz w:val="18"/>
                <w:szCs w:val="18"/>
              </w:rPr>
              <w:t>月</w:t>
            </w:r>
            <w:r>
              <w:rPr>
                <w:rFonts w:ascii="宋体" w:hAnsi="宋体" w:cs="宋体" w:eastAsia="宋体" w:hint="default"/>
                <w:spacing w:val="-5"/>
                <w:sz w:val="18"/>
                <w:szCs w:val="18"/>
              </w:rPr>
              <w:t>18</w:t>
            </w:r>
            <w:r>
              <w:rPr>
                <w:rFonts w:ascii="宋体" w:hAnsi="宋体" w:cs="宋体" w:eastAsia="宋体" w:hint="default"/>
                <w:spacing w:val="-5"/>
                <w:sz w:val="18"/>
                <w:szCs w:val="18"/>
              </w:rPr>
              <w:t>日，</w:t>
            </w:r>
            <w:r>
              <w:rPr>
                <w:rFonts w:ascii="宋体" w:hAnsi="宋体" w:cs="宋体" w:eastAsia="宋体" w:hint="default"/>
                <w:spacing w:val="-5"/>
                <w:sz w:val="18"/>
                <w:szCs w:val="18"/>
              </w:rPr>
              <w:t>31,200</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份股份期权流通上市，涉及激励对象</w:t>
            </w:r>
            <w:r>
              <w:rPr>
                <w:rFonts w:ascii="宋体" w:hAnsi="宋体" w:cs="宋体" w:eastAsia="宋体" w:hint="default"/>
                <w:sz w:val="18"/>
                <w:szCs w:val="18"/>
              </w:rPr>
              <w:t>1</w:t>
            </w:r>
            <w:r>
              <w:rPr>
                <w:rFonts w:ascii="宋体" w:hAnsi="宋体" w:cs="宋体" w:eastAsia="宋体" w:hint="default"/>
                <w:sz w:val="18"/>
                <w:szCs w:val="18"/>
              </w:rPr>
              <w:t>名。</w:t>
            </w:r>
          </w:p>
        </w:tc>
      </w:tr>
      <w:tr>
        <w:trPr>
          <w:trHeight w:val="977"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29"/>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270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66"/>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24</w:t>
            </w:r>
            <w:r>
              <w:rPr>
                <w:rFonts w:ascii="宋体" w:hAnsi="宋体" w:cs="宋体" w:eastAsia="宋体" w:hint="default"/>
                <w:sz w:val="18"/>
                <w:szCs w:val="18"/>
              </w:rPr>
              <w:t>个月后的首个交易 日起至授权日起</w:t>
            </w:r>
            <w:r>
              <w:rPr>
                <w:rFonts w:ascii="宋体" w:hAnsi="宋体" w:cs="宋体" w:eastAsia="宋体" w:hint="default"/>
                <w:sz w:val="18"/>
                <w:szCs w:val="18"/>
              </w:rPr>
              <w:t>36</w:t>
            </w:r>
            <w:r>
              <w:rPr>
                <w:rFonts w:ascii="宋体" w:hAnsi="宋体" w:cs="宋体" w:eastAsia="宋体" w:hint="default"/>
                <w:sz w:val="18"/>
                <w:szCs w:val="18"/>
              </w:rPr>
              <w:t>个月内的最后 一个交易日当日止。</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30%</w:t>
            </w:r>
          </w:p>
        </w:tc>
        <w:tc>
          <w:tcPr>
            <w:tcW w:w="384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4,264,260</w:t>
            </w:r>
            <w:r>
              <w:rPr>
                <w:rFonts w:ascii="宋体" w:hAnsi="宋体" w:cs="宋体" w:eastAsia="宋体" w:hint="default"/>
                <w:sz w:val="18"/>
                <w:szCs w:val="18"/>
              </w:rPr>
              <w:t>份股票权期权流通上 </w:t>
            </w:r>
            <w:r>
              <w:rPr>
                <w:rFonts w:ascii="宋体" w:hAnsi="宋体" w:cs="宋体" w:eastAsia="宋体" w:hint="default"/>
                <w:spacing w:val="-5"/>
                <w:sz w:val="18"/>
                <w:szCs w:val="18"/>
              </w:rPr>
              <w:t>市，涉及激励对象</w:t>
            </w:r>
            <w:r>
              <w:rPr>
                <w:rFonts w:ascii="宋体" w:hAnsi="宋体" w:cs="宋体" w:eastAsia="宋体" w:hint="default"/>
                <w:spacing w:val="-5"/>
                <w:sz w:val="18"/>
                <w:szCs w:val="18"/>
              </w:rPr>
              <w:t>339</w:t>
            </w:r>
            <w:r>
              <w:rPr>
                <w:rFonts w:ascii="宋体" w:hAnsi="宋体" w:cs="宋体" w:eastAsia="宋体" w:hint="default"/>
                <w:spacing w:val="-5"/>
                <w:sz w:val="18"/>
                <w:szCs w:val="18"/>
              </w:rPr>
              <w:t>名；</w:t>
            </w:r>
            <w:r>
              <w:rPr>
                <w:rFonts w:ascii="宋体" w:hAnsi="宋体" w:cs="宋体" w:eastAsia="宋体" w:hint="default"/>
                <w:spacing w:val="-5"/>
                <w:sz w:val="18"/>
                <w:szCs w:val="18"/>
              </w:rPr>
              <w:t>2015</w:t>
            </w:r>
            <w:r>
              <w:rPr>
                <w:rFonts w:ascii="宋体" w:hAnsi="宋体" w:cs="宋体" w:eastAsia="宋体" w:hint="default"/>
                <w:spacing w:val="-5"/>
                <w:sz w:val="18"/>
                <w:szCs w:val="18"/>
              </w:rPr>
              <w:t>年</w:t>
            </w:r>
            <w:r>
              <w:rPr>
                <w:rFonts w:ascii="宋体" w:hAnsi="宋体" w:cs="宋体" w:eastAsia="宋体" w:hint="default"/>
                <w:spacing w:val="-5"/>
                <w:sz w:val="18"/>
                <w:szCs w:val="18"/>
              </w:rPr>
              <w:t>1</w:t>
            </w:r>
            <w:r>
              <w:rPr>
                <w:rFonts w:ascii="宋体" w:hAnsi="宋体" w:cs="宋体" w:eastAsia="宋体" w:hint="default"/>
                <w:spacing w:val="-5"/>
                <w:sz w:val="18"/>
                <w:szCs w:val="18"/>
              </w:rPr>
              <w:t>月</w:t>
            </w:r>
            <w:r>
              <w:rPr>
                <w:rFonts w:ascii="宋体" w:hAnsi="宋体" w:cs="宋体" w:eastAsia="宋体" w:hint="default"/>
                <w:spacing w:val="-5"/>
                <w:sz w:val="18"/>
                <w:szCs w:val="18"/>
              </w:rPr>
              <w:t>15</w:t>
            </w:r>
            <w:r>
              <w:rPr>
                <w:rFonts w:ascii="宋体" w:hAnsi="宋体" w:cs="宋体" w:eastAsia="宋体" w:hint="default"/>
                <w:spacing w:val="-5"/>
                <w:sz w:val="18"/>
                <w:szCs w:val="18"/>
              </w:rPr>
              <w:t>日，</w:t>
            </w:r>
            <w:r>
              <w:rPr>
                <w:rFonts w:ascii="宋体" w:hAnsi="宋体" w:cs="宋体" w:eastAsia="宋体" w:hint="default"/>
                <w:spacing w:val="-5"/>
                <w:sz w:val="18"/>
                <w:szCs w:val="18"/>
              </w:rPr>
              <w:t>62,400</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份股份期权流通上市，涉及激励对象</w:t>
            </w:r>
            <w:r>
              <w:rPr>
                <w:rFonts w:ascii="宋体" w:hAnsi="宋体" w:cs="宋体" w:eastAsia="宋体" w:hint="default"/>
                <w:sz w:val="18"/>
                <w:szCs w:val="18"/>
              </w:rPr>
              <w:t>1</w:t>
            </w:r>
            <w:r>
              <w:rPr>
                <w:rFonts w:ascii="宋体" w:hAnsi="宋体" w:cs="宋体" w:eastAsia="宋体" w:hint="default"/>
                <w:sz w:val="18"/>
                <w:szCs w:val="18"/>
              </w:rPr>
              <w:t>名。</w:t>
            </w:r>
          </w:p>
        </w:tc>
      </w:tr>
      <w:tr>
        <w:trPr>
          <w:trHeight w:val="977"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2708"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7"/>
              <w:ind w:right="166"/>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36</w:t>
            </w:r>
            <w:r>
              <w:rPr>
                <w:rFonts w:ascii="宋体" w:hAnsi="宋体" w:cs="宋体" w:eastAsia="宋体" w:hint="default"/>
                <w:sz w:val="18"/>
                <w:szCs w:val="18"/>
              </w:rPr>
              <w:t>个月后的首个交易 日起至授权日起</w:t>
            </w:r>
            <w:r>
              <w:rPr>
                <w:rFonts w:ascii="宋体" w:hAnsi="宋体" w:cs="宋体" w:eastAsia="宋体" w:hint="default"/>
                <w:sz w:val="18"/>
                <w:szCs w:val="18"/>
              </w:rPr>
              <w:t>48</w:t>
            </w:r>
            <w:r>
              <w:rPr>
                <w:rFonts w:ascii="宋体" w:hAnsi="宋体" w:cs="宋体" w:eastAsia="宋体" w:hint="default"/>
                <w:sz w:val="18"/>
                <w:szCs w:val="18"/>
              </w:rPr>
              <w:t>个月内的最后 一个交易日当日止。</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w:t>
            </w:r>
          </w:p>
        </w:tc>
        <w:tc>
          <w:tcPr>
            <w:tcW w:w="3843"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7"/>
              <w:ind w:left="2" w:right="-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r>
              <w:rPr>
                <w:rFonts w:ascii="宋体" w:hAnsi="宋体" w:cs="宋体" w:eastAsia="宋体" w:hint="default"/>
                <w:sz w:val="18"/>
                <w:szCs w:val="18"/>
              </w:rPr>
              <w:t>5,589,480</w:t>
            </w:r>
            <w:r>
              <w:rPr>
                <w:rFonts w:ascii="宋体" w:hAnsi="宋体" w:cs="宋体" w:eastAsia="宋体" w:hint="default"/>
                <w:sz w:val="18"/>
                <w:szCs w:val="18"/>
              </w:rPr>
              <w:t>份股票权期权流通上 </w:t>
            </w:r>
            <w:r>
              <w:rPr>
                <w:rFonts w:ascii="宋体" w:hAnsi="宋体" w:cs="宋体" w:eastAsia="宋体" w:hint="default"/>
                <w:spacing w:val="-5"/>
                <w:sz w:val="18"/>
                <w:szCs w:val="18"/>
              </w:rPr>
              <w:t>市，涉及激励对象</w:t>
            </w:r>
            <w:r>
              <w:rPr>
                <w:rFonts w:ascii="宋体" w:hAnsi="宋体" w:cs="宋体" w:eastAsia="宋体" w:hint="default"/>
                <w:spacing w:val="-5"/>
                <w:sz w:val="18"/>
                <w:szCs w:val="18"/>
              </w:rPr>
              <w:t>333</w:t>
            </w:r>
            <w:r>
              <w:rPr>
                <w:rFonts w:ascii="宋体" w:hAnsi="宋体" w:cs="宋体" w:eastAsia="宋体" w:hint="default"/>
                <w:spacing w:val="-5"/>
                <w:sz w:val="18"/>
                <w:szCs w:val="18"/>
              </w:rPr>
              <w:t>名；</w:t>
            </w:r>
            <w:r>
              <w:rPr>
                <w:rFonts w:ascii="宋体" w:hAnsi="宋体" w:cs="宋体" w:eastAsia="宋体" w:hint="default"/>
                <w:spacing w:val="-5"/>
                <w:sz w:val="18"/>
                <w:szCs w:val="18"/>
              </w:rPr>
              <w:t>2015</w:t>
            </w:r>
            <w:r>
              <w:rPr>
                <w:rFonts w:ascii="宋体" w:hAnsi="宋体" w:cs="宋体" w:eastAsia="宋体" w:hint="default"/>
                <w:spacing w:val="-5"/>
                <w:sz w:val="18"/>
                <w:szCs w:val="18"/>
              </w:rPr>
              <w:t>年</w:t>
            </w:r>
            <w:r>
              <w:rPr>
                <w:rFonts w:ascii="宋体" w:hAnsi="宋体" w:cs="宋体" w:eastAsia="宋体"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5"/>
                <w:sz w:val="18"/>
                <w:szCs w:val="18"/>
              </w:rPr>
              <w:t>3</w:t>
            </w:r>
            <w:r>
              <w:rPr>
                <w:rFonts w:ascii="宋体" w:hAnsi="宋体" w:cs="宋体" w:eastAsia="宋体" w:hint="default"/>
                <w:spacing w:val="-5"/>
                <w:sz w:val="18"/>
                <w:szCs w:val="18"/>
              </w:rPr>
              <w:t>日，</w:t>
            </w:r>
            <w:r>
              <w:rPr>
                <w:rFonts w:ascii="宋体" w:hAnsi="宋体" w:cs="宋体" w:eastAsia="宋体" w:hint="default"/>
                <w:spacing w:val="-5"/>
                <w:sz w:val="18"/>
                <w:szCs w:val="18"/>
              </w:rPr>
              <w:t>72,800</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份股份期权流通上市，涉及激励对象</w:t>
            </w:r>
            <w:r>
              <w:rPr>
                <w:rFonts w:ascii="宋体" w:hAnsi="宋体" w:cs="宋体" w:eastAsia="宋体" w:hint="default"/>
                <w:sz w:val="18"/>
                <w:szCs w:val="18"/>
              </w:rPr>
              <w:t>2</w:t>
            </w:r>
            <w:r>
              <w:rPr>
                <w:rFonts w:ascii="宋体" w:hAnsi="宋体" w:cs="宋体" w:eastAsia="宋体" w:hint="default"/>
                <w:sz w:val="18"/>
                <w:szCs w:val="18"/>
              </w:rPr>
              <w:t>名。</w:t>
            </w:r>
          </w:p>
        </w:tc>
      </w:tr>
      <w:tr>
        <w:trPr>
          <w:trHeight w:val="977" w:hRule="exact"/>
        </w:trPr>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9"/>
              <w:jc w:val="center"/>
              <w:rPr>
                <w:rFonts w:ascii="宋体" w:hAnsi="宋体" w:cs="宋体" w:eastAsia="宋体" w:hint="default"/>
                <w:sz w:val="18"/>
                <w:szCs w:val="18"/>
              </w:rPr>
            </w:pPr>
            <w:r>
              <w:rPr>
                <w:rFonts w:ascii="宋体" w:hAnsi="宋体" w:cs="宋体" w:eastAsia="宋体" w:hint="default"/>
                <w:sz w:val="18"/>
                <w:szCs w:val="18"/>
              </w:rPr>
              <w:t>第四个行权期</w:t>
            </w:r>
          </w:p>
        </w:tc>
        <w:tc>
          <w:tcPr>
            <w:tcW w:w="270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right="166"/>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48</w:t>
            </w:r>
            <w:r>
              <w:rPr>
                <w:rFonts w:ascii="宋体" w:hAnsi="宋体" w:cs="宋体" w:eastAsia="宋体" w:hint="default"/>
                <w:sz w:val="18"/>
                <w:szCs w:val="18"/>
              </w:rPr>
              <w:t>个月后的首个交易 日起至授权日起</w:t>
            </w:r>
            <w:r>
              <w:rPr>
                <w:rFonts w:ascii="宋体" w:hAnsi="宋体" w:cs="宋体" w:eastAsia="宋体" w:hint="default"/>
                <w:sz w:val="18"/>
                <w:szCs w:val="18"/>
              </w:rPr>
              <w:t>60</w:t>
            </w:r>
            <w:r>
              <w:rPr>
                <w:rFonts w:ascii="宋体" w:hAnsi="宋体" w:cs="宋体" w:eastAsia="宋体" w:hint="default"/>
                <w:sz w:val="18"/>
                <w:szCs w:val="18"/>
              </w:rPr>
              <w:t>个月内的最后 一个交易日当日止。</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w:t>
            </w:r>
          </w:p>
        </w:tc>
        <w:tc>
          <w:tcPr>
            <w:tcW w:w="3843"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left="513" w:right="94"/>
        <w:jc w:val="left"/>
      </w:pPr>
      <w:r>
        <w:rPr>
          <w:rFonts w:ascii="宋体" w:hAnsi="宋体" w:cs="宋体" w:eastAsia="宋体" w:hint="default"/>
        </w:rPr>
        <w:t>5</w:t>
      </w:r>
      <w:r>
        <w:rPr/>
        <w:t>、实施股票期权激励计划对公司报告期内及以后各年度财务状况和经营成果的影响</w:t>
      </w:r>
    </w:p>
    <w:p>
      <w:pPr>
        <w:spacing w:line="240" w:lineRule="auto" w:before="0"/>
        <w:rPr>
          <w:rFonts w:ascii="宋体" w:hAnsi="宋体" w:cs="宋体" w:eastAsia="宋体" w:hint="default"/>
          <w:sz w:val="15"/>
          <w:szCs w:val="15"/>
        </w:rPr>
      </w:pPr>
    </w:p>
    <w:p>
      <w:pPr>
        <w:pStyle w:val="BodyText"/>
        <w:spacing w:line="316" w:lineRule="auto"/>
        <w:ind w:right="184" w:firstLine="360"/>
        <w:jc w:val="left"/>
      </w:pPr>
      <w:r>
        <w:rPr/>
        <w:t>根据公司授予的期权数量、确定的授予日（</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日），假设各期可行权的股票期权数量不发生变化，经测算， 预计激励计划实施各期经营业绩的影响如下：</w:t>
      </w:r>
    </w:p>
    <w:p>
      <w:pPr>
        <w:pStyle w:val="BodyText"/>
        <w:spacing w:line="240" w:lineRule="auto" w:before="139"/>
        <w:ind w:left="513" w:right="94"/>
        <w:jc w:val="left"/>
      </w:pPr>
      <w:r>
        <w:rPr/>
        <w:t>单位：万元</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2977"/>
        <w:gridCol w:w="1135"/>
        <w:gridCol w:w="991"/>
        <w:gridCol w:w="1136"/>
        <w:gridCol w:w="1133"/>
        <w:gridCol w:w="1702"/>
      </w:tblGrid>
      <w:tr>
        <w:trPr>
          <w:trHeight w:val="329" w:hRule="exact"/>
        </w:trPr>
        <w:tc>
          <w:tcPr>
            <w:tcW w:w="2977"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9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28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29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对归属于母公司所有者净利润的影响</w:t>
            </w:r>
          </w:p>
        </w:tc>
        <w:tc>
          <w:tcPr>
            <w:tcW w:w="11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3,548.12</w:t>
            </w:r>
          </w:p>
        </w:tc>
        <w:tc>
          <w:tcPr>
            <w:tcW w:w="9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2,029.40</w:t>
            </w:r>
          </w:p>
        </w:tc>
        <w:tc>
          <w:tcPr>
            <w:tcW w:w="11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1,015.33</w:t>
            </w:r>
          </w:p>
        </w:tc>
        <w:tc>
          <w:tcPr>
            <w:tcW w:w="11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287"/>
              <w:jc w:val="right"/>
              <w:rPr>
                <w:rFonts w:ascii="宋体" w:hAnsi="宋体" w:cs="宋体" w:eastAsia="宋体" w:hint="default"/>
                <w:sz w:val="18"/>
                <w:szCs w:val="18"/>
              </w:rPr>
            </w:pPr>
            <w:r>
              <w:rPr>
                <w:rFonts w:ascii="宋体"/>
                <w:spacing w:val="-1"/>
                <w:sz w:val="18"/>
              </w:rPr>
              <w:t>470.73</w:t>
            </w:r>
          </w:p>
        </w:tc>
        <w:tc>
          <w:tcPr>
            <w:tcW w:w="17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7,063.58</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5814"/>
        <w:jc w:val="left"/>
      </w:pPr>
      <w:r>
        <w:rPr/>
        <w:t>□ 适用 √</w:t>
      </w:r>
      <w:r>
        <w:rPr>
          <w:spacing w:val="3"/>
        </w:rPr>
        <w:t> </w:t>
      </w:r>
      <w:r>
        <w:rPr/>
        <w:t>不适用</w:t>
      </w:r>
      <w:r>
        <w:rPr/>
        <w:t> 公司报告期未发生与日常经营相关的关联交易。</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5454"/>
        <w:jc w:val="left"/>
      </w:pPr>
      <w:r>
        <w:rPr/>
        <w:t>□ 适用 √</w:t>
      </w:r>
      <w:r>
        <w:rPr>
          <w:spacing w:val="3"/>
        </w:rPr>
        <w:t> </w:t>
      </w:r>
      <w:r>
        <w:rPr/>
        <w:t>不适用</w:t>
      </w:r>
      <w:r>
        <w:rPr/>
        <w:t> 公司报告期未发生资产或股权收购、出售的关联交易。</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3</w:t>
      </w:r>
      <w:r>
        <w:rPr/>
        <w:t>、共同对外投资的关联交易</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6174"/>
        <w:jc w:val="left"/>
      </w:pPr>
      <w:r>
        <w:rPr/>
        <w:t>□ 适用 √</w:t>
      </w:r>
      <w:r>
        <w:rPr>
          <w:spacing w:val="3"/>
        </w:rPr>
        <w:t> </w:t>
      </w:r>
      <w:r>
        <w:rPr/>
        <w:t>不适用</w:t>
      </w:r>
      <w:r>
        <w:rPr/>
        <w:t> 公司报告期未发生共同对外投资的关联交易。</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4</w:t>
      </w:r>
      <w:r>
        <w:rPr/>
        <w:t>、关联债权债务往来</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714"/>
        <w:jc w:val="left"/>
      </w:pPr>
      <w:r>
        <w:rPr/>
        <w:t>□ 适用 √</w:t>
      </w:r>
      <w:r>
        <w:rPr>
          <w:spacing w:val="3"/>
        </w:rPr>
        <w:t> </w:t>
      </w:r>
      <w:r>
        <w:rPr/>
        <w:t>不适用</w:t>
      </w:r>
      <w:r>
        <w:rPr/>
        <w:t> 公司报告期不存在关联债权债务往来。</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5</w:t>
      </w:r>
      <w:r>
        <w:rPr/>
        <w:t>、其他重大关联交易</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7074"/>
        <w:jc w:val="left"/>
      </w:pPr>
      <w:r>
        <w:rPr/>
        <w:t>□ 适用 √</w:t>
      </w:r>
      <w:r>
        <w:rPr>
          <w:spacing w:val="3"/>
        </w:rPr>
        <w:t> </w:t>
      </w:r>
      <w:r>
        <w:rPr/>
        <w:t>不适用</w:t>
      </w:r>
      <w:r>
        <w:rPr/>
        <w:t> 公司报告期无其他重大关联交易。</w:t>
      </w:r>
    </w:p>
    <w:p>
      <w:pPr>
        <w:spacing w:line="240" w:lineRule="auto" w:before="2"/>
        <w:rPr>
          <w:rFonts w:ascii="宋体" w:hAnsi="宋体" w:cs="宋体" w:eastAsia="宋体" w:hint="default"/>
          <w:sz w:val="18"/>
          <w:szCs w:val="18"/>
        </w:rPr>
      </w:pPr>
    </w:p>
    <w:p>
      <w:pPr>
        <w:pStyle w:val="Heading2"/>
        <w:spacing w:line="240" w:lineRule="auto"/>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、托管、承包、租赁事项情况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）托管情况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公司报告期不存在托管情况。</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2</w:t>
      </w:r>
      <w:r>
        <w:rPr/>
        <w:t>）承包情况</w:t>
      </w:r>
      <w:r>
        <w:rPr>
          <w:b w:val="0"/>
          <w:bCs w:val="0"/>
        </w:rPr>
      </w:r>
    </w:p>
    <w:p>
      <w:pPr>
        <w:spacing w:line="240" w:lineRule="auto" w:before="5"/>
        <w:rPr>
          <w:rFonts w:ascii="宋体" w:hAnsi="宋体" w:cs="宋体" w:eastAsia="宋体" w:hint="default"/>
          <w:b/>
          <w:bCs/>
          <w:sz w:val="27"/>
          <w:szCs w:val="27"/>
        </w:rPr>
      </w:pPr>
    </w:p>
    <w:p>
      <w:pPr>
        <w:pStyle w:val="BodyText"/>
        <w:spacing w:line="360" w:lineRule="auto"/>
        <w:ind w:right="7434"/>
        <w:jc w:val="left"/>
      </w:pPr>
      <w:r>
        <w:rPr/>
        <w:t>□ 适用 √</w:t>
      </w:r>
      <w:r>
        <w:rPr>
          <w:spacing w:val="3"/>
        </w:rPr>
        <w:t> </w:t>
      </w:r>
      <w:r>
        <w:rPr/>
        <w:t>不适用</w:t>
      </w:r>
      <w:r>
        <w:rPr/>
        <w:t> 公司报告期不存在承包情况。</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3</w:t>
      </w:r>
      <w:r>
        <w:rPr/>
        <w:t>）租赁情况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公司报告期不存在租赁情况。</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、重大担保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1</w:t>
      </w:r>
      <w:r>
        <w:rPr/>
        <w:t>）担保情况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218"/>
        <w:gridCol w:w="626"/>
        <w:gridCol w:w="298"/>
        <w:gridCol w:w="1296"/>
        <w:gridCol w:w="816"/>
        <w:gridCol w:w="247"/>
        <w:gridCol w:w="1034"/>
        <w:gridCol w:w="1049"/>
        <w:gridCol w:w="793"/>
        <w:gridCol w:w="780"/>
      </w:tblGrid>
      <w:tr>
        <w:trPr>
          <w:trHeight w:val="401"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4" w:right="27"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5"/>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7" w:right="38" w:hanging="181"/>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19" w:hanging="408"/>
              <w:jc w:val="left"/>
              <w:rPr>
                <w:rFonts w:ascii="宋体" w:hAnsi="宋体" w:cs="宋体" w:eastAsia="宋体" w:hint="default"/>
                <w:sz w:val="18"/>
                <w:szCs w:val="18"/>
              </w:rPr>
            </w:pPr>
            <w:r>
              <w:rPr>
                <w:rFonts w:ascii="宋体" w:hAnsi="宋体" w:cs="宋体" w:eastAsia="宋体" w:hint="default"/>
                <w:spacing w:val="-10"/>
                <w:sz w:val="18"/>
                <w:szCs w:val="18"/>
              </w:rPr>
              <w:t>实际发生日期（协议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签署日）</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4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9"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9,000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3"/>
              <w:jc w:val="left"/>
              <w:rPr>
                <w:rFonts w:ascii="宋体" w:hAnsi="宋体" w:cs="宋体" w:eastAsia="宋体" w:hint="default"/>
                <w:sz w:val="18"/>
                <w:szCs w:val="18"/>
              </w:rPr>
            </w:pPr>
            <w:r>
              <w:rPr>
                <w:rFonts w:ascii="宋体" w:hAnsi="宋体" w:cs="宋体" w:eastAsia="宋体" w:hint="default"/>
                <w:sz w:val="18"/>
                <w:szCs w:val="18"/>
              </w:rPr>
              <w:t>公司北京神州新 桥科技有限公司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6,277.71</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316" w:lineRule="auto" w:before="76"/>
              <w:ind w:left="23" w:right="15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23"/>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4,000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557.5</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316" w:lineRule="auto" w:before="77"/>
              <w:ind w:left="23" w:right="15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5,000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3,000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10,000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1,300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2,000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1,500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1,000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12</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25"/>
        <w:gridCol w:w="1198"/>
        <w:gridCol w:w="639"/>
        <w:gridCol w:w="293"/>
        <w:gridCol w:w="1305"/>
        <w:gridCol w:w="812"/>
        <w:gridCol w:w="217"/>
        <w:gridCol w:w="1061"/>
        <w:gridCol w:w="1056"/>
        <w:gridCol w:w="785"/>
        <w:gridCol w:w="784"/>
      </w:tblGrid>
      <w:tr>
        <w:trPr>
          <w:trHeight w:val="1025"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29"/>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7"/>
              <w:ind w:left="18"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8,000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4,000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12</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2015</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18"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10,000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5,800.73</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2017</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8,000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4.49</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2017</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8"/>
              <w:jc w:val="left"/>
              <w:rPr>
                <w:rFonts w:ascii="宋体" w:hAnsi="宋体" w:cs="宋体" w:eastAsia="宋体" w:hint="default"/>
                <w:sz w:val="18"/>
                <w:szCs w:val="18"/>
              </w:rPr>
            </w:pPr>
            <w:r>
              <w:rPr>
                <w:rFonts w:ascii="宋体" w:hAnsi="宋体" w:cs="宋体" w:eastAsia="宋体" w:hint="default"/>
                <w:sz w:val="18"/>
                <w:szCs w:val="18"/>
              </w:rPr>
              <w:t>北京东华合创科 </w:t>
            </w:r>
            <w:r>
              <w:rPr>
                <w:rFonts w:ascii="宋体" w:hAnsi="宋体" w:cs="宋体" w:eastAsia="宋体" w:hint="default"/>
                <w:spacing w:val="-10"/>
                <w:sz w:val="18"/>
                <w:szCs w:val="18"/>
              </w:rPr>
              <w:t>技有限公司、北京</w:t>
            </w:r>
            <w:r>
              <w:rPr>
                <w:rFonts w:ascii="宋体" w:hAnsi="宋体" w:cs="宋体" w:eastAsia="宋体" w:hint="default"/>
                <w:sz w:val="18"/>
                <w:szCs w:val="18"/>
              </w:rPr>
              <w:t> 神州新桥科技有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18"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8,000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5,734.48</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z w:val="18"/>
              </w:rPr>
              <w:t>9,000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3,000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12</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p>
          <w:p>
            <w:pPr>
              <w:pStyle w:val="TableParagraph"/>
              <w:spacing w:line="316" w:lineRule="auto" w:before="76"/>
              <w:ind w:left="27" w:right="1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1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10,000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10,000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3"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北京威锐达测控 </w:t>
            </w:r>
            <w:r>
              <w:rPr>
                <w:rFonts w:ascii="宋体" w:hAnsi="宋体" w:cs="宋体" w:eastAsia="宋体" w:hint="default"/>
                <w:spacing w:val="-10"/>
                <w:sz w:val="18"/>
                <w:szCs w:val="18"/>
              </w:rPr>
              <w:t>系统有限公司、北</w:t>
            </w:r>
            <w:r>
              <w:rPr>
                <w:rFonts w:ascii="宋体" w:hAnsi="宋体" w:cs="宋体" w:eastAsia="宋体" w:hint="default"/>
                <w:sz w:val="18"/>
                <w:szCs w:val="18"/>
              </w:rPr>
              <w:t> 京东华合创科技 </w:t>
            </w:r>
            <w:r>
              <w:rPr>
                <w:rFonts w:ascii="宋体" w:hAnsi="宋体" w:cs="宋体" w:eastAsia="宋体" w:hint="default"/>
                <w:spacing w:val="-10"/>
                <w:sz w:val="18"/>
                <w:szCs w:val="18"/>
              </w:rPr>
              <w:t>有限公司、北京联</w:t>
            </w:r>
            <w:r>
              <w:rPr>
                <w:rFonts w:ascii="宋体" w:hAnsi="宋体" w:cs="宋体" w:eastAsia="宋体" w:hint="default"/>
                <w:sz w:val="18"/>
                <w:szCs w:val="18"/>
              </w:rPr>
              <w:t> 银通科技有限公 </w:t>
            </w:r>
            <w:r>
              <w:rPr>
                <w:rFonts w:ascii="宋体" w:hAnsi="宋体" w:cs="宋体" w:eastAsia="宋体" w:hint="default"/>
                <w:spacing w:val="-10"/>
                <w:sz w:val="18"/>
                <w:szCs w:val="18"/>
              </w:rPr>
              <w:t>司、北京神州新桥</w:t>
            </w:r>
            <w:r>
              <w:rPr>
                <w:rFonts w:ascii="宋体" w:hAnsi="宋体" w:cs="宋体" w:eastAsia="宋体" w:hint="default"/>
                <w:sz w:val="18"/>
                <w:szCs w:val="18"/>
              </w:rPr>
              <w:t> 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7"/>
              <w:ind w:left="18"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15,000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9,094.25</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p>
          <w:p>
            <w:pPr>
              <w:pStyle w:val="TableParagraph"/>
              <w:spacing w:line="316" w:lineRule="auto" w:before="77"/>
              <w:ind w:left="27" w:right="1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18"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5,000</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4,760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4"/>
              <w:ind w:left="27"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2016</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37"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65,000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38,395.95</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37"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121,800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26,604.05</w:t>
            </w:r>
          </w:p>
        </w:tc>
      </w:tr>
      <w:tr>
        <w:trPr>
          <w:trHeight w:val="398"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3" w:right="52"/>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22"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03" w:right="30"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98" w:type="dxa"/>
            <w:vMerge/>
            <w:tcBorders>
              <w:left w:val="single" w:sz="4" w:space="0" w:color="000000"/>
              <w:right w:val="single" w:sz="4" w:space="0" w:color="000000"/>
            </w:tcBorders>
            <w:shd w:val="clear" w:color="auto" w:fill="D2D2D2"/>
          </w:tcPr>
          <w:p>
            <w:pPr/>
          </w:p>
        </w:tc>
        <w:tc>
          <w:tcPr>
            <w:tcW w:w="93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29" w:type="dxa"/>
            <w:gridSpan w:val="2"/>
            <w:vMerge/>
            <w:tcBorders>
              <w:left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66" w:hRule="exact"/>
        </w:trPr>
        <w:tc>
          <w:tcPr>
            <w:tcW w:w="1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29" w:type="dxa"/>
            <w:gridSpan w:val="2"/>
            <w:vMerge/>
            <w:tcBorders>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7"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65,000</w:t>
            </w:r>
          </w:p>
        </w:tc>
        <w:tc>
          <w:tcPr>
            <w:tcW w:w="20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38,395.95</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sz w:val="18"/>
              </w:rPr>
              <w:t>121,800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26,604.05</w:t>
            </w:r>
          </w:p>
        </w:tc>
      </w:tr>
      <w:tr>
        <w:trPr>
          <w:trHeight w:val="407"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3.13%</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）违规对外担保情况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right="5814"/>
        <w:jc w:val="left"/>
      </w:pPr>
      <w:r>
        <w:rPr/>
        <w:t>□ 适用 √</w:t>
      </w:r>
      <w:r>
        <w:rPr>
          <w:spacing w:val="3"/>
        </w:rPr>
        <w:t> </w:t>
      </w:r>
      <w:r>
        <w:rPr/>
        <w:t>不适用</w:t>
      </w:r>
      <w:r>
        <w:rPr/>
        <w:t> 公司报告期无违规对外担保情况。</w:t>
      </w:r>
    </w:p>
    <w:p>
      <w:pPr>
        <w:spacing w:line="240" w:lineRule="auto" w:before="5"/>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569"/>
        <w:gridCol w:w="991"/>
        <w:gridCol w:w="853"/>
        <w:gridCol w:w="850"/>
        <w:gridCol w:w="984"/>
        <w:gridCol w:w="802"/>
        <w:gridCol w:w="804"/>
        <w:gridCol w:w="804"/>
        <w:gridCol w:w="576"/>
        <w:gridCol w:w="850"/>
        <w:gridCol w:w="780"/>
      </w:tblGrid>
      <w:tr>
        <w:trPr>
          <w:trHeight w:val="1026"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69" w:right="77" w:hanging="92"/>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96"/>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0" w:right="6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 w:right="35"/>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58"/>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1025"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32"/>
              <w:jc w:val="both"/>
              <w:rPr>
                <w:rFonts w:ascii="宋体" w:hAnsi="宋体" w:cs="宋体" w:eastAsia="宋体" w:hint="default"/>
                <w:sz w:val="18"/>
                <w:szCs w:val="18"/>
              </w:rPr>
            </w:pPr>
            <w:r>
              <w:rPr>
                <w:rFonts w:ascii="宋体" w:hAnsi="宋体" w:cs="宋体" w:eastAsia="宋体" w:hint="default"/>
                <w:sz w:val="18"/>
                <w:szCs w:val="18"/>
              </w:rPr>
              <w:t>黄河农 村商业 银行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封闭式保本 浮动收益型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53.1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53.1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已收回</w:t>
            </w:r>
          </w:p>
        </w:tc>
      </w:tr>
      <w:tr>
        <w:trPr>
          <w:trHeight w:val="403"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r>
        <w:trPr>
          <w:trHeight w:val="401"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3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逾期未收回的本金和收益累 计金额</w:t>
            </w:r>
          </w:p>
        </w:tc>
        <w:tc>
          <w:tcPr>
            <w:tcW w:w="73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1"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3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委托理财审批董事会公告披 露日期（如有</w:t>
            </w:r>
            <w:r>
              <w:rPr>
                <w:rFonts w:ascii="宋体" w:hAnsi="宋体" w:cs="宋体" w:eastAsia="宋体" w:hint="default"/>
                <w:sz w:val="18"/>
                <w:szCs w:val="18"/>
              </w:rPr>
              <w:t>)</w:t>
            </w:r>
          </w:p>
        </w:tc>
        <w:tc>
          <w:tcPr>
            <w:tcW w:w="73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委托理财审批股东会公告披 露日期（如有</w:t>
            </w:r>
            <w:r>
              <w:rPr>
                <w:rFonts w:ascii="宋体" w:hAnsi="宋体" w:cs="宋体" w:eastAsia="宋体" w:hint="default"/>
                <w:sz w:val="18"/>
                <w:szCs w:val="18"/>
              </w:rPr>
              <w:t>)</w:t>
            </w:r>
          </w:p>
        </w:tc>
        <w:tc>
          <w:tcPr>
            <w:tcW w:w="7302" w:type="dxa"/>
            <w:gridSpan w:val="9"/>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3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434"/>
        <w:jc w:val="left"/>
      </w:pPr>
      <w:r>
        <w:rPr/>
        <w:t>□ 适用 √</w:t>
      </w:r>
      <w:r>
        <w:rPr>
          <w:spacing w:val="3"/>
        </w:rPr>
        <w:t> </w:t>
      </w:r>
      <w:r>
        <w:rPr/>
        <w:t>不适用</w:t>
      </w:r>
      <w:r>
        <w:rPr/>
        <w:t> 公司报告期不存在委托贷款。</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4</w:t>
      </w:r>
      <w:r>
        <w:rPr/>
        <w:t>、其他重大合同</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074"/>
        <w:jc w:val="left"/>
      </w:pPr>
      <w:r>
        <w:rPr/>
        <w:t>□ 适用 √</w:t>
      </w:r>
      <w:r>
        <w:rPr>
          <w:spacing w:val="3"/>
        </w:rPr>
        <w:t> </w:t>
      </w:r>
      <w:r>
        <w:rPr/>
        <w:t>不适用</w:t>
      </w:r>
      <w:r>
        <w:rPr/>
        <w:t> 公司报告期不存在其他重大合同。</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十八、其他重大事项的说明</w:t>
      </w:r>
      <w:r>
        <w:rPr>
          <w:b w:val="0"/>
          <w:bCs w:val="0"/>
        </w:rPr>
      </w:r>
    </w:p>
    <w:p>
      <w:pPr>
        <w:pStyle w:val="BodyText"/>
        <w:spacing w:line="430" w:lineRule="atLeast" w:before="152"/>
        <w:ind w:left="513" w:right="149" w:hanging="361"/>
        <w:jc w:val="left"/>
      </w:pPr>
      <w:r>
        <w:rPr/>
        <w:t>√ 适用 □</w:t>
      </w:r>
      <w:r>
        <w:rPr>
          <w:spacing w:val="3"/>
        </w:rPr>
        <w:t> </w:t>
      </w:r>
      <w:r>
        <w:rPr/>
        <w:t>不适用</w:t>
      </w:r>
      <w:r>
        <w:rPr/>
        <w:t> </w:t>
      </w:r>
      <w:r>
        <w:rPr>
          <w:spacing w:val="-2"/>
        </w:rPr>
        <w:t>根据中国证券监督管理委员会《关于核准东华软件股份公司向章云芳等发行股份购买资产并募集配套资金的批复》（证</w:t>
      </w:r>
    </w:p>
    <w:p>
      <w:pPr>
        <w:pStyle w:val="BodyText"/>
        <w:spacing w:line="316" w:lineRule="auto" w:before="76"/>
        <w:ind w:right="151"/>
        <w:jc w:val="both"/>
      </w:pPr>
      <w:r>
        <w:rPr>
          <w:spacing w:val="-2"/>
        </w:rPr>
        <w:t>监许可〔</w:t>
      </w:r>
      <w:r>
        <w:rPr>
          <w:rFonts w:ascii="宋体" w:hAnsi="宋体" w:cs="宋体" w:eastAsia="宋体" w:hint="default"/>
          <w:spacing w:val="-2"/>
        </w:rPr>
        <w:t>2015</w:t>
      </w:r>
      <w:r>
        <w:rPr>
          <w:spacing w:val="-2"/>
        </w:rPr>
        <w:t>〕</w:t>
      </w:r>
      <w:r>
        <w:rPr>
          <w:rFonts w:ascii="宋体" w:hAnsi="宋体" w:cs="宋体" w:eastAsia="宋体" w:hint="default"/>
          <w:spacing w:val="-2"/>
        </w:rPr>
        <w:t>1010</w:t>
      </w:r>
      <w:r>
        <w:rPr>
          <w:spacing w:val="-2"/>
        </w:rPr>
        <w:t>号）的文件，核准公司向章云芳、刘玉龙、苏美娴、杨铭、深圳市招商局科技投资有限公司、红塔创新</w:t>
      </w:r>
      <w:r>
        <w:rPr>
          <w:spacing w:val="-63"/>
        </w:rPr>
        <w:t> </w:t>
      </w:r>
      <w:r>
        <w:rPr>
          <w:spacing w:val="-63"/>
        </w:rPr>
      </w:r>
      <w:r>
        <w:rPr>
          <w:spacing w:val="-2"/>
        </w:rPr>
        <w:t>投资股份有限公司、深圳市光启松禾超材料创业投资合伙企业（有限合伙）、新疆锦尚睦合股权投资有限合伙企业、李旭东</w:t>
      </w:r>
      <w:r>
        <w:rPr>
          <w:spacing w:val="-65"/>
        </w:rPr>
        <w:t> </w:t>
      </w:r>
      <w:r>
        <w:rPr>
          <w:spacing w:val="-65"/>
        </w:rPr>
      </w:r>
      <w:r>
        <w:rPr>
          <w:spacing w:val="-6"/>
        </w:rPr>
        <w:t>购买相关资产。核准公司非公开发行募集本次发行股份购买资产的配套资金。详情参见</w:t>
      </w:r>
      <w:r>
        <w:rPr>
          <w:rFonts w:ascii="宋体" w:hAnsi="宋体" w:cs="宋体" w:eastAsia="宋体" w:hint="default"/>
          <w:spacing w:val="-6"/>
        </w:rPr>
        <w:t>2015</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28</w:t>
      </w:r>
      <w:r>
        <w:rPr>
          <w:spacing w:val="-6"/>
        </w:rPr>
        <w:t>日刊登在《中国证券报》、</w:t>
      </w:r>
    </w:p>
    <w:p>
      <w:pPr>
        <w:pStyle w:val="BodyText"/>
        <w:spacing w:line="319" w:lineRule="auto" w:before="19"/>
        <w:ind w:right="149"/>
        <w:jc w:val="left"/>
      </w:pPr>
      <w:r>
        <w:rPr>
          <w:spacing w:val="-2"/>
        </w:rPr>
        <w:t>《证券日报》、《证券时报》以及巨潮资讯网（</w:t>
      </w:r>
      <w:hyperlink r:id="rId12">
        <w:r>
          <w:rPr>
            <w:rFonts w:ascii="宋体" w:hAnsi="宋体" w:cs="宋体" w:eastAsia="宋体" w:hint="default"/>
            <w:spacing w:val="-2"/>
          </w:rPr>
          <w:t>http://www.cninfo.com.cn</w:t>
        </w:r>
      </w:hyperlink>
      <w:r>
        <w:rPr>
          <w:spacing w:val="-2"/>
        </w:rPr>
        <w:t>）上的《关于发行股份及支付现金购买资产并配</w:t>
      </w:r>
      <w:r>
        <w:rPr>
          <w:spacing w:val="-50"/>
        </w:rPr>
        <w:t> </w:t>
      </w:r>
      <w:r>
        <w:rPr>
          <w:spacing w:val="-50"/>
        </w:rPr>
      </w:r>
      <w:r>
        <w:rPr/>
        <w:t>套募集资金事项获证监会正式批复的公告》（公告编号：</w:t>
      </w:r>
      <w:r>
        <w:rPr>
          <w:rFonts w:ascii="宋体" w:hAnsi="宋体" w:cs="宋体" w:eastAsia="宋体" w:hint="default"/>
        </w:rPr>
        <w:t>2015-073</w:t>
      </w:r>
      <w:r>
        <w:rPr/>
        <w:t>）。</w:t>
      </w:r>
    </w:p>
    <w:p>
      <w:pPr>
        <w:pStyle w:val="BodyText"/>
        <w:spacing w:line="316" w:lineRule="auto" w:before="137"/>
        <w:ind w:right="148" w:firstLine="360"/>
        <w:jc w:val="both"/>
      </w:pPr>
      <w:r>
        <w:rPr>
          <w:spacing w:val="-2"/>
        </w:rPr>
        <w:t>因公司实施</w:t>
      </w:r>
      <w:r>
        <w:rPr>
          <w:rFonts w:ascii="宋体" w:hAnsi="宋体" w:cs="宋体" w:eastAsia="宋体" w:hint="default"/>
          <w:spacing w:val="-2"/>
        </w:rPr>
        <w:t>2014</w:t>
      </w:r>
      <w:r>
        <w:rPr>
          <w:spacing w:val="-2"/>
        </w:rPr>
        <w:t>年度利润分配方案，导致本次发行股份购买资产及配套募集资金股份数量调整为发行股份购买资产涉及</w:t>
      </w:r>
      <w:r>
        <w:rPr/>
        <w:t> 发行</w:t>
      </w:r>
      <w:r>
        <w:rPr>
          <w:rFonts w:ascii="宋体" w:hAnsi="宋体" w:cs="宋体" w:eastAsia="宋体" w:hint="default"/>
        </w:rPr>
        <w:t>A</w:t>
      </w:r>
      <w:r>
        <w:rPr/>
        <w:t>股股票数量为</w:t>
      </w:r>
      <w:r>
        <w:rPr>
          <w:rFonts w:ascii="宋体" w:hAnsi="宋体" w:cs="宋体" w:eastAsia="宋体" w:hint="default"/>
        </w:rPr>
        <w:t>30,139,931</w:t>
      </w:r>
      <w:r>
        <w:rPr/>
        <w:t>股，配套募集资金发行股票数量</w:t>
      </w:r>
      <w:r>
        <w:rPr>
          <w:rFonts w:ascii="宋体" w:hAnsi="宋体" w:cs="宋体" w:eastAsia="宋体" w:hint="default"/>
        </w:rPr>
        <w:t>6,894,174</w:t>
      </w:r>
      <w:r>
        <w:rPr/>
        <w:t>股，共计</w:t>
      </w:r>
      <w:r>
        <w:rPr>
          <w:rFonts w:ascii="宋体" w:hAnsi="宋体" w:cs="宋体" w:eastAsia="宋体" w:hint="default"/>
        </w:rPr>
        <w:t>37,034,105</w:t>
      </w:r>
      <w:r>
        <w:rPr/>
        <w:t>股。公司于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17</w:t>
      </w:r>
      <w:r>
        <w:rPr/>
        <w:t>日在 </w:t>
      </w:r>
      <w:r>
        <w:rPr>
          <w:spacing w:val="-3"/>
        </w:rPr>
        <w:t>中国证券登记结算有限公司深圳分公司办理完预登记手续，新增股票于</w:t>
      </w:r>
      <w:r>
        <w:rPr>
          <w:rFonts w:ascii="宋体" w:hAnsi="宋体" w:cs="宋体" w:eastAsia="宋体" w:hint="default"/>
          <w:spacing w:val="-3"/>
        </w:rPr>
        <w:t>2015</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24</w:t>
      </w:r>
      <w:r>
        <w:rPr>
          <w:spacing w:val="-3"/>
        </w:rPr>
        <w:t>日在深圳证券交易所上市。详情参见</w:t>
      </w:r>
      <w:r>
        <w:rPr>
          <w:rFonts w:ascii="宋体" w:hAnsi="宋体" w:cs="宋体" w:eastAsia="宋体" w:hint="default"/>
          <w:spacing w:val="-3"/>
        </w:rPr>
        <w:t>2015</w:t>
      </w:r>
      <w:r>
        <w:rPr>
          <w:rFonts w:ascii="宋体" w:hAnsi="宋体" w:cs="宋体" w:eastAsia="宋体" w:hint="default"/>
          <w:spacing w:val="-85"/>
        </w:rPr>
        <w:t> </w:t>
      </w:r>
      <w:r>
        <w:rPr>
          <w:rFonts w:ascii="宋体" w:hAnsi="宋体" w:cs="宋体" w:eastAsia="宋体" w:hint="default"/>
          <w:spacing w:val="-85"/>
        </w:rPr>
      </w:r>
      <w:r>
        <w:rPr/>
        <w:t>年</w:t>
      </w:r>
      <w:r>
        <w:rPr>
          <w:rFonts w:ascii="宋体" w:hAnsi="宋体" w:cs="宋体" w:eastAsia="宋体" w:hint="default"/>
        </w:rPr>
        <w:t>7</w:t>
      </w:r>
      <w:r>
        <w:rPr/>
        <w:t>月</w:t>
      </w:r>
      <w:r>
        <w:rPr>
          <w:rFonts w:ascii="宋体" w:hAnsi="宋体" w:cs="宋体" w:eastAsia="宋体" w:hint="default"/>
        </w:rPr>
        <w:t>23</w:t>
      </w:r>
      <w:r>
        <w:rPr/>
        <w:t>日刊登在《中国证券报》、《证券日报》、《证券时报》以及巨潮资讯网（</w:t>
      </w:r>
      <w:hyperlink r:id="rId12">
        <w:r>
          <w:rPr>
            <w:rFonts w:ascii="宋体" w:hAnsi="宋体" w:cs="宋体" w:eastAsia="宋体" w:hint="default"/>
          </w:rPr>
          <w:t>http://www.cninfo.com.cn</w:t>
        </w:r>
      </w:hyperlink>
      <w:r>
        <w:rPr/>
        <w:t>）上的《东 华软件股份公司发行股份及支付现金购买资产并募集配套资金实施情况暨新增股份上市公告书》。</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十九、公司子公司重大事项</w:t>
      </w:r>
      <w:r>
        <w:rPr>
          <w:b w:val="0"/>
          <w:bCs w:val="0"/>
        </w:rPr>
      </w:r>
    </w:p>
    <w:p>
      <w:pPr>
        <w:pStyle w:val="BodyText"/>
        <w:spacing w:line="430" w:lineRule="atLeast" w:before="149"/>
        <w:ind w:left="513" w:right="149" w:hanging="361"/>
        <w:jc w:val="left"/>
      </w:pPr>
      <w:r>
        <w:rPr/>
        <w:t>√ 适用 □</w:t>
      </w:r>
      <w:r>
        <w:rPr>
          <w:spacing w:val="3"/>
        </w:rPr>
        <w:t> </w:t>
      </w:r>
      <w:r>
        <w:rPr/>
        <w:t>不适用</w:t>
      </w:r>
      <w:r>
        <w:rPr/>
        <w:t> </w:t>
      </w:r>
      <w:r>
        <w:rPr>
          <w:rFonts w:ascii="宋体" w:hAnsi="宋体" w:cs="宋体" w:eastAsia="宋体" w:hint="default"/>
          <w:spacing w:val="-2"/>
        </w:rPr>
        <w:t>1</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26</w:t>
      </w:r>
      <w:r>
        <w:rPr>
          <w:spacing w:val="-2"/>
        </w:rPr>
        <w:t>日公司第五届董事会第十六次会议决议通过了《关于对外投资设立东华教育云有限公司的议</w:t>
      </w:r>
    </w:p>
    <w:p>
      <w:pPr>
        <w:pStyle w:val="BodyText"/>
        <w:spacing w:line="240" w:lineRule="auto" w:before="74"/>
        <w:ind w:right="0"/>
        <w:jc w:val="left"/>
      </w:pPr>
      <w:r>
        <w:rPr/>
        <w:t>案</w:t>
      </w:r>
      <w:r>
        <w:rPr>
          <w:spacing w:val="-39"/>
        </w:rPr>
        <w:t>》，</w:t>
      </w:r>
      <w:r>
        <w:rPr/>
        <w:t>同意在海口国家新开发</w:t>
      </w:r>
      <w:r>
        <w:rPr>
          <w:spacing w:val="-3"/>
        </w:rPr>
        <w:t>区</w:t>
      </w:r>
      <w:r>
        <w:rPr/>
        <w:t>投资设立东华教育云有限公司</w:t>
      </w:r>
      <w:r>
        <w:rPr>
          <w:spacing w:val="-39"/>
        </w:rPr>
        <w:t>。</w:t>
      </w:r>
      <w:r>
        <w:rPr/>
        <w:t>详见</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15</w:t>
      </w:r>
      <w:r>
        <w:rPr>
          <w:spacing w:val="-3"/>
        </w:rPr>
        <w:t>年</w:t>
      </w:r>
      <w:r>
        <w:rPr>
          <w:rFonts w:ascii="宋体" w:hAnsi="宋体" w:cs="宋体" w:eastAsia="宋体" w:hint="default"/>
          <w:spacing w:val="1"/>
        </w:rPr>
        <w:t>1</w:t>
      </w:r>
      <w:r>
        <w:rPr/>
        <w:t>月</w:t>
      </w:r>
      <w:r>
        <w:rPr>
          <w:rFonts w:ascii="宋体" w:hAnsi="宋体" w:cs="宋体" w:eastAsia="宋体" w:hint="default"/>
          <w:spacing w:val="-2"/>
        </w:rPr>
        <w:t>2</w:t>
      </w:r>
      <w:r>
        <w:rPr>
          <w:rFonts w:ascii="宋体" w:hAnsi="宋体" w:cs="宋体" w:eastAsia="宋体" w:hint="default"/>
          <w:spacing w:val="1"/>
        </w:rPr>
        <w:t>7</w:t>
      </w:r>
      <w:r>
        <w:rPr/>
        <w:t>日</w:t>
      </w:r>
      <w:r>
        <w:rPr>
          <w:spacing w:val="-39"/>
        </w:rPr>
        <w:t>，</w:t>
      </w:r>
      <w:r>
        <w:rPr/>
        <w:t>刊登</w:t>
      </w:r>
      <w:r>
        <w:rPr>
          <w:spacing w:val="-41"/>
        </w:rPr>
        <w:t>在</w:t>
      </w:r>
      <w:r>
        <w:rPr/>
        <w:t>《中国证券报</w:t>
      </w:r>
      <w:r>
        <w:rPr>
          <w:spacing w:val="-39"/>
        </w:rPr>
        <w:t>》</w:t>
      </w:r>
      <w:r>
        <w:rPr>
          <w:spacing w:val="-77"/>
        </w:rPr>
        <w:t>、</w:t>
      </w:r>
      <w:r>
        <w:rPr/>
        <w:t>《证券日报</w:t>
      </w:r>
      <w:r>
        <w:rPr>
          <w:spacing w:val="-41"/>
        </w:rPr>
        <w:t>》</w:t>
      </w:r>
      <w:r>
        <w:rPr/>
        <w:t>、</w:t>
      </w:r>
    </w:p>
    <w:p>
      <w:pPr>
        <w:pStyle w:val="BodyText"/>
        <w:spacing w:line="240" w:lineRule="auto" w:before="76"/>
        <w:ind w:left="513" w:right="153" w:hanging="361"/>
        <w:jc w:val="left"/>
      </w:pPr>
      <w:r>
        <w:rPr/>
        <w:t>《证券时报</w:t>
      </w:r>
      <w:r>
        <w:rPr>
          <w:spacing w:val="-36"/>
        </w:rPr>
        <w:t>》</w:t>
      </w:r>
      <w:r>
        <w:rPr/>
        <w:t>及巨潮资讯</w:t>
      </w:r>
      <w:r>
        <w:rPr>
          <w:spacing w:val="-36"/>
        </w:rPr>
        <w:t>网</w:t>
      </w:r>
      <w:r>
        <w:rPr/>
        <w:t>（</w:t>
      </w:r>
      <w:hyperlink r:id="rId12">
        <w:r>
          <w:rPr>
            <w:rFonts w:ascii="宋体" w:hAnsi="宋体" w:cs="宋体" w:eastAsia="宋体" w:hint="default"/>
            <w:spacing w:val="1"/>
          </w:rPr>
          <w:t>www.</w:t>
        </w:r>
        <w:r>
          <w:rPr>
            <w:rFonts w:ascii="宋体" w:hAnsi="宋体" w:cs="宋体" w:eastAsia="宋体" w:hint="default"/>
            <w:spacing w:val="-2"/>
          </w:rPr>
          <w:t>c</w:t>
        </w:r>
        <w:r>
          <w:rPr>
            <w:rFonts w:ascii="宋体" w:hAnsi="宋体" w:cs="宋体" w:eastAsia="宋体" w:hint="default"/>
            <w:spacing w:val="1"/>
          </w:rPr>
          <w:t>n</w:t>
        </w:r>
        <w:r>
          <w:rPr>
            <w:rFonts w:ascii="宋体" w:hAnsi="宋体" w:cs="宋体" w:eastAsia="宋体" w:hint="default"/>
            <w:spacing w:val="-2"/>
          </w:rPr>
          <w:t>i</w:t>
        </w:r>
        <w:r>
          <w:rPr>
            <w:rFonts w:ascii="宋体" w:hAnsi="宋体" w:cs="宋体" w:eastAsia="宋体" w:hint="default"/>
            <w:spacing w:val="1"/>
          </w:rPr>
          <w:t>n</w:t>
        </w:r>
        <w:r>
          <w:rPr>
            <w:rFonts w:ascii="宋体" w:hAnsi="宋体" w:cs="宋体" w:eastAsia="宋体" w:hint="default"/>
            <w:spacing w:val="-2"/>
          </w:rPr>
          <w:t>f</w:t>
        </w:r>
        <w:r>
          <w:rPr>
            <w:rFonts w:ascii="宋体" w:hAnsi="宋体" w:cs="宋体" w:eastAsia="宋体" w:hint="default"/>
            <w:spacing w:val="1"/>
          </w:rPr>
          <w:t>o</w:t>
        </w:r>
        <w:r>
          <w:rPr>
            <w:rFonts w:ascii="宋体" w:hAnsi="宋体" w:cs="宋体" w:eastAsia="宋体" w:hint="default"/>
            <w:spacing w:val="-2"/>
          </w:rPr>
          <w:t>.</w:t>
        </w:r>
        <w:r>
          <w:rPr>
            <w:rFonts w:ascii="宋体" w:hAnsi="宋体" w:cs="宋体" w:eastAsia="宋体" w:hint="default"/>
            <w:spacing w:val="1"/>
          </w:rPr>
          <w:t>c</w:t>
        </w:r>
        <w:r>
          <w:rPr>
            <w:rFonts w:ascii="宋体" w:hAnsi="宋体" w:cs="宋体" w:eastAsia="宋体" w:hint="default"/>
            <w:spacing w:val="-2"/>
          </w:rPr>
          <w:t>o</w:t>
        </w:r>
        <w:r>
          <w:rPr>
            <w:rFonts w:ascii="宋体" w:hAnsi="宋体" w:cs="宋体" w:eastAsia="宋体" w:hint="default"/>
            <w:spacing w:val="1"/>
          </w:rPr>
          <w:t>m</w:t>
        </w:r>
        <w:r>
          <w:rPr>
            <w:rFonts w:ascii="宋体" w:hAnsi="宋体" w:cs="宋体" w:eastAsia="宋体" w:hint="default"/>
            <w:spacing w:val="-2"/>
          </w:rPr>
          <w:t>.</w:t>
        </w:r>
        <w:r>
          <w:rPr>
            <w:rFonts w:ascii="宋体" w:hAnsi="宋体" w:cs="宋体" w:eastAsia="宋体" w:hint="default"/>
            <w:spacing w:val="1"/>
          </w:rPr>
          <w:t>c</w:t>
        </w:r>
        <w:r>
          <w:rPr>
            <w:rFonts w:ascii="宋体" w:hAnsi="宋体" w:cs="宋体" w:eastAsia="宋体" w:hint="default"/>
            <w:spacing w:val="3"/>
          </w:rPr>
          <w:t>n</w:t>
        </w:r>
      </w:hyperlink>
      <w:r>
        <w:rPr>
          <w:spacing w:val="-36"/>
        </w:rPr>
        <w:t>）</w:t>
      </w:r>
      <w:r>
        <w:rPr/>
        <w:t>上</w:t>
      </w:r>
      <w:r>
        <w:rPr>
          <w:spacing w:val="-36"/>
        </w:rPr>
        <w:t>的</w:t>
      </w:r>
      <w:r>
        <w:rPr/>
        <w:t>《东</w:t>
      </w:r>
      <w:r>
        <w:rPr>
          <w:spacing w:val="-3"/>
        </w:rPr>
        <w:t>华</w:t>
      </w:r>
      <w:r>
        <w:rPr/>
        <w:t>软件股份公司对外投资公</w:t>
      </w:r>
      <w:r>
        <w:rPr>
          <w:spacing w:val="-36"/>
        </w:rPr>
        <w:t>告</w:t>
      </w:r>
      <w:r>
        <w:rPr/>
        <w:t>（二</w:t>
      </w:r>
      <w:r>
        <w:rPr>
          <w:spacing w:val="-36"/>
        </w:rPr>
        <w:t>）</w:t>
      </w:r>
      <w:r>
        <w:rPr>
          <w:spacing w:val="-72"/>
        </w:rPr>
        <w:t>》</w:t>
      </w:r>
      <w:r>
        <w:rPr/>
        <w:t>（公告编号</w:t>
      </w:r>
      <w:r>
        <w:rPr>
          <w:spacing w:val="-36"/>
        </w:rPr>
        <w:t>：</w:t>
      </w:r>
      <w:r>
        <w:rPr>
          <w:rFonts w:ascii="宋体" w:hAnsi="宋体" w:cs="宋体" w:eastAsia="宋体" w:hint="default"/>
          <w:spacing w:val="1"/>
        </w:rPr>
        <w:t>2015</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3</w:t>
      </w:r>
      <w:r>
        <w:rPr>
          <w:spacing w:val="-36"/>
        </w:rPr>
        <w:t>）。</w:t>
      </w:r>
      <w:r>
        <w:rPr/>
      </w:r>
    </w:p>
    <w:p>
      <w:pPr>
        <w:spacing w:line="240" w:lineRule="auto" w:before="0"/>
        <w:rPr>
          <w:rFonts w:ascii="宋体" w:hAnsi="宋体" w:cs="宋体" w:eastAsia="宋体" w:hint="default"/>
          <w:sz w:val="15"/>
          <w:szCs w:val="15"/>
        </w:rPr>
      </w:pPr>
    </w:p>
    <w:p>
      <w:pPr>
        <w:pStyle w:val="BodyText"/>
        <w:spacing w:line="316" w:lineRule="auto"/>
        <w:ind w:right="151" w:firstLine="360"/>
        <w:jc w:val="both"/>
      </w:pPr>
      <w:r>
        <w:rPr>
          <w:rFonts w:ascii="宋体" w:hAnsi="宋体" w:cs="宋体" w:eastAsia="宋体" w:hint="default"/>
        </w:rPr>
        <w:t>2</w:t>
      </w:r>
      <w:r>
        <w:rPr/>
        <w:t>、报告期内，</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w:t>
      </w:r>
      <w:r>
        <w:rPr/>
        <w:t>日公司第五届董事会第十八次会议决议通过了《关于对外投资设立内蒙古东华软件有限公司 的议案》，同意公司与北京东华合创科技有限公司共同出资人民币</w:t>
      </w:r>
      <w:r>
        <w:rPr>
          <w:rFonts w:ascii="宋体" w:hAnsi="宋体" w:cs="宋体" w:eastAsia="宋体" w:hint="default"/>
        </w:rPr>
        <w:t>5,000</w:t>
      </w:r>
      <w:r>
        <w:rPr/>
        <w:t>万元投资设立内蒙古东华软件有限公司。详见</w:t>
      </w:r>
      <w:r>
        <w:rPr>
          <w:rFonts w:ascii="宋体" w:hAnsi="宋体" w:cs="宋体" w:eastAsia="宋体" w:hint="default"/>
        </w:rPr>
        <w:t>2015</w:t>
      </w:r>
      <w:r>
        <w:rPr>
          <w:rFonts w:ascii="宋体" w:hAnsi="宋体" w:cs="宋体" w:eastAsia="宋体" w:hint="default"/>
          <w:spacing w:val="-85"/>
        </w:rPr>
        <w:t> </w:t>
      </w:r>
      <w:r>
        <w:rPr>
          <w:rFonts w:ascii="宋体" w:hAnsi="宋体" w:cs="宋体" w:eastAsia="宋体" w:hint="default"/>
          <w:spacing w:val="-85"/>
        </w:rPr>
      </w:r>
      <w:r>
        <w:rPr/>
        <w:t>年</w:t>
      </w:r>
      <w:r>
        <w:rPr>
          <w:rFonts w:ascii="宋体" w:hAnsi="宋体" w:cs="宋体" w:eastAsia="宋体" w:hint="default"/>
        </w:rPr>
        <w:t>4</w:t>
      </w:r>
      <w:r>
        <w:rPr/>
        <w:t>月</w:t>
      </w:r>
      <w:r>
        <w:rPr>
          <w:rFonts w:ascii="宋体" w:hAnsi="宋体" w:cs="宋体" w:eastAsia="宋体" w:hint="default"/>
        </w:rPr>
        <w:t>3</w:t>
      </w:r>
      <w:r>
        <w:rPr/>
        <w:t>日，刊登在《中国证券报》、《证券日报》、《证券时报》及巨潮资讯网（</w:t>
      </w:r>
      <w:hyperlink r:id="rId12">
        <w:r>
          <w:rPr>
            <w:rFonts w:ascii="宋体" w:hAnsi="宋体" w:cs="宋体" w:eastAsia="宋体" w:hint="default"/>
          </w:rPr>
          <w:t>www.cninfo.com.cn</w:t>
        </w:r>
      </w:hyperlink>
      <w:r>
        <w:rPr/>
        <w:t>）的《东华软件股份 公司对外投资公告》（公告编号：</w:t>
      </w:r>
      <w:r>
        <w:rPr>
          <w:rFonts w:ascii="宋体" w:hAnsi="宋体" w:cs="宋体" w:eastAsia="宋体" w:hint="default"/>
        </w:rPr>
        <w:t>2015-033</w:t>
      </w:r>
      <w:r>
        <w:rPr/>
        <w:t>）。</w:t>
      </w:r>
    </w:p>
    <w:p>
      <w:pPr>
        <w:pStyle w:val="BodyText"/>
        <w:spacing w:line="316" w:lineRule="auto" w:before="139"/>
        <w:ind w:right="148" w:firstLine="360"/>
        <w:jc w:val="both"/>
      </w:pPr>
      <w:r>
        <w:rPr>
          <w:rFonts w:ascii="宋体" w:hAnsi="宋体" w:cs="宋体" w:eastAsia="宋体" w:hint="default"/>
          <w:spacing w:val="-2"/>
        </w:rPr>
        <w:t>3</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日公司第五届董事会第十九次会议决议通过了《关于对外投资设立合力东华（北京）科技有</w:t>
      </w:r>
      <w:r>
        <w:rPr/>
        <w:t> </w:t>
      </w:r>
      <w:r>
        <w:rPr>
          <w:spacing w:val="-5"/>
        </w:rPr>
        <w:t>限公司的议案》，同意公司出资</w:t>
      </w:r>
      <w:r>
        <w:rPr>
          <w:rFonts w:ascii="宋体" w:hAnsi="宋体" w:cs="宋体" w:eastAsia="宋体" w:hint="default"/>
          <w:spacing w:val="-5"/>
        </w:rPr>
        <w:t>5,000</w:t>
      </w:r>
      <w:r>
        <w:rPr>
          <w:spacing w:val="-5"/>
        </w:rPr>
        <w:t>万元人民币投资设立合力东华（北京）科技有限公司。详见</w:t>
      </w:r>
      <w:r>
        <w:rPr>
          <w:rFonts w:ascii="宋体" w:hAnsi="宋体" w:cs="宋体" w:eastAsia="宋体" w:hint="default"/>
          <w:spacing w:val="-5"/>
        </w:rPr>
        <w:t>2015</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29</w:t>
      </w:r>
      <w:r>
        <w:rPr>
          <w:spacing w:val="-5"/>
        </w:rPr>
        <w:t>日，刊登在《中</w:t>
      </w:r>
      <w:r>
        <w:rPr>
          <w:spacing w:val="-52"/>
        </w:rPr>
        <w:t> </w:t>
      </w:r>
      <w:r>
        <w:rPr>
          <w:spacing w:val="-52"/>
        </w:rPr>
      </w:r>
      <w:r>
        <w:rPr>
          <w:spacing w:val="-3"/>
        </w:rPr>
        <w:t>国证券报》、《证券日报》、《证券时报》及巨潮资讯网（</w:t>
      </w:r>
      <w:hyperlink r:id="rId12">
        <w:r>
          <w:rPr>
            <w:rFonts w:ascii="宋体" w:hAnsi="宋体" w:cs="宋体" w:eastAsia="宋体" w:hint="default"/>
            <w:spacing w:val="-3"/>
          </w:rPr>
          <w:t>www.cninfo.com.cn</w:t>
        </w:r>
      </w:hyperlink>
      <w:r>
        <w:rPr>
          <w:spacing w:val="-3"/>
        </w:rPr>
        <w:t>）的《东华软件股份公司对外投资公告》（公</w:t>
      </w:r>
      <w:r>
        <w:rPr>
          <w:spacing w:val="-82"/>
        </w:rPr>
        <w:t> </w:t>
      </w:r>
      <w:r>
        <w:rPr>
          <w:spacing w:val="-82"/>
        </w:rPr>
      </w:r>
      <w:r>
        <w:rPr/>
        <w:t>告编号：</w:t>
      </w:r>
      <w:r>
        <w:rPr>
          <w:rFonts w:ascii="宋体" w:hAnsi="宋体" w:cs="宋体" w:eastAsia="宋体" w:hint="default"/>
        </w:rPr>
        <w:t>2015-046</w:t>
      </w:r>
      <w:r>
        <w:rPr/>
        <w:t>）。</w:t>
      </w:r>
    </w:p>
    <w:p>
      <w:pPr>
        <w:pStyle w:val="BodyText"/>
        <w:spacing w:line="319" w:lineRule="auto" w:before="139"/>
        <w:ind w:right="151" w:firstLine="360"/>
        <w:jc w:val="both"/>
      </w:pPr>
      <w:r>
        <w:rPr>
          <w:rFonts w:ascii="宋体" w:hAnsi="宋体" w:cs="宋体" w:eastAsia="宋体" w:hint="default"/>
        </w:rPr>
        <w:t>4</w:t>
      </w:r>
      <w:r>
        <w:rPr/>
        <w:t>、报告期内，</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6</w:t>
      </w:r>
      <w:r>
        <w:rPr/>
        <w:t>日公司第五届董事会第二十次会议审议通过了《关于收购北京万兴新锐科技发展有限公司股 权的议案》，同意公司投资</w:t>
      </w:r>
      <w:r>
        <w:rPr>
          <w:rFonts w:ascii="宋体" w:hAnsi="宋体" w:cs="宋体" w:eastAsia="宋体" w:hint="default"/>
        </w:rPr>
        <w:t>1.53</w:t>
      </w:r>
      <w:r>
        <w:rPr/>
        <w:t>亿元人民币收购拉萨晋泉投资管理有限公司持有的北京万兴新锐科技发展有限公司</w:t>
      </w:r>
      <w:r>
        <w:rPr>
          <w:rFonts w:ascii="宋体" w:hAnsi="宋体" w:cs="宋体" w:eastAsia="宋体" w:hint="default"/>
        </w:rPr>
        <w:t>51%</w:t>
      </w:r>
      <w:r>
        <w:rPr/>
        <w:t>的股</w:t>
      </w:r>
      <w:r>
        <w:rPr>
          <w:spacing w:val="-84"/>
        </w:rPr>
        <w:t> </w:t>
      </w:r>
      <w:r>
        <w:rPr/>
        <w:t>权。详见</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7</w:t>
      </w:r>
      <w:r>
        <w:rPr/>
        <w:t>日，刊登在《中国证券报》、《证券日报》、《证券时报》及巨潮资讯网（</w:t>
      </w:r>
      <w:hyperlink r:id="rId12">
        <w:r>
          <w:rPr>
            <w:rFonts w:ascii="宋体" w:hAnsi="宋体" w:cs="宋体" w:eastAsia="宋体" w:hint="default"/>
          </w:rPr>
          <w:t>www.cninfo.com.cn</w:t>
        </w:r>
      </w:hyperlink>
      <w:r>
        <w:rPr/>
        <w:t>）上的</w:t>
      </w:r>
    </w:p>
    <w:p>
      <w:pPr>
        <w:pStyle w:val="BodyText"/>
        <w:spacing w:line="240" w:lineRule="auto" w:before="17"/>
        <w:ind w:right="153"/>
        <w:jc w:val="left"/>
      </w:pPr>
      <w:r>
        <w:rPr/>
        <w:t>《东华软件股份公司对外投资公告》（公告编号：</w:t>
      </w:r>
      <w:r>
        <w:rPr>
          <w:rFonts w:ascii="宋体" w:hAnsi="宋体" w:cs="宋体" w:eastAsia="宋体" w:hint="default"/>
        </w:rPr>
        <w:t>2015-054</w:t>
      </w:r>
      <w:r>
        <w:rPr/>
        <w:t>）。</w:t>
      </w:r>
    </w:p>
    <w:p>
      <w:pPr>
        <w:spacing w:line="240" w:lineRule="auto" w:before="0"/>
        <w:rPr>
          <w:rFonts w:ascii="宋体" w:hAnsi="宋体" w:cs="宋体" w:eastAsia="宋体" w:hint="default"/>
          <w:sz w:val="15"/>
          <w:szCs w:val="15"/>
        </w:rPr>
      </w:pPr>
    </w:p>
    <w:p>
      <w:pPr>
        <w:pStyle w:val="BodyText"/>
        <w:spacing w:line="316" w:lineRule="auto"/>
        <w:ind w:right="151" w:firstLine="360"/>
        <w:jc w:val="both"/>
      </w:pPr>
      <w:r>
        <w:rPr>
          <w:rFonts w:ascii="宋体" w:hAnsi="宋体" w:cs="宋体" w:eastAsia="宋体" w:hint="default"/>
          <w:spacing w:val="-2"/>
        </w:rPr>
        <w:t>5</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日公司第五届董事会第二十一次会议审议通过了《关于对外投资设立东华网络股份有限公司</w:t>
      </w:r>
      <w:r>
        <w:rPr/>
        <w:t> 的议案》，同意公司及其全资子公司东华云计算有限公司共同出资人民币</w:t>
      </w:r>
      <w:r>
        <w:rPr>
          <w:rFonts w:ascii="宋体" w:hAnsi="宋体" w:cs="宋体" w:eastAsia="宋体" w:hint="default"/>
        </w:rPr>
        <w:t>1</w:t>
      </w:r>
      <w:r>
        <w:rPr/>
        <w:t>亿元设立东华网络股份有限公司。详见</w:t>
      </w:r>
      <w:r>
        <w:rPr>
          <w:rFonts w:ascii="宋体" w:hAnsi="宋体" w:cs="宋体" w:eastAsia="宋体" w:hint="default"/>
        </w:rPr>
        <w:t>2015</w:t>
      </w:r>
      <w:r>
        <w:rPr/>
        <w:t>年</w:t>
      </w:r>
      <w:r>
        <w:rPr>
          <w:rFonts w:ascii="宋体" w:hAnsi="宋体" w:cs="宋体" w:eastAsia="宋体" w:hint="default"/>
        </w:rPr>
        <w:t>5</w:t>
      </w:r>
      <w:r>
        <w:rPr>
          <w:rFonts w:ascii="宋体" w:hAnsi="宋体" w:cs="宋体" w:eastAsia="宋体" w:hint="default"/>
          <w:spacing w:val="-2"/>
        </w:rPr>
        <w:t> </w:t>
      </w:r>
      <w:r>
        <w:rPr/>
        <w:t>月</w:t>
      </w:r>
      <w:r>
        <w:rPr>
          <w:rFonts w:ascii="宋体" w:hAnsi="宋体" w:cs="宋体" w:eastAsia="宋体" w:hint="default"/>
        </w:rPr>
        <w:t>15</w:t>
      </w:r>
      <w:r>
        <w:rPr/>
        <w:t>日，刊登在《中国证券报》、《证券日报》、《证券时报》及巨潮资讯网（</w:t>
      </w:r>
      <w:hyperlink r:id="rId12">
        <w:r>
          <w:rPr>
            <w:rFonts w:ascii="宋体" w:hAnsi="宋体" w:cs="宋体" w:eastAsia="宋体" w:hint="default"/>
          </w:rPr>
          <w:t>www.cninfo.com.cn</w:t>
        </w:r>
      </w:hyperlink>
      <w:r>
        <w:rPr/>
        <w:t>）上的《东华软件股份 公司对外投资公告》（公告编号：</w:t>
      </w:r>
      <w:r>
        <w:rPr>
          <w:rFonts w:ascii="宋体" w:hAnsi="宋体" w:cs="宋体" w:eastAsia="宋体" w:hint="default"/>
        </w:rPr>
        <w:t>2015-062</w:t>
      </w:r>
      <w:r>
        <w:rPr/>
        <w:t>）。</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1" w:firstLine="360"/>
        <w:jc w:val="both"/>
      </w:pPr>
      <w:r>
        <w:rPr>
          <w:rFonts w:ascii="宋体" w:hAnsi="宋体" w:cs="宋体" w:eastAsia="宋体" w:hint="default"/>
          <w:spacing w:val="-2"/>
        </w:rPr>
        <w:t>6</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日公司第五届董事会第二十二次会议审议通过《关于对外投资设立苏州东华软件科技有限公</w:t>
      </w:r>
      <w:r>
        <w:rPr/>
        <w:t> </w:t>
      </w:r>
      <w:r>
        <w:rPr>
          <w:spacing w:val="-6"/>
        </w:rPr>
        <w:t>司的议案》，同意公司出资人民币</w:t>
      </w:r>
      <w:r>
        <w:rPr>
          <w:rFonts w:ascii="宋体" w:hAnsi="宋体" w:cs="宋体" w:eastAsia="宋体" w:hint="default"/>
          <w:spacing w:val="-6"/>
        </w:rPr>
        <w:t>10,000</w:t>
      </w:r>
      <w:r>
        <w:rPr>
          <w:spacing w:val="-6"/>
        </w:rPr>
        <w:t>万元设立苏州东华软件科技有限公司。详见</w:t>
      </w:r>
      <w:r>
        <w:rPr>
          <w:rFonts w:ascii="宋体" w:hAnsi="宋体" w:cs="宋体" w:eastAsia="宋体" w:hint="default"/>
          <w:spacing w:val="-6"/>
        </w:rPr>
        <w:t>2015</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26</w:t>
      </w:r>
      <w:r>
        <w:rPr>
          <w:spacing w:val="-6"/>
        </w:rPr>
        <w:t>日，刊登在《中国证券报》、</w:t>
      </w:r>
    </w:p>
    <w:p>
      <w:pPr>
        <w:pStyle w:val="BodyText"/>
        <w:spacing w:line="316" w:lineRule="auto" w:before="17"/>
        <w:ind w:right="152"/>
        <w:jc w:val="left"/>
      </w:pPr>
      <w:r>
        <w:rPr/>
        <w:t>《证券日报》、《证券时报》及巨潮资讯网（</w:t>
      </w:r>
      <w:hyperlink r:id="rId12">
        <w:r>
          <w:rPr>
            <w:rFonts w:ascii="宋体" w:hAnsi="宋体" w:cs="宋体" w:eastAsia="宋体" w:hint="default"/>
          </w:rPr>
          <w:t>www.cninfo.com.cn</w:t>
        </w:r>
      </w:hyperlink>
      <w:r>
        <w:rPr/>
        <w:t>）上的《东华软件股份公司对外投资公告（一）》（公告 编号：</w:t>
      </w:r>
      <w:r>
        <w:rPr>
          <w:rFonts w:ascii="宋体" w:hAnsi="宋体" w:cs="宋体" w:eastAsia="宋体" w:hint="default"/>
        </w:rPr>
        <w:t>2015-071</w:t>
      </w:r>
      <w:r>
        <w:rPr/>
        <w:t>）。</w:t>
      </w:r>
    </w:p>
    <w:p>
      <w:pPr>
        <w:pStyle w:val="BodyText"/>
        <w:spacing w:line="316" w:lineRule="auto" w:before="139"/>
        <w:ind w:right="151" w:firstLine="360"/>
        <w:jc w:val="both"/>
      </w:pPr>
      <w:r>
        <w:rPr>
          <w:rFonts w:ascii="宋体" w:hAnsi="宋体" w:cs="宋体" w:eastAsia="宋体" w:hint="default"/>
          <w:spacing w:val="-2"/>
        </w:rPr>
        <w:t>7</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日公司第五届董事会第二十二次会议审议通过《关于对外投资设立东华软件（绵阳）有限公</w:t>
      </w:r>
      <w:r>
        <w:rPr/>
        <w:t> 司的议案》，同意公司出资人民币</w:t>
      </w:r>
      <w:r>
        <w:rPr>
          <w:rFonts w:ascii="宋体" w:hAnsi="宋体" w:cs="宋体" w:eastAsia="宋体" w:hint="default"/>
        </w:rPr>
        <w:t>10,000</w:t>
      </w:r>
      <w:r>
        <w:rPr/>
        <w:t>万元，在四川绵阳设立东华软件（绵阳）有限公司。详见</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26</w:t>
      </w:r>
      <w:r>
        <w:rPr/>
        <w:t>日，刊登在</w:t>
      </w:r>
    </w:p>
    <w:p>
      <w:pPr>
        <w:pStyle w:val="BodyText"/>
        <w:spacing w:line="316" w:lineRule="auto" w:before="19"/>
        <w:ind w:right="153"/>
        <w:jc w:val="left"/>
      </w:pPr>
      <w:r>
        <w:rPr/>
        <w:t>《中国证券报》、《证券日报》、《证券时报》及巨潮资讯网（</w:t>
      </w:r>
      <w:hyperlink r:id="rId12">
        <w:r>
          <w:rPr>
            <w:rFonts w:ascii="宋体" w:hAnsi="宋体" w:cs="宋体" w:eastAsia="宋体" w:hint="default"/>
          </w:rPr>
          <w:t>www.cninfo.com.cn</w:t>
        </w:r>
      </w:hyperlink>
      <w:r>
        <w:rPr/>
        <w:t>）上的《东华软件股份公司对外投资公 告（二）》（公告编号：</w:t>
      </w:r>
      <w:r>
        <w:rPr>
          <w:rFonts w:ascii="宋体" w:hAnsi="宋体" w:cs="宋体" w:eastAsia="宋体" w:hint="default"/>
        </w:rPr>
        <w:t>2015-072</w:t>
      </w:r>
      <w:r>
        <w:rPr/>
        <w:t>）。</w:t>
      </w:r>
    </w:p>
    <w:p>
      <w:pPr>
        <w:pStyle w:val="BodyText"/>
        <w:spacing w:line="316" w:lineRule="auto" w:before="139"/>
        <w:ind w:right="151" w:firstLine="360"/>
        <w:jc w:val="both"/>
      </w:pPr>
      <w:r>
        <w:rPr>
          <w:rFonts w:ascii="宋体" w:hAnsi="宋体" w:cs="宋体" w:eastAsia="宋体" w:hint="default"/>
          <w:spacing w:val="-2"/>
        </w:rPr>
        <w:t>8</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日公司第五届董事会第二十三届会议审议通过了《关于对外投资设立东华互联宜家有限公司</w:t>
      </w:r>
      <w:r>
        <w:rPr/>
        <w:t> 的议案》，同意公司与北京安视通企业管理合伙企业（有限合伙）、自然人陈震共同出资人民币</w:t>
      </w:r>
      <w:r>
        <w:rPr>
          <w:rFonts w:ascii="宋体" w:hAnsi="宋体" w:cs="宋体" w:eastAsia="宋体" w:hint="default"/>
        </w:rPr>
        <w:t>2</w:t>
      </w:r>
      <w:r>
        <w:rPr/>
        <w:t>亿元。详见</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29</w:t>
      </w:r>
      <w:r>
        <w:rPr>
          <w:rFonts w:ascii="宋体" w:hAnsi="宋体" w:cs="宋体" w:eastAsia="宋体" w:hint="default"/>
          <w:spacing w:val="-6"/>
        </w:rPr>
        <w:t> </w:t>
      </w:r>
      <w:r>
        <w:rPr/>
        <w:t>日，刊登在《中国证券报》、《证券日报》、《证券时报》及巨潮资讯网（</w:t>
      </w:r>
      <w:hyperlink r:id="rId12">
        <w:r>
          <w:rPr>
            <w:rFonts w:ascii="宋体" w:hAnsi="宋体" w:cs="宋体" w:eastAsia="宋体" w:hint="default"/>
          </w:rPr>
          <w:t>www.cninfo.com.cn</w:t>
        </w:r>
      </w:hyperlink>
      <w:r>
        <w:rPr/>
        <w:t>）上的《东华软件股份公司 对外投资公告（一）》（公告编号：</w:t>
      </w:r>
      <w:r>
        <w:rPr>
          <w:rFonts w:ascii="宋体" w:hAnsi="宋体" w:cs="宋体" w:eastAsia="宋体" w:hint="default"/>
        </w:rPr>
        <w:t>2015-075</w:t>
      </w:r>
      <w:r>
        <w:rPr/>
        <w:t>）。</w:t>
      </w:r>
    </w:p>
    <w:p>
      <w:pPr>
        <w:pStyle w:val="BodyText"/>
        <w:spacing w:line="316" w:lineRule="auto" w:before="139"/>
        <w:ind w:right="151" w:firstLine="360"/>
        <w:jc w:val="both"/>
      </w:pPr>
      <w:r>
        <w:rPr>
          <w:rFonts w:ascii="宋体" w:hAnsi="宋体" w:cs="宋体" w:eastAsia="宋体" w:hint="default"/>
          <w:spacing w:val="-2"/>
        </w:rPr>
        <w:t>9</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日公司第五届董事会第二十四次会议决议通过了《关于对外投资设立东华软件（威海）有限</w:t>
      </w:r>
      <w:r>
        <w:rPr/>
        <w:t> </w:t>
      </w:r>
      <w:r>
        <w:rPr>
          <w:spacing w:val="-2"/>
        </w:rPr>
        <w:t>公司的议案》，同意公司出资</w:t>
      </w:r>
      <w:r>
        <w:rPr>
          <w:rFonts w:ascii="宋体" w:hAnsi="宋体" w:cs="宋体" w:eastAsia="宋体" w:hint="default"/>
          <w:spacing w:val="-2"/>
        </w:rPr>
        <w:t>5,000</w:t>
      </w:r>
      <w:r>
        <w:rPr>
          <w:spacing w:val="-2"/>
        </w:rPr>
        <w:t>万元人民币投资设立东华软件（威海）有限公司。详见</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日，刊登在《中国证</w:t>
      </w:r>
      <w:r>
        <w:rPr>
          <w:spacing w:val="-63"/>
        </w:rPr>
        <w:t> </w:t>
      </w:r>
      <w:r>
        <w:rPr>
          <w:spacing w:val="-63"/>
        </w:rPr>
      </w:r>
      <w:r>
        <w:rPr/>
        <w:t>券报》、《证券日报》、《证券时报》及巨潮资讯网（</w:t>
      </w:r>
      <w:hyperlink r:id="rId12">
        <w:r>
          <w:rPr>
            <w:rFonts w:ascii="宋体" w:hAnsi="宋体" w:cs="宋体" w:eastAsia="宋体" w:hint="default"/>
          </w:rPr>
          <w:t>www.cninfo.com.cn</w:t>
        </w:r>
      </w:hyperlink>
      <w:r>
        <w:rPr/>
        <w:t>）的《东华软件股份公司对外投资公告》（公告</w:t>
      </w:r>
      <w:r>
        <w:rPr>
          <w:spacing w:val="-87"/>
        </w:rPr>
        <w:t> </w:t>
      </w:r>
      <w:r>
        <w:rPr>
          <w:spacing w:val="-87"/>
        </w:rPr>
      </w:r>
      <w:r>
        <w:rPr/>
        <w:t>编号：</w:t>
      </w:r>
      <w:r>
        <w:rPr>
          <w:rFonts w:ascii="宋体" w:hAnsi="宋体" w:cs="宋体" w:eastAsia="宋体" w:hint="default"/>
        </w:rPr>
        <w:t>2015-085</w:t>
      </w:r>
      <w:r>
        <w:rPr/>
        <w:t>）。</w:t>
      </w:r>
    </w:p>
    <w:p>
      <w:pPr>
        <w:pStyle w:val="BodyText"/>
        <w:spacing w:line="316" w:lineRule="auto" w:before="139"/>
        <w:ind w:right="148" w:firstLine="360"/>
        <w:jc w:val="both"/>
      </w:pPr>
      <w:r>
        <w:rPr>
          <w:rFonts w:ascii="宋体" w:hAnsi="宋体" w:cs="宋体" w:eastAsia="宋体" w:hint="default"/>
          <w:spacing w:val="-2"/>
        </w:rPr>
        <w:t>10</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9</w:t>
      </w:r>
      <w:r>
        <w:rPr>
          <w:spacing w:val="-2"/>
        </w:rPr>
        <w:t>日公司第五届董事会第二十九次会议审议通过了《关于对外投资设立海南东华软件有限公司</w:t>
      </w:r>
      <w:r>
        <w:rPr/>
        <w:t> </w:t>
      </w:r>
      <w:r>
        <w:rPr>
          <w:spacing w:val="-4"/>
        </w:rPr>
        <w:t>的议案》，同意公司与北京东华合创科技有限公司共同出资人民币</w:t>
      </w:r>
      <w:r>
        <w:rPr>
          <w:rFonts w:ascii="宋体" w:hAnsi="宋体" w:cs="宋体" w:eastAsia="宋体" w:hint="default"/>
          <w:spacing w:val="-4"/>
        </w:rPr>
        <w:t>1</w:t>
      </w:r>
      <w:r>
        <w:rPr>
          <w:spacing w:val="-4"/>
        </w:rPr>
        <w:t>亿元，在海南省儋州市投资设立海南东华软件有限公司。</w:t>
      </w:r>
      <w:r>
        <w:rPr>
          <w:spacing w:val="-42"/>
        </w:rPr>
        <w:t> </w:t>
      </w:r>
      <w:r>
        <w:rPr>
          <w:spacing w:val="-42"/>
        </w:rPr>
      </w:r>
      <w:r>
        <w:rPr>
          <w:spacing w:val="-2"/>
        </w:rPr>
        <w:t>详见</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日，刊登在《中国证券报》、《证券日报》、《证券时报》及巨潮资讯网（</w:t>
      </w:r>
      <w:hyperlink r:id="rId12">
        <w:r>
          <w:rPr>
            <w:rFonts w:ascii="宋体" w:hAnsi="宋体" w:cs="宋体" w:eastAsia="宋体" w:hint="default"/>
            <w:spacing w:val="-2"/>
          </w:rPr>
          <w:t>www.cninfo.com.cn</w:t>
        </w:r>
      </w:hyperlink>
      <w:r>
        <w:rPr>
          <w:spacing w:val="-2"/>
        </w:rPr>
        <w:t>）上的《东</w:t>
      </w:r>
      <w:r>
        <w:rPr>
          <w:spacing w:val="-53"/>
        </w:rPr>
        <w:t> </w:t>
      </w:r>
      <w:r>
        <w:rPr>
          <w:spacing w:val="-53"/>
        </w:rPr>
      </w:r>
      <w:r>
        <w:rPr/>
        <w:t>华软件股份公司对外投资公告》（公告编号：</w:t>
      </w:r>
      <w:r>
        <w:rPr>
          <w:rFonts w:ascii="宋体" w:hAnsi="宋体" w:cs="宋体" w:eastAsia="宋体" w:hint="default"/>
        </w:rPr>
        <w:t>2015-120</w:t>
      </w:r>
      <w:r>
        <w:rPr/>
        <w:t>）。</w:t>
      </w:r>
    </w:p>
    <w:p>
      <w:pPr>
        <w:pStyle w:val="BodyText"/>
        <w:spacing w:line="316" w:lineRule="auto" w:before="139"/>
        <w:ind w:right="151" w:firstLine="360"/>
        <w:jc w:val="both"/>
      </w:pPr>
      <w:r>
        <w:rPr>
          <w:rFonts w:ascii="宋体" w:hAnsi="宋体" w:cs="宋体" w:eastAsia="宋体" w:hint="default"/>
          <w:spacing w:val="-2"/>
        </w:rPr>
        <w:t>11</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日公司第五届董事会第三十一次会议决议通过了《关于对外投资设立北京东华智中能源互</w:t>
      </w:r>
      <w:r>
        <w:rPr/>
        <w:t> 联网技术有限公司的议案》，同意公司与北京智中能源互联网研究院有限公司共同出资人民币</w:t>
      </w:r>
      <w:r>
        <w:rPr>
          <w:rFonts w:ascii="宋体" w:hAnsi="宋体" w:cs="宋体" w:eastAsia="宋体" w:hint="default"/>
        </w:rPr>
        <w:t>2,000</w:t>
      </w:r>
      <w:r>
        <w:rPr/>
        <w:t>万元投资设立北京东华</w:t>
      </w:r>
      <w:r>
        <w:rPr>
          <w:spacing w:val="-84"/>
        </w:rPr>
        <w:t> </w:t>
      </w:r>
      <w:r>
        <w:rPr>
          <w:spacing w:val="-84"/>
        </w:rPr>
      </w:r>
      <w:r>
        <w:rPr>
          <w:spacing w:val="-2"/>
        </w:rPr>
        <w:t>智中能源互联网技术有限公司。详见</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19</w:t>
      </w:r>
      <w:r>
        <w:rPr>
          <w:spacing w:val="-2"/>
        </w:rPr>
        <w:t>日，刊登在《中国证券报》、《证券日报》、《证券时报》及巨潮资讯网</w:t>
      </w:r>
    </w:p>
    <w:p>
      <w:pPr>
        <w:pStyle w:val="BodyText"/>
        <w:spacing w:line="240" w:lineRule="auto" w:before="19"/>
        <w:ind w:right="153"/>
        <w:jc w:val="left"/>
      </w:pPr>
      <w:r>
        <w:rPr/>
        <w:t>（</w:t>
      </w:r>
      <w:hyperlink r:id="rId12">
        <w:r>
          <w:rPr>
            <w:rFonts w:ascii="宋体" w:hAnsi="宋体" w:cs="宋体" w:eastAsia="宋体" w:hint="default"/>
          </w:rPr>
          <w:t>www.cninfo.com.cn</w:t>
        </w:r>
      </w:hyperlink>
      <w:r>
        <w:rPr/>
        <w:t>）的《东华软件股份公司对外投资公告（一）》（公告编号：</w:t>
      </w:r>
      <w:r>
        <w:rPr>
          <w:rFonts w:ascii="宋体" w:hAnsi="宋体" w:cs="宋体" w:eastAsia="宋体" w:hint="default"/>
        </w:rPr>
        <w:t>2015-136</w:t>
      </w:r>
      <w:r>
        <w:rPr/>
        <w:t>）。</w:t>
      </w:r>
    </w:p>
    <w:p>
      <w:pPr>
        <w:spacing w:line="240" w:lineRule="auto" w:before="0"/>
        <w:rPr>
          <w:rFonts w:ascii="宋体" w:hAnsi="宋体" w:cs="宋体" w:eastAsia="宋体" w:hint="default"/>
          <w:sz w:val="15"/>
          <w:szCs w:val="15"/>
        </w:rPr>
      </w:pPr>
    </w:p>
    <w:p>
      <w:pPr>
        <w:pStyle w:val="BodyText"/>
        <w:spacing w:line="316" w:lineRule="auto"/>
        <w:ind w:right="153" w:firstLine="360"/>
        <w:jc w:val="both"/>
      </w:pPr>
      <w:r>
        <w:rPr>
          <w:rFonts w:ascii="宋体" w:hAnsi="宋体" w:cs="宋体" w:eastAsia="宋体" w:hint="default"/>
          <w:spacing w:val="-2"/>
        </w:rPr>
        <w:t>12</w:t>
      </w:r>
      <w:r>
        <w:rPr>
          <w:spacing w:val="-2"/>
        </w:rPr>
        <w:t>、报告期内，</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日公司第五届董事会第三十一次会议决议通过了《关于对外投资设立吉林省东华软件信息</w:t>
      </w:r>
      <w:r>
        <w:rPr/>
        <w:t> 工程有限公司的议案》，同意公司与北京东华合创科技有限公司共同出资人民币</w:t>
      </w:r>
      <w:r>
        <w:rPr>
          <w:rFonts w:ascii="宋体" w:hAnsi="宋体" w:cs="宋体" w:eastAsia="宋体" w:hint="default"/>
        </w:rPr>
        <w:t>2,000</w:t>
      </w:r>
      <w:r>
        <w:rPr/>
        <w:t>万元投资设立吉林省东华软件信息工</w:t>
      </w:r>
      <w:r>
        <w:rPr>
          <w:spacing w:val="-85"/>
        </w:rPr>
        <w:t> </w:t>
      </w:r>
      <w:r>
        <w:rPr>
          <w:spacing w:val="-85"/>
        </w:rPr>
      </w:r>
      <w:r>
        <w:rPr>
          <w:spacing w:val="-8"/>
        </w:rPr>
        <w:t>程有限公司。详见</w:t>
      </w:r>
      <w:r>
        <w:rPr>
          <w:rFonts w:ascii="宋体" w:hAnsi="宋体" w:cs="宋体" w:eastAsia="宋体" w:hint="default"/>
          <w:spacing w:val="-8"/>
        </w:rPr>
        <w:t>2015</w:t>
      </w:r>
      <w:r>
        <w:rPr>
          <w:spacing w:val="-8"/>
        </w:rPr>
        <w:t>年</w:t>
      </w:r>
      <w:r>
        <w:rPr>
          <w:rFonts w:ascii="宋体" w:hAnsi="宋体" w:cs="宋体" w:eastAsia="宋体" w:hint="default"/>
          <w:spacing w:val="-8"/>
        </w:rPr>
        <w:t>11</w:t>
      </w:r>
      <w:r>
        <w:rPr>
          <w:spacing w:val="-8"/>
        </w:rPr>
        <w:t>月</w:t>
      </w:r>
      <w:r>
        <w:rPr>
          <w:rFonts w:ascii="宋体" w:hAnsi="宋体" w:cs="宋体" w:eastAsia="宋体" w:hint="default"/>
          <w:spacing w:val="-8"/>
        </w:rPr>
        <w:t>19</w:t>
      </w:r>
      <w:r>
        <w:rPr>
          <w:spacing w:val="-8"/>
        </w:rPr>
        <w:t>日，刊登在《中国证券报》、《证券日报》、《证券时报》及巨潮资讯网（</w:t>
      </w:r>
      <w:hyperlink r:id="rId12">
        <w:r>
          <w:rPr>
            <w:rFonts w:ascii="宋体" w:hAnsi="宋体" w:cs="宋体" w:eastAsia="宋体" w:hint="default"/>
            <w:spacing w:val="-8"/>
          </w:rPr>
          <w:t>www.cninfo.com.cn</w:t>
        </w:r>
      </w:hyperlink>
      <w:r>
        <w:rPr>
          <w:spacing w:val="-8"/>
        </w:rPr>
        <w:t>）</w:t>
      </w:r>
      <w:r>
        <w:rPr/>
        <w:t> 的《东华软件股份公司对外投资公告（二）》（公告编号：</w:t>
      </w:r>
      <w:r>
        <w:rPr>
          <w:rFonts w:ascii="宋体" w:hAnsi="宋体" w:cs="宋体" w:eastAsia="宋体" w:hint="default"/>
        </w:rPr>
        <w:t>2015-137</w:t>
      </w:r>
      <w:r>
        <w:rPr/>
        <w:t>）。</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二十、社会责任情况</w:t>
      </w:r>
      <w:r>
        <w:rPr>
          <w:b w:val="0"/>
          <w:bCs w:val="0"/>
        </w:rPr>
      </w:r>
    </w:p>
    <w:p>
      <w:pPr>
        <w:spacing w:line="240" w:lineRule="auto" w:before="6"/>
        <w:rPr>
          <w:rFonts w:ascii="宋体" w:hAnsi="宋体" w:cs="宋体" w:eastAsia="宋体" w:hint="default"/>
          <w:b/>
          <w:bCs/>
          <w:sz w:val="26"/>
          <w:szCs w:val="26"/>
        </w:rPr>
      </w:pPr>
    </w:p>
    <w:p>
      <w:pPr>
        <w:pStyle w:val="BodyText"/>
        <w:spacing w:line="439" w:lineRule="auto"/>
        <w:ind w:right="414"/>
        <w:jc w:val="left"/>
      </w:pPr>
      <w:r>
        <w:rPr/>
        <w:t>√ 适用 □</w:t>
      </w:r>
      <w:r>
        <w:rPr>
          <w:spacing w:val="3"/>
        </w:rPr>
        <w:t> </w:t>
      </w:r>
      <w:r>
        <w:rPr/>
        <w:t>不适用</w:t>
      </w:r>
      <w:r>
        <w:rPr/>
        <w:t> 内容详见</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26</w:t>
      </w:r>
      <w:r>
        <w:rPr/>
        <w:t>日刊登在巨潮资讯网（</w:t>
      </w:r>
      <w:hyperlink r:id="rId12">
        <w:r>
          <w:rPr>
            <w:rFonts w:ascii="宋体" w:hAnsi="宋体" w:cs="宋体" w:eastAsia="宋体" w:hint="default"/>
          </w:rPr>
          <w:t>http://www.cninfo.com.cn/</w:t>
        </w:r>
      </w:hyperlink>
      <w:r>
        <w:rPr/>
        <w:t>）上的《东华软件股份公司社会责任报告》。 上市公司及其子公司是否属于国家环境保护部门规定的重污染行业</w:t>
      </w:r>
    </w:p>
    <w:p>
      <w:pPr>
        <w:pStyle w:val="BodyText"/>
        <w:spacing w:line="240" w:lineRule="auto" w:before="47"/>
        <w:ind w:right="153"/>
        <w:jc w:val="left"/>
      </w:pPr>
      <w:r>
        <w:rPr/>
        <w:t>□ 是 √ 否 □</w:t>
      </w:r>
      <w:r>
        <w:rPr>
          <w:spacing w:val="2"/>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439" w:lineRule="auto"/>
        <w:ind w:right="1134"/>
        <w:jc w:val="left"/>
      </w:pPr>
      <w:r>
        <w:rPr/>
        <w:t>公司是否存在公开发行并在证券交易所上市，且在年度报告批准报出日未到期或到期未能全额兑付的公司债券 否</w:t>
      </w:r>
    </w:p>
    <w:p>
      <w:pPr>
        <w:spacing w:after="0" w:line="439"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1"/>
        <w:spacing w:line="240" w:lineRule="auto"/>
        <w:ind w:left="3045" w:right="314"/>
        <w:jc w:val="left"/>
        <w:rPr>
          <w:b w:val="0"/>
          <w:bCs w:val="0"/>
        </w:rPr>
      </w:pPr>
      <w:bookmarkStart w:name="_bookmark4" w:id="5"/>
      <w:bookmarkEnd w:id="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31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14"/>
        <w:jc w:val="left"/>
        <w:rPr>
          <w:b w:val="0"/>
          <w:bCs w:val="0"/>
        </w:rPr>
      </w:pPr>
      <w:r>
        <w:rPr>
          <w:rFonts w:ascii="宋体" w:hAnsi="宋体" w:cs="宋体" w:eastAsia="宋体" w:hint="default"/>
        </w:rPr>
        <w:t>1</w:t>
      </w:r>
      <w:r>
        <w:rPr/>
        <w:t>、股份变动情况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41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286"/>
        <w:gridCol w:w="710"/>
        <w:gridCol w:w="991"/>
        <w:gridCol w:w="425"/>
        <w:gridCol w:w="711"/>
        <w:gridCol w:w="1133"/>
        <w:gridCol w:w="1039"/>
        <w:gridCol w:w="1229"/>
        <w:gridCol w:w="710"/>
      </w:tblGrid>
      <w:tr>
        <w:trPr>
          <w:trHeight w:val="402"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039" w:type="dxa"/>
            <w:vMerge/>
            <w:tcBorders>
              <w:left w:val="single" w:sz="4" w:space="0" w:color="000000"/>
              <w:bottom w:val="nil" w:sz="6" w:space="0" w:color="auto"/>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188,991,296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37,773,305</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-10,897,989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26,875,316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215,866,612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1,267,916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center"/>
              <w:rPr>
                <w:rFonts w:ascii="宋体" w:hAnsi="宋体" w:cs="宋体" w:eastAsia="宋体" w:hint="default"/>
                <w:sz w:val="18"/>
                <w:szCs w:val="18"/>
              </w:rPr>
            </w:pPr>
            <w:r>
              <w:rPr>
                <w:rFonts w:ascii="宋体"/>
                <w:sz w:val="18"/>
              </w:rPr>
              <w:t>5,361,358</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-1,267,916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4,093,442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5,361,358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0.34%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187,723,380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宋体" w:hAnsi="宋体" w:cs="宋体" w:eastAsia="宋体" w:hint="default"/>
                <w:sz w:val="18"/>
                <w:szCs w:val="18"/>
              </w:rPr>
            </w:pPr>
            <w:r>
              <w:rPr>
                <w:rFonts w:ascii="宋体"/>
                <w:sz w:val="18"/>
              </w:rPr>
              <w:t>32,411,947</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-9,630,073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22,781,874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210,505,254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9,444,873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center"/>
              <w:rPr>
                <w:rFonts w:ascii="宋体" w:hAnsi="宋体" w:cs="宋体" w:eastAsia="宋体" w:hint="default"/>
                <w:sz w:val="18"/>
                <w:szCs w:val="18"/>
              </w:rPr>
            </w:pPr>
            <w:r>
              <w:rPr>
                <w:rFonts w:ascii="宋体"/>
                <w:sz w:val="18"/>
              </w:rPr>
              <w:t>7,474,687</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-9,444,873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-1,970,186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7,474,687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0.47%</w:t>
            </w:r>
          </w:p>
        </w:tc>
      </w:tr>
      <w:tr>
        <w:trPr>
          <w:trHeight w:val="71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178,278,507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11.77%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sz w:val="18"/>
              </w:rPr>
              <w:t>24,937,260</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-185,200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24,752,060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203,030,567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12.98%</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1,325,815,652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87.52%</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22,879,436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22,879,436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1,348,695,088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86.20%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1,325,815,652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87.52%</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22,879,436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22,879,436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1,348,695,088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86.20%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1,514,806,948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37,773,305</w:t>
            </w: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11,981,447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49,754,752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1,564,561,700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314"/>
        <w:jc w:val="left"/>
      </w:pPr>
      <w:r>
        <w:rPr/>
        <w:t>股份变动的原因</w:t>
      </w:r>
    </w:p>
    <w:p>
      <w:pPr>
        <w:pStyle w:val="BodyText"/>
        <w:spacing w:line="240" w:lineRule="auto" w:before="115"/>
        <w:ind w:right="314"/>
        <w:jc w:val="left"/>
      </w:pPr>
      <w:r>
        <w:rPr/>
        <w:t>√ 适用 □</w:t>
      </w:r>
      <w:r>
        <w:rPr>
          <w:spacing w:val="3"/>
        </w:rPr>
        <w:t> </w:t>
      </w:r>
      <w:r>
        <w:rPr/>
        <w:t>不适用</w:t>
      </w:r>
    </w:p>
    <w:p>
      <w:pPr>
        <w:spacing w:line="240" w:lineRule="auto" w:before="3"/>
        <w:rPr>
          <w:rFonts w:ascii="宋体" w:hAnsi="宋体" w:cs="宋体" w:eastAsia="宋体" w:hint="default"/>
          <w:sz w:val="15"/>
          <w:szCs w:val="15"/>
        </w:rPr>
      </w:pPr>
    </w:p>
    <w:p>
      <w:pPr>
        <w:pStyle w:val="BodyText"/>
        <w:spacing w:line="314" w:lineRule="auto"/>
        <w:ind w:right="411" w:firstLine="360"/>
        <w:jc w:val="both"/>
      </w:pPr>
      <w:r>
        <w:rPr>
          <w:rFonts w:ascii="宋体" w:hAnsi="宋体" w:cs="宋体" w:eastAsia="宋体" w:hint="default"/>
        </w:rPr>
        <w:t>1</w:t>
      </w:r>
      <w:r>
        <w:rPr/>
        <w:t>、</w:t>
      </w:r>
      <w:r>
        <w:rPr>
          <w:rFonts w:ascii="宋体" w:hAnsi="宋体" w:cs="宋体" w:eastAsia="宋体" w:hint="default"/>
        </w:rPr>
        <w:t>2015</w:t>
      </w:r>
      <w:r>
        <w:rPr/>
        <w:t>年年初，中国证券登记结算有限公司深圳分公司根据公司董事、监事和高级管理人员</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日所持公司 股份重新计算本年度可转让股份法定额度，其余部分作为高管锁定股份继续锁定。</w:t>
      </w:r>
    </w:p>
    <w:p>
      <w:pPr>
        <w:pStyle w:val="BodyText"/>
        <w:spacing w:line="316" w:lineRule="auto" w:before="140"/>
        <w:ind w:right="409" w:firstLine="360"/>
        <w:jc w:val="both"/>
      </w:pPr>
      <w:r>
        <w:rPr>
          <w:rFonts w:ascii="宋体" w:hAnsi="宋体" w:cs="宋体" w:eastAsia="宋体" w:hint="default"/>
          <w:spacing w:val="-2"/>
        </w:rPr>
        <w:t>2</w:t>
      </w:r>
      <w:r>
        <w:rPr>
          <w:spacing w:val="-2"/>
        </w:rPr>
        <w:t>、因实施</w:t>
      </w:r>
      <w:r>
        <w:rPr>
          <w:rFonts w:ascii="宋体" w:hAnsi="宋体" w:cs="宋体" w:eastAsia="宋体" w:hint="default"/>
          <w:spacing w:val="-2"/>
        </w:rPr>
        <w:t>2013</w:t>
      </w:r>
      <w:r>
        <w:rPr>
          <w:spacing w:val="-2"/>
        </w:rPr>
        <w:t>年度利润分配方案，行权价格调整为</w:t>
      </w:r>
      <w:r>
        <w:rPr>
          <w:rFonts w:ascii="宋体" w:hAnsi="宋体" w:cs="宋体" w:eastAsia="宋体" w:hint="default"/>
          <w:spacing w:val="-2"/>
        </w:rPr>
        <w:t>8.03</w:t>
      </w:r>
      <w:r>
        <w:rPr>
          <w:spacing w:val="-2"/>
        </w:rPr>
        <w:t>元</w:t>
      </w:r>
      <w:r>
        <w:rPr>
          <w:rFonts w:ascii="宋体" w:hAnsi="宋体" w:cs="宋体" w:eastAsia="宋体" w:hint="default"/>
          <w:spacing w:val="-2"/>
        </w:rPr>
        <w:t>/</w:t>
      </w:r>
      <w:r>
        <w:rPr>
          <w:spacing w:val="-2"/>
        </w:rPr>
        <w:t>股。报告期内，公司副总经理刘志华申请第二期行权，期权</w:t>
      </w:r>
      <w:r>
        <w:rPr/>
        <w:t> 总数</w:t>
      </w:r>
      <w:r>
        <w:rPr>
          <w:rFonts w:ascii="宋体" w:hAnsi="宋体" w:cs="宋体" w:eastAsia="宋体" w:hint="default"/>
        </w:rPr>
        <w:t>62,400</w:t>
      </w:r>
      <w:r>
        <w:rPr/>
        <w:t>股，经北京兴华会计师事务所</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w:t>
      </w:r>
      <w:r>
        <w:rPr/>
        <w:t>日出具的</w:t>
      </w:r>
      <w:r>
        <w:rPr>
          <w:rFonts w:ascii="宋体" w:hAnsi="宋体" w:cs="宋体" w:eastAsia="宋体" w:hint="default"/>
        </w:rPr>
        <w:t>[2014]</w:t>
      </w:r>
      <w:r>
        <w:rPr/>
        <w:t>京会兴验字第</w:t>
      </w:r>
      <w:r>
        <w:rPr>
          <w:rFonts w:ascii="宋体" w:hAnsi="宋体" w:cs="宋体" w:eastAsia="宋体" w:hint="default"/>
        </w:rPr>
        <w:t>03010027</w:t>
      </w:r>
      <w:r>
        <w:rPr/>
        <w:t>号验资报告验证，“截至</w:t>
      </w:r>
      <w:r>
        <w:rPr>
          <w:rFonts w:ascii="宋体" w:hAnsi="宋体" w:cs="宋体" w:eastAsia="宋体" w:hint="default"/>
        </w:rPr>
        <w:t>2014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w:t>
      </w:r>
      <w:r>
        <w:rPr>
          <w:spacing w:val="-2"/>
        </w:rPr>
        <w:t>日止，贵公司已收到股权激励第二期行权的</w:t>
      </w:r>
      <w:r>
        <w:rPr>
          <w:rFonts w:ascii="宋体" w:hAnsi="宋体" w:cs="宋体" w:eastAsia="宋体" w:hint="default"/>
          <w:spacing w:val="-2"/>
        </w:rPr>
        <w:t>1</w:t>
      </w:r>
      <w:r>
        <w:rPr>
          <w:spacing w:val="-2"/>
        </w:rPr>
        <w:t>名激励对象缴纳出资款为人民币</w:t>
      </w:r>
      <w:r>
        <w:rPr>
          <w:rFonts w:ascii="宋体" w:hAnsi="宋体" w:cs="宋体" w:eastAsia="宋体" w:hint="default"/>
          <w:spacing w:val="-2"/>
        </w:rPr>
        <w:t>696,436.00</w:t>
      </w:r>
      <w:r>
        <w:rPr>
          <w:spacing w:val="-2"/>
        </w:rPr>
        <w:t>元，其中含公司代扣代缴的</w:t>
      </w:r>
      <w:r>
        <w:rPr>
          <w:spacing w:val="-53"/>
        </w:rPr>
        <w:t> </w:t>
      </w:r>
      <w:r>
        <w:rPr>
          <w:spacing w:val="-53"/>
        </w:rPr>
      </w:r>
      <w:r>
        <w:rPr/>
        <w:t>个人所得税</w:t>
      </w:r>
      <w:r>
        <w:rPr>
          <w:rFonts w:ascii="宋体" w:hAnsi="宋体" w:cs="宋体" w:eastAsia="宋体" w:hint="default"/>
        </w:rPr>
        <w:t>195,364.00</w:t>
      </w:r>
      <w:r>
        <w:rPr>
          <w:rFonts w:ascii="宋体" w:hAnsi="宋体" w:cs="宋体" w:eastAsia="宋体" w:hint="default"/>
          <w:spacing w:val="-2"/>
        </w:rPr>
        <w:t> </w:t>
      </w:r>
      <w:r>
        <w:rPr/>
        <w:t>元，扣除个人所得税后实际缴纳出资款为</w:t>
      </w:r>
      <w:r>
        <w:rPr>
          <w:rFonts w:ascii="宋体" w:hAnsi="宋体" w:cs="宋体" w:eastAsia="宋体" w:hint="default"/>
        </w:rPr>
        <w:t>501,072.00</w:t>
      </w:r>
      <w:r>
        <w:rPr/>
        <w:t>元（认购股数</w:t>
      </w:r>
      <w:r>
        <w:rPr>
          <w:rFonts w:ascii="宋体" w:hAnsi="宋体" w:cs="宋体" w:eastAsia="宋体" w:hint="default"/>
        </w:rPr>
        <w:t>62,400</w:t>
      </w:r>
      <w:r>
        <w:rPr/>
        <w:t>股，每股</w:t>
      </w:r>
      <w:r>
        <w:rPr>
          <w:rFonts w:ascii="宋体" w:hAnsi="宋体" w:cs="宋体" w:eastAsia="宋体" w:hint="default"/>
        </w:rPr>
        <w:t>8.03</w:t>
      </w:r>
      <w:r>
        <w:rPr/>
        <w:t>元），其中 </w:t>
      </w:r>
      <w:r>
        <w:rPr>
          <w:spacing w:val="-2"/>
        </w:rPr>
        <w:t>新增注册资本（股本）为人民币</w:t>
      </w:r>
      <w:r>
        <w:rPr>
          <w:rFonts w:ascii="宋体" w:hAnsi="宋体" w:cs="宋体" w:eastAsia="宋体" w:hint="default"/>
          <w:spacing w:val="-2"/>
        </w:rPr>
        <w:t>62,400</w:t>
      </w:r>
      <w:r>
        <w:rPr>
          <w:spacing w:val="-2"/>
        </w:rPr>
        <w:t>元，增加资本公积为人民币</w:t>
      </w:r>
      <w:r>
        <w:rPr>
          <w:rFonts w:ascii="宋体" w:hAnsi="宋体" w:cs="宋体" w:eastAsia="宋体" w:hint="default"/>
          <w:spacing w:val="-2"/>
        </w:rPr>
        <w:t>438,672.00</w:t>
      </w:r>
      <w:r>
        <w:rPr>
          <w:spacing w:val="-2"/>
        </w:rPr>
        <w:t>元。”截至本报告期末，本次激励对象刘志华</w:t>
      </w:r>
      <w:r>
        <w:rPr>
          <w:spacing w:val="-58"/>
        </w:rPr>
        <w:t> </w:t>
      </w:r>
      <w:r>
        <w:rPr>
          <w:spacing w:val="-58"/>
        </w:rPr>
      </w:r>
      <w:r>
        <w:rPr/>
        <w:t>已在中国证券登记结算有限责任公司深圳分公司办理完毕登记托管相关事宜。</w:t>
      </w:r>
    </w:p>
    <w:p>
      <w:pPr>
        <w:pStyle w:val="BodyText"/>
        <w:spacing w:line="319" w:lineRule="auto" w:before="139"/>
        <w:ind w:right="408" w:firstLine="360"/>
        <w:jc w:val="both"/>
      </w:pPr>
      <w:r>
        <w:rPr>
          <w:spacing w:val="-2"/>
        </w:rPr>
        <w:t>报告期内，共有</w:t>
      </w:r>
      <w:r>
        <w:rPr>
          <w:rFonts w:ascii="宋体" w:hAnsi="宋体" w:cs="宋体" w:eastAsia="宋体" w:hint="default"/>
          <w:spacing w:val="-2"/>
        </w:rPr>
        <w:t>333</w:t>
      </w:r>
      <w:r>
        <w:rPr>
          <w:spacing w:val="-2"/>
        </w:rPr>
        <w:t>名激励对象申请第三期行权，期权总数</w:t>
      </w:r>
      <w:r>
        <w:rPr>
          <w:rFonts w:ascii="宋体" w:hAnsi="宋体" w:cs="宋体" w:eastAsia="宋体" w:hint="default"/>
          <w:spacing w:val="-2"/>
        </w:rPr>
        <w:t>5,589,480</w:t>
      </w:r>
      <w:r>
        <w:rPr>
          <w:spacing w:val="-2"/>
        </w:rPr>
        <w:t>股，经北京兴华会计师事务所出具的</w:t>
      </w:r>
      <w:r>
        <w:rPr>
          <w:rFonts w:ascii="宋体" w:hAnsi="宋体" w:cs="宋体" w:eastAsia="宋体" w:hint="default"/>
          <w:spacing w:val="-2"/>
        </w:rPr>
        <w:t>[2015]</w:t>
      </w:r>
      <w:r>
        <w:rPr>
          <w:spacing w:val="-2"/>
        </w:rPr>
        <w:t>京会兴</w:t>
      </w:r>
      <w:r>
        <w:rPr/>
        <w:t> </w:t>
      </w:r>
      <w:r>
        <w:rPr>
          <w:spacing w:val="-2"/>
        </w:rPr>
        <w:t>验字第</w:t>
      </w:r>
      <w:r>
        <w:rPr>
          <w:rFonts w:ascii="宋体" w:hAnsi="宋体" w:cs="宋体" w:eastAsia="宋体" w:hint="default"/>
          <w:spacing w:val="-2"/>
        </w:rPr>
        <w:t>03010002</w:t>
      </w:r>
      <w:r>
        <w:rPr>
          <w:spacing w:val="-2"/>
        </w:rPr>
        <w:t>号验资报告验证，“截至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日止，贵公司已收到股权激励第三期行权的</w:t>
      </w:r>
      <w:r>
        <w:rPr>
          <w:rFonts w:ascii="宋体" w:hAnsi="宋体" w:cs="宋体" w:eastAsia="宋体" w:hint="default"/>
          <w:spacing w:val="-2"/>
        </w:rPr>
        <w:t>333</w:t>
      </w:r>
      <w:r>
        <w:rPr>
          <w:spacing w:val="-2"/>
        </w:rPr>
        <w:t>名激励对象缴纳出资款</w:t>
      </w:r>
      <w:r>
        <w:rPr>
          <w:spacing w:val="-55"/>
        </w:rPr>
        <w:t> </w:t>
      </w:r>
      <w:r>
        <w:rPr>
          <w:spacing w:val="-55"/>
        </w:rPr>
      </w:r>
      <w:r>
        <w:rPr>
          <w:spacing w:val="3"/>
        </w:rPr>
        <w:t>为人民币</w:t>
      </w:r>
      <w:r>
        <w:rPr>
          <w:spacing w:val="16"/>
        </w:rPr>
        <w:t> </w:t>
      </w:r>
      <w:r>
        <w:rPr>
          <w:rFonts w:ascii="宋体" w:hAnsi="宋体" w:cs="宋体" w:eastAsia="宋体" w:hint="default"/>
          <w:spacing w:val="2"/>
        </w:rPr>
        <w:t>59,174,900.52</w:t>
      </w:r>
      <w:r>
        <w:rPr>
          <w:spacing w:val="2"/>
        </w:rPr>
        <w:t>元，其中含公司代扣代缴的个人所得税</w:t>
      </w:r>
      <w:r>
        <w:rPr>
          <w:rFonts w:ascii="宋体" w:hAnsi="宋体" w:cs="宋体" w:eastAsia="宋体" w:hint="default"/>
          <w:spacing w:val="2"/>
        </w:rPr>
        <w:t>14,291,376.12</w:t>
      </w:r>
      <w:r>
        <w:rPr>
          <w:spacing w:val="2"/>
        </w:rPr>
        <w:t>元，扣除个人所得税后实际缴纳出资款为</w:t>
      </w:r>
      <w:r>
        <w:rPr>
          <w:spacing w:val="-88"/>
        </w:rPr>
        <w:t> </w:t>
      </w:r>
      <w:r>
        <w:rPr>
          <w:spacing w:val="-88"/>
        </w:rPr>
      </w:r>
      <w:r>
        <w:rPr>
          <w:rFonts w:ascii="宋体" w:hAnsi="宋体" w:cs="宋体" w:eastAsia="宋体" w:hint="default"/>
        </w:rPr>
        <w:t>44,883,524.40</w:t>
      </w:r>
      <w:r>
        <w:rPr/>
        <w:t>元（认购股数</w:t>
      </w:r>
      <w:r>
        <w:rPr>
          <w:rFonts w:ascii="宋体" w:hAnsi="宋体" w:cs="宋体" w:eastAsia="宋体" w:hint="default"/>
        </w:rPr>
        <w:t>5,589,480</w:t>
      </w:r>
      <w:r>
        <w:rPr/>
        <w:t>股，每股</w:t>
      </w:r>
      <w:r>
        <w:rPr>
          <w:rFonts w:ascii="宋体" w:hAnsi="宋体" w:cs="宋体" w:eastAsia="宋体" w:hint="default"/>
        </w:rPr>
        <w:t>8.03</w:t>
      </w:r>
      <w:r>
        <w:rPr/>
        <w:t>元），其中新增注册资本（股本）为人民币</w:t>
      </w:r>
      <w:r>
        <w:rPr>
          <w:rFonts w:ascii="宋体" w:hAnsi="宋体" w:cs="宋体" w:eastAsia="宋体" w:hint="default"/>
        </w:rPr>
        <w:t>5,589,480</w:t>
      </w:r>
      <w:r>
        <w:rPr/>
        <w:t>元，增加资本公 积为人民币</w:t>
      </w:r>
      <w:r>
        <w:rPr>
          <w:rFonts w:ascii="宋体" w:hAnsi="宋体" w:cs="宋体" w:eastAsia="宋体" w:hint="default"/>
        </w:rPr>
        <w:t>39,294,044.40</w:t>
      </w:r>
      <w:r>
        <w:rPr/>
        <w:t>元。出资方式为货币资金投入。”</w:t>
      </w:r>
      <w:r>
        <w:rPr>
          <w:spacing w:val="2"/>
        </w:rPr>
        <w:t> </w:t>
      </w:r>
      <w:r>
        <w:rPr/>
        <w:t>截至本报告期末，本次</w:t>
      </w:r>
      <w:r>
        <w:rPr>
          <w:rFonts w:ascii="宋体" w:hAnsi="宋体" w:cs="宋体" w:eastAsia="宋体" w:hint="default"/>
        </w:rPr>
        <w:t>333</w:t>
      </w:r>
      <w:r>
        <w:rPr/>
        <w:t>名激励对象已在中国证券登记结算 有限责任公司深圳分公司办理完毕登记托管相关事宜。</w:t>
      </w:r>
    </w:p>
    <w:p>
      <w:pPr>
        <w:pStyle w:val="BodyText"/>
        <w:spacing w:line="316" w:lineRule="auto" w:before="137"/>
        <w:ind w:right="408" w:firstLine="360"/>
        <w:jc w:val="both"/>
      </w:pPr>
      <w:r>
        <w:rPr/>
        <w:t>因实施</w:t>
      </w:r>
      <w:r>
        <w:rPr>
          <w:rFonts w:ascii="宋体" w:hAnsi="宋体" w:cs="宋体" w:eastAsia="宋体" w:hint="default"/>
        </w:rPr>
        <w:t>2014</w:t>
      </w:r>
      <w:r>
        <w:rPr/>
        <w:t>年度利润分配方案，授予激励对象的行权价格调整为</w:t>
      </w:r>
      <w:r>
        <w:rPr>
          <w:rFonts w:ascii="宋体" w:hAnsi="宋体" w:cs="宋体" w:eastAsia="宋体" w:hint="default"/>
        </w:rPr>
        <w:t>7.88</w:t>
      </w:r>
      <w:r>
        <w:rPr/>
        <w:t>元</w:t>
      </w:r>
      <w:r>
        <w:rPr>
          <w:rFonts w:ascii="宋体" w:hAnsi="宋体" w:cs="宋体" w:eastAsia="宋体" w:hint="default"/>
        </w:rPr>
        <w:t>/</w:t>
      </w:r>
      <w:r>
        <w:rPr/>
        <w:t>股。报告期内，公司董事郑晓清、副总经理董 国勇申请第三期行权，期权总数</w:t>
      </w:r>
      <w:r>
        <w:rPr>
          <w:rFonts w:ascii="宋体" w:hAnsi="宋体" w:cs="宋体" w:eastAsia="宋体" w:hint="default"/>
        </w:rPr>
        <w:t>72,800</w:t>
      </w:r>
      <w:r>
        <w:rPr/>
        <w:t>股，经北京兴华会计师事务所</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日出具的</w:t>
      </w:r>
      <w:r>
        <w:rPr>
          <w:rFonts w:ascii="宋体" w:hAnsi="宋体" w:cs="宋体" w:eastAsia="宋体" w:hint="default"/>
        </w:rPr>
        <w:t>[2015]</w:t>
      </w:r>
      <w:r>
        <w:rPr/>
        <w:t>京会兴验字第</w:t>
      </w:r>
      <w:r>
        <w:rPr>
          <w:rFonts w:ascii="宋体" w:hAnsi="宋体" w:cs="宋体" w:eastAsia="宋体" w:hint="default"/>
        </w:rPr>
        <w:t>03010056</w:t>
      </w:r>
      <w:r>
        <w:rPr/>
        <w:t>号</w:t>
      </w:r>
    </w:p>
    <w:p>
      <w:pPr>
        <w:spacing w:after="0" w:line="316" w:lineRule="auto"/>
        <w:jc w:val="both"/>
        <w:sectPr>
          <w:pgSz w:w="11910" w:h="16840"/>
          <w:pgMar w:header="745" w:footer="980" w:top="1060" w:bottom="1160" w:left="980" w:right="720"/>
        </w:sectPr>
      </w:pPr>
    </w:p>
    <w:p>
      <w:pPr>
        <w:spacing w:line="240" w:lineRule="auto" w:before="9"/>
        <w:rPr>
          <w:rFonts w:ascii="宋体" w:hAnsi="宋体" w:cs="宋体" w:eastAsia="宋体" w:hint="default"/>
          <w:sz w:val="25"/>
          <w:szCs w:val="25"/>
        </w:rPr>
      </w:pPr>
    </w:p>
    <w:p>
      <w:pPr>
        <w:pStyle w:val="BodyText"/>
        <w:spacing w:line="319" w:lineRule="auto" w:before="44"/>
        <w:ind w:right="189"/>
        <w:jc w:val="both"/>
      </w:pPr>
      <w:r>
        <w:rPr>
          <w:spacing w:val="-2"/>
        </w:rPr>
        <w:t>验资报告验证，“截至</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14</w:t>
      </w:r>
      <w:r>
        <w:rPr>
          <w:spacing w:val="-2"/>
        </w:rPr>
        <w:t>日止，兴华会计师事务所已收到股权激励第三期行权的</w:t>
      </w:r>
      <w:r>
        <w:rPr>
          <w:rFonts w:ascii="宋体" w:hAnsi="宋体" w:cs="宋体" w:eastAsia="宋体" w:hint="default"/>
          <w:spacing w:val="-2"/>
        </w:rPr>
        <w:t>2</w:t>
      </w:r>
      <w:r>
        <w:rPr>
          <w:spacing w:val="-2"/>
        </w:rPr>
        <w:t>名激励对象缴纳出资款为人民币</w:t>
      </w:r>
      <w:r>
        <w:rPr>
          <w:spacing w:val="-59"/>
        </w:rPr>
        <w:t> </w:t>
      </w:r>
      <w:r>
        <w:rPr>
          <w:rFonts w:ascii="宋体" w:hAnsi="宋体" w:cs="宋体" w:eastAsia="宋体" w:hint="default"/>
        </w:rPr>
        <w:t>573,664.00</w:t>
      </w:r>
      <w:r>
        <w:rPr/>
        <w:t>元（认购股数</w:t>
      </w:r>
      <w:r>
        <w:rPr>
          <w:rFonts w:ascii="宋体" w:hAnsi="宋体" w:cs="宋体" w:eastAsia="宋体" w:hint="default"/>
        </w:rPr>
        <w:t>72,800</w:t>
      </w:r>
      <w:r>
        <w:rPr/>
        <w:t>股，每股</w:t>
      </w:r>
      <w:r>
        <w:rPr>
          <w:rFonts w:ascii="宋体" w:hAnsi="宋体" w:cs="宋体" w:eastAsia="宋体" w:hint="default"/>
        </w:rPr>
        <w:t>7.88</w:t>
      </w:r>
      <w:r>
        <w:rPr/>
        <w:t>元），其中新增注册资本（股本）为人民币</w:t>
      </w:r>
      <w:r>
        <w:rPr>
          <w:rFonts w:ascii="宋体" w:hAnsi="宋体" w:cs="宋体" w:eastAsia="宋体" w:hint="default"/>
        </w:rPr>
        <w:t>72,800.00</w:t>
      </w:r>
      <w:r>
        <w:rPr/>
        <w:t>元，增加资本公积为人 </w:t>
      </w:r>
      <w:r>
        <w:rPr>
          <w:spacing w:val="-3"/>
        </w:rPr>
        <w:t>民币</w:t>
      </w:r>
      <w:r>
        <w:rPr>
          <w:rFonts w:ascii="宋体" w:hAnsi="宋体" w:cs="宋体" w:eastAsia="宋体" w:hint="default"/>
          <w:spacing w:val="-3"/>
        </w:rPr>
        <w:t>500,864.00</w:t>
      </w:r>
      <w:r>
        <w:rPr>
          <w:spacing w:val="-3"/>
        </w:rPr>
        <w:t>元。出资方式为货币资金投入。”</w:t>
      </w:r>
      <w:r>
        <w:rPr>
          <w:spacing w:val="-7"/>
        </w:rPr>
        <w:t> </w:t>
      </w:r>
      <w:r>
        <w:rPr/>
        <w:t>截至本报告期末，本次</w:t>
      </w:r>
      <w:r>
        <w:rPr>
          <w:rFonts w:ascii="宋体" w:hAnsi="宋体" w:cs="宋体" w:eastAsia="宋体" w:hint="default"/>
        </w:rPr>
        <w:t>2</w:t>
      </w:r>
      <w:r>
        <w:rPr/>
        <w:t>名激励对象已在中国证券登记结算有限责任公司 深圳分公司办理完毕登记托管相关事宜。</w:t>
      </w:r>
    </w:p>
    <w:p>
      <w:pPr>
        <w:pStyle w:val="BodyText"/>
        <w:spacing w:line="316" w:lineRule="auto" w:before="137"/>
        <w:ind w:right="188" w:firstLine="360"/>
        <w:jc w:val="both"/>
      </w:pPr>
      <w:r>
        <w:rPr>
          <w:rFonts w:ascii="宋体" w:hAnsi="宋体" w:cs="宋体" w:eastAsia="宋体" w:hint="default"/>
          <w:spacing w:val="-2"/>
        </w:rPr>
        <w:t>3</w:t>
      </w:r>
      <w:r>
        <w:rPr>
          <w:spacing w:val="-2"/>
        </w:rPr>
        <w:t>、根据中国证监会和深圳证券交易所的有关规定，公司董事、高级管理人员团队于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7</w:t>
      </w:r>
      <w:r>
        <w:rPr>
          <w:spacing w:val="-2"/>
        </w:rPr>
        <w:t>日通过二级市场累</w:t>
      </w:r>
      <w:r>
        <w:rPr/>
        <w:t> </w:t>
      </w:r>
      <w:r>
        <w:rPr>
          <w:spacing w:val="-2"/>
        </w:rPr>
        <w:t>计购入了公司股票</w:t>
      </w:r>
      <w:r>
        <w:rPr>
          <w:rFonts w:ascii="宋体" w:hAnsi="宋体" w:cs="宋体" w:eastAsia="宋体" w:hint="default"/>
          <w:spacing w:val="-2"/>
        </w:rPr>
        <w:t>466</w:t>
      </w:r>
      <w:r>
        <w:rPr>
          <w:spacing w:val="-2"/>
        </w:rPr>
        <w:t>，</w:t>
      </w:r>
      <w:r>
        <w:rPr>
          <w:rFonts w:ascii="宋体" w:hAnsi="宋体" w:cs="宋体" w:eastAsia="宋体" w:hint="default"/>
          <w:spacing w:val="-2"/>
        </w:rPr>
        <w:t>800</w:t>
      </w:r>
      <w:r>
        <w:rPr>
          <w:spacing w:val="-2"/>
        </w:rPr>
        <w:t>股。详情参见</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日刊登在《中国证券报》、《证券日报》、《证券时报》以及巨潮资讯</w:t>
      </w:r>
      <w:r>
        <w:rPr>
          <w:spacing w:val="-65"/>
        </w:rPr>
        <w:t> </w:t>
      </w:r>
      <w:r>
        <w:rPr>
          <w:spacing w:val="-65"/>
        </w:rPr>
      </w:r>
      <w:r>
        <w:rPr>
          <w:spacing w:val="-2"/>
        </w:rPr>
        <w:t>网（</w:t>
      </w:r>
      <w:hyperlink r:id="rId12">
        <w:r>
          <w:rPr>
            <w:rFonts w:ascii="宋体" w:hAnsi="宋体" w:cs="宋体" w:eastAsia="宋体" w:hint="default"/>
            <w:spacing w:val="-2"/>
          </w:rPr>
          <w:t>http://www.cninfo.com.cn</w:t>
        </w:r>
      </w:hyperlink>
      <w:r>
        <w:rPr>
          <w:spacing w:val="-2"/>
        </w:rPr>
        <w:t>）上的《东华软件股份公司关于公司董事、高级管理人员增持本公司股票的公告》（公告编</w:t>
      </w:r>
      <w:r>
        <w:rPr>
          <w:spacing w:val="-52"/>
        </w:rPr>
        <w:t> </w:t>
      </w:r>
      <w:r>
        <w:rPr>
          <w:spacing w:val="-52"/>
        </w:rPr>
      </w:r>
      <w:r>
        <w:rPr/>
        <w:t>号：</w:t>
      </w:r>
      <w:r>
        <w:rPr>
          <w:rFonts w:ascii="宋体" w:hAnsi="宋体" w:cs="宋体" w:eastAsia="宋体" w:hint="default"/>
        </w:rPr>
        <w:t>2015-093</w:t>
      </w:r>
      <w:r>
        <w:rPr/>
        <w:t>）。</w:t>
      </w:r>
    </w:p>
    <w:p>
      <w:pPr>
        <w:pStyle w:val="BodyText"/>
        <w:spacing w:line="316" w:lineRule="auto" w:before="139"/>
        <w:ind w:right="190" w:firstLine="360"/>
        <w:jc w:val="both"/>
      </w:pP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日，北京华创智业投资有限公司、常州投资集团有限公司、华安基金管理有限公司、金鹰基金管理有限</w:t>
      </w:r>
      <w:r>
        <w:rPr/>
        <w:t> 公司、中国银河投资管理有限公司、银河基金管理有限公司合计持有的</w:t>
      </w:r>
      <w:r>
        <w:rPr>
          <w:rFonts w:ascii="宋体" w:hAnsi="宋体" w:cs="宋体" w:eastAsia="宋体" w:hint="default"/>
        </w:rPr>
        <w:t>10,712,789</w:t>
      </w:r>
      <w:r>
        <w:rPr/>
        <w:t>股股份解除限售。详情参见</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w:t>
      </w:r>
      <w:r>
        <w:rPr>
          <w:rFonts w:ascii="宋体" w:hAnsi="宋体" w:cs="宋体" w:eastAsia="宋体" w:hint="default"/>
          <w:spacing w:val="-10"/>
        </w:rPr>
        <w:t> </w:t>
      </w:r>
      <w:r>
        <w:rPr>
          <w:spacing w:val="-2"/>
        </w:rPr>
        <w:t>日刊登在《中国证券报》、《证券日报》、《证券时报》以及巨潮资讯网（</w:t>
      </w:r>
      <w:hyperlink r:id="rId12">
        <w:r>
          <w:rPr>
            <w:rFonts w:ascii="宋体" w:hAnsi="宋体" w:cs="宋体" w:eastAsia="宋体" w:hint="default"/>
            <w:spacing w:val="-2"/>
          </w:rPr>
          <w:t>http://www.cninfo.com.cn</w:t>
        </w:r>
      </w:hyperlink>
      <w:r>
        <w:rPr>
          <w:spacing w:val="-2"/>
        </w:rPr>
        <w:t>）上的《东华软件股</w:t>
      </w:r>
      <w:r>
        <w:rPr>
          <w:spacing w:val="-56"/>
        </w:rPr>
        <w:t> </w:t>
      </w:r>
      <w:r>
        <w:rPr>
          <w:spacing w:val="-56"/>
        </w:rPr>
      </w:r>
      <w:r>
        <w:rPr/>
        <w:t>份公司关于限售股份上市流通的提示性公告》（公告编号：</w:t>
      </w:r>
      <w:r>
        <w:rPr>
          <w:rFonts w:ascii="宋体" w:hAnsi="宋体" w:cs="宋体" w:eastAsia="宋体" w:hint="default"/>
        </w:rPr>
        <w:t>2015-102</w:t>
      </w:r>
      <w:r>
        <w:rPr/>
        <w:t>）。</w:t>
      </w:r>
    </w:p>
    <w:p>
      <w:pPr>
        <w:pStyle w:val="BodyText"/>
        <w:spacing w:line="316" w:lineRule="auto" w:before="139"/>
        <w:ind w:right="188" w:firstLine="360"/>
        <w:jc w:val="both"/>
      </w:pPr>
      <w:r>
        <w:rPr>
          <w:rFonts w:ascii="宋体" w:hAnsi="宋体" w:cs="宋体" w:eastAsia="宋体" w:hint="default"/>
        </w:rPr>
        <w:t>5</w:t>
      </w:r>
      <w:r>
        <w:rPr/>
        <w:t>、公司因实施发行股份及支付现金购买深圳市至高通信技术发展有限公司并配套募集资金事项，本次发行股份购买资 产涉及发行</w:t>
      </w:r>
      <w:r>
        <w:rPr>
          <w:rFonts w:ascii="宋体" w:hAnsi="宋体" w:cs="宋体" w:eastAsia="宋体" w:hint="default"/>
        </w:rPr>
        <w:t>A</w:t>
      </w:r>
      <w:r>
        <w:rPr/>
        <w:t>股股票数量为</w:t>
      </w:r>
      <w:r>
        <w:rPr>
          <w:rFonts w:ascii="宋体" w:hAnsi="宋体" w:cs="宋体" w:eastAsia="宋体" w:hint="default"/>
        </w:rPr>
        <w:t>30,139,931</w:t>
      </w:r>
      <w:r>
        <w:rPr/>
        <w:t>股，配套募集资金发行股票数量</w:t>
      </w:r>
      <w:r>
        <w:rPr>
          <w:rFonts w:ascii="宋体" w:hAnsi="宋体" w:cs="宋体" w:eastAsia="宋体" w:hint="default"/>
        </w:rPr>
        <w:t>6,894,174</w:t>
      </w:r>
      <w:r>
        <w:rPr/>
        <w:t>股，共计</w:t>
      </w:r>
      <w:r>
        <w:rPr>
          <w:rFonts w:ascii="宋体" w:hAnsi="宋体" w:cs="宋体" w:eastAsia="宋体" w:hint="default"/>
        </w:rPr>
        <w:t>37,034,105</w:t>
      </w:r>
      <w:r>
        <w:rPr/>
        <w:t>股，于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 </w:t>
      </w:r>
      <w:r>
        <w:rPr>
          <w:spacing w:val="2"/>
        </w:rPr>
        <w:t>在深圳证券交易所上市。详情参见</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23</w:t>
      </w:r>
      <w:r>
        <w:rPr>
          <w:spacing w:val="2"/>
        </w:rPr>
        <w:t>日刊登在《中国证券报》、《证券日报》、《证券时报》以及巨潮资讯网</w:t>
      </w:r>
    </w:p>
    <w:p>
      <w:pPr>
        <w:pStyle w:val="BodyText"/>
        <w:spacing w:line="240" w:lineRule="auto" w:before="19"/>
        <w:ind w:right="0"/>
        <w:jc w:val="both"/>
      </w:pPr>
      <w:r>
        <w:rPr/>
        <w:t>（</w:t>
      </w:r>
      <w:hyperlink r:id="rId12">
        <w:r>
          <w:rPr>
            <w:rFonts w:ascii="宋体" w:hAnsi="宋体" w:cs="宋体" w:eastAsia="宋体" w:hint="default"/>
          </w:rPr>
          <w:t>http://www.cninfo.com.cn</w:t>
        </w:r>
      </w:hyperlink>
      <w:r>
        <w:rPr/>
        <w:t>）上的《</w:t>
      </w:r>
      <w:hyperlink r:id="rId21">
        <w:r>
          <w:rPr/>
          <w:t>发行股份及支付现金购买资产并募集配套资金实施情况暨新增股份上市公告书</w:t>
        </w:r>
      </w:hyperlink>
      <w:r>
        <w:rPr/>
        <w:t>》。</w:t>
      </w:r>
    </w:p>
    <w:p>
      <w:pPr>
        <w:spacing w:line="240" w:lineRule="auto" w:before="0"/>
        <w:rPr>
          <w:rFonts w:ascii="宋体" w:hAnsi="宋体" w:cs="宋体" w:eastAsia="宋体" w:hint="default"/>
          <w:sz w:val="15"/>
          <w:szCs w:val="15"/>
        </w:rPr>
      </w:pPr>
    </w:p>
    <w:p>
      <w:pPr>
        <w:pStyle w:val="BodyText"/>
        <w:spacing w:line="316" w:lineRule="auto"/>
        <w:ind w:right="188" w:firstLine="360"/>
        <w:jc w:val="both"/>
      </w:pPr>
      <w:r>
        <w:rPr>
          <w:rFonts w:ascii="宋体" w:hAnsi="宋体" w:cs="宋体" w:eastAsia="宋体" w:hint="default"/>
        </w:rPr>
        <w:t>6</w:t>
      </w:r>
      <w:r>
        <w:rPr/>
        <w:t>、报告期内，公司发行的可转换公司债券（债券简称：东华转债，债券代码：</w:t>
      </w:r>
      <w:r>
        <w:rPr>
          <w:rFonts w:ascii="宋体" w:hAnsi="宋体" w:cs="宋体" w:eastAsia="宋体" w:hint="default"/>
        </w:rPr>
        <w:t>128002</w:t>
      </w:r>
      <w:r>
        <w:rPr/>
        <w:t>）自</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7</w:t>
      </w:r>
      <w:r>
        <w:rPr/>
        <w:t>日起开始进入股 </w:t>
      </w:r>
      <w:r>
        <w:rPr>
          <w:spacing w:val="4"/>
        </w:rPr>
        <w:t>期，公司股本随转股而发生变化。公司于</w:t>
      </w:r>
      <w:r>
        <w:rPr>
          <w:rFonts w:ascii="宋体" w:hAnsi="宋体" w:cs="宋体" w:eastAsia="宋体" w:hint="default"/>
          <w:spacing w:val="4"/>
        </w:rPr>
        <w:t>2015</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w:t>
      </w:r>
      <w:r>
        <w:rPr>
          <w:spacing w:val="4"/>
        </w:rPr>
        <w:t>日在《中国证券报》、《证券日报》、《证券时报》和巨潮资讯网</w:t>
      </w:r>
    </w:p>
    <w:p>
      <w:pPr>
        <w:pStyle w:val="BodyText"/>
        <w:spacing w:line="316" w:lineRule="auto" w:before="19"/>
        <w:ind w:right="191"/>
        <w:jc w:val="both"/>
      </w:pPr>
      <w:r>
        <w:rPr/>
        <w:t>（</w:t>
      </w:r>
      <w:hyperlink r:id="rId22">
        <w:r>
          <w:rPr>
            <w:rFonts w:ascii="宋体" w:hAnsi="宋体" w:cs="宋体" w:eastAsia="宋体" w:hint="default"/>
          </w:rPr>
          <w:t>www.cninfo.cn</w:t>
        </w:r>
      </w:hyperlink>
      <w:r>
        <w:rPr/>
        <w:t>）上刊登了《关于“东华转债”赎回结果的公告》（公告编号：</w:t>
      </w:r>
      <w:r>
        <w:rPr>
          <w:rFonts w:ascii="宋体" w:hAnsi="宋体" w:cs="宋体" w:eastAsia="宋体" w:hint="default"/>
        </w:rPr>
        <w:t>2015-079</w:t>
      </w:r>
      <w:r>
        <w:rPr/>
        <w:t>）及《关于“东华转债”摘牌的 </w:t>
      </w:r>
      <w:r>
        <w:rPr>
          <w:spacing w:val="-3"/>
        </w:rPr>
        <w:t>公告》（公告编号：</w:t>
      </w:r>
      <w:r>
        <w:rPr>
          <w:rFonts w:ascii="宋体" w:hAnsi="宋体" w:cs="宋体" w:eastAsia="宋体" w:hint="default"/>
          <w:spacing w:val="-3"/>
        </w:rPr>
        <w:t>2015-080</w:t>
      </w:r>
      <w:r>
        <w:rPr>
          <w:spacing w:val="-3"/>
        </w:rPr>
        <w:t>）。“东华转债”自赎回日（即</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25</w:t>
      </w:r>
      <w:r>
        <w:rPr>
          <w:spacing w:val="-3"/>
        </w:rPr>
        <w:t>日）起停止转股。赎回完成后，将无“东华转债”</w:t>
      </w:r>
      <w:r>
        <w:rPr>
          <w:spacing w:val="-86"/>
        </w:rPr>
        <w:t> </w:t>
      </w:r>
      <w:r>
        <w:rPr>
          <w:spacing w:val="-86"/>
        </w:rPr>
      </w:r>
      <w:r>
        <w:rPr>
          <w:spacing w:val="-5"/>
        </w:rPr>
        <w:t>继续流通或交易，“东华转债”</w:t>
      </w:r>
      <w:r>
        <w:rPr>
          <w:spacing w:val="27"/>
        </w:rPr>
        <w:t> </w:t>
      </w:r>
      <w:r>
        <w:rPr>
          <w:spacing w:val="-3"/>
        </w:rPr>
        <w:t>不再具备上市条件而需摘牌。摘牌日期为</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w:t>
      </w:r>
      <w:r>
        <w:rPr>
          <w:spacing w:val="-3"/>
        </w:rPr>
        <w:t>日。自</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w:t>
      </w:r>
      <w:r>
        <w:rPr>
          <w:spacing w:val="-3"/>
        </w:rPr>
        <w:t>日，</w:t>
      </w:r>
      <w:r>
        <w:rPr>
          <w:spacing w:val="-84"/>
        </w:rPr>
        <w:t> </w:t>
      </w:r>
      <w:r>
        <w:rPr/>
        <w:t>东华转债累计转股</w:t>
      </w:r>
      <w:r>
        <w:rPr>
          <w:rFonts w:ascii="宋体" w:hAnsi="宋体" w:cs="宋体" w:eastAsia="宋体" w:hint="default"/>
        </w:rPr>
        <w:t>6,995,967</w:t>
      </w:r>
      <w:r>
        <w:rPr/>
        <w:t>股。</w:t>
      </w:r>
    </w:p>
    <w:p>
      <w:pPr>
        <w:pStyle w:val="BodyText"/>
        <w:spacing w:line="240" w:lineRule="auto" w:before="139"/>
        <w:ind w:right="0"/>
        <w:jc w:val="both"/>
      </w:pPr>
      <w:r>
        <w:rPr/>
        <w:t>股份变动的批准情况</w:t>
      </w:r>
    </w:p>
    <w:p>
      <w:pPr>
        <w:pStyle w:val="BodyText"/>
        <w:spacing w:line="240" w:lineRule="auto" w:before="117"/>
        <w:ind w:right="0"/>
        <w:jc w:val="both"/>
      </w:pPr>
      <w:r>
        <w:rPr/>
        <w:t>√ 适用 □</w:t>
      </w:r>
      <w:r>
        <w:rPr>
          <w:spacing w:val="3"/>
        </w:rPr>
        <w:t> </w:t>
      </w:r>
      <w:r>
        <w:rPr/>
        <w:t>不适用</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rFonts w:ascii="宋体" w:hAnsi="宋体" w:cs="宋体" w:eastAsia="宋体" w:hint="default"/>
          <w:spacing w:val="-7"/>
        </w:rPr>
        <w:t>1</w:t>
      </w:r>
      <w:r>
        <w:rPr>
          <w:spacing w:val="-7"/>
        </w:rPr>
        <w:t>、</w:t>
      </w:r>
      <w:r>
        <w:rPr>
          <w:rFonts w:ascii="宋体" w:hAnsi="宋体" w:cs="宋体" w:eastAsia="宋体" w:hint="default"/>
          <w:spacing w:val="-7"/>
        </w:rPr>
        <w:t>2013</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20</w:t>
      </w:r>
      <w:r>
        <w:rPr>
          <w:spacing w:val="-7"/>
        </w:rPr>
        <w:t>日，公司第四届董事会第三十八次会议审议通过了《关于股票期权激励计划第二个行权期可行权的议案》，</w:t>
      </w:r>
      <w:r>
        <w:rPr/>
        <w:t> </w:t>
      </w:r>
      <w:r>
        <w:rPr>
          <w:spacing w:val="-2"/>
        </w:rPr>
        <w:t>根据《东华软件股份公司股票期权激励计划（修订稿）》的有关规定，第二个行权期已满足行权条件，激励对象可在第二个</w:t>
      </w:r>
      <w:r>
        <w:rPr>
          <w:spacing w:val="-70"/>
        </w:rPr>
        <w:t> </w:t>
      </w:r>
      <w:r>
        <w:rPr>
          <w:spacing w:val="-70"/>
        </w:rPr>
      </w:r>
      <w:r>
        <w:rPr/>
        <w:t>行权期内（自授权日起</w:t>
      </w:r>
      <w:r>
        <w:rPr>
          <w:rFonts w:ascii="宋体" w:hAnsi="宋体" w:cs="宋体" w:eastAsia="宋体" w:hint="default"/>
        </w:rPr>
        <w:t>24</w:t>
      </w:r>
      <w:r>
        <w:rPr/>
        <w:t>月后的首个交易日起至授权日起</w:t>
      </w:r>
      <w:r>
        <w:rPr>
          <w:rFonts w:ascii="宋体" w:hAnsi="宋体" w:cs="宋体" w:eastAsia="宋体" w:hint="default"/>
        </w:rPr>
        <w:t>36</w:t>
      </w:r>
      <w:r>
        <w:rPr/>
        <w:t>个月内的最后一个交易日当日止，即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2015</w:t>
      </w:r>
      <w:r>
        <w:rPr/>
        <w:t>年</w:t>
      </w:r>
      <w:r>
        <w:rPr>
          <w:rFonts w:ascii="宋体" w:hAnsi="宋体" w:cs="宋体" w:eastAsia="宋体" w:hint="default"/>
        </w:rPr>
        <w:t>1</w:t>
      </w:r>
      <w:r>
        <w:rPr>
          <w:rFonts w:ascii="宋体" w:hAnsi="宋体" w:cs="宋体" w:eastAsia="宋体" w:hint="default"/>
          <w:spacing w:val="-11"/>
        </w:rPr>
        <w:t> </w:t>
      </w:r>
      <w:r>
        <w:rPr/>
        <w:t>月</w:t>
      </w:r>
      <w:r>
        <w:rPr>
          <w:rFonts w:ascii="宋体" w:hAnsi="宋体" w:cs="宋体" w:eastAsia="宋体" w:hint="default"/>
        </w:rPr>
        <w:t>17</w:t>
      </w:r>
      <w:r>
        <w:rPr/>
        <w:t>日止）可行权总数量为</w:t>
      </w:r>
      <w:r>
        <w:rPr>
          <w:rFonts w:ascii="宋体" w:hAnsi="宋体" w:cs="宋体" w:eastAsia="宋体" w:hint="default"/>
        </w:rPr>
        <w:t>436.761</w:t>
      </w:r>
      <w:r>
        <w:rPr/>
        <w:t>万份，并不在不得行权期行权。</w:t>
      </w:r>
    </w:p>
    <w:p>
      <w:pPr>
        <w:pStyle w:val="BodyText"/>
        <w:spacing w:line="316" w:lineRule="auto" w:before="139"/>
        <w:ind w:right="192" w:firstLine="360"/>
        <w:jc w:val="both"/>
      </w:pPr>
      <w:r>
        <w:rPr>
          <w:rFonts w:ascii="宋体" w:hAnsi="宋体" w:cs="宋体" w:eastAsia="宋体" w:hint="default"/>
          <w:spacing w:val="-5"/>
        </w:rPr>
        <w:t>2</w:t>
      </w:r>
      <w:r>
        <w:rPr>
          <w:spacing w:val="-5"/>
        </w:rPr>
        <w:t>、</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10</w:t>
      </w:r>
      <w:r>
        <w:rPr>
          <w:spacing w:val="-5"/>
        </w:rPr>
        <w:t>日，公司第五届董事会第十五次会议审议通过了《关于股票期权激励计划第三个行权期可行权的议案》，</w:t>
      </w:r>
      <w:r>
        <w:rPr/>
        <w:t> </w:t>
      </w:r>
      <w:r>
        <w:rPr>
          <w:spacing w:val="-2"/>
        </w:rPr>
        <w:t>根据《东华软件股份公司股票期权激励计划（修订稿）》的有关规定，第三个行权期已满足行权条件，激励对象可在第三个</w:t>
      </w:r>
      <w:r>
        <w:rPr>
          <w:spacing w:val="-70"/>
        </w:rPr>
        <w:t> </w:t>
      </w:r>
      <w:r>
        <w:rPr>
          <w:spacing w:val="-70"/>
        </w:rPr>
      </w:r>
      <w:r>
        <w:rPr/>
        <w:t>行权期内（自授权日起</w:t>
      </w:r>
      <w:r>
        <w:rPr>
          <w:rFonts w:ascii="宋体" w:hAnsi="宋体" w:cs="宋体" w:eastAsia="宋体" w:hint="default"/>
        </w:rPr>
        <w:t>36</w:t>
      </w:r>
      <w:r>
        <w:rPr/>
        <w:t>月后的首个交易日起至授权日起</w:t>
      </w:r>
      <w:r>
        <w:rPr>
          <w:rFonts w:ascii="宋体" w:hAnsi="宋体" w:cs="宋体" w:eastAsia="宋体" w:hint="default"/>
        </w:rPr>
        <w:t>48</w:t>
      </w:r>
      <w:r>
        <w:rPr/>
        <w:t>个月内的最后一个交易日当日止，即</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2016</w:t>
      </w:r>
      <w:r>
        <w:rPr/>
        <w:t>年</w:t>
      </w:r>
      <w:r>
        <w:rPr>
          <w:rFonts w:ascii="宋体" w:hAnsi="宋体" w:cs="宋体" w:eastAsia="宋体" w:hint="default"/>
        </w:rPr>
        <w:t>1</w:t>
      </w:r>
      <w:r>
        <w:rPr>
          <w:rFonts w:ascii="宋体" w:hAnsi="宋体" w:cs="宋体" w:eastAsia="宋体" w:hint="default"/>
          <w:spacing w:val="-11"/>
        </w:rPr>
        <w:t> </w:t>
      </w:r>
      <w:r>
        <w:rPr/>
        <w:t>月</w:t>
      </w:r>
      <w:r>
        <w:rPr>
          <w:rFonts w:ascii="宋体" w:hAnsi="宋体" w:cs="宋体" w:eastAsia="宋体" w:hint="default"/>
        </w:rPr>
        <w:t>17</w:t>
      </w:r>
      <w:r>
        <w:rPr/>
        <w:t>日止）可行权总数量为</w:t>
      </w:r>
      <w:r>
        <w:rPr>
          <w:rFonts w:ascii="宋体" w:hAnsi="宋体" w:cs="宋体" w:eastAsia="宋体" w:hint="default"/>
        </w:rPr>
        <w:t>566.228</w:t>
      </w:r>
      <w:r>
        <w:rPr/>
        <w:t>万份，并不在不得行权期行权。</w:t>
      </w:r>
    </w:p>
    <w:p>
      <w:pPr>
        <w:pStyle w:val="BodyText"/>
        <w:spacing w:line="319" w:lineRule="auto" w:before="139"/>
        <w:ind w:right="188"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日，公司</w:t>
      </w:r>
      <w:r>
        <w:rPr>
          <w:rFonts w:ascii="宋体" w:hAnsi="宋体" w:cs="宋体" w:eastAsia="宋体" w:hint="default"/>
          <w:spacing w:val="-2"/>
        </w:rPr>
        <w:t>2014</w:t>
      </w:r>
      <w:r>
        <w:rPr>
          <w:spacing w:val="-2"/>
        </w:rPr>
        <w:t>年年度股东大会审议通过了《</w:t>
      </w:r>
      <w:r>
        <w:rPr>
          <w:rFonts w:ascii="宋体" w:hAnsi="宋体" w:cs="宋体" w:eastAsia="宋体" w:hint="default"/>
          <w:spacing w:val="-2"/>
        </w:rPr>
        <w:t>2014</w:t>
      </w:r>
      <w:r>
        <w:rPr>
          <w:spacing w:val="-2"/>
        </w:rPr>
        <w:t>年度利润分配预案》，以公司权益分派股权登记日的公</w:t>
      </w:r>
      <w:r>
        <w:rPr/>
        <w:t> </w:t>
      </w:r>
      <w:r>
        <w:rPr>
          <w:spacing w:val="-2"/>
        </w:rPr>
        <w:t>司股本为基数（注：公司自</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日起进入可转债转股期，公司股本随转股数的增加随时发生变化），向全体股东每</w:t>
      </w:r>
      <w:r>
        <w:rPr>
          <w:rFonts w:ascii="宋体" w:hAnsi="宋体" w:cs="宋体" w:eastAsia="宋体" w:hint="default"/>
          <w:spacing w:val="-2"/>
        </w:rPr>
        <w:t>10</w:t>
      </w:r>
      <w:r>
        <w:rPr>
          <w:rFonts w:ascii="宋体" w:hAnsi="宋体" w:cs="宋体" w:eastAsia="宋体" w:hint="default"/>
          <w:spacing w:val="-57"/>
        </w:rPr>
        <w:t> </w:t>
      </w:r>
      <w:r>
        <w:rPr/>
        <w:t>股派发现金红利</w:t>
      </w:r>
      <w:r>
        <w:rPr>
          <w:rFonts w:ascii="宋体" w:hAnsi="宋体" w:cs="宋体" w:eastAsia="宋体" w:hint="default"/>
        </w:rPr>
        <w:t>1.5</w:t>
      </w:r>
      <w:r>
        <w:rPr/>
        <w:t>元（含税）。</w:t>
      </w:r>
    </w:p>
    <w:p>
      <w:pPr>
        <w:pStyle w:val="BodyText"/>
        <w:spacing w:line="316" w:lineRule="auto" w:before="137"/>
        <w:ind w:right="102" w:firstLine="360"/>
        <w:jc w:val="left"/>
      </w:pPr>
      <w:r>
        <w:rPr>
          <w:rFonts w:ascii="宋体" w:hAnsi="宋体" w:cs="宋体" w:eastAsia="宋体" w:hint="default"/>
          <w:spacing w:val="-2"/>
        </w:rPr>
        <w:t>4</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日，公司接到中国证券监督管理委员会（以下简称“中国证监会”）证监许可〔</w:t>
      </w:r>
      <w:r>
        <w:rPr>
          <w:rFonts w:ascii="宋体" w:hAnsi="宋体" w:cs="宋体" w:eastAsia="宋体" w:hint="default"/>
          <w:spacing w:val="-2"/>
        </w:rPr>
        <w:t>2015</w:t>
      </w:r>
      <w:r>
        <w:rPr>
          <w:spacing w:val="-2"/>
        </w:rPr>
        <w:t>〕</w:t>
      </w:r>
      <w:r>
        <w:rPr>
          <w:rFonts w:ascii="宋体" w:hAnsi="宋体" w:cs="宋体" w:eastAsia="宋体" w:hint="default"/>
          <w:spacing w:val="-2"/>
        </w:rPr>
        <w:t>1010</w:t>
      </w:r>
      <w:r>
        <w:rPr>
          <w:spacing w:val="-2"/>
        </w:rPr>
        <w:t>号《关于核</w:t>
      </w:r>
      <w:r>
        <w:rPr/>
        <w:t> 准东华软件股份公司向章云芳等发行股份购买资产并募集配套资金的批复》，同意公司向章云芳、刘玉龙、苏美娴、杨铭、</w:t>
      </w:r>
      <w:r>
        <w:rPr>
          <w:spacing w:val="-83"/>
        </w:rPr>
        <w:t> </w:t>
      </w:r>
      <w:r>
        <w:rPr>
          <w:spacing w:val="-83"/>
        </w:rPr>
      </w:r>
      <w:r>
        <w:rPr>
          <w:spacing w:val="-2"/>
        </w:rPr>
        <w:t>李旭东、红塔创新投资股份有限公司、深圳市招商局科技投资有限公司、深圳市光启松禾超材料创业投资合伙企业（有限合</w:t>
      </w:r>
      <w:r>
        <w:rPr>
          <w:spacing w:val="-63"/>
        </w:rPr>
        <w:t> </w:t>
      </w:r>
      <w:r>
        <w:rPr>
          <w:spacing w:val="-63"/>
        </w:rPr>
      </w:r>
      <w:r>
        <w:rPr/>
        <w:t>伙）、新疆锦尚睦合股权投资有限合伙企业发行股份，并核准公司非公开发行股份募集本次发行股份购买资产的配套资金。</w:t>
      </w:r>
      <w:r>
        <w:rPr>
          <w:spacing w:val="-83"/>
        </w:rPr>
        <w:t> </w:t>
      </w:r>
      <w:r>
        <w:rPr>
          <w:spacing w:val="-83"/>
        </w:rPr>
      </w:r>
      <w:r>
        <w:rPr>
          <w:spacing w:val="-6"/>
        </w:rPr>
        <w:t>详情参见</w:t>
      </w:r>
      <w:r>
        <w:rPr>
          <w:rFonts w:ascii="宋体" w:hAnsi="宋体" w:cs="宋体" w:eastAsia="宋体" w:hint="default"/>
          <w:spacing w:val="-6"/>
        </w:rPr>
        <w:t>2015</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28</w:t>
      </w:r>
      <w:r>
        <w:rPr>
          <w:spacing w:val="-6"/>
        </w:rPr>
        <w:t>日刊登在《中国证券报》、《证券日报》、《证券时报》以及巨潮资讯网（</w:t>
      </w:r>
      <w:hyperlink r:id="rId12">
        <w:r>
          <w:rPr>
            <w:rFonts w:ascii="宋体" w:hAnsi="宋体" w:cs="宋体" w:eastAsia="宋体" w:hint="default"/>
            <w:spacing w:val="-6"/>
          </w:rPr>
          <w:t>http://www.cninfo.com.cn</w:t>
        </w:r>
      </w:hyperlink>
      <w:r>
        <w:rPr>
          <w:spacing w:val="-6"/>
        </w:rPr>
        <w:t>）</w:t>
      </w:r>
      <w:r>
        <w:rPr>
          <w:spacing w:val="-26"/>
        </w:rPr>
        <w:t> </w:t>
      </w:r>
      <w:r>
        <w:rPr/>
        <w:t>上的《关于发行股份及支付现金购买资产并配套募集资金事项获证监会正式批复的公告》（公告编号：</w:t>
      </w:r>
      <w:r>
        <w:rPr>
          <w:rFonts w:ascii="宋体" w:hAnsi="宋体" w:cs="宋体" w:eastAsia="宋体" w:hint="default"/>
        </w:rPr>
        <w:t>2015-073</w:t>
      </w:r>
      <w:r>
        <w:rPr/>
        <w:t>）。</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股份变动的过户情况</w:t>
      </w:r>
    </w:p>
    <w:p>
      <w:pPr>
        <w:pStyle w:val="BodyText"/>
        <w:spacing w:line="240" w:lineRule="auto" w:before="117"/>
        <w:ind w:right="153"/>
        <w:jc w:val="left"/>
      </w:pPr>
      <w:r>
        <w:rPr/>
        <w:t>√ 适用 □</w:t>
      </w:r>
      <w:r>
        <w:rPr>
          <w:spacing w:val="3"/>
        </w:rPr>
        <w:t> </w:t>
      </w:r>
      <w:r>
        <w:rPr/>
        <w:t>不适用</w:t>
      </w:r>
    </w:p>
    <w:p>
      <w:pPr>
        <w:spacing w:line="240" w:lineRule="auto" w:before="0"/>
        <w:rPr>
          <w:rFonts w:ascii="宋体" w:hAnsi="宋体" w:cs="宋体" w:eastAsia="宋体" w:hint="default"/>
          <w:sz w:val="15"/>
          <w:szCs w:val="15"/>
        </w:rPr>
      </w:pPr>
    </w:p>
    <w:p>
      <w:pPr>
        <w:pStyle w:val="BodyText"/>
        <w:spacing w:line="316" w:lineRule="auto"/>
        <w:ind w:right="149" w:firstLine="360"/>
        <w:jc w:val="both"/>
      </w:pPr>
      <w:r>
        <w:rPr>
          <w:rFonts w:ascii="宋体" w:hAnsi="宋体" w:cs="宋体" w:eastAsia="宋体" w:hint="default"/>
          <w:spacing w:val="-2"/>
        </w:rPr>
        <w:t>1</w:t>
      </w:r>
      <w:r>
        <w:rPr>
          <w:spacing w:val="-2"/>
        </w:rPr>
        <w:t>、报告期内，公司副总经理刘志华单独申请第二期行权，期权数量</w:t>
      </w:r>
      <w:r>
        <w:rPr>
          <w:rFonts w:ascii="宋体" w:hAnsi="宋体" w:cs="宋体" w:eastAsia="宋体" w:hint="default"/>
          <w:spacing w:val="-2"/>
        </w:rPr>
        <w:t>6.24</w:t>
      </w:r>
      <w:r>
        <w:rPr>
          <w:spacing w:val="-2"/>
        </w:rPr>
        <w:t>万股，公司于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月向中国证券登记结算有</w:t>
      </w:r>
      <w:r>
        <w:rPr/>
        <w:t> 限责任公司深圳分公司办理相关股份登记手续，上市日期为</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14</w:t>
      </w:r>
      <w:r>
        <w:rPr/>
        <w:t>日。</w:t>
      </w:r>
    </w:p>
    <w:p>
      <w:pPr>
        <w:pStyle w:val="BodyText"/>
        <w:spacing w:line="316" w:lineRule="auto" w:before="139"/>
        <w:ind w:right="148" w:firstLine="360"/>
        <w:jc w:val="both"/>
      </w:pPr>
      <w:r>
        <w:rPr>
          <w:rFonts w:ascii="宋体" w:hAnsi="宋体" w:cs="宋体" w:eastAsia="宋体" w:hint="default"/>
          <w:spacing w:val="-2"/>
        </w:rPr>
        <w:t>2</w:t>
      </w:r>
      <w:r>
        <w:rPr>
          <w:spacing w:val="-2"/>
        </w:rPr>
        <w:t>、报告期内，公司股票期权激励计划</w:t>
      </w:r>
      <w:r>
        <w:rPr>
          <w:rFonts w:ascii="宋体" w:hAnsi="宋体" w:cs="宋体" w:eastAsia="宋体" w:hint="default"/>
          <w:spacing w:val="-2"/>
        </w:rPr>
        <w:t>333</w:t>
      </w:r>
      <w:r>
        <w:rPr>
          <w:spacing w:val="-2"/>
        </w:rPr>
        <w:t>名激励对象申请第三期行权，期权数量</w:t>
      </w:r>
      <w:r>
        <w:rPr>
          <w:rFonts w:ascii="宋体" w:hAnsi="宋体" w:cs="宋体" w:eastAsia="宋体" w:hint="default"/>
          <w:spacing w:val="-2"/>
        </w:rPr>
        <w:t>558.948</w:t>
      </w:r>
      <w:r>
        <w:rPr>
          <w:spacing w:val="-2"/>
        </w:rPr>
        <w:t>万股，公司于</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月向中国</w:t>
      </w:r>
      <w:r>
        <w:rPr/>
        <w:t> 证券登记结算有限责任公司深圳分公司办理相关股份登记手续，上市日期为</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13</w:t>
      </w:r>
      <w:r>
        <w:rPr/>
        <w:t>日。</w:t>
      </w:r>
    </w:p>
    <w:p>
      <w:pPr>
        <w:pStyle w:val="BodyText"/>
        <w:spacing w:line="316" w:lineRule="auto" w:before="139"/>
        <w:ind w:right="146" w:firstLine="360"/>
        <w:jc w:val="both"/>
      </w:pPr>
      <w:r>
        <w:rPr>
          <w:rFonts w:ascii="宋体" w:hAnsi="宋体" w:cs="宋体" w:eastAsia="宋体" w:hint="default"/>
        </w:rPr>
        <w:t>3</w:t>
      </w:r>
      <w:r>
        <w:rPr/>
        <w:t>、报告期内，公司董事郑晓清、副总经理董国勇单独申请第三期行权，期权数量</w:t>
      </w:r>
      <w:r>
        <w:rPr>
          <w:rFonts w:ascii="宋体" w:hAnsi="宋体" w:cs="宋体" w:eastAsia="宋体" w:hint="default"/>
        </w:rPr>
        <w:t>7.28</w:t>
      </w:r>
      <w:r>
        <w:rPr/>
        <w:t>万股，公司于</w:t>
      </w:r>
      <w:r>
        <w:rPr>
          <w:rFonts w:ascii="宋体" w:hAnsi="宋体" w:cs="宋体" w:eastAsia="宋体" w:hint="default"/>
        </w:rPr>
        <w:t>2015</w:t>
      </w:r>
      <w:r>
        <w:rPr/>
        <w:t>年</w:t>
      </w:r>
      <w:r>
        <w:rPr>
          <w:rFonts w:ascii="宋体" w:hAnsi="宋体" w:cs="宋体" w:eastAsia="宋体" w:hint="default"/>
        </w:rPr>
        <w:t>10</w:t>
      </w:r>
      <w:r>
        <w:rPr/>
        <w:t>月向中国 证券登记结算有限责任公司深圳分公司办理相关股份登记手续，上市日期为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w:t>
      </w:r>
      <w:r>
        <w:rPr/>
        <w:t>日。</w:t>
      </w:r>
    </w:p>
    <w:p>
      <w:pPr>
        <w:pStyle w:val="BodyText"/>
        <w:spacing w:line="316" w:lineRule="auto" w:before="139"/>
        <w:ind w:right="151" w:firstLine="360"/>
        <w:jc w:val="both"/>
      </w:pPr>
      <w:r>
        <w:rPr>
          <w:rFonts w:ascii="宋体" w:hAnsi="宋体" w:cs="宋体" w:eastAsia="宋体" w:hint="default"/>
        </w:rPr>
        <w:t>4</w:t>
      </w:r>
      <w:r>
        <w:rPr/>
        <w:t>、报告期内，公司向章云芳、刘玉龙、苏美娴、杨铭、李旭东、红塔创新投资股份有限公司、深圳市招商局科技投资 </w:t>
      </w:r>
      <w:r>
        <w:rPr>
          <w:spacing w:val="-2"/>
        </w:rPr>
        <w:t>有限公司、深圳市光启松禾超材料创业投资合伙企业（有限合伙）、新疆锦尚睦合股权投资有限合伙企业发行股份，并非公</w:t>
      </w:r>
      <w:r>
        <w:rPr>
          <w:spacing w:val="-67"/>
        </w:rPr>
        <w:t> </w:t>
      </w:r>
      <w:r>
        <w:rPr>
          <w:spacing w:val="-67"/>
        </w:rPr>
      </w:r>
      <w:r>
        <w:rPr/>
        <w:t>开发行股份募集本次发行股份购买资产的配套资金，发行股份数量合计</w:t>
      </w:r>
      <w:r>
        <w:rPr>
          <w:rFonts w:ascii="宋体" w:hAnsi="宋体" w:cs="宋体" w:eastAsia="宋体" w:hint="default"/>
        </w:rPr>
        <w:t>37,034,105</w:t>
      </w:r>
      <w:r>
        <w:rPr/>
        <w:t>股。公司于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17</w:t>
      </w:r>
      <w:r>
        <w:rPr/>
        <w:t>日在中国证券登</w:t>
      </w:r>
      <w:r>
        <w:rPr>
          <w:spacing w:val="-87"/>
        </w:rPr>
        <w:t> </w:t>
      </w:r>
      <w:r>
        <w:rPr>
          <w:spacing w:val="-87"/>
        </w:rPr>
      </w:r>
      <w:r>
        <w:rPr/>
        <w:t>记结算有限公司深圳分公司办理完预登记手续，新增股票于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日在深圳证券交易所上市。</w:t>
      </w:r>
    </w:p>
    <w:p>
      <w:pPr>
        <w:pStyle w:val="BodyText"/>
        <w:spacing w:line="240" w:lineRule="auto" w:before="139"/>
        <w:ind w:right="153"/>
        <w:jc w:val="left"/>
      </w:pPr>
      <w:r>
        <w:rPr/>
        <w:t>股份变动对最近一年和最近一期基本每股收益和稀释每股收益、归属于公司普通股股东的每股净资产等财务指标的影响</w:t>
      </w:r>
    </w:p>
    <w:p>
      <w:pPr>
        <w:pStyle w:val="BodyText"/>
        <w:spacing w:line="360" w:lineRule="auto" w:before="115"/>
        <w:ind w:right="5814"/>
        <w:jc w:val="left"/>
      </w:pPr>
      <w:r>
        <w:rPr/>
        <w:t>□ 适用 √</w:t>
      </w:r>
      <w:r>
        <w:rPr>
          <w:spacing w:val="3"/>
        </w:rPr>
        <w:t> </w:t>
      </w:r>
      <w:r>
        <w:rPr/>
        <w:t>不适用</w:t>
      </w:r>
      <w:r>
        <w:rPr/>
        <w:t> 公司认为必要或证券监管机构要求披露的其他内容</w:t>
      </w:r>
    </w:p>
    <w:p>
      <w:pPr>
        <w:pStyle w:val="BodyText"/>
        <w:spacing w:line="240" w:lineRule="auto" w:before="27"/>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w:t>
      </w:r>
      <w:r>
        <w:rPr/>
        <w:t>、限售股份变动情况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7"/>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136"/>
        <w:gridCol w:w="1133"/>
        <w:gridCol w:w="1277"/>
        <w:gridCol w:w="1702"/>
        <w:gridCol w:w="184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3" w:right="111" w:hanging="181"/>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143,420,018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143,420,018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章云芳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19,426,049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19,426,049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至高通信重组项目增 发股份限售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47"/>
                <w:sz w:val="18"/>
                <w:szCs w:val="18"/>
              </w:rPr>
              <w:t> </w:t>
            </w:r>
            <w:r>
              <w:rPr>
                <w:rFonts w:ascii="宋体" w:hAnsi="宋体" w:cs="宋体" w:eastAsia="宋体" w:hint="default"/>
                <w:sz w:val="18"/>
                <w:szCs w:val="18"/>
              </w:rPr>
              <w:t>19,426,049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黄麟雏</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4,389,132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4,389,132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53"/>
                <w:sz w:val="18"/>
                <w:szCs w:val="18"/>
              </w:rPr>
              <w:t> </w:t>
            </w:r>
            <w:r>
              <w:rPr>
                <w:rFonts w:ascii="宋体" w:hAnsi="宋体" w:cs="宋体" w:eastAsia="宋体" w:hint="default"/>
                <w:sz w:val="18"/>
                <w:szCs w:val="18"/>
              </w:rPr>
              <w:t>4,389,132</w:t>
            </w:r>
            <w:r>
              <w:rPr>
                <w:rFonts w:ascii="宋体" w:hAnsi="宋体" w:cs="宋体" w:eastAsia="宋体" w:hint="default"/>
                <w:spacing w:val="-52"/>
                <w:sz w:val="18"/>
                <w:szCs w:val="18"/>
              </w:rPr>
              <w:t> </w:t>
            </w:r>
            <w:r>
              <w:rPr>
                <w:rFonts w:ascii="宋体" w:hAnsi="宋体" w:cs="宋体" w:eastAsia="宋体" w:hint="default"/>
                <w:sz w:val="18"/>
                <w:szCs w:val="18"/>
              </w:rPr>
              <w:t>股</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金鹰基金－民生 银行－金鹰定增 </w:t>
            </w: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号资产管理计 划</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3,847,850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3,847,850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股份限售期满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侯丹云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3,657,610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3,657,610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53"/>
                <w:sz w:val="18"/>
                <w:szCs w:val="18"/>
              </w:rPr>
              <w:t> </w:t>
            </w:r>
            <w:r>
              <w:rPr>
                <w:rFonts w:ascii="宋体" w:hAnsi="宋体" w:cs="宋体" w:eastAsia="宋体" w:hint="default"/>
                <w:sz w:val="18"/>
                <w:szCs w:val="18"/>
              </w:rPr>
              <w:t>3,657,610</w:t>
            </w:r>
            <w:r>
              <w:rPr>
                <w:rFonts w:ascii="宋体" w:hAnsi="宋体" w:cs="宋体" w:eastAsia="宋体" w:hint="default"/>
                <w:spacing w:val="-52"/>
                <w:sz w:val="18"/>
                <w:szCs w:val="18"/>
              </w:rPr>
              <w:t> </w:t>
            </w:r>
            <w:r>
              <w:rPr>
                <w:rFonts w:ascii="宋体" w:hAnsi="宋体" w:cs="宋体" w:eastAsia="宋体" w:hint="default"/>
                <w:sz w:val="18"/>
                <w:szCs w:val="18"/>
              </w:rPr>
              <w:t>股</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侯丹军</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3,657,610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3,657,610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48"/>
                <w:sz w:val="18"/>
                <w:szCs w:val="18"/>
              </w:rPr>
              <w:t> </w:t>
            </w:r>
            <w:r>
              <w:rPr>
                <w:rFonts w:ascii="宋体" w:hAnsi="宋体" w:cs="宋体" w:eastAsia="宋体" w:hint="default"/>
                <w:sz w:val="18"/>
                <w:szCs w:val="18"/>
              </w:rPr>
              <w:t>3,657,610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72"/>
              <w:jc w:val="left"/>
              <w:rPr>
                <w:rFonts w:ascii="宋体" w:hAnsi="宋体" w:cs="宋体" w:eastAsia="宋体" w:hint="default"/>
                <w:sz w:val="18"/>
                <w:szCs w:val="18"/>
              </w:rPr>
            </w:pPr>
            <w:r>
              <w:rPr>
                <w:rFonts w:ascii="宋体" w:hAnsi="宋体" w:cs="宋体" w:eastAsia="宋体" w:hint="default"/>
                <w:sz w:val="18"/>
                <w:szCs w:val="18"/>
              </w:rPr>
              <w:t>北京基业华商投 资管理中心（有</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3,447,087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3,447,087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至高通信重组项目增 发股份限售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48"/>
                <w:sz w:val="18"/>
                <w:szCs w:val="18"/>
              </w:rPr>
              <w:t> </w:t>
            </w:r>
            <w:r>
              <w:rPr>
                <w:rFonts w:ascii="宋体" w:hAnsi="宋体" w:cs="宋体" w:eastAsia="宋体" w:hint="default"/>
                <w:sz w:val="18"/>
                <w:szCs w:val="18"/>
              </w:rPr>
              <w:t>3,447,087</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136"/>
        <w:gridCol w:w="1133"/>
        <w:gridCol w:w="1277"/>
        <w:gridCol w:w="1702"/>
        <w:gridCol w:w="1841"/>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红塔创新投资股 份有限公司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3,229,278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3,229,278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至高通信重组项目增 发股份限售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48"/>
                <w:sz w:val="18"/>
                <w:szCs w:val="18"/>
              </w:rPr>
              <w:t> </w:t>
            </w:r>
            <w:r>
              <w:rPr>
                <w:rFonts w:ascii="宋体" w:hAnsi="宋体" w:cs="宋体" w:eastAsia="宋体" w:hint="default"/>
                <w:sz w:val="18"/>
                <w:szCs w:val="18"/>
              </w:rPr>
              <w:t>1,076,426</w:t>
            </w:r>
          </w:p>
          <w:p>
            <w:pPr>
              <w:pStyle w:val="TableParagraph"/>
              <w:spacing w:line="316" w:lineRule="auto" w:before="76"/>
              <w:ind w:left="23" w:right="4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 可解除限售股 </w:t>
            </w:r>
            <w:r>
              <w:rPr>
                <w:rFonts w:ascii="宋体" w:hAnsi="宋体" w:cs="宋体" w:eastAsia="宋体" w:hint="default"/>
                <w:sz w:val="18"/>
                <w:szCs w:val="18"/>
              </w:rPr>
              <w:t>2,152,852</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程相利</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2,926,088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2,926,088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53"/>
                <w:sz w:val="18"/>
                <w:szCs w:val="18"/>
              </w:rPr>
              <w:t> </w:t>
            </w:r>
            <w:r>
              <w:rPr>
                <w:rFonts w:ascii="宋体" w:hAnsi="宋体" w:cs="宋体" w:eastAsia="宋体" w:hint="default"/>
                <w:sz w:val="18"/>
                <w:szCs w:val="18"/>
              </w:rPr>
              <w:t>2,926,088</w:t>
            </w:r>
            <w:r>
              <w:rPr>
                <w:rFonts w:ascii="宋体" w:hAnsi="宋体" w:cs="宋体" w:eastAsia="宋体" w:hint="default"/>
                <w:spacing w:val="-52"/>
                <w:sz w:val="18"/>
                <w:szCs w:val="18"/>
              </w:rPr>
              <w:t> </w:t>
            </w:r>
            <w:r>
              <w:rPr>
                <w:rFonts w:ascii="宋体" w:hAnsi="宋体" w:cs="宋体" w:eastAsia="宋体" w:hint="default"/>
                <w:sz w:val="18"/>
                <w:szCs w:val="18"/>
              </w:rPr>
              <w:t>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2,186,594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53,175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2,239,769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北京华创智业投 资有限公司等</w:t>
            </w:r>
            <w:r>
              <w:rPr>
                <w:rFonts w:ascii="宋体" w:hAnsi="宋体" w:cs="宋体" w:eastAsia="宋体" w:hint="default"/>
                <w:spacing w:val="-44"/>
                <w:sz w:val="18"/>
                <w:szCs w:val="18"/>
              </w:rPr>
              <w:t> </w:t>
            </w:r>
            <w:r>
              <w:rPr>
                <w:rFonts w:ascii="宋体" w:hAnsi="宋体" w:cs="宋体" w:eastAsia="宋体" w:hint="default"/>
                <w:sz w:val="18"/>
                <w:szCs w:val="18"/>
              </w:rPr>
              <w:t>5 </w:t>
            </w:r>
            <w:r>
              <w:rPr>
                <w:rFonts w:ascii="宋体" w:hAnsi="宋体" w:cs="宋体" w:eastAsia="宋体" w:hint="default"/>
                <w:sz w:val="18"/>
                <w:szCs w:val="18"/>
              </w:rPr>
              <w:t>名配套融资认购 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6,864,939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6,864,939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股份限售期满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吴勇等</w:t>
            </w:r>
            <w:r>
              <w:rPr>
                <w:rFonts w:ascii="宋体" w:hAnsi="宋体" w:cs="宋体" w:eastAsia="宋体" w:hint="default"/>
                <w:spacing w:val="-64"/>
                <w:sz w:val="18"/>
                <w:szCs w:val="18"/>
              </w:rPr>
              <w:t> </w:t>
            </w:r>
            <w:r>
              <w:rPr>
                <w:rFonts w:ascii="宋体" w:hAnsi="宋体" w:cs="宋体" w:eastAsia="宋体" w:hint="default"/>
                <w:sz w:val="18"/>
                <w:szCs w:val="18"/>
              </w:rPr>
              <w:t>14</w:t>
            </w:r>
            <w:r>
              <w:rPr>
                <w:rFonts w:ascii="宋体" w:hAnsi="宋体" w:cs="宋体" w:eastAsia="宋体" w:hint="default"/>
                <w:spacing w:val="-63"/>
                <w:sz w:val="18"/>
                <w:szCs w:val="18"/>
              </w:rPr>
              <w:t> </w:t>
            </w:r>
            <w:r>
              <w:rPr>
                <w:rFonts w:ascii="宋体" w:hAnsi="宋体" w:cs="宋体" w:eastAsia="宋体" w:hint="default"/>
                <w:sz w:val="18"/>
                <w:szCs w:val="18"/>
              </w:rPr>
              <w:t>名交易 对方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宋体" w:hAnsi="宋体" w:cs="宋体" w:eastAsia="宋体" w:hint="default"/>
                <w:sz w:val="18"/>
                <w:szCs w:val="18"/>
              </w:rPr>
            </w:pPr>
            <w:r>
              <w:rPr>
                <w:rFonts w:ascii="宋体"/>
                <w:spacing w:val="-1"/>
                <w:sz w:val="18"/>
              </w:rPr>
              <w:t>14,582,152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14,582,152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威锐达重组项目增发 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47"/>
                <w:sz w:val="18"/>
                <w:szCs w:val="18"/>
              </w:rPr>
              <w:t> </w:t>
            </w:r>
            <w:r>
              <w:rPr>
                <w:rFonts w:ascii="宋体" w:hAnsi="宋体" w:cs="宋体" w:eastAsia="宋体" w:hint="default"/>
                <w:sz w:val="18"/>
                <w:szCs w:val="18"/>
              </w:rPr>
              <w:t>14,582,152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2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71"/>
              <w:jc w:val="left"/>
              <w:rPr>
                <w:rFonts w:ascii="宋体" w:hAnsi="宋体" w:cs="宋体" w:eastAsia="宋体" w:hint="default"/>
                <w:sz w:val="18"/>
                <w:szCs w:val="18"/>
              </w:rPr>
            </w:pPr>
            <w:r>
              <w:rPr>
                <w:rFonts w:ascii="宋体" w:hAnsi="宋体" w:cs="宋体" w:eastAsia="宋体" w:hint="default"/>
                <w:sz w:val="18"/>
                <w:szCs w:val="18"/>
              </w:rPr>
              <w:t>刘玉龙等</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名交 易对方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pacing w:val="-1"/>
                <w:sz w:val="18"/>
              </w:rPr>
              <w:t>7,484,604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7,484,604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至高通信重组项目增 发股份限售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刘玉龙</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2"/>
                <w:sz w:val="18"/>
                <w:szCs w:val="18"/>
              </w:rPr>
              <w:t> </w:t>
            </w:r>
            <w:r>
              <w:rPr>
                <w:rFonts w:ascii="宋体" w:hAnsi="宋体" w:cs="宋体" w:eastAsia="宋体" w:hint="default"/>
                <w:sz w:val="18"/>
                <w:szCs w:val="18"/>
              </w:rPr>
              <w:t>日可解除限售股 </w:t>
            </w:r>
            <w:r>
              <w:rPr>
                <w:rFonts w:ascii="宋体" w:hAnsi="宋体" w:cs="宋体" w:eastAsia="宋体" w:hint="default"/>
                <w:sz w:val="18"/>
                <w:szCs w:val="18"/>
              </w:rPr>
              <w:t>1,720,129 </w:t>
            </w:r>
            <w:r>
              <w:rPr>
                <w:rFonts w:ascii="宋体" w:hAnsi="宋体" w:cs="宋体" w:eastAsia="宋体" w:hint="default"/>
                <w:sz w:val="18"/>
                <w:szCs w:val="18"/>
              </w:rPr>
              <w:t>股；苏美 娴、杨铭、招商科技、 光启创投</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日可解除限售股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4,582,560 </w:t>
            </w:r>
            <w:r>
              <w:rPr>
                <w:rFonts w:ascii="宋体" w:hAnsi="宋体" w:cs="宋体" w:eastAsia="宋体" w:hint="default"/>
                <w:sz w:val="18"/>
                <w:szCs w:val="18"/>
              </w:rPr>
              <w:t>股；</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中国银河投资管 理有限公司等</w:t>
            </w:r>
            <w:r>
              <w:rPr>
                <w:rFonts w:ascii="宋体" w:hAnsi="宋体" w:cs="宋体" w:eastAsia="宋体" w:hint="default"/>
                <w:spacing w:val="-44"/>
                <w:sz w:val="18"/>
                <w:szCs w:val="18"/>
              </w:rPr>
              <w:t> </w:t>
            </w:r>
            <w:r>
              <w:rPr>
                <w:rFonts w:ascii="宋体" w:hAnsi="宋体" w:cs="宋体" w:eastAsia="宋体" w:hint="default"/>
                <w:sz w:val="18"/>
                <w:szCs w:val="18"/>
              </w:rPr>
              <w:t>2 </w:t>
            </w:r>
            <w:r>
              <w:rPr>
                <w:rFonts w:ascii="宋体" w:hAnsi="宋体" w:cs="宋体" w:eastAsia="宋体" w:hint="default"/>
                <w:sz w:val="18"/>
                <w:szCs w:val="18"/>
              </w:rPr>
              <w:t>名配套融资认购 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3,447,087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3,447,087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7"/>
              <w:jc w:val="left"/>
              <w:rPr>
                <w:rFonts w:ascii="宋体" w:hAnsi="宋体" w:cs="宋体" w:eastAsia="宋体" w:hint="default"/>
                <w:sz w:val="18"/>
                <w:szCs w:val="18"/>
              </w:rPr>
            </w:pPr>
            <w:r>
              <w:rPr>
                <w:rFonts w:ascii="宋体" w:hAnsi="宋体" w:cs="宋体" w:eastAsia="宋体" w:hint="default"/>
                <w:sz w:val="18"/>
                <w:szCs w:val="18"/>
              </w:rPr>
              <w:t>至高通信重组项目增 发股份限售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日可解</w:t>
            </w:r>
          </w:p>
          <w:p>
            <w:pPr>
              <w:pStyle w:val="TableParagraph"/>
              <w:spacing w:line="316" w:lineRule="auto" w:before="76"/>
              <w:ind w:left="23" w:right="230"/>
              <w:jc w:val="left"/>
              <w:rPr>
                <w:rFonts w:ascii="宋体" w:hAnsi="宋体" w:cs="宋体" w:eastAsia="宋体" w:hint="default"/>
                <w:sz w:val="18"/>
                <w:szCs w:val="18"/>
              </w:rPr>
            </w:pPr>
            <w:r>
              <w:rPr>
                <w:rFonts w:ascii="宋体" w:hAnsi="宋体" w:cs="宋体" w:eastAsia="宋体" w:hint="default"/>
                <w:sz w:val="18"/>
                <w:szCs w:val="18"/>
              </w:rPr>
              <w:t>除限售股</w:t>
            </w:r>
            <w:r>
              <w:rPr>
                <w:rFonts w:ascii="宋体" w:hAnsi="宋体" w:cs="宋体" w:eastAsia="宋体" w:hint="default"/>
                <w:spacing w:val="-47"/>
                <w:sz w:val="18"/>
                <w:szCs w:val="18"/>
              </w:rPr>
              <w:t> </w:t>
            </w:r>
            <w:r>
              <w:rPr>
                <w:rFonts w:ascii="宋体" w:hAnsi="宋体" w:cs="宋体" w:eastAsia="宋体" w:hint="default"/>
                <w:sz w:val="18"/>
                <w:szCs w:val="18"/>
              </w:rPr>
              <w:t>3,447,087 </w:t>
            </w:r>
            <w:r>
              <w:rPr>
                <w:rFonts w:ascii="宋体" w:hAnsi="宋体" w:cs="宋体" w:eastAsia="宋体" w:hint="default"/>
                <w:sz w:val="18"/>
                <w:szCs w:val="18"/>
              </w:rPr>
              <w:t>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夏金崇等</w:t>
            </w:r>
            <w:r>
              <w:rPr>
                <w:rFonts w:ascii="宋体" w:hAnsi="宋体" w:cs="宋体" w:eastAsia="宋体" w:hint="default"/>
                <w:spacing w:val="-64"/>
                <w:sz w:val="18"/>
                <w:szCs w:val="18"/>
              </w:rPr>
              <w:t> </w:t>
            </w:r>
            <w:r>
              <w:rPr>
                <w:rFonts w:ascii="宋体" w:hAnsi="宋体" w:cs="宋体" w:eastAsia="宋体" w:hint="default"/>
                <w:sz w:val="18"/>
                <w:szCs w:val="18"/>
              </w:rPr>
              <w:t>15</w:t>
            </w:r>
            <w:r>
              <w:rPr>
                <w:rFonts w:ascii="宋体" w:hAnsi="宋体" w:cs="宋体" w:eastAsia="宋体" w:hint="default"/>
                <w:spacing w:val="-63"/>
                <w:sz w:val="18"/>
                <w:szCs w:val="18"/>
              </w:rPr>
              <w:t> </w:t>
            </w:r>
            <w:r>
              <w:rPr>
                <w:rFonts w:ascii="宋体" w:hAnsi="宋体" w:cs="宋体" w:eastAsia="宋体" w:hint="default"/>
                <w:sz w:val="18"/>
                <w:szCs w:val="18"/>
              </w:rPr>
              <w:t>名高 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3,272,103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688,025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3,960,128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pacing w:val="-12"/>
                <w:sz w:val="18"/>
                <w:szCs w:val="18"/>
              </w:rPr>
              <w:t>黄杏国、高书敬</w:t>
            </w:r>
            <w:r>
              <w:rPr>
                <w:rFonts w:ascii="宋体" w:hAnsi="宋体" w:cs="宋体" w:eastAsia="宋体" w:hint="default"/>
                <w:spacing w:val="-44"/>
                <w:sz w:val="18"/>
                <w:szCs w:val="18"/>
              </w:rPr>
              <w:t> </w:t>
            </w:r>
            <w:r>
              <w:rPr>
                <w:rFonts w:ascii="宋体" w:hAnsi="宋体" w:cs="宋体" w:eastAsia="宋体" w:hint="default"/>
                <w:sz w:val="18"/>
                <w:szCs w:val="18"/>
              </w:rPr>
              <w:t>2 </w:t>
            </w:r>
            <w:r>
              <w:rPr>
                <w:rFonts w:ascii="宋体" w:hAnsi="宋体" w:cs="宋体" w:eastAsia="宋体" w:hint="default"/>
                <w:sz w:val="18"/>
                <w:szCs w:val="18"/>
              </w:rPr>
              <w:t>名高管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宋体" w:hAnsi="宋体" w:cs="宋体" w:eastAsia="宋体" w:hint="default"/>
                <w:sz w:val="18"/>
                <w:szCs w:val="18"/>
              </w:rPr>
            </w:pPr>
            <w:r>
              <w:rPr>
                <w:rFonts w:ascii="宋体"/>
                <w:sz w:val="18"/>
              </w:rPr>
              <w:t>187,200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187,200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高管离职解除限售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188,991,296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10,899,989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37,775,305</w:t>
            </w:r>
          </w:p>
        </w:tc>
        <w:tc>
          <w:tcPr>
            <w:tcW w:w="127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215,866,612</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31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14"/>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31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1560"/>
        <w:gridCol w:w="136"/>
        <w:gridCol w:w="1000"/>
        <w:gridCol w:w="1416"/>
        <w:gridCol w:w="1561"/>
        <w:gridCol w:w="127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4"/>
                <w:sz w:val="18"/>
                <w:szCs w:val="18"/>
              </w:rPr>
              <w:t>发行价格（或利率</w:t>
            </w:r>
          </w:p>
        </w:tc>
        <w:tc>
          <w:tcPr>
            <w:tcW w:w="1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92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购买资产发行股票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18.58</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30,139,931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30,139,931</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配套募集资金发行股票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16.71</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6,894,174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6,894,174</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2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公开发行可转换公司债 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张</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1" w:hRule="exact"/>
        </w:trPr>
        <w:tc>
          <w:tcPr>
            <w:tcW w:w="992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both"/>
      </w:pPr>
      <w:r>
        <w:rPr/>
        <w:t>报告期内证券发行（不含优先股）情况的说明</w:t>
      </w:r>
    </w:p>
    <w:p>
      <w:pPr>
        <w:spacing w:line="240" w:lineRule="auto" w:before="3"/>
        <w:rPr>
          <w:rFonts w:ascii="宋体" w:hAnsi="宋体" w:cs="宋体" w:eastAsia="宋体" w:hint="default"/>
          <w:sz w:val="15"/>
          <w:szCs w:val="15"/>
        </w:rPr>
      </w:pPr>
    </w:p>
    <w:p>
      <w:pPr>
        <w:pStyle w:val="BodyText"/>
        <w:spacing w:line="316" w:lineRule="auto"/>
        <w:ind w:right="314" w:firstLine="360"/>
        <w:jc w:val="left"/>
      </w:pPr>
      <w:r>
        <w:rPr>
          <w:spacing w:val="-2"/>
        </w:rPr>
        <w:t>根据中国证券监督管理委员会《关于核准东华软件股份公司向章云芳等发行股份购买资产并募集配套资金的批复》（证</w:t>
      </w:r>
      <w:r>
        <w:rPr/>
        <w:t> 监许可〔</w:t>
      </w:r>
      <w:r>
        <w:rPr>
          <w:rFonts w:ascii="宋体" w:hAnsi="宋体" w:cs="宋体" w:eastAsia="宋体" w:hint="default"/>
        </w:rPr>
        <w:t>2015</w:t>
      </w:r>
      <w:r>
        <w:rPr/>
        <w:t>〕</w:t>
      </w:r>
      <w:r>
        <w:rPr>
          <w:rFonts w:ascii="宋体" w:hAnsi="宋体" w:cs="宋体" w:eastAsia="宋体" w:hint="default"/>
        </w:rPr>
        <w:t>1010</w:t>
      </w:r>
      <w:r>
        <w:rPr/>
        <w:t>号）的文件，核准公司向章云芳发行</w:t>
      </w:r>
      <w:r>
        <w:rPr>
          <w:rFonts w:ascii="宋体" w:hAnsi="宋体" w:cs="宋体" w:eastAsia="宋体" w:hint="default"/>
        </w:rPr>
        <w:t>19,270,475</w:t>
      </w:r>
      <w:r>
        <w:rPr/>
        <w:t>股股份、向刘玉龙发行</w:t>
      </w:r>
      <w:r>
        <w:rPr>
          <w:rFonts w:ascii="宋体" w:hAnsi="宋体" w:cs="宋体" w:eastAsia="宋体" w:hint="default"/>
        </w:rPr>
        <w:t>1,706,353</w:t>
      </w:r>
      <w:r>
        <w:rPr/>
        <w:t>股股份、向苏美娴发 行</w:t>
      </w:r>
      <w:r>
        <w:rPr>
          <w:rFonts w:ascii="宋体" w:hAnsi="宋体" w:cs="宋体" w:eastAsia="宋体" w:hint="default"/>
        </w:rPr>
        <w:t>1,194,447</w:t>
      </w:r>
      <w:r>
        <w:rPr/>
        <w:t>股股份、向杨铭发行</w:t>
      </w:r>
      <w:r>
        <w:rPr>
          <w:rFonts w:ascii="宋体" w:hAnsi="宋体" w:cs="宋体" w:eastAsia="宋体" w:hint="default"/>
        </w:rPr>
        <w:t>1,194,447</w:t>
      </w:r>
      <w:r>
        <w:rPr/>
        <w:t>股股份、向深圳市招商局科技投资有限公司发行</w:t>
      </w:r>
      <w:r>
        <w:rPr>
          <w:rFonts w:ascii="宋体" w:hAnsi="宋体" w:cs="宋体" w:eastAsia="宋体" w:hint="default"/>
        </w:rPr>
        <w:t>1,089,161</w:t>
      </w:r>
      <w:r>
        <w:rPr/>
        <w:t>股股份、向红塔创新 投资股份有限公司发行</w:t>
      </w:r>
      <w:r>
        <w:rPr>
          <w:rFonts w:ascii="宋体" w:hAnsi="宋体" w:cs="宋体" w:eastAsia="宋体" w:hint="default"/>
        </w:rPr>
        <w:t>3,203,416</w:t>
      </w:r>
      <w:r>
        <w:rPr/>
        <w:t>股股份、向深圳市光启松禾超材料创业投资合伙企业（有限合伙）发行</w:t>
      </w:r>
      <w:r>
        <w:rPr>
          <w:rFonts w:ascii="宋体" w:hAnsi="宋体" w:cs="宋体" w:eastAsia="宋体" w:hint="default"/>
        </w:rPr>
        <w:t>1,067,805</w:t>
      </w:r>
      <w:r>
        <w:rPr/>
        <w:t>股股份、 </w:t>
      </w:r>
      <w:r>
        <w:rPr>
          <w:spacing w:val="-2"/>
        </w:rPr>
        <w:t>向新疆锦尚睦合股权投资有限合伙企业发行</w:t>
      </w:r>
      <w:r>
        <w:rPr>
          <w:rFonts w:ascii="宋体" w:hAnsi="宋体" w:cs="宋体" w:eastAsia="宋体" w:hint="default"/>
          <w:spacing w:val="-2"/>
        </w:rPr>
        <w:t>533,902</w:t>
      </w:r>
      <w:r>
        <w:rPr>
          <w:spacing w:val="-2"/>
        </w:rPr>
        <w:t>股股份、向李旭东发行</w:t>
      </w:r>
      <w:r>
        <w:rPr>
          <w:rFonts w:ascii="宋体" w:hAnsi="宋体" w:cs="宋体" w:eastAsia="宋体" w:hint="default"/>
          <w:spacing w:val="-2"/>
        </w:rPr>
        <w:t>638,547</w:t>
      </w:r>
      <w:r>
        <w:rPr>
          <w:spacing w:val="-2"/>
        </w:rPr>
        <w:t>股股份购买相关资产。核准公司非公开发</w:t>
      </w:r>
      <w:r>
        <w:rPr>
          <w:spacing w:val="-56"/>
        </w:rPr>
        <w:t> </w:t>
      </w:r>
      <w:r>
        <w:rPr>
          <w:spacing w:val="-56"/>
        </w:rPr>
      </w:r>
      <w:r>
        <w:rPr>
          <w:spacing w:val="-2"/>
        </w:rPr>
        <w:t>行不超过</w:t>
      </w:r>
      <w:r>
        <w:rPr>
          <w:rFonts w:ascii="宋体" w:hAnsi="宋体" w:cs="宋体" w:eastAsia="宋体" w:hint="default"/>
          <w:spacing w:val="-2"/>
        </w:rPr>
        <w:t>11,862,396</w:t>
      </w:r>
      <w:r>
        <w:rPr>
          <w:spacing w:val="-2"/>
        </w:rPr>
        <w:t>股新股募集本次发行股份购买资产的配套资金。因公司实施</w:t>
      </w:r>
      <w:r>
        <w:rPr>
          <w:rFonts w:ascii="宋体" w:hAnsi="宋体" w:cs="宋体" w:eastAsia="宋体" w:hint="default"/>
          <w:spacing w:val="-2"/>
        </w:rPr>
        <w:t>2014</w:t>
      </w:r>
      <w:r>
        <w:rPr>
          <w:spacing w:val="-2"/>
        </w:rPr>
        <w:t>年度利润分配方案，导致本次发行股份</w:t>
      </w:r>
      <w:r>
        <w:rPr>
          <w:spacing w:val="-56"/>
        </w:rPr>
        <w:t> </w:t>
      </w:r>
      <w:r>
        <w:rPr>
          <w:spacing w:val="-56"/>
        </w:rPr>
      </w:r>
      <w:r>
        <w:rPr/>
        <w:t>购买资产及配套募集资金股份数量作出相应调整。公司于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17</w:t>
      </w:r>
      <w:r>
        <w:rPr/>
        <w:t>日在中国证券登记结算有限公司深圳分公司办理完预</w:t>
      </w:r>
      <w:r>
        <w:rPr>
          <w:spacing w:val="-85"/>
        </w:rPr>
        <w:t> </w:t>
      </w:r>
      <w:r>
        <w:rPr>
          <w:spacing w:val="-85"/>
        </w:rPr>
      </w:r>
      <w:r>
        <w:rPr/>
        <w:t>登记手续，新增股票于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日在深圳证券交易所上市。</w:t>
      </w:r>
    </w:p>
    <w:p>
      <w:pPr>
        <w:pStyle w:val="BodyText"/>
        <w:spacing w:line="316" w:lineRule="auto" w:before="139"/>
        <w:ind w:right="408" w:firstLine="360"/>
        <w:jc w:val="both"/>
      </w:pPr>
      <w:r>
        <w:rPr/>
        <w:t>经中国证券监督管理委员会证监许可</w:t>
      </w:r>
      <w:r>
        <w:rPr>
          <w:rFonts w:ascii="宋体" w:hAnsi="宋体" w:cs="宋体" w:eastAsia="宋体" w:hint="default"/>
        </w:rPr>
        <w:t>[2013]845</w:t>
      </w:r>
      <w:r>
        <w:rPr/>
        <w:t>号文核准，东华软件股份公司于</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26</w:t>
      </w:r>
      <w:r>
        <w:rPr/>
        <w:t>日公开发行了</w:t>
      </w:r>
      <w:r>
        <w:rPr>
          <w:rFonts w:ascii="宋体" w:hAnsi="宋体" w:cs="宋体" w:eastAsia="宋体" w:hint="default"/>
        </w:rPr>
        <w:t>1,000</w:t>
      </w:r>
      <w:r>
        <w:rPr/>
        <w:t>万张可 </w:t>
      </w:r>
      <w:r>
        <w:rPr>
          <w:spacing w:val="-2"/>
        </w:rPr>
        <w:t>转换公司债券，每张面值</w:t>
      </w:r>
      <w:r>
        <w:rPr>
          <w:rFonts w:ascii="宋体" w:hAnsi="宋体" w:cs="宋体" w:eastAsia="宋体" w:hint="default"/>
          <w:spacing w:val="-2"/>
        </w:rPr>
        <w:t>100</w:t>
      </w:r>
      <w:r>
        <w:rPr>
          <w:spacing w:val="-2"/>
        </w:rPr>
        <w:t>元，发行总额</w:t>
      </w:r>
      <w:r>
        <w:rPr>
          <w:rFonts w:ascii="宋体" w:hAnsi="宋体" w:cs="宋体" w:eastAsia="宋体" w:hint="default"/>
          <w:spacing w:val="-2"/>
        </w:rPr>
        <w:t>100,000</w:t>
      </w:r>
      <w:r>
        <w:rPr>
          <w:spacing w:val="-2"/>
        </w:rPr>
        <w:t>万元。经深圳证券交易所深证上</w:t>
      </w:r>
      <w:r>
        <w:rPr>
          <w:rFonts w:ascii="宋体" w:hAnsi="宋体" w:cs="宋体" w:eastAsia="宋体" w:hint="default"/>
          <w:spacing w:val="-2"/>
        </w:rPr>
        <w:t>[2013]273</w:t>
      </w:r>
      <w:r>
        <w:rPr>
          <w:spacing w:val="-2"/>
        </w:rPr>
        <w:t>号文同意，公司</w:t>
      </w:r>
      <w:r>
        <w:rPr>
          <w:rFonts w:ascii="宋体" w:hAnsi="宋体" w:cs="宋体" w:eastAsia="宋体" w:hint="default"/>
          <w:spacing w:val="-2"/>
        </w:rPr>
        <w:t>100,000</w:t>
      </w:r>
      <w:r>
        <w:rPr>
          <w:spacing w:val="-2"/>
        </w:rPr>
        <w:t>万元可</w:t>
      </w:r>
      <w:r>
        <w:rPr>
          <w:spacing w:val="-47"/>
        </w:rPr>
        <w:t> </w:t>
      </w:r>
      <w:r>
        <w:rPr>
          <w:spacing w:val="-2"/>
        </w:rPr>
        <w:t>转债已于</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日起在深圳证券交易所挂牌交易，债券简称“东华转债”，债券代码“128002”。</w:t>
      </w:r>
      <w:r>
        <w:rPr/>
        <w:t> </w:t>
      </w:r>
      <w:r>
        <w:rPr>
          <w:spacing w:val="-1"/>
        </w:rPr>
        <w:t>“东华转债”自赎</w:t>
      </w:r>
      <w:r>
        <w:rPr>
          <w:spacing w:val="-67"/>
        </w:rPr>
        <w:t> </w:t>
      </w:r>
      <w:r>
        <w:rPr>
          <w:spacing w:val="-67"/>
        </w:rPr>
      </w:r>
      <w:r>
        <w:rPr>
          <w:spacing w:val="-2"/>
        </w:rPr>
        <w:t>回日（即</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日）起停止转股，赎回完成后，将无“东华转债”继续流通或交易，“东华转债”</w:t>
      </w:r>
      <w:r>
        <w:rPr>
          <w:spacing w:val="10"/>
        </w:rPr>
        <w:t> </w:t>
      </w:r>
      <w:r>
        <w:rPr/>
        <w:t>不再具备上市条件</w:t>
      </w:r>
      <w:r>
        <w:rPr/>
        <w:t> 而需摘牌。摘牌日期为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日。截至报告期末，“东华转债”</w:t>
      </w:r>
      <w:r>
        <w:rPr>
          <w:spacing w:val="-1"/>
        </w:rPr>
        <w:t> </w:t>
      </w:r>
      <w:r>
        <w:rPr/>
        <w:t>已全部转换为公司</w:t>
      </w:r>
      <w:r>
        <w:rPr>
          <w:rFonts w:ascii="宋体" w:hAnsi="宋体" w:cs="宋体" w:eastAsia="宋体" w:hint="default"/>
        </w:rPr>
        <w:t>A</w:t>
      </w:r>
      <w:r>
        <w:rPr/>
        <w:t>股股票。</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pStyle w:val="BodyText"/>
        <w:spacing w:line="430" w:lineRule="atLeast" w:before="165"/>
        <w:ind w:left="424" w:right="402" w:hanging="272"/>
        <w:jc w:val="left"/>
      </w:pPr>
      <w:r>
        <w:rPr/>
        <w:t>√ 适用 □</w:t>
      </w:r>
      <w:r>
        <w:rPr>
          <w:spacing w:val="3"/>
        </w:rPr>
        <w:t> </w:t>
      </w:r>
      <w:r>
        <w:rPr/>
        <w:t>不适用</w:t>
      </w:r>
      <w:r>
        <w:rPr/>
        <w:t> </w:t>
      </w:r>
      <w:r>
        <w:rPr>
          <w:rFonts w:ascii="宋体" w:hAnsi="宋体" w:cs="宋体" w:eastAsia="宋体" w:hint="default"/>
        </w:rPr>
        <w:t>1</w:t>
      </w:r>
      <w:r>
        <w:rPr/>
        <w:t>、报告期内，公司副总经理刘志华申请第二期行权，期权总数</w:t>
      </w:r>
      <w:r>
        <w:rPr>
          <w:rFonts w:ascii="宋体" w:hAnsi="宋体" w:cs="宋体" w:eastAsia="宋体" w:hint="default"/>
        </w:rPr>
        <w:t>62,400</w:t>
      </w:r>
      <w:r>
        <w:rPr/>
        <w:t>股，经北京兴华会计师事务所</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w:t>
      </w:r>
      <w:r>
        <w:rPr/>
        <w:t>日出具</w:t>
      </w:r>
    </w:p>
    <w:p>
      <w:pPr>
        <w:pStyle w:val="BodyText"/>
        <w:spacing w:line="316" w:lineRule="auto" w:before="77"/>
        <w:ind w:right="408"/>
        <w:jc w:val="both"/>
      </w:pPr>
      <w:r>
        <w:rPr>
          <w:spacing w:val="-2"/>
        </w:rPr>
        <w:t>的</w:t>
      </w:r>
      <w:r>
        <w:rPr>
          <w:rFonts w:ascii="宋体" w:hAnsi="宋体" w:cs="宋体" w:eastAsia="宋体" w:hint="default"/>
          <w:spacing w:val="-2"/>
        </w:rPr>
        <w:t>[2014]</w:t>
      </w:r>
      <w:r>
        <w:rPr>
          <w:spacing w:val="-2"/>
        </w:rPr>
        <w:t>京会兴验字第</w:t>
      </w:r>
      <w:r>
        <w:rPr>
          <w:rFonts w:ascii="宋体" w:hAnsi="宋体" w:cs="宋体" w:eastAsia="宋体" w:hint="default"/>
          <w:spacing w:val="-2"/>
        </w:rPr>
        <w:t>03010027</w:t>
      </w:r>
      <w:r>
        <w:rPr>
          <w:spacing w:val="-2"/>
        </w:rPr>
        <w:t>号验资报告验证，“截至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w:t>
      </w:r>
      <w:r>
        <w:rPr>
          <w:spacing w:val="-2"/>
        </w:rPr>
        <w:t>日止，贵公司已收到股权激励第二期行权的</w:t>
      </w:r>
      <w:r>
        <w:rPr>
          <w:rFonts w:ascii="宋体" w:hAnsi="宋体" w:cs="宋体" w:eastAsia="宋体" w:hint="default"/>
          <w:spacing w:val="-2"/>
        </w:rPr>
        <w:t>1</w:t>
      </w:r>
      <w:r>
        <w:rPr>
          <w:spacing w:val="-2"/>
        </w:rPr>
        <w:t>名激励对</w:t>
      </w:r>
      <w:r>
        <w:rPr>
          <w:spacing w:val="-49"/>
        </w:rPr>
        <w:t> </w:t>
      </w:r>
      <w:r>
        <w:rPr/>
        <w:t>象缴纳出资款为人民币</w:t>
      </w:r>
      <w:r>
        <w:rPr>
          <w:rFonts w:ascii="宋体" w:hAnsi="宋体" w:cs="宋体" w:eastAsia="宋体" w:hint="default"/>
        </w:rPr>
        <w:t>696,436.00</w:t>
      </w:r>
      <w:r>
        <w:rPr/>
        <w:t>元，其中含公司代扣代缴的个人所得税</w:t>
      </w:r>
      <w:r>
        <w:rPr>
          <w:rFonts w:ascii="宋体" w:hAnsi="宋体" w:cs="宋体" w:eastAsia="宋体" w:hint="default"/>
        </w:rPr>
        <w:t>195,364.00 </w:t>
      </w:r>
      <w:r>
        <w:rPr/>
        <w:t>元，扣除个人所得税后实际缴纳出资 </w:t>
      </w:r>
      <w:r>
        <w:rPr>
          <w:spacing w:val="-2"/>
        </w:rPr>
        <w:t>款为</w:t>
      </w:r>
      <w:r>
        <w:rPr>
          <w:rFonts w:ascii="宋体" w:hAnsi="宋体" w:cs="宋体" w:eastAsia="宋体" w:hint="default"/>
          <w:spacing w:val="-2"/>
        </w:rPr>
        <w:t>501,072.00</w:t>
      </w:r>
      <w:r>
        <w:rPr>
          <w:spacing w:val="-2"/>
        </w:rPr>
        <w:t>元（认购股数</w:t>
      </w:r>
      <w:r>
        <w:rPr>
          <w:rFonts w:ascii="宋体" w:hAnsi="宋体" w:cs="宋体" w:eastAsia="宋体" w:hint="default"/>
          <w:spacing w:val="-2"/>
        </w:rPr>
        <w:t>62,400</w:t>
      </w:r>
      <w:r>
        <w:rPr>
          <w:spacing w:val="-2"/>
        </w:rPr>
        <w:t>股，每股</w:t>
      </w:r>
      <w:r>
        <w:rPr>
          <w:rFonts w:ascii="宋体" w:hAnsi="宋体" w:cs="宋体" w:eastAsia="宋体" w:hint="default"/>
          <w:spacing w:val="-2"/>
        </w:rPr>
        <w:t>8.03</w:t>
      </w:r>
      <w:r>
        <w:rPr>
          <w:spacing w:val="-2"/>
        </w:rPr>
        <w:t>元），其中新增注册资本（股本）为人民币</w:t>
      </w:r>
      <w:r>
        <w:rPr>
          <w:rFonts w:ascii="宋体" w:hAnsi="宋体" w:cs="宋体" w:eastAsia="宋体" w:hint="default"/>
          <w:spacing w:val="-2"/>
        </w:rPr>
        <w:t>62,400</w:t>
      </w:r>
      <w:r>
        <w:rPr>
          <w:spacing w:val="-2"/>
        </w:rPr>
        <w:t>元，增加资本公积为人</w:t>
      </w:r>
      <w:r>
        <w:rPr>
          <w:spacing w:val="-56"/>
        </w:rPr>
        <w:t> </w:t>
      </w:r>
      <w:r>
        <w:rPr>
          <w:spacing w:val="-56"/>
        </w:rPr>
      </w:r>
      <w:r>
        <w:rPr/>
        <w:t>民币</w:t>
      </w:r>
      <w:r>
        <w:rPr>
          <w:rFonts w:ascii="宋体" w:hAnsi="宋体" w:cs="宋体" w:eastAsia="宋体" w:hint="default"/>
        </w:rPr>
        <w:t>438,672.00</w:t>
      </w:r>
      <w:r>
        <w:rPr/>
        <w:t>元。”</w:t>
      </w:r>
    </w:p>
    <w:p>
      <w:pPr>
        <w:pStyle w:val="BodyText"/>
        <w:spacing w:line="316" w:lineRule="auto" w:before="139"/>
        <w:ind w:right="406" w:firstLine="271"/>
        <w:jc w:val="both"/>
      </w:pPr>
      <w:r>
        <w:rPr/>
        <w:t>报告期内，共有</w:t>
      </w:r>
      <w:r>
        <w:rPr>
          <w:rFonts w:ascii="宋体" w:hAnsi="宋体" w:cs="宋体" w:eastAsia="宋体" w:hint="default"/>
        </w:rPr>
        <w:t>333</w:t>
      </w:r>
      <w:r>
        <w:rPr/>
        <w:t>名激励对象申请第三期行权，期权总数</w:t>
      </w:r>
      <w:r>
        <w:rPr>
          <w:rFonts w:ascii="宋体" w:hAnsi="宋体" w:cs="宋体" w:eastAsia="宋体" w:hint="default"/>
        </w:rPr>
        <w:t>5,589,480</w:t>
      </w:r>
      <w:r>
        <w:rPr/>
        <w:t>股，经北京兴华会计师事务所出具的</w:t>
      </w:r>
      <w:r>
        <w:rPr>
          <w:rFonts w:ascii="宋体" w:hAnsi="宋体" w:cs="宋体" w:eastAsia="宋体" w:hint="default"/>
        </w:rPr>
        <w:t>[2015]</w:t>
      </w:r>
      <w:r>
        <w:rPr/>
        <w:t>京会兴 </w:t>
      </w:r>
      <w:r>
        <w:rPr>
          <w:spacing w:val="-2"/>
        </w:rPr>
        <w:t>验字第</w:t>
      </w:r>
      <w:r>
        <w:rPr>
          <w:rFonts w:ascii="宋体" w:hAnsi="宋体" w:cs="宋体" w:eastAsia="宋体" w:hint="default"/>
          <w:spacing w:val="-2"/>
        </w:rPr>
        <w:t>03010002</w:t>
      </w:r>
      <w:r>
        <w:rPr>
          <w:spacing w:val="-2"/>
        </w:rPr>
        <w:t>号验资报告，“截至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日止，贵公司已收到股权激励第三期行权的</w:t>
      </w:r>
      <w:r>
        <w:rPr>
          <w:rFonts w:ascii="宋体" w:hAnsi="宋体" w:cs="宋体" w:eastAsia="宋体" w:hint="default"/>
          <w:spacing w:val="-2"/>
        </w:rPr>
        <w:t>333</w:t>
      </w:r>
      <w:r>
        <w:rPr>
          <w:spacing w:val="-2"/>
        </w:rPr>
        <w:t>名激励对象缴纳出资款为人</w:t>
      </w:r>
      <w:r>
        <w:rPr>
          <w:spacing w:val="-52"/>
        </w:rPr>
        <w:t> </w:t>
      </w:r>
      <w:r>
        <w:rPr>
          <w:spacing w:val="-52"/>
        </w:rPr>
      </w:r>
      <w:r>
        <w:rPr>
          <w:spacing w:val="9"/>
        </w:rPr>
        <w:t>民币</w:t>
      </w:r>
      <w:r>
        <w:rPr>
          <w:spacing w:val="47"/>
        </w:rPr>
        <w:t> </w:t>
      </w:r>
      <w:r>
        <w:rPr>
          <w:rFonts w:ascii="宋体" w:hAnsi="宋体" w:cs="宋体" w:eastAsia="宋体" w:hint="default"/>
        </w:rPr>
        <w:t>59,174,900.52</w:t>
      </w:r>
      <w:r>
        <w:rPr>
          <w:rFonts w:ascii="宋体" w:hAnsi="宋体" w:cs="宋体" w:eastAsia="宋体" w:hint="default"/>
          <w:spacing w:val="-68"/>
        </w:rPr>
        <w:t> </w:t>
      </w:r>
      <w:r>
        <w:rPr>
          <w:spacing w:val="17"/>
        </w:rPr>
        <w:t>元，其含公司代扣代缴的个人所得税</w:t>
      </w:r>
      <w:r>
        <w:rPr>
          <w:spacing w:val="-70"/>
        </w:rPr>
        <w:t> </w:t>
      </w:r>
      <w:r>
        <w:rPr>
          <w:rFonts w:ascii="宋体" w:hAnsi="宋体" w:cs="宋体" w:eastAsia="宋体" w:hint="default"/>
        </w:rPr>
        <w:t>14,291,376.12</w:t>
      </w:r>
      <w:r>
        <w:rPr>
          <w:rFonts w:ascii="宋体" w:hAnsi="宋体" w:cs="宋体" w:eastAsia="宋体" w:hint="default"/>
          <w:spacing w:val="-70"/>
        </w:rPr>
        <w:t> </w:t>
      </w:r>
      <w:r>
        <w:rPr>
          <w:spacing w:val="9"/>
        </w:rPr>
        <w:t>元，</w:t>
      </w:r>
      <w:r>
        <w:rPr>
          <w:spacing w:val="-70"/>
        </w:rPr>
        <w:t> </w:t>
      </w:r>
      <w:r>
        <w:rPr>
          <w:spacing w:val="17"/>
        </w:rPr>
        <w:t>扣除个人所得税后实际缴纳出资款为</w:t>
      </w:r>
    </w:p>
    <w:p>
      <w:pPr>
        <w:spacing w:after="0" w:line="316" w:lineRule="auto"/>
        <w:jc w:val="both"/>
        <w:sectPr>
          <w:pgSz w:w="11910" w:h="16840"/>
          <w:pgMar w:header="745" w:footer="980" w:top="1060" w:bottom="1160" w:left="980" w:right="720"/>
        </w:sectPr>
      </w:pPr>
    </w:p>
    <w:p>
      <w:pPr>
        <w:spacing w:line="240" w:lineRule="auto" w:before="9"/>
        <w:rPr>
          <w:rFonts w:ascii="宋体" w:hAnsi="宋体" w:cs="宋体" w:eastAsia="宋体" w:hint="default"/>
          <w:sz w:val="25"/>
          <w:szCs w:val="25"/>
        </w:rPr>
      </w:pPr>
    </w:p>
    <w:p>
      <w:pPr>
        <w:pStyle w:val="BodyText"/>
        <w:spacing w:line="319" w:lineRule="auto" w:before="44"/>
        <w:ind w:left="252" w:right="151"/>
        <w:jc w:val="both"/>
      </w:pPr>
      <w:r>
        <w:rPr>
          <w:rFonts w:ascii="宋体" w:hAnsi="宋体" w:cs="宋体" w:eastAsia="宋体" w:hint="default"/>
        </w:rPr>
        <w:t>44,883,524.40</w:t>
      </w:r>
      <w:r>
        <w:rPr/>
        <w:t>元（认购股数</w:t>
      </w:r>
      <w:r>
        <w:rPr>
          <w:rFonts w:ascii="宋体" w:hAnsi="宋体" w:cs="宋体" w:eastAsia="宋体" w:hint="default"/>
        </w:rPr>
        <w:t>5,589,480</w:t>
      </w:r>
      <w:r>
        <w:rPr/>
        <w:t>股，每股</w:t>
      </w:r>
      <w:r>
        <w:rPr>
          <w:rFonts w:ascii="宋体" w:hAnsi="宋体" w:cs="宋体" w:eastAsia="宋体" w:hint="default"/>
        </w:rPr>
        <w:t>8.03</w:t>
      </w:r>
      <w:r>
        <w:rPr/>
        <w:t>元），其中新增注册资本（股本）为人民币</w:t>
      </w:r>
      <w:r>
        <w:rPr>
          <w:rFonts w:ascii="宋体" w:hAnsi="宋体" w:cs="宋体" w:eastAsia="宋体" w:hint="default"/>
        </w:rPr>
        <w:t>5,589,480</w:t>
      </w:r>
      <w:r>
        <w:rPr/>
        <w:t>元，增加资本公 积为人民币</w:t>
      </w:r>
      <w:r>
        <w:rPr>
          <w:rFonts w:ascii="宋体" w:hAnsi="宋体" w:cs="宋体" w:eastAsia="宋体" w:hint="default"/>
        </w:rPr>
        <w:t>39,294,044.40</w:t>
      </w:r>
      <w:r>
        <w:rPr/>
        <w:t>元。出资方式为货币资金投入。”</w:t>
      </w:r>
    </w:p>
    <w:p>
      <w:pPr>
        <w:pStyle w:val="BodyText"/>
        <w:spacing w:line="316" w:lineRule="auto" w:before="137"/>
        <w:ind w:left="252" w:right="149" w:firstLine="360"/>
        <w:jc w:val="both"/>
      </w:pPr>
      <w:r>
        <w:rPr/>
        <w:t>报告期内，公司董事郑晓清、副总经理董国勇申请第三期行权，期权总数</w:t>
      </w:r>
      <w:r>
        <w:rPr>
          <w:rFonts w:ascii="宋体" w:hAnsi="宋体" w:cs="宋体" w:eastAsia="宋体" w:hint="default"/>
        </w:rPr>
        <w:t>72,800</w:t>
      </w:r>
      <w:r>
        <w:rPr/>
        <w:t>股，经北京兴华会计师事务所</w:t>
      </w:r>
      <w:r>
        <w:rPr>
          <w:rFonts w:ascii="宋体" w:hAnsi="宋体" w:cs="宋体" w:eastAsia="宋体" w:hint="default"/>
        </w:rPr>
        <w:t>2015</w:t>
      </w:r>
      <w:r>
        <w:rPr/>
        <w:t>年</w:t>
      </w:r>
      <w:r>
        <w:rPr>
          <w:rFonts w:ascii="宋体" w:hAnsi="宋体" w:cs="宋体" w:eastAsia="宋体" w:hint="default"/>
        </w:rPr>
        <w:t>9 </w:t>
      </w:r>
      <w:r>
        <w:rPr/>
        <w:t>月</w:t>
      </w:r>
      <w:r>
        <w:rPr>
          <w:rFonts w:ascii="宋体" w:hAnsi="宋体" w:cs="宋体" w:eastAsia="宋体" w:hint="default"/>
        </w:rPr>
        <w:t>14</w:t>
      </w:r>
      <w:r>
        <w:rPr/>
        <w:t>日出具的</w:t>
      </w:r>
      <w:r>
        <w:rPr>
          <w:rFonts w:ascii="宋体" w:hAnsi="宋体" w:cs="宋体" w:eastAsia="宋体" w:hint="default"/>
        </w:rPr>
        <w:t>[2015]</w:t>
      </w:r>
      <w:r>
        <w:rPr/>
        <w:t>京会兴验字第</w:t>
      </w:r>
      <w:r>
        <w:rPr>
          <w:rFonts w:ascii="宋体" w:hAnsi="宋体" w:cs="宋体" w:eastAsia="宋体" w:hint="default"/>
        </w:rPr>
        <w:t>03010056</w:t>
      </w:r>
      <w:r>
        <w:rPr/>
        <w:t>号验资报告验证，“截至</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日止，兴华会计师事务所已收到股权激励 第三期行权的</w:t>
      </w:r>
      <w:r>
        <w:rPr>
          <w:rFonts w:ascii="宋体" w:hAnsi="宋体" w:cs="宋体" w:eastAsia="宋体" w:hint="default"/>
        </w:rPr>
        <w:t>2</w:t>
      </w:r>
      <w:r>
        <w:rPr/>
        <w:t>名激励对象缴纳出资款为人民币</w:t>
      </w:r>
      <w:r>
        <w:rPr>
          <w:rFonts w:ascii="宋体" w:hAnsi="宋体" w:cs="宋体" w:eastAsia="宋体" w:hint="default"/>
        </w:rPr>
        <w:t>573,664.00</w:t>
      </w:r>
      <w:r>
        <w:rPr/>
        <w:t>元（认购股数</w:t>
      </w:r>
      <w:r>
        <w:rPr>
          <w:rFonts w:ascii="宋体" w:hAnsi="宋体" w:cs="宋体" w:eastAsia="宋体" w:hint="default"/>
        </w:rPr>
        <w:t>72,800</w:t>
      </w:r>
      <w:r>
        <w:rPr/>
        <w:t>股，每股</w:t>
      </w:r>
      <w:r>
        <w:rPr>
          <w:rFonts w:ascii="宋体" w:hAnsi="宋体" w:cs="宋体" w:eastAsia="宋体" w:hint="default"/>
        </w:rPr>
        <w:t>7.88</w:t>
      </w:r>
      <w:r>
        <w:rPr/>
        <w:t>元），其中新增注册资本（股 本）为人民币</w:t>
      </w:r>
      <w:r>
        <w:rPr>
          <w:rFonts w:ascii="宋体" w:hAnsi="宋体" w:cs="宋体" w:eastAsia="宋体" w:hint="default"/>
        </w:rPr>
        <w:t>72,800.00</w:t>
      </w:r>
      <w:r>
        <w:rPr/>
        <w:t>元，增加资本公积为人民币</w:t>
      </w:r>
      <w:r>
        <w:rPr>
          <w:rFonts w:ascii="宋体" w:hAnsi="宋体" w:cs="宋体" w:eastAsia="宋体" w:hint="default"/>
        </w:rPr>
        <w:t>500,864.00</w:t>
      </w:r>
      <w:r>
        <w:rPr/>
        <w:t>元。出资方式为货币资金投入。”</w:t>
      </w:r>
    </w:p>
    <w:p>
      <w:pPr>
        <w:pStyle w:val="BodyText"/>
        <w:spacing w:line="240" w:lineRule="auto" w:before="139"/>
        <w:ind w:left="0" w:right="153"/>
        <w:jc w:val="right"/>
      </w:pPr>
      <w:r>
        <w:rPr>
          <w:rFonts w:ascii="宋体" w:hAnsi="宋体" w:cs="宋体" w:eastAsia="宋体" w:hint="default"/>
        </w:rPr>
        <w:t>2</w:t>
      </w:r>
      <w:r>
        <w:rPr/>
        <w:t>、根据中国证券监督管理委员会《关于核准东华软件股份公司向章云芳等发行股份购买资产并募集配套资金的批复》</w:t>
      </w:r>
    </w:p>
    <w:p>
      <w:pPr>
        <w:pStyle w:val="BodyText"/>
        <w:spacing w:line="316" w:lineRule="auto" w:before="76"/>
        <w:ind w:left="252" w:right="148"/>
        <w:jc w:val="both"/>
      </w:pPr>
      <w:r>
        <w:rPr>
          <w:spacing w:val="-2"/>
        </w:rPr>
        <w:t>（证监许可〔</w:t>
      </w:r>
      <w:r>
        <w:rPr>
          <w:rFonts w:ascii="宋体" w:hAnsi="宋体" w:cs="宋体" w:eastAsia="宋体" w:hint="default"/>
          <w:spacing w:val="-2"/>
        </w:rPr>
        <w:t>2015</w:t>
      </w:r>
      <w:r>
        <w:rPr>
          <w:spacing w:val="-2"/>
        </w:rPr>
        <w:t>〕</w:t>
      </w:r>
      <w:r>
        <w:rPr>
          <w:rFonts w:ascii="宋体" w:hAnsi="宋体" w:cs="宋体" w:eastAsia="宋体" w:hint="default"/>
          <w:spacing w:val="-2"/>
        </w:rPr>
        <w:t>1010</w:t>
      </w:r>
      <w:r>
        <w:rPr>
          <w:spacing w:val="-2"/>
        </w:rPr>
        <w:t>号）的文件，核准公司向章云芳、刘玉龙、苏美娴、杨铭、深圳市招商局科技投资有限公司、红塔</w:t>
      </w:r>
      <w:r>
        <w:rPr>
          <w:spacing w:val="-63"/>
        </w:rPr>
        <w:t> </w:t>
      </w:r>
      <w:r>
        <w:rPr>
          <w:spacing w:val="-63"/>
        </w:rPr>
      </w:r>
      <w:r>
        <w:rPr>
          <w:spacing w:val="-2"/>
        </w:rPr>
        <w:t>创新投资股份有限公司、深圳市光启松禾超材料创业投资合伙企业（有限合伙）、新疆锦尚睦合股权投资有限合伙企业、李</w:t>
      </w:r>
      <w:r>
        <w:rPr>
          <w:spacing w:val="-65"/>
        </w:rPr>
        <w:t> </w:t>
      </w:r>
      <w:r>
        <w:rPr>
          <w:spacing w:val="-65"/>
        </w:rPr>
      </w:r>
      <w:r>
        <w:rPr>
          <w:spacing w:val="-2"/>
        </w:rPr>
        <w:t>旭东购买相关资产。核准公司非公开发行募集本次发行股份购买资产的配套资金。因公司实施</w:t>
      </w:r>
      <w:r>
        <w:rPr>
          <w:rFonts w:ascii="宋体" w:hAnsi="宋体" w:cs="宋体" w:eastAsia="宋体" w:hint="default"/>
          <w:spacing w:val="-2"/>
        </w:rPr>
        <w:t>2014</w:t>
      </w:r>
      <w:r>
        <w:rPr>
          <w:spacing w:val="-2"/>
        </w:rPr>
        <w:t>年度利润分配方案，导致</w:t>
      </w:r>
      <w:r>
        <w:rPr>
          <w:spacing w:val="-59"/>
        </w:rPr>
        <w:t> </w:t>
      </w:r>
      <w:r>
        <w:rPr>
          <w:spacing w:val="-59"/>
        </w:rPr>
      </w:r>
      <w:r>
        <w:rPr/>
        <w:t>本次发行股份购买资产及配套募集资金股份数量调整为发行股份购买资产涉及发行</w:t>
      </w:r>
      <w:r>
        <w:rPr>
          <w:rFonts w:ascii="宋体" w:hAnsi="宋体" w:cs="宋体" w:eastAsia="宋体" w:hint="default"/>
        </w:rPr>
        <w:t>A</w:t>
      </w:r>
      <w:r>
        <w:rPr/>
        <w:t>股股票数量为</w:t>
      </w:r>
      <w:r>
        <w:rPr>
          <w:rFonts w:ascii="宋体" w:hAnsi="宋体" w:cs="宋体" w:eastAsia="宋体" w:hint="default"/>
        </w:rPr>
        <w:t>30,139,931</w:t>
      </w:r>
      <w:r>
        <w:rPr/>
        <w:t>股，配套募集</w:t>
      </w:r>
      <w:r>
        <w:rPr>
          <w:spacing w:val="-84"/>
        </w:rPr>
        <w:t> </w:t>
      </w:r>
      <w:r>
        <w:rPr>
          <w:spacing w:val="-2"/>
        </w:rPr>
        <w:t>资金发行股票数量</w:t>
      </w:r>
      <w:r>
        <w:rPr>
          <w:rFonts w:ascii="宋体" w:hAnsi="宋体" w:cs="宋体" w:eastAsia="宋体" w:hint="default"/>
          <w:spacing w:val="-2"/>
        </w:rPr>
        <w:t>6,894,174</w:t>
      </w:r>
      <w:r>
        <w:rPr>
          <w:spacing w:val="-2"/>
        </w:rPr>
        <w:t>股，共计</w:t>
      </w:r>
      <w:r>
        <w:rPr>
          <w:rFonts w:ascii="宋体" w:hAnsi="宋体" w:cs="宋体" w:eastAsia="宋体" w:hint="default"/>
          <w:spacing w:val="-2"/>
        </w:rPr>
        <w:t>37,034,105</w:t>
      </w:r>
      <w:r>
        <w:rPr>
          <w:spacing w:val="-2"/>
        </w:rPr>
        <w:t>股。公司于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日在中国证券登记结算有限公司深圳分公司办理完</w:t>
      </w:r>
      <w:r>
        <w:rPr>
          <w:spacing w:val="-46"/>
        </w:rPr>
        <w:t> </w:t>
      </w:r>
      <w:r>
        <w:rPr>
          <w:spacing w:val="-46"/>
        </w:rPr>
      </w:r>
      <w:r>
        <w:rPr/>
        <w:t>预登记手续，新增股票于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日在深圳证券交易所上市。</w:t>
      </w:r>
    </w:p>
    <w:p>
      <w:pPr>
        <w:pStyle w:val="BodyText"/>
        <w:spacing w:line="316" w:lineRule="auto" w:before="139"/>
        <w:ind w:left="252" w:right="148" w:firstLine="360"/>
        <w:jc w:val="both"/>
      </w:pPr>
      <w:r>
        <w:rPr>
          <w:rFonts w:ascii="宋体" w:hAnsi="宋体" w:cs="宋体" w:eastAsia="宋体" w:hint="default"/>
        </w:rPr>
        <w:t>3</w:t>
      </w:r>
      <w:r>
        <w:rPr/>
        <w:t>、报告期内，公司发行的可转换公司债券（债券简称：东华转债，债券代码：</w:t>
      </w:r>
      <w:r>
        <w:rPr>
          <w:rFonts w:ascii="宋体" w:hAnsi="宋体" w:cs="宋体" w:eastAsia="宋体" w:hint="default"/>
        </w:rPr>
        <w:t>128002</w:t>
      </w:r>
      <w:r>
        <w:rPr/>
        <w:t>）自</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7</w:t>
      </w:r>
      <w:r>
        <w:rPr/>
        <w:t>日起开始进入股 </w:t>
      </w:r>
      <w:r>
        <w:rPr>
          <w:spacing w:val="4"/>
        </w:rPr>
        <w:t>期，公司股本随转股而发生变化。公司于</w:t>
      </w:r>
      <w:r>
        <w:rPr>
          <w:rFonts w:ascii="宋体" w:hAnsi="宋体" w:cs="宋体" w:eastAsia="宋体" w:hint="default"/>
          <w:spacing w:val="4"/>
        </w:rPr>
        <w:t>2015</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w:t>
      </w:r>
      <w:r>
        <w:rPr>
          <w:spacing w:val="4"/>
        </w:rPr>
        <w:t>日在《中国证券报》、《证券日报》、《证券时报》和巨潮资讯网</w:t>
      </w:r>
    </w:p>
    <w:p>
      <w:pPr>
        <w:pStyle w:val="BodyText"/>
        <w:spacing w:line="316" w:lineRule="auto" w:before="19"/>
        <w:ind w:left="252" w:right="151"/>
        <w:jc w:val="both"/>
      </w:pPr>
      <w:r>
        <w:rPr/>
        <w:t>（</w:t>
      </w:r>
      <w:hyperlink r:id="rId22">
        <w:r>
          <w:rPr>
            <w:rFonts w:ascii="宋体" w:hAnsi="宋体" w:cs="宋体" w:eastAsia="宋体" w:hint="default"/>
          </w:rPr>
          <w:t>www.cninfo.cn</w:t>
        </w:r>
      </w:hyperlink>
      <w:r>
        <w:rPr/>
        <w:t>）上刊登了《关于“东华转债”赎回结果的公告》（公告编号：</w:t>
      </w:r>
      <w:r>
        <w:rPr>
          <w:rFonts w:ascii="宋体" w:hAnsi="宋体" w:cs="宋体" w:eastAsia="宋体" w:hint="default"/>
        </w:rPr>
        <w:t>2015-079</w:t>
      </w:r>
      <w:r>
        <w:rPr/>
        <w:t>）及《关于“东华转债”摘牌的 </w:t>
      </w:r>
      <w:r>
        <w:rPr>
          <w:spacing w:val="-3"/>
        </w:rPr>
        <w:t>公告》（公告编号：</w:t>
      </w:r>
      <w:r>
        <w:rPr>
          <w:rFonts w:ascii="宋体" w:hAnsi="宋体" w:cs="宋体" w:eastAsia="宋体" w:hint="default"/>
          <w:spacing w:val="-3"/>
        </w:rPr>
        <w:t>2015-080</w:t>
      </w:r>
      <w:r>
        <w:rPr>
          <w:spacing w:val="-3"/>
        </w:rPr>
        <w:t>）。“东华转债”自赎回日（即</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25</w:t>
      </w:r>
      <w:r>
        <w:rPr>
          <w:spacing w:val="-3"/>
        </w:rPr>
        <w:t>日）起停止转股。赎回完成后，将无“东华转债”</w:t>
      </w:r>
      <w:r>
        <w:rPr>
          <w:spacing w:val="-86"/>
        </w:rPr>
        <w:t> </w:t>
      </w:r>
      <w:r>
        <w:rPr>
          <w:spacing w:val="-86"/>
        </w:rPr>
      </w:r>
      <w:r>
        <w:rPr>
          <w:spacing w:val="-5"/>
        </w:rPr>
        <w:t>继续流通或交易，“东华转债”</w:t>
      </w:r>
      <w:r>
        <w:rPr>
          <w:spacing w:val="27"/>
        </w:rPr>
        <w:t> </w:t>
      </w:r>
      <w:r>
        <w:rPr>
          <w:spacing w:val="-3"/>
        </w:rPr>
        <w:t>不再具备上市条件而需摘牌。摘牌日期为</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w:t>
      </w:r>
      <w:r>
        <w:rPr>
          <w:spacing w:val="-3"/>
        </w:rPr>
        <w:t>日。自</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w:t>
      </w:r>
      <w:r>
        <w:rPr>
          <w:spacing w:val="-3"/>
        </w:rPr>
        <w:t>日，</w:t>
      </w:r>
      <w:r>
        <w:rPr>
          <w:spacing w:val="-84"/>
        </w:rPr>
        <w:t> </w:t>
      </w:r>
      <w:r>
        <w:rPr/>
        <w:t>东华转债累计转股</w:t>
      </w:r>
      <w:r>
        <w:rPr>
          <w:rFonts w:ascii="宋体" w:hAnsi="宋体" w:cs="宋体" w:eastAsia="宋体" w:hint="default"/>
        </w:rPr>
        <w:t>6,995,967</w:t>
      </w:r>
      <w:r>
        <w:rPr/>
        <w:t>股。</w:t>
      </w:r>
    </w:p>
    <w:p>
      <w:pPr>
        <w:spacing w:line="240" w:lineRule="auto" w:before="10"/>
        <w:rPr>
          <w:rFonts w:ascii="宋体" w:hAnsi="宋体" w:cs="宋体" w:eastAsia="宋体" w:hint="default"/>
          <w:sz w:val="22"/>
          <w:szCs w:val="22"/>
        </w:rPr>
      </w:pPr>
    </w:p>
    <w:p>
      <w:pPr>
        <w:pStyle w:val="Heading3"/>
        <w:spacing w:line="240" w:lineRule="auto"/>
        <w:ind w:left="252" w:right="0"/>
        <w:jc w:val="both"/>
        <w:rPr>
          <w:b w:val="0"/>
          <w:bCs w:val="0"/>
        </w:rPr>
      </w:pPr>
      <w:r>
        <w:rPr>
          <w:rFonts w:ascii="宋体" w:hAnsi="宋体" w:cs="宋体" w:eastAsia="宋体" w:hint="default"/>
        </w:rPr>
        <w:t>3</w:t>
      </w:r>
      <w:r>
        <w:rPr/>
        <w:t>、现存的内部职工股情况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252" w:right="0"/>
        <w:jc w:val="both"/>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left="252"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0"/>
        <w:jc w:val="both"/>
        <w:rPr>
          <w:b w:val="0"/>
          <w:bCs w:val="0"/>
        </w:rPr>
      </w:pPr>
      <w:r>
        <w:rPr>
          <w:rFonts w:ascii="宋体" w:hAnsi="宋体" w:cs="宋体" w:eastAsia="宋体" w:hint="default"/>
        </w:rPr>
        <w:t>1</w:t>
      </w:r>
      <w:r>
        <w:rPr/>
        <w:t>、公司股东数量及持股情况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302"/>
        <w:gridCol w:w="695"/>
        <w:gridCol w:w="696"/>
        <w:gridCol w:w="853"/>
        <w:gridCol w:w="414"/>
        <w:gridCol w:w="725"/>
        <w:gridCol w:w="1130"/>
        <w:gridCol w:w="556"/>
        <w:gridCol w:w="589"/>
        <w:gridCol w:w="130"/>
        <w:gridCol w:w="1277"/>
        <w:gridCol w:w="844"/>
        <w:gridCol w:w="505"/>
      </w:tblGrid>
      <w:tr>
        <w:trPr>
          <w:trHeight w:val="161" w:hRule="exact"/>
        </w:trPr>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5"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sz w:val="18"/>
              </w:rPr>
              <w:t>75,229</w:t>
            </w:r>
          </w:p>
        </w:tc>
        <w:tc>
          <w:tcPr>
            <w:tcW w:w="196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sz w:val="18"/>
              </w:rPr>
              <w:t>75,161</w:t>
            </w:r>
          </w:p>
        </w:tc>
        <w:tc>
          <w:tcPr>
            <w:tcW w:w="16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 w:right="35"/>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9"/>
              <w:ind w:left="18" w:right="-9"/>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pacing w:val="1"/>
                <w:sz w:val="18"/>
                <w:szCs w:val="18"/>
              </w:rPr>
              <w:t>8</w:t>
            </w:r>
            <w:r>
              <w:rPr>
                <w:rFonts w:ascii="宋体" w:hAnsi="宋体" w:cs="宋体" w:eastAsia="宋体" w:hint="default"/>
                <w:sz w:val="18"/>
                <w:szCs w:val="18"/>
              </w:rPr>
              <w:t>）</w:t>
            </w:r>
          </w:p>
        </w:tc>
        <w:tc>
          <w:tcPr>
            <w:tcW w:w="589" w:type="dxa"/>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22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67"/>
              <w:jc w:val="both"/>
              <w:rPr>
                <w:rFonts w:ascii="宋体" w:hAnsi="宋体" w:cs="宋体" w:eastAsia="宋体" w:hint="default"/>
                <w:sz w:val="18"/>
                <w:szCs w:val="18"/>
              </w:rPr>
            </w:pPr>
            <w:r>
              <w:rPr>
                <w:rFonts w:ascii="宋体" w:hAnsi="宋体" w:cs="宋体" w:eastAsia="宋体" w:hint="default"/>
                <w:sz w:val="18"/>
                <w:szCs w:val="18"/>
              </w:rPr>
              <w:t>年度报告披露日前上一月末 表决权恢复的优先股股东总 </w:t>
            </w:r>
            <w:r>
              <w:rPr>
                <w:rFonts w:ascii="宋体" w:hAnsi="宋体" w:cs="宋体" w:eastAsia="宋体" w:hint="default"/>
                <w:spacing w:val="-11"/>
                <w:sz w:val="18"/>
                <w:szCs w:val="18"/>
              </w:rPr>
              <w:t>数（如有）（参见注</w:t>
            </w:r>
            <w:r>
              <w:rPr>
                <w:rFonts w:ascii="宋体" w:hAnsi="宋体" w:cs="宋体" w:eastAsia="宋体" w:hint="default"/>
                <w:spacing w:val="-36"/>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505"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r>
      <w:tr>
        <w:trPr>
          <w:trHeight w:val="706" w:hRule="exact"/>
        </w:trPr>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6"/>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695" w:type="dxa"/>
            <w:vMerge/>
            <w:tcBorders>
              <w:left w:val="single" w:sz="9" w:space="0" w:color="D2D2D2"/>
              <w:right w:val="single" w:sz="10" w:space="0" w:color="D2D2D2"/>
            </w:tcBorders>
          </w:tcPr>
          <w:p>
            <w:pPr/>
          </w:p>
        </w:tc>
        <w:tc>
          <w:tcPr>
            <w:tcW w:w="196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138"/>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725" w:type="dxa"/>
            <w:vMerge/>
            <w:tcBorders>
              <w:left w:val="single" w:sz="9" w:space="0" w:color="D2D2D2"/>
              <w:right w:val="single" w:sz="13" w:space="0" w:color="D2D2D2"/>
            </w:tcBorders>
          </w:tcPr>
          <w:p>
            <w:pPr/>
          </w:p>
        </w:tc>
        <w:tc>
          <w:tcPr>
            <w:tcW w:w="1685" w:type="dxa"/>
            <w:gridSpan w:val="2"/>
            <w:vMerge/>
            <w:tcBorders>
              <w:left w:val="single" w:sz="4" w:space="0" w:color="000000"/>
              <w:right w:val="single" w:sz="4" w:space="0" w:color="000000"/>
            </w:tcBorders>
            <w:shd w:val="clear" w:color="auto" w:fill="D2D2D2"/>
          </w:tcPr>
          <w:p>
            <w:pPr/>
          </w:p>
        </w:tc>
        <w:tc>
          <w:tcPr>
            <w:tcW w:w="589" w:type="dxa"/>
            <w:vMerge/>
            <w:tcBorders>
              <w:left w:val="single" w:sz="12" w:space="0" w:color="D2D2D2"/>
              <w:right w:val="single" w:sz="13" w:space="0" w:color="D2D2D2"/>
            </w:tcBorders>
          </w:tcPr>
          <w:p>
            <w:pPr/>
          </w:p>
        </w:tc>
        <w:tc>
          <w:tcPr>
            <w:tcW w:w="2251" w:type="dxa"/>
            <w:gridSpan w:val="3"/>
            <w:vMerge/>
            <w:tcBorders>
              <w:left w:val="single" w:sz="4" w:space="0" w:color="000000"/>
              <w:right w:val="single" w:sz="4" w:space="0" w:color="000000"/>
            </w:tcBorders>
            <w:shd w:val="clear" w:color="auto" w:fill="D2D2D2"/>
          </w:tcPr>
          <w:p>
            <w:pPr/>
          </w:p>
        </w:tc>
        <w:tc>
          <w:tcPr>
            <w:tcW w:w="505" w:type="dxa"/>
            <w:vMerge/>
            <w:tcBorders>
              <w:left w:val="single" w:sz="12" w:space="0" w:color="D2D2D2"/>
              <w:right w:val="single" w:sz="4" w:space="0" w:color="000000"/>
            </w:tcBorders>
          </w:tcPr>
          <w:p>
            <w:pPr/>
          </w:p>
        </w:tc>
      </w:tr>
      <w:tr>
        <w:trPr>
          <w:trHeight w:val="166" w:hRule="exact"/>
        </w:trPr>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5" w:type="dxa"/>
            <w:vMerge/>
            <w:tcBorders>
              <w:left w:val="single" w:sz="9" w:space="0" w:color="D2D2D2"/>
              <w:bottom w:val="single" w:sz="4" w:space="0" w:color="000000"/>
              <w:right w:val="single" w:sz="10" w:space="0" w:color="D2D2D2"/>
            </w:tcBorders>
          </w:tcPr>
          <w:p>
            <w:pPr/>
          </w:p>
        </w:tc>
        <w:tc>
          <w:tcPr>
            <w:tcW w:w="196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9" w:space="0" w:color="D2D2D2"/>
              <w:bottom w:val="single" w:sz="4" w:space="0" w:color="000000"/>
              <w:right w:val="single" w:sz="13" w:space="0" w:color="D2D2D2"/>
            </w:tcBorders>
          </w:tcPr>
          <w:p>
            <w:pPr/>
          </w:p>
        </w:tc>
        <w:tc>
          <w:tcPr>
            <w:tcW w:w="1685" w:type="dxa"/>
            <w:gridSpan w:val="2"/>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12" w:space="0" w:color="D2D2D2"/>
              <w:bottom w:val="single" w:sz="4" w:space="0" w:color="000000"/>
              <w:right w:val="single" w:sz="13" w:space="0" w:color="D2D2D2"/>
            </w:tcBorders>
          </w:tcPr>
          <w:p>
            <w:pPr/>
          </w:p>
        </w:tc>
        <w:tc>
          <w:tcPr>
            <w:tcW w:w="2251" w:type="dxa"/>
            <w:gridSpan w:val="3"/>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12" w:space="0" w:color="D2D2D2"/>
              <w:bottom w:val="single" w:sz="4" w:space="0" w:color="000000"/>
              <w:right w:val="single" w:sz="4" w:space="0" w:color="000000"/>
            </w:tcBorders>
          </w:tcPr>
          <w:p>
            <w:pPr/>
          </w:p>
        </w:tc>
      </w:tr>
      <w:tr>
        <w:trPr>
          <w:trHeight w:val="391" w:hRule="exact"/>
        </w:trPr>
        <w:tc>
          <w:tcPr>
            <w:tcW w:w="971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6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211" w:hRule="exact"/>
        </w:trPr>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92" w:right="11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06" w:right="11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3"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3"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7" w:hRule="exact"/>
        </w:trPr>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9" w:type="dxa"/>
            <w:gridSpan w:val="2"/>
            <w:vMerge/>
            <w:tcBorders>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274" w:type="dxa"/>
            <w:gridSpan w:val="3"/>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02" w:type="dxa"/>
            <w:vMerge/>
            <w:tcBorders>
              <w:left w:val="single" w:sz="4" w:space="0" w:color="000000"/>
              <w:bottom w:val="nil" w:sz="6" w:space="0" w:color="auto"/>
              <w:right w:val="single" w:sz="4" w:space="0" w:color="000000"/>
            </w:tcBorders>
            <w:shd w:val="clear" w:color="auto" w:fill="D2D2D2"/>
          </w:tcPr>
          <w:p>
            <w:pPr/>
          </w:p>
        </w:tc>
        <w:tc>
          <w:tcPr>
            <w:tcW w:w="1391"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139" w:type="dxa"/>
            <w:gridSpan w:val="2"/>
            <w:vMerge/>
            <w:tcBorders>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274" w:type="dxa"/>
            <w:gridSpan w:val="3"/>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5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2" w:hRule="exact"/>
        </w:trPr>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9" w:type="dxa"/>
            <w:gridSpan w:val="2"/>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1274" w:type="dxa"/>
            <w:gridSpan w:val="3"/>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r>
      <w:tr>
        <w:trPr>
          <w:trHeight w:val="1049"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86"/>
              <w:jc w:val="both"/>
              <w:rPr>
                <w:rFonts w:ascii="宋体" w:hAnsi="宋体" w:cs="宋体" w:eastAsia="宋体" w:hint="default"/>
                <w:sz w:val="18"/>
                <w:szCs w:val="18"/>
              </w:rPr>
            </w:pPr>
            <w:r>
              <w:rPr>
                <w:rFonts w:ascii="宋体" w:hAnsi="宋体" w:cs="宋体" w:eastAsia="宋体" w:hint="default"/>
                <w:sz w:val="18"/>
                <w:szCs w:val="18"/>
              </w:rPr>
              <w:t>北京东华诚信 电脑科技发展 有限公司</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宋体" w:hAnsi="宋体" w:cs="宋体" w:eastAsia="宋体" w:hint="default"/>
                <w:sz w:val="18"/>
                <w:szCs w:val="18"/>
              </w:rPr>
            </w:pPr>
            <w:r>
              <w:rPr>
                <w:rFonts w:ascii="宋体"/>
                <w:spacing w:val="-1"/>
                <w:sz w:val="18"/>
              </w:rPr>
              <w:t>20.32%</w:t>
            </w:r>
          </w:p>
        </w:tc>
        <w:tc>
          <w:tcPr>
            <w:tcW w:w="1139" w:type="dxa"/>
            <w:gridSpan w:val="2"/>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10" w:right="0"/>
              <w:jc w:val="left"/>
              <w:rPr>
                <w:rFonts w:ascii="宋体" w:hAnsi="宋体" w:cs="宋体" w:eastAsia="宋体" w:hint="default"/>
                <w:sz w:val="18"/>
                <w:szCs w:val="18"/>
              </w:rPr>
            </w:pPr>
            <w:r>
              <w:rPr>
                <w:rFonts w:ascii="宋体"/>
                <w:sz w:val="18"/>
              </w:rPr>
              <w:t>317,985,040</w:t>
            </w:r>
          </w:p>
        </w:tc>
        <w:tc>
          <w:tcPr>
            <w:tcW w:w="113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8" w:right="0"/>
              <w:jc w:val="left"/>
              <w:rPr>
                <w:rFonts w:ascii="宋体" w:hAnsi="宋体" w:cs="宋体" w:eastAsia="宋体" w:hint="default"/>
                <w:sz w:val="18"/>
                <w:szCs w:val="18"/>
              </w:rPr>
            </w:pPr>
            <w:r>
              <w:rPr>
                <w:rFonts w:ascii="宋体"/>
                <w:sz w:val="18"/>
              </w:rPr>
              <w:t>0</w:t>
            </w:r>
          </w:p>
        </w:tc>
        <w:tc>
          <w:tcPr>
            <w:tcW w:w="1274" w:type="dxa"/>
            <w:gridSpan w:val="3"/>
            <w:tcBorders>
              <w:top w:val="single" w:sz="17" w:space="0" w:color="D2D2D2"/>
              <w:left w:val="single" w:sz="4" w:space="0" w:color="000000"/>
              <w:bottom w:val="single" w:sz="4" w:space="0" w:color="000000"/>
              <w:right w:val="single" w:sz="4" w:space="0" w:color="000000"/>
            </w:tcBorders>
          </w:tcPr>
          <w:p>
            <w:pPr/>
          </w:p>
        </w:tc>
        <w:tc>
          <w:tcPr>
            <w:tcW w:w="1277"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2"/>
              <w:jc w:val="right"/>
              <w:rPr>
                <w:rFonts w:ascii="宋体" w:hAnsi="宋体" w:cs="宋体" w:eastAsia="宋体" w:hint="default"/>
                <w:sz w:val="18"/>
                <w:szCs w:val="18"/>
              </w:rPr>
            </w:pPr>
            <w:r>
              <w:rPr>
                <w:rFonts w:ascii="宋体"/>
                <w:spacing w:val="-1"/>
                <w:sz w:val="18"/>
              </w:rPr>
              <w:t>317,985,040</w:t>
            </w:r>
          </w:p>
        </w:tc>
        <w:tc>
          <w:tcPr>
            <w:tcW w:w="84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12.22%</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191,226,692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2" w:right="0"/>
              <w:jc w:val="left"/>
              <w:rPr>
                <w:rFonts w:ascii="宋体" w:hAnsi="宋体" w:cs="宋体" w:eastAsia="宋体" w:hint="default"/>
                <w:sz w:val="18"/>
                <w:szCs w:val="18"/>
              </w:rPr>
            </w:pPr>
            <w:r>
              <w:rPr>
                <w:rFonts w:ascii="宋体"/>
                <w:sz w:val="18"/>
              </w:rPr>
              <w:t>143,420,018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47,806,674</w:t>
            </w:r>
          </w:p>
        </w:tc>
        <w:tc>
          <w:tcPr>
            <w:tcW w:w="84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北京东华诚信 工业设备有限</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9.40%</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sz w:val="18"/>
              </w:rPr>
              <w:t>147,026,212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sz w:val="18"/>
              </w:rPr>
              <w:t>-15,964,546</w:t>
            </w: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147,026,212</w:t>
            </w:r>
          </w:p>
        </w:tc>
        <w:tc>
          <w:tcPr>
            <w:tcW w:w="84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8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4.580002pt;margin-top:433.549988pt;width:349.3pt;height:20.8pt;mso-position-horizontal-relative:page;mso-position-vertical-relative:page;z-index:-1060024" coordorigin="3692,8671" coordsize="6986,416">
            <v:group style="position:absolute;left:3702;top:8682;width:2;height:394" coordorigin="3702,8682" coordsize="2,394">
              <v:shape style="position:absolute;left:3702;top:8682;width:2;height:394" coordorigin="3702,8682" coordsize="0,394" path="m3702,8682l3702,9075e" filled="false" stroked="true" strokeweight="1.08pt" strokecolor="#ffffff">
                <v:path arrowok="t"/>
              </v:shape>
            </v:group>
            <v:group style="position:absolute;left:3713;top:8682;width:6964;height:394" coordorigin="3713,8682" coordsize="6964,394">
              <v:shape style="position:absolute;left:3713;top:8682;width:6964;height:394" coordorigin="3713,8682" coordsize="6964,394" path="m3713,9075l10677,9075,10677,8682,3713,8682,3713,907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77"/>
        <w:gridCol w:w="1416"/>
        <w:gridCol w:w="329"/>
        <w:gridCol w:w="523"/>
        <w:gridCol w:w="1133"/>
        <w:gridCol w:w="1136"/>
        <w:gridCol w:w="1237"/>
        <w:gridCol w:w="1315"/>
        <w:gridCol w:w="850"/>
        <w:gridCol w:w="499"/>
      </w:tblGrid>
      <w:tr>
        <w:trPr>
          <w:trHeight w:val="3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北京合创电商 投资顾问有限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7" w:right="0"/>
              <w:jc w:val="left"/>
              <w:rPr>
                <w:rFonts w:ascii="宋体" w:hAnsi="宋体" w:cs="宋体" w:eastAsia="宋体" w:hint="default"/>
                <w:sz w:val="18"/>
                <w:szCs w:val="18"/>
              </w:rPr>
            </w:pPr>
            <w:r>
              <w:rPr>
                <w:rFonts w:ascii="宋体"/>
                <w:sz w:val="18"/>
              </w:rPr>
              <w:t>4.50%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70,476,426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944,668</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70,476,426</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中国对外经济 贸易信托有限 公司－锐进</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期鼎萨证券投 资集合资金信 托计划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sz w:val="18"/>
              </w:rPr>
              <w:t>1.28%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20,000,000</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西藏爱尔医疗 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67" w:right="0"/>
              <w:jc w:val="left"/>
              <w:rPr>
                <w:rFonts w:ascii="宋体" w:hAnsi="宋体" w:cs="宋体" w:eastAsia="宋体" w:hint="default"/>
                <w:sz w:val="18"/>
                <w:szCs w:val="18"/>
              </w:rPr>
            </w:pPr>
            <w:r>
              <w:rPr>
                <w:rFonts w:ascii="宋体"/>
                <w:sz w:val="18"/>
              </w:rPr>
              <w:t>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19,435,137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sz w:val="18"/>
              </w:rPr>
              <w:t>19,435,137</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19,435,137</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章云芳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19,426,049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19,426,049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16"/>
              <w:jc w:val="left"/>
              <w:rPr>
                <w:rFonts w:ascii="宋体" w:hAnsi="宋体" w:cs="宋体" w:eastAsia="宋体" w:hint="default"/>
                <w:sz w:val="18"/>
                <w:szCs w:val="18"/>
              </w:rPr>
            </w:pPr>
            <w:r>
              <w:rPr>
                <w:rFonts w:ascii="宋体"/>
                <w:sz w:val="18"/>
              </w:rPr>
              <w:t>19,426,049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天安财产保险 股份有限公司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－保赢</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7" w:right="0"/>
              <w:jc w:val="left"/>
              <w:rPr>
                <w:rFonts w:ascii="宋体" w:hAnsi="宋体" w:cs="宋体" w:eastAsia="宋体" w:hint="default"/>
                <w:sz w:val="18"/>
                <w:szCs w:val="18"/>
              </w:rPr>
            </w:pPr>
            <w:r>
              <w:rPr>
                <w:rFonts w:ascii="宋体"/>
                <w:sz w:val="18"/>
              </w:rPr>
              <w:t>0.74%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11,499,821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11,499,821</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11,499,821</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7" w:right="0"/>
              <w:jc w:val="left"/>
              <w:rPr>
                <w:rFonts w:ascii="宋体" w:hAnsi="宋体" w:cs="宋体" w:eastAsia="宋体" w:hint="default"/>
                <w:sz w:val="18"/>
                <w:szCs w:val="18"/>
              </w:rPr>
            </w:pPr>
            <w:r>
              <w:rPr>
                <w:rFonts w:ascii="宋体"/>
                <w:sz w:val="18"/>
              </w:rPr>
              <w:t>0.73%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11,441,400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11,441,400</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spacing w:val="-1"/>
                <w:sz w:val="18"/>
              </w:rPr>
              <w:t>11,441,400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sz w:val="18"/>
              </w:rPr>
              <w:t>0.66%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-2,100,000</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10,360,000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pacing w:val="-11"/>
                <w:sz w:val="18"/>
                <w:szCs w:val="18"/>
              </w:rPr>
              <w:t>名股东的情况（如有）</w:t>
            </w:r>
            <w:r>
              <w:rPr>
                <w:rFonts w:ascii="宋体" w:hAnsi="宋体" w:cs="宋体" w:eastAsia="宋体" w:hint="default"/>
                <w:sz w:val="18"/>
                <w:szCs w:val="18"/>
              </w:rPr>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53" w:type="dxa"/>
            <w:gridSpan w:val="2"/>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6"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nil" w:sz="6" w:space="0" w:color="auto"/>
              <w:bottom w:val="single" w:sz="4" w:space="0" w:color="000000"/>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
        </w:tc>
        <w:tc>
          <w:tcPr>
            <w:tcW w:w="1237" w:type="dxa"/>
            <w:tcBorders>
              <w:top w:val="single" w:sz="4" w:space="0" w:color="000000"/>
              <w:left w:val="nil" w:sz="6" w:space="0" w:color="auto"/>
              <w:bottom w:val="single" w:sz="4" w:space="0" w:color="000000"/>
              <w:right w:val="nil" w:sz="6" w:space="0" w:color="auto"/>
            </w:tcBorders>
          </w:tcPr>
          <w:p>
            <w:pPr/>
          </w:p>
        </w:tc>
        <w:tc>
          <w:tcPr>
            <w:tcW w:w="1315"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499" w:type="dxa"/>
            <w:tcBorders>
              <w:top w:val="single" w:sz="4" w:space="0" w:color="000000"/>
              <w:left w:val="nil" w:sz="6" w:space="0" w:color="auto"/>
              <w:bottom w:val="single" w:sz="4" w:space="0" w:color="000000"/>
              <w:right w:val="single" w:sz="4" w:space="0" w:color="000000"/>
            </w:tcBorders>
          </w:tcPr>
          <w:p>
            <w:pPr/>
          </w:p>
        </w:tc>
      </w:tr>
      <w:tr>
        <w:trPr>
          <w:trHeight w:val="713" w:hRule="exact"/>
        </w:trPr>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22" w:type="dxa"/>
            <w:gridSpan w:val="8"/>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6" w:right="99"/>
              <w:jc w:val="left"/>
              <w:rPr>
                <w:rFonts w:ascii="宋体" w:hAnsi="宋体" w:cs="宋体" w:eastAsia="宋体" w:hint="default"/>
                <w:sz w:val="18"/>
                <w:szCs w:val="18"/>
              </w:rPr>
            </w:pPr>
            <w:r>
              <w:rPr>
                <w:rFonts w:ascii="宋体" w:hAnsi="宋体" w:cs="宋体" w:eastAsia="宋体" w:hint="default"/>
                <w:sz w:val="18"/>
                <w:szCs w:val="18"/>
              </w:rPr>
              <w:t>上述持股</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以上的股东：北京东华诚信电脑科技发展有限公司、薛向东、北京东华诚信 工业设备有限公司和北京合创电商投资顾问有限公司存在关联关系。</w:t>
            </w:r>
          </w:p>
        </w:tc>
      </w:tr>
      <w:tr>
        <w:trPr>
          <w:trHeight w:val="403" w:hRule="exact"/>
        </w:trPr>
        <w:tc>
          <w:tcPr>
            <w:tcW w:w="971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6" w:hRule="exact"/>
        </w:trPr>
        <w:tc>
          <w:tcPr>
            <w:tcW w:w="302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0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6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02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6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023" w:type="dxa"/>
            <w:gridSpan w:val="3"/>
            <w:vMerge/>
            <w:tcBorders>
              <w:left w:val="single" w:sz="4" w:space="0" w:color="000000"/>
              <w:bottom w:val="nil" w:sz="6" w:space="0" w:color="auto"/>
              <w:right w:val="single" w:sz="4" w:space="0" w:color="000000"/>
            </w:tcBorders>
            <w:shd w:val="clear" w:color="auto" w:fill="D2D2D2"/>
          </w:tcPr>
          <w:p>
            <w:pPr/>
          </w:p>
        </w:tc>
        <w:tc>
          <w:tcPr>
            <w:tcW w:w="4029" w:type="dxa"/>
            <w:gridSpan w:val="4"/>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02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02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right"/>
              <w:rPr>
                <w:rFonts w:ascii="宋体" w:hAnsi="宋体" w:cs="宋体" w:eastAsia="宋体" w:hint="default"/>
                <w:sz w:val="18"/>
                <w:szCs w:val="18"/>
              </w:rPr>
            </w:pPr>
            <w:r>
              <w:rPr>
                <w:rFonts w:ascii="宋体"/>
                <w:spacing w:val="-1"/>
                <w:sz w:val="18"/>
              </w:rPr>
              <w:t>317,985,040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right"/>
              <w:rPr>
                <w:rFonts w:ascii="宋体" w:hAnsi="宋体" w:cs="宋体" w:eastAsia="宋体" w:hint="default"/>
                <w:sz w:val="18"/>
                <w:szCs w:val="18"/>
              </w:rPr>
            </w:pPr>
            <w:r>
              <w:rPr>
                <w:rFonts w:ascii="宋体"/>
                <w:spacing w:val="-1"/>
                <w:sz w:val="18"/>
              </w:rPr>
              <w:t>147,026,212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right"/>
              <w:rPr>
                <w:rFonts w:ascii="宋体" w:hAnsi="宋体" w:cs="宋体" w:eastAsia="宋体" w:hint="default"/>
                <w:sz w:val="18"/>
                <w:szCs w:val="18"/>
              </w:rPr>
            </w:pPr>
            <w:r>
              <w:rPr>
                <w:rFonts w:ascii="宋体"/>
                <w:spacing w:val="-1"/>
                <w:sz w:val="18"/>
              </w:rPr>
              <w:t>70,476,426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right"/>
              <w:rPr>
                <w:rFonts w:ascii="宋体" w:hAnsi="宋体" w:cs="宋体" w:eastAsia="宋体" w:hint="default"/>
                <w:sz w:val="18"/>
                <w:szCs w:val="18"/>
              </w:rPr>
            </w:pPr>
            <w:r>
              <w:rPr>
                <w:rFonts w:ascii="宋体"/>
                <w:spacing w:val="-1"/>
                <w:sz w:val="18"/>
              </w:rPr>
              <w:t>47,806,674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中国对外经济贸易信托有限公司－锐 进</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期鼎萨证券投资集合资金信托计 划</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6"/>
              <w:jc w:val="right"/>
              <w:rPr>
                <w:rFonts w:ascii="宋体" w:hAnsi="宋体" w:cs="宋体" w:eastAsia="宋体" w:hint="default"/>
                <w:sz w:val="18"/>
                <w:szCs w:val="18"/>
              </w:rPr>
            </w:pPr>
            <w:r>
              <w:rPr>
                <w:rFonts w:ascii="宋体"/>
                <w:spacing w:val="-1"/>
                <w:sz w:val="18"/>
              </w:rPr>
              <w:t>20,000,000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西藏爱尔医疗投资有限公司</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6"/>
              <w:jc w:val="right"/>
              <w:rPr>
                <w:rFonts w:ascii="宋体" w:hAnsi="宋体" w:cs="宋体" w:eastAsia="宋体" w:hint="default"/>
                <w:sz w:val="18"/>
                <w:szCs w:val="18"/>
              </w:rPr>
            </w:pPr>
            <w:r>
              <w:rPr>
                <w:rFonts w:ascii="宋体"/>
                <w:spacing w:val="-1"/>
                <w:sz w:val="18"/>
              </w:rPr>
              <w:t>19,435,137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天安财产保险股份有限公司－保赢</w:t>
            </w:r>
            <w:r>
              <w:rPr>
                <w:rFonts w:ascii="宋体" w:hAnsi="宋体" w:cs="宋体" w:eastAsia="宋体" w:hint="default"/>
                <w:spacing w:val="-44"/>
                <w:sz w:val="18"/>
                <w:szCs w:val="18"/>
              </w:rPr>
              <w:t> </w:t>
            </w:r>
            <w:r>
              <w:rPr>
                <w:rFonts w:ascii="宋体" w:hAnsi="宋体" w:cs="宋体" w:eastAsia="宋体" w:hint="default"/>
                <w:sz w:val="18"/>
                <w:szCs w:val="18"/>
              </w:rPr>
              <w:t>1 </w:t>
            </w:r>
            <w:r>
              <w:rPr>
                <w:rFonts w:ascii="宋体" w:hAnsi="宋体" w:cs="宋体" w:eastAsia="宋体" w:hint="default"/>
                <w:sz w:val="18"/>
                <w:szCs w:val="18"/>
              </w:rPr>
              <w:t>号</w:t>
            </w:r>
          </w:p>
        </w:tc>
        <w:tc>
          <w:tcPr>
            <w:tcW w:w="40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11,499,821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8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023"/>
        <w:gridCol w:w="3992"/>
        <w:gridCol w:w="1352"/>
        <w:gridCol w:w="1349"/>
      </w:tblGrid>
      <w:tr>
        <w:trPr>
          <w:trHeight w:val="401"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11,441,400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10,360,000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全国社保基金一一一组合</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9,828,600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w:t>
            </w:r>
          </w:p>
          <w:p>
            <w:pPr>
              <w:pStyle w:val="TableParagraph"/>
              <w:spacing w:line="316" w:lineRule="auto" w:before="74"/>
              <w:ind w:left="24" w:right="10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 股东之间关联关系或一致行动的说明</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0"/>
              <w:jc w:val="both"/>
              <w:rPr>
                <w:rFonts w:ascii="宋体" w:hAnsi="宋体" w:cs="宋体" w:eastAsia="宋体" w:hint="default"/>
                <w:sz w:val="18"/>
                <w:szCs w:val="18"/>
              </w:rPr>
            </w:pPr>
            <w:r>
              <w:rPr>
                <w:rFonts w:ascii="宋体" w:hAnsi="宋体" w:cs="宋体" w:eastAsia="宋体" w:hint="default"/>
                <w:spacing w:val="-1"/>
                <w:sz w:val="18"/>
                <w:szCs w:val="18"/>
              </w:rPr>
              <w:t>公司前十名股东中，北京东华诚信电脑科技发展有限公司、薛向东、北京东华诚信工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业设备有限公司和北京合创电商投资顾问有限公司存在关联关系；前十名无限售条件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股东中，未知其他股东之间是否存在关联关系，也未知是否属于一致行动人。</w:t>
            </w:r>
          </w:p>
        </w:tc>
      </w:tr>
      <w:tr>
        <w:trPr>
          <w:trHeight w:val="715" w:hRule="exact"/>
        </w:trPr>
        <w:tc>
          <w:tcPr>
            <w:tcW w:w="3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名普通股股东参与融资融券业务 </w:t>
            </w:r>
            <w:r>
              <w:rPr>
                <w:rFonts w:ascii="宋体" w:hAnsi="宋体" w:cs="宋体" w:eastAsia="宋体" w:hint="default"/>
                <w:spacing w:val="-8"/>
                <w:sz w:val="18"/>
                <w:szCs w:val="18"/>
              </w:rPr>
              <w:t>情况说明（如有）（参见注</w:t>
            </w:r>
            <w:r>
              <w:rPr>
                <w:rFonts w:ascii="宋体" w:hAnsi="宋体" w:cs="宋体" w:eastAsia="宋体" w:hint="default"/>
                <w:spacing w:val="-39"/>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left="252"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5"/>
        <w:ind w:left="252" w:right="0"/>
        <w:jc w:val="left"/>
      </w:pPr>
      <w:r>
        <w:rPr/>
        <w:t>□ 是 √</w:t>
      </w:r>
      <w:r>
        <w:rPr>
          <w:spacing w:val="3"/>
        </w:rPr>
        <w:t> </w:t>
      </w:r>
      <w:r>
        <w:rPr/>
        <w:t>否</w:t>
      </w:r>
    </w:p>
    <w:p>
      <w:pPr>
        <w:pStyle w:val="BodyText"/>
        <w:spacing w:line="240" w:lineRule="auto" w:before="117"/>
        <w:ind w:left="252"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18"/>
        <w:ind w:left="252" w:right="0"/>
        <w:jc w:val="left"/>
        <w:rPr>
          <w:b w:val="0"/>
          <w:bCs w:val="0"/>
        </w:rPr>
      </w:pPr>
      <w:r>
        <w:rPr>
          <w:rFonts w:ascii="宋体" w:hAnsi="宋体" w:cs="宋体" w:eastAsia="宋体" w:hint="default"/>
        </w:rPr>
        <w:t>2</w:t>
      </w:r>
      <w:r>
        <w:rPr/>
        <w:t>、公司控股股东情况</w:t>
      </w:r>
      <w:r>
        <w:rPr>
          <w:b w:val="0"/>
          <w:bCs w:val="0"/>
        </w:rPr>
      </w:r>
    </w:p>
    <w:p>
      <w:pPr>
        <w:spacing w:line="240" w:lineRule="auto" w:before="7"/>
        <w:rPr>
          <w:rFonts w:ascii="宋体" w:hAnsi="宋体" w:cs="宋体" w:eastAsia="宋体" w:hint="default"/>
          <w:b/>
          <w:bCs/>
          <w:sz w:val="27"/>
          <w:szCs w:val="27"/>
        </w:rPr>
      </w:pPr>
    </w:p>
    <w:p>
      <w:pPr>
        <w:pStyle w:val="BodyText"/>
        <w:spacing w:line="360" w:lineRule="auto"/>
        <w:ind w:left="252" w:right="7614"/>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59"/>
        <w:jc w:val="right"/>
      </w:pPr>
      <w:r>
        <w:rPr/>
        <w:pict>
          <v:shape style="position:absolute;margin-left:56.400002pt;margin-top:-22.968296pt;width:479.3pt;height:154.3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985"/>
                    <w:gridCol w:w="1702"/>
                    <w:gridCol w:w="1274"/>
                    <w:gridCol w:w="2624"/>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北京东华北京东华诚信 电脑科技发展有限公司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10204779-0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pacing w:val="-4"/>
                            <w:sz w:val="18"/>
                            <w:szCs w:val="18"/>
                          </w:rPr>
                          <w:t>技术开发、技术推广、技术转让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技术咨询、技术服务；开发、销 售计算机软、硬件及外围设备； 计算机系统集成；货物进出口、 代理进出口。</w:t>
                        </w: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252" w:right="0"/>
        <w:jc w:val="left"/>
      </w:pPr>
      <w:r>
        <w:rPr/>
        <w:t>控股股东报告期内变更</w:t>
      </w:r>
    </w:p>
    <w:p>
      <w:pPr>
        <w:pStyle w:val="BodyText"/>
        <w:spacing w:line="357" w:lineRule="auto" w:before="117"/>
        <w:ind w:left="252" w:right="7074"/>
        <w:jc w:val="left"/>
      </w:pPr>
      <w:r>
        <w:rPr/>
        <w:t>□ 适用 √</w:t>
      </w:r>
      <w:r>
        <w:rPr>
          <w:spacing w:val="3"/>
        </w:rPr>
        <w:t> </w:t>
      </w:r>
      <w:r>
        <w:rPr/>
        <w:t>不适用</w:t>
      </w:r>
      <w:r>
        <w:rPr/>
        <w:t> 公司报告期控股股东未发生变更。</w:t>
      </w:r>
    </w:p>
    <w:p>
      <w:pPr>
        <w:spacing w:line="240" w:lineRule="auto" w:before="6"/>
        <w:rPr>
          <w:rFonts w:ascii="宋体" w:hAnsi="宋体" w:cs="宋体" w:eastAsia="宋体" w:hint="default"/>
          <w:sz w:val="20"/>
          <w:szCs w:val="20"/>
        </w:rPr>
      </w:pPr>
    </w:p>
    <w:p>
      <w:pPr>
        <w:pStyle w:val="Heading3"/>
        <w:spacing w:line="240" w:lineRule="auto"/>
        <w:ind w:left="252" w:right="0"/>
        <w:jc w:val="left"/>
        <w:rPr>
          <w:b w:val="0"/>
          <w:bCs w:val="0"/>
        </w:rPr>
      </w:pPr>
      <w:r>
        <w:rPr>
          <w:rFonts w:ascii="宋体" w:hAnsi="宋体" w:cs="宋体" w:eastAsia="宋体" w:hint="default"/>
        </w:rPr>
        <w:t>3</w:t>
      </w:r>
      <w:r>
        <w:rPr/>
        <w:t>、公司实际控制人情况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252" w:right="7434"/>
        <w:jc w:val="left"/>
      </w:pPr>
      <w:r>
        <w:rPr/>
        <w:t>实际控制人性质：境内自然人 实际控制人类型：自然人</w:t>
      </w:r>
    </w:p>
    <w:tbl>
      <w:tblPr>
        <w:tblW w:w="0" w:type="auto"/>
        <w:jc w:val="left"/>
        <w:tblInd w:w="249" w:type="dxa"/>
        <w:tblLayout w:type="fixed"/>
        <w:tblCellMar>
          <w:top w:w="0" w:type="dxa"/>
          <w:left w:w="0" w:type="dxa"/>
          <w:bottom w:w="0" w:type="dxa"/>
          <w:right w:w="0" w:type="dxa"/>
        </w:tblCellMar>
        <w:tblLook w:val="01E0"/>
      </w:tblPr>
      <w:tblGrid>
        <w:gridCol w:w="3417"/>
        <w:gridCol w:w="2302"/>
        <w:gridCol w:w="3850"/>
      </w:tblGrid>
      <w:tr>
        <w:trPr>
          <w:trHeight w:val="40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薛向东及其家族成员</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1"/>
                <w:sz w:val="18"/>
                <w:szCs w:val="18"/>
              </w:rPr>
              <w:t>薛向东先生最近五年一直担任本公司董事长，除此之外现任本公司控股股东北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京东华诚信电脑科技发展有限公司董事，本公司全资子公司北京东华合创科技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有限公司、东华合创软件有限公司、北京东华合创香港有限公司、东华软件工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程有限公司、北京东华信息技术有限公司、东华星联科技有限公司、合力东华</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（北京）科技有限公司董事长，全资子公司广州东华合创数码科技有限公司、</w:t>
            </w:r>
          </w:p>
        </w:tc>
      </w:tr>
    </w:tbl>
    <w:p>
      <w:pPr>
        <w:spacing w:after="0" w:line="240" w:lineRule="auto"/>
        <w:jc w:val="both"/>
        <w:rPr>
          <w:rFonts w:ascii="宋体" w:hAnsi="宋体" w:cs="宋体" w:eastAsia="宋体" w:hint="default"/>
          <w:sz w:val="18"/>
          <w:szCs w:val="18"/>
        </w:rPr>
        <w:sectPr>
          <w:pgSz w:w="11910" w:h="16840"/>
          <w:pgMar w:header="745" w:footer="980" w:top="1060" w:bottom="1160" w:left="8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2"/>
      </w:tblGrid>
      <w:tr>
        <w:trPr>
          <w:trHeight w:val="223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both"/>
              <w:rPr>
                <w:rFonts w:ascii="宋体" w:hAnsi="宋体" w:cs="宋体" w:eastAsia="宋体" w:hint="default"/>
                <w:sz w:val="18"/>
                <w:szCs w:val="18"/>
              </w:rPr>
            </w:pPr>
            <w:r>
              <w:rPr>
                <w:rFonts w:ascii="宋体" w:hAnsi="宋体" w:cs="宋体" w:eastAsia="宋体" w:hint="default"/>
                <w:spacing w:val="-1"/>
                <w:sz w:val="18"/>
                <w:szCs w:val="18"/>
              </w:rPr>
              <w:t>东华合创软件有限公司、北京东华易时科技有限公司、泰安东华合创软件有限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公司、北京厚盾科技有限公司、北京卓讯科信技术有限公司、东华合创科技有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限公司、北京东华厚盾软件有限公司、山西东华软件有限公司、天津东华博雅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软件有限公司、东华软件技术有限公司执行董事，控股子公司北京东华万兴软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件有限公司、北京联银通科技有限公司董事，全资子公司哈尔滨东华软件有限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公司董事，控股子公司东华互联宜家数据服务有限公司、北京光明数据信息技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术有限公司董事长。</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53"/>
        <w:jc w:val="left"/>
      </w:pPr>
      <w:r>
        <w:rPr/>
        <w:t>实际控制人报告期内变更</w:t>
      </w:r>
    </w:p>
    <w:p>
      <w:pPr>
        <w:pStyle w:val="BodyText"/>
        <w:spacing w:line="357" w:lineRule="auto" w:before="117"/>
        <w:ind w:right="5814"/>
        <w:jc w:val="left"/>
      </w:pPr>
      <w:r>
        <w:rPr/>
        <w:pict>
          <v:group style="position:absolute;margin-left:58.200001pt;margin-top:85.10965pt;width:403.75pt;height:202.55pt;mso-position-horizontal-relative:page;mso-position-vertical-relative:paragraph;z-index:-1059472" coordorigin="1164,1702" coordsize="8075,4051">
            <v:shape style="position:absolute;left:1809;top:1739;width:1050;height:450" type="#_x0000_t75" stroked="false">
              <v:imagedata r:id="rId23" o:title=""/>
            </v:shape>
            <v:shape style="position:absolute;left:1164;top:5213;width:8070;height:525" type="#_x0000_t75" stroked="false">
              <v:imagedata r:id="rId24" o:title=""/>
            </v:shape>
            <v:group style="position:absolute;left:2313;top:2164;width:120;height:3064" coordorigin="2313,2164" coordsize="120,3064">
              <v:shape style="position:absolute;left:2313;top:2164;width:120;height:3064" coordorigin="2313,2164" coordsize="120,3064" path="m2363,5108l2313,5108,2373,5228,2418,5138,2367,5138,2363,5134,2363,5108xe" filled="true" fillcolor="#000000" stroked="false">
                <v:path arrowok="t"/>
                <v:fill type="solid"/>
              </v:shape>
              <v:shape style="position:absolute;left:2313;top:2164;width:120;height:3064" coordorigin="2313,2164" coordsize="120,3064" path="m2378,2164l2366,2164,2362,2168,2363,5134,2367,5138,2378,5138,2383,5134,2382,2174,2382,2168,2378,2164xe" filled="true" fillcolor="#000000" stroked="false">
                <v:path arrowok="t"/>
                <v:fill type="solid"/>
              </v:shape>
              <v:shape style="position:absolute;left:2313;top:2164;width:120;height:3064" coordorigin="2313,2164" coordsize="120,3064" path="m2433,5108l2383,5108,2383,5134,2378,5138,2418,5138,2433,5108xe" filled="true" fillcolor="#000000" stroked="false">
                <v:path arrowok="t"/>
                <v:fill type="solid"/>
              </v:shape>
              <v:shape style="position:absolute;left:3502;top:1754;width:1020;height:526" type="#_x0000_t75" stroked="false">
                <v:imagedata r:id="rId25" o:title=""/>
              </v:shape>
            </v:group>
            <v:group style="position:absolute;left:5579;top:1794;width:1110;height:526" coordorigin="5579,1794" coordsize="1110,526">
              <v:shape style="position:absolute;left:5579;top:1794;width:1110;height:526" coordorigin="5579,1794" coordsize="1110,526" path="m5579,2320l6689,2320,6689,1794,5579,1794,5579,2320xe" filled="true" fillcolor="#233e5f" stroked="false">
                <v:path arrowok="t"/>
                <v:fill opacity="32896f" type="solid"/>
              </v:shape>
              <v:shape style="position:absolute;left:5559;top:1754;width:1110;height:526" type="#_x0000_t75" stroked="false">
                <v:imagedata r:id="rId26" o:title=""/>
              </v:shape>
            </v:group>
            <v:group style="position:absolute;left:5559;top:1754;width:1110;height:526" coordorigin="5559,1754" coordsize="1110,526">
              <v:shape style="position:absolute;left:5559;top:1754;width:1110;height:526" coordorigin="5559,1754" coordsize="1110,526" path="m5559,2280l6669,2280,6669,1754,5559,1754,5559,2280xe" filled="false" stroked="true" strokeweight="1pt" strokecolor="#94b3d6">
                <v:path arrowok="t"/>
              </v:shape>
            </v:group>
            <v:group style="position:absolute;left:7647;top:1794;width:1110;height:526" coordorigin="7647,1794" coordsize="1110,526">
              <v:shape style="position:absolute;left:7647;top:1794;width:1110;height:526" coordorigin="7647,1794" coordsize="1110,526" path="m7647,2320l8757,2320,8757,1794,7647,1794,7647,2320xe" filled="true" fillcolor="#233e5f" stroked="false">
                <v:path arrowok="t"/>
                <v:fill opacity="32896f" type="solid"/>
              </v:shape>
              <v:shape style="position:absolute;left:7627;top:1754;width:1110;height:526" type="#_x0000_t75" stroked="false">
                <v:imagedata r:id="rId26" o:title=""/>
              </v:shape>
            </v:group>
            <v:group style="position:absolute;left:7627;top:1754;width:1110;height:526" coordorigin="7627,1754" coordsize="1110,526">
              <v:shape style="position:absolute;left:7627;top:1754;width:1110;height:526" coordorigin="7627,1754" coordsize="1110,526" path="m7627,2280l8737,2280,8737,1754,7627,1754,7627,2280xe" filled="false" stroked="true" strokeweight="1pt" strokecolor="#94b3d6">
                <v:path arrowok="t"/>
              </v:shape>
              <v:shape style="position:absolute;left:3502;top:2618;width:1110;height:532" type="#_x0000_t75" stroked="false">
                <v:imagedata r:id="rId27" o:title=""/>
              </v:shape>
              <v:shape style="position:absolute;left:3487;top:3503;width:1125;height:517" type="#_x0000_t75" stroked="false">
                <v:imagedata r:id="rId28" o:title=""/>
              </v:shape>
            </v:group>
            <v:group style="position:absolute;left:5579;top:2658;width:1125;height:532" coordorigin="5579,2658" coordsize="1125,532">
              <v:shape style="position:absolute;left:5579;top:2658;width:1125;height:532" coordorigin="5579,2658" coordsize="1125,532" path="m5579,3190l6704,3190,6704,2658,5579,2658,5579,3190xe" filled="true" fillcolor="#233e5f" stroked="false">
                <v:path arrowok="t"/>
                <v:fill opacity="32896f" type="solid"/>
              </v:shape>
              <v:shape style="position:absolute;left:5559;top:2618;width:1125;height:532" type="#_x0000_t75" stroked="false">
                <v:imagedata r:id="rId29" o:title=""/>
              </v:shape>
            </v:group>
            <v:group style="position:absolute;left:5559;top:2618;width:1125;height:532" coordorigin="5559,2618" coordsize="1125,532">
              <v:shape style="position:absolute;left:5559;top:2618;width:1125;height:532" coordorigin="5559,2618" coordsize="1125,532" path="m5559,3150l6684,3150,6684,2618,5559,2618,5559,3150xe" filled="false" stroked="true" strokeweight="1pt" strokecolor="#94b3d6">
                <v:path arrowok="t"/>
              </v:shape>
              <v:shape style="position:absolute;left:7627;top:2618;width:1012;height:532" type="#_x0000_t75" stroked="false">
                <v:imagedata r:id="rId30" o:title=""/>
              </v:shape>
              <v:shape style="position:absolute;left:3237;top:4163;width:1790;height:480" type="#_x0000_t75" stroked="false">
                <v:imagedata r:id="rId31" o:title=""/>
              </v:shape>
            </v:group>
            <v:group style="position:absolute;left:4602;top:1962;width:485;height:2171" coordorigin="4602,1962" coordsize="485,2171">
              <v:shape style="position:absolute;left:4602;top:1962;width:485;height:2171" coordorigin="4602,1962" coordsize="485,2171" path="m5017,4013l4967,4013,5027,4133,5072,4043,5021,4043,5017,4039,5017,4013xe" filled="true" fillcolor="#000000" stroked="false">
                <v:path arrowok="t"/>
                <v:fill type="solid"/>
              </v:shape>
              <v:shape style="position:absolute;left:4602;top:1962;width:485;height:2171" coordorigin="4602,1962" coordsize="485,2171" path="m5017,1972l5017,4039,5021,4043,5033,4043,5037,4039,5037,1982,5027,1982,5017,1972xe" filled="true" fillcolor="#000000" stroked="false">
                <v:path arrowok="t"/>
                <v:fill type="solid"/>
              </v:shape>
              <v:shape style="position:absolute;left:4602;top:1962;width:485;height:2171" coordorigin="4602,1962" coordsize="485,2171" path="m5087,4013l5037,4013,5037,4039,5033,4043,5072,4043,5087,4013xe" filled="true" fillcolor="#000000" stroked="false">
                <v:path arrowok="t"/>
                <v:fill type="solid"/>
              </v:shape>
              <v:shape style="position:absolute;left:4602;top:1962;width:485;height:2171" coordorigin="4602,1962" coordsize="485,2171" path="m5033,1962l4606,1962,4602,1966,4602,1978,4606,1982,5017,1982,5017,1972,5037,1972,5037,1966,5033,1962xe" filled="true" fillcolor="#000000" stroked="false">
                <v:path arrowok="t"/>
                <v:fill type="solid"/>
              </v:shape>
              <v:shape style="position:absolute;left:4602;top:1962;width:485;height:2171" coordorigin="4602,1962" coordsize="485,2171" path="m5037,1972l5017,1972,5027,1982,5037,1982,5037,1972xe" filled="true" fillcolor="#000000" stroked="false">
                <v:path arrowok="t"/>
                <v:fill type="solid"/>
              </v:shape>
            </v:group>
            <v:group style="position:absolute;left:4612;top:2822;width:415;height:14" coordorigin="4612,2822" coordsize="415,14">
              <v:shape style="position:absolute;left:4612;top:2822;width:415;height:14" coordorigin="4612,2822" coordsize="415,14" path="m4612,2836l5027,2822e" filled="false" stroked="true" strokeweight=".75pt" strokecolor="#000000">
                <v:path arrowok="t"/>
              </v:shape>
            </v:group>
            <v:group style="position:absolute;left:4085;top:4633;width:120;height:581" coordorigin="4085,4633" coordsize="120,581">
              <v:shape style="position:absolute;left:4085;top:4633;width:120;height:581" coordorigin="4085,4633" coordsize="120,581" path="m4135,5093l4085,5095,4149,5213,4191,5123,4141,5123,4136,5119,4136,5113,4135,5093xe" filled="true" fillcolor="#000000" stroked="false">
                <v:path arrowok="t"/>
                <v:fill type="solid"/>
              </v:shape>
              <v:shape style="position:absolute;left:4085;top:4633;width:120;height:581" coordorigin="4085,4633" coordsize="120,581" path="m4155,5093l4135,5093,4136,5113,4136,5119,4141,5123,4152,5123,4156,5118,4156,5113,4155,5093xe" filled="true" fillcolor="#000000" stroked="false">
                <v:path arrowok="t"/>
                <v:fill type="solid"/>
              </v:shape>
              <v:shape style="position:absolute;left:4085;top:4633;width:120;height:581" coordorigin="4085,4633" coordsize="120,581" path="m4205,5091l4155,5093,4156,5113,4156,5118,4152,5123,4141,5123,4191,5123,4205,5091xe" filled="true" fillcolor="#000000" stroked="false">
                <v:path arrowok="t"/>
                <v:fill type="solid"/>
              </v:shape>
              <v:shape style="position:absolute;left:4085;top:4633;width:120;height:581" coordorigin="4085,4633" coordsize="120,581" path="m4137,4633l4126,4633,4122,4638,4122,4643,4135,5093,4155,5093,4142,4643,4142,4637,4137,4633xe" filled="true" fillcolor="#000000" stroked="false">
                <v:path arrowok="t"/>
                <v:fill type="solid"/>
              </v:shape>
            </v:group>
            <v:group style="position:absolute;left:5339;top:4060;width:1770;height:548" coordorigin="5339,4060" coordsize="1770,548">
              <v:shape style="position:absolute;left:5339;top:4060;width:1770;height:548" coordorigin="5339,4060" coordsize="1770,548" path="m5339,4608l7109,4608,7109,4060,5339,4060,5339,4608xe" filled="true" fillcolor="#233e5f" stroked="false">
                <v:path arrowok="t"/>
                <v:fill opacity="32896f" type="solid"/>
              </v:shape>
              <v:shape style="position:absolute;left:5319;top:4020;width:1770;height:548" type="#_x0000_t75" stroked="false">
                <v:imagedata r:id="rId32" o:title=""/>
              </v:shape>
            </v:group>
            <v:group style="position:absolute;left:5319;top:4020;width:1770;height:548" coordorigin="5319,4020" coordsize="1770,548">
              <v:shape style="position:absolute;left:5319;top:4020;width:1770;height:548" coordorigin="5319,4020" coordsize="1770,548" path="m5319,4568l7089,4568,7089,4020,5319,4020,5319,4568xe" filled="false" stroked="true" strokeweight="1pt" strokecolor="#94b3d6">
                <v:path arrowok="t"/>
              </v:shape>
            </v:group>
            <v:group style="position:absolute;left:7409;top:4060;width:1745;height:578" coordorigin="7409,4060" coordsize="1745,578">
              <v:shape style="position:absolute;left:7409;top:4060;width:1745;height:578" coordorigin="7409,4060" coordsize="1745,578" path="m7409,4638l9154,4638,9154,4060,7409,4060,7409,4638xe" filled="true" fillcolor="#233e5f" stroked="false">
                <v:path arrowok="t"/>
                <v:fill opacity="32896f" type="solid"/>
              </v:shape>
              <v:shape style="position:absolute;left:7389;top:4020;width:1745;height:578" type="#_x0000_t75" stroked="false">
                <v:imagedata r:id="rId33" o:title=""/>
              </v:shape>
            </v:group>
            <v:group style="position:absolute;left:7389;top:4020;width:1745;height:578" coordorigin="7389,4020" coordsize="1745,578">
              <v:shape style="position:absolute;left:7389;top:4020;width:1745;height:578" coordorigin="7389,4020" coordsize="1745,578" path="m7389,4598l9134,4598,9134,4020,7389,4020,7389,4598xe" filled="false" stroked="true" strokeweight="1pt" strokecolor="#94b3d6">
                <v:path arrowok="t"/>
              </v:shape>
            </v:group>
            <v:group style="position:absolute;left:6684;top:2836;width:405;height:2" coordorigin="6684,2836" coordsize="405,2">
              <v:shape style="position:absolute;left:6684;top:2836;width:405;height:2" coordorigin="6684,2836" coordsize="405,1" path="m6684,2836l7089,2837e" filled="false" stroked="true" strokeweight=".75pt" strokecolor="#000000">
                <v:path arrowok="t"/>
              </v:shape>
            </v:group>
            <v:group style="position:absolute;left:6132;top:4558;width:120;height:656" coordorigin="6132,4558" coordsize="120,656">
              <v:shape style="position:absolute;left:6132;top:4558;width:120;height:656" coordorigin="6132,4558" coordsize="120,656" path="m6132,5092l6189,5213,6237,5123,6197,5123,6186,5123,6181,5118,6181,5113,6182,5093,6132,5092xe" filled="true" fillcolor="#000000" stroked="false">
                <v:path arrowok="t"/>
                <v:fill type="solid"/>
              </v:shape>
              <v:shape style="position:absolute;left:6132;top:4558;width:120;height:656" coordorigin="6132,4558" coordsize="120,656" path="m6182,5093l6181,5113,6181,5118,6186,5123,6197,5123,6201,5119,6201,5113,6202,5093,6182,5093xe" filled="true" fillcolor="#000000" stroked="false">
                <v:path arrowok="t"/>
                <v:fill type="solid"/>
              </v:shape>
              <v:shape style="position:absolute;left:6132;top:4558;width:120;height:656" coordorigin="6132,4558" coordsize="120,656" path="m6202,5093l6201,5113,6201,5119,6197,5123,6237,5123,6252,5094,6202,5093xe" filled="true" fillcolor="#000000" stroked="false">
                <v:path arrowok="t"/>
                <v:fill type="solid"/>
              </v:shape>
              <v:shape style="position:absolute;left:6132;top:4558;width:120;height:656" coordorigin="6132,4558" coordsize="120,656" path="m6199,4558l6194,4562,6194,4568,6182,5093,6202,5093,6214,4568,6214,4563,6210,4558,6199,4558xe" filled="true" fillcolor="#000000" stroked="false">
                <v:path arrowok="t"/>
                <v:fill type="solid"/>
              </v:shape>
            </v:group>
            <v:group style="position:absolute;left:8277;top:4588;width:120;height:626" coordorigin="8277,4588" coordsize="120,626">
              <v:shape style="position:absolute;left:8277;top:4588;width:120;height:626" coordorigin="8277,4588" coordsize="120,626" path="m8327,5093l8277,5095,8341,5213,8382,5123,8332,5123,8328,5119,8327,5093xe" filled="true" fillcolor="#000000" stroked="false">
                <v:path arrowok="t"/>
                <v:fill type="solid"/>
              </v:shape>
              <v:shape style="position:absolute;left:8277;top:4588;width:120;height:626" coordorigin="8277,4588" coordsize="120,626" path="m8347,5093l8327,5093,8328,5119,8332,5123,8343,5123,8348,5118,8347,5093xe" filled="true" fillcolor="#000000" stroked="false">
                <v:path arrowok="t"/>
                <v:fill type="solid"/>
              </v:shape>
              <v:shape style="position:absolute;left:8277;top:4588;width:120;height:626" coordorigin="8277,4588" coordsize="120,626" path="m8397,5091l8347,5093,8348,5118,8343,5123,8332,5123,8382,5123,8397,5091xe" filled="true" fillcolor="#000000" stroked="false">
                <v:path arrowok="t"/>
                <v:fill type="solid"/>
              </v:shape>
              <v:shape style="position:absolute;left:8277;top:4588;width:120;height:626" coordorigin="8277,4588" coordsize="120,626" path="m8324,4588l8313,4588,8309,4593,8327,5093,8347,5093,8329,4592,8324,4588xe" filled="true" fillcolor="#000000" stroked="false">
                <v:path arrowok="t"/>
                <v:fill type="solid"/>
              </v:shape>
            </v:group>
            <v:group style="position:absolute;left:8737;top:2836;width:350;height:2" coordorigin="8737,2836" coordsize="350,2">
              <v:shape style="position:absolute;left:8737;top:2836;width:350;height:2" coordorigin="8737,2836" coordsize="350,1" path="m8737,2836l9087,2837e" filled="false" stroked="true" strokeweight=".75pt" strokecolor="#000000">
                <v:path arrowok="t"/>
              </v:shape>
            </v:group>
            <v:group style="position:absolute;left:7026;top:1932;width:120;height:2201" coordorigin="7026,1932" coordsize="120,2201">
              <v:shape style="position:absolute;left:7026;top:1932;width:120;height:2201" coordorigin="7026,1932" coordsize="120,2201" path="m7076,4013l7026,4013,7086,4133,7131,4043,7080,4043,7076,4039,7076,4013xe" filled="true" fillcolor="#000000" stroked="false">
                <v:path arrowok="t"/>
                <v:fill type="solid"/>
              </v:shape>
              <v:shape style="position:absolute;left:7026;top:1932;width:120;height:2201" coordorigin="7026,1932" coordsize="120,2201" path="m7090,1932l7078,1932,7074,1936,7076,4039,7080,4043,7091,4043,7096,4039,7094,1942,7094,1936,7090,1932xe" filled="true" fillcolor="#000000" stroked="false">
                <v:path arrowok="t"/>
                <v:fill type="solid"/>
              </v:shape>
              <v:shape style="position:absolute;left:7026;top:1932;width:120;height:2201" coordorigin="7026,1932" coordsize="120,2201" path="m7146,4013l7096,4013,7096,4039,7091,4043,7131,4043,7146,4013xe" filled="true" fillcolor="#000000" stroked="false">
                <v:path arrowok="t"/>
                <v:fill type="solid"/>
              </v:shape>
            </v:group>
            <v:group style="position:absolute;left:6669;top:1957;width:415;height:2" coordorigin="6669,1957" coordsize="415,2">
              <v:shape style="position:absolute;left:6669;top:1957;width:415;height:2" coordorigin="6669,1957" coordsize="415,1" path="m6669,1957l7084,1958e" filled="false" stroked="true" strokeweight=".75pt" strokecolor="#000000">
                <v:path arrowok="t"/>
              </v:shape>
            </v:group>
            <v:group style="position:absolute;left:9057;top:1963;width:120;height:2173" coordorigin="9057,1963" coordsize="120,2173">
              <v:shape style="position:absolute;left:9057;top:1963;width:120;height:2173" coordorigin="9057,1963" coordsize="120,2173" path="m9107,4016l9057,4017,9119,4136,9162,4046,9112,4046,9108,4042,9108,4036,9107,4016xe" filled="true" fillcolor="#000000" stroked="false">
                <v:path arrowok="t"/>
                <v:fill type="solid"/>
              </v:shape>
              <v:shape style="position:absolute;left:9057;top:1963;width:120;height:2173" coordorigin="9057,1963" coordsize="120,2173" path="m9127,4016l9107,4016,9108,4036,9108,4042,9112,4046,9123,4046,9127,4042,9128,4036,9127,4016xe" filled="true" fillcolor="#000000" stroked="false">
                <v:path arrowok="t"/>
                <v:fill type="solid"/>
              </v:shape>
              <v:shape style="position:absolute;left:9057;top:1963;width:120;height:2173" coordorigin="9057,1963" coordsize="120,2173" path="m9177,4015l9127,4016,9127,4042,9123,4046,9162,4046,9177,4015xe" filled="true" fillcolor="#000000" stroked="false">
                <v:path arrowok="t"/>
                <v:fill type="solid"/>
              </v:shape>
              <v:shape style="position:absolute;left:9057;top:1963;width:120;height:2173" coordorigin="9057,1963" coordsize="120,2173" path="m9092,1963l9081,1963,9077,1967,9077,1973,9107,4016,9127,4016,9097,1973,9097,1967,9092,1963xe" filled="true" fillcolor="#000000" stroked="false">
                <v:path arrowok="t"/>
                <v:fill type="solid"/>
              </v:shape>
            </v:group>
            <v:group style="position:absolute;left:8737;top:1972;width:350;height:2" coordorigin="8737,1972" coordsize="350,2">
              <v:shape style="position:absolute;left:8737;top:1972;width:350;height:2" coordorigin="8737,1972" coordsize="350,1" path="m8737,1972l9087,1973e" filled="false" stroked="true" strokeweight=".75pt" strokecolor="#000000">
                <v:path arrowok="t"/>
              </v:shape>
              <v:shape style="position:absolute;left:5564;top:1769;width:1110;height:526" type="#_x0000_t202" filled="false" stroked="false">
                <v:textbox inset="0,0,0,0">
                  <w:txbxContent>
                    <w:p>
                      <w:pPr>
                        <w:spacing w:before="117"/>
                        <w:ind w:left="278"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7632;top:1769;width:1110;height:526" type="#_x0000_t202" filled="false" stroked="false">
                <v:textbox inset="0,0,0,0">
                  <w:txbxContent>
                    <w:p>
                      <w:pPr>
                        <w:spacing w:before="117"/>
                        <w:ind w:left="279"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5564;top:2633;width:1125;height:532" type="#_x0000_t202" filled="false" stroked="false">
                <v:textbox inset="0,0,0,0">
                  <w:txbxContent>
                    <w:p>
                      <w:pPr>
                        <w:spacing w:before="117"/>
                        <w:ind w:left="285" w:right="0" w:firstLine="0"/>
                        <w:jc w:val="left"/>
                        <w:rPr>
                          <w:rFonts w:ascii="宋体" w:hAnsi="宋体" w:cs="宋体" w:eastAsia="宋体" w:hint="default"/>
                          <w:sz w:val="18"/>
                          <w:szCs w:val="18"/>
                        </w:rPr>
                      </w:pPr>
                      <w:r>
                        <w:rPr>
                          <w:rFonts w:ascii="宋体" w:hAnsi="宋体" w:cs="宋体" w:eastAsia="宋体" w:hint="default"/>
                          <w:sz w:val="18"/>
                          <w:szCs w:val="18"/>
                        </w:rPr>
                        <w:t>郭玉梅</w:t>
                      </w:r>
                    </w:p>
                  </w:txbxContent>
                </v:textbox>
                <w10:wrap type="none"/>
              </v:shape>
              <v:shape style="position:absolute;left:4667;top:1724;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6733;top:1702;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8785;top:1726;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v:shape style="position:absolute;left:4645;top:2590;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v:shape style="position:absolute;left:6705;top:2573;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v:shape style="position:absolute;left:8728;top:2590;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5843;top:42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工业设备</w:t>
                      </w:r>
                    </w:p>
                  </w:txbxContent>
                </v:textbox>
                <w10:wrap type="none"/>
              </v:shape>
              <v:shape style="position:absolute;left:7902;top:420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合创电商</w:t>
                      </w:r>
                    </w:p>
                  </w:txbxContent>
                </v:textbox>
                <w10:wrap type="none"/>
              </v:shape>
              <v:shape style="position:absolute;left:2576;top:4786;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12.22%</w:t>
                      </w:r>
                    </w:p>
                  </w:txbxContent>
                </v:textbox>
                <w10:wrap type="none"/>
              </v:shape>
              <v:shape style="position:absolute;left:4292;top:4829;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20.32%</w:t>
                      </w:r>
                    </w:p>
                  </w:txbxContent>
                </v:textbox>
                <w10:wrap type="none"/>
              </v:shape>
              <v:shape style="position:absolute;left:6282;top:4829;width:37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9.4%</w:t>
                      </w:r>
                    </w:p>
                  </w:txbxContent>
                </v:textbox>
                <w10:wrap type="none"/>
              </v:shape>
              <v:shape style="position:absolute;left:8485;top:4829;width:37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4.5%</w:t>
                      </w:r>
                    </w:p>
                  </w:txbxContent>
                </v:textbox>
                <w10:wrap type="none"/>
              </v:shape>
              <v:shape style="position:absolute;left:1814;top:1754;width:1050;height:450" type="#_x0000_t202" filled="false" stroked="true" strokeweight="1pt" strokecolor="#94b3d6">
                <v:textbox inset="0,0,0,0">
                  <w:txbxContent>
                    <w:p>
                      <w:pPr>
                        <w:spacing w:before="108"/>
                        <w:ind w:left="240"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3507;top:1769;width:1020;height:526" type="#_x0000_t202" filled="false" stroked="true" strokeweight="1pt" strokecolor="#94b3d6">
                <v:textbox inset="0,0,0,0">
                  <w:txbxContent>
                    <w:p>
                      <w:pPr>
                        <w:spacing w:before="107"/>
                        <w:ind w:left="225"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3507;top:2633;width:1110;height:532" type="#_x0000_t202" filled="false" stroked="true" strokeweight="1pt" strokecolor="#94b3d6">
                <v:textbox inset="0,0,0,0">
                  <w:txbxContent>
                    <w:p>
                      <w:pPr>
                        <w:spacing w:before="107"/>
                        <w:ind w:left="268" w:right="0" w:firstLine="0"/>
                        <w:jc w:val="left"/>
                        <w:rPr>
                          <w:rFonts w:ascii="宋体" w:hAnsi="宋体" w:cs="宋体" w:eastAsia="宋体" w:hint="default"/>
                          <w:sz w:val="18"/>
                          <w:szCs w:val="18"/>
                        </w:rPr>
                      </w:pPr>
                      <w:r>
                        <w:rPr>
                          <w:rFonts w:ascii="宋体" w:hAnsi="宋体" w:cs="宋体" w:eastAsia="宋体" w:hint="default"/>
                          <w:sz w:val="18"/>
                          <w:szCs w:val="18"/>
                        </w:rPr>
                        <w:t>郭玉梅</w:t>
                      </w:r>
                    </w:p>
                  </w:txbxContent>
                </v:textbox>
                <w10:wrap type="none"/>
              </v:shape>
              <v:shape style="position:absolute;left:7632;top:2633;width:1012;height:532" type="#_x0000_t202" filled="false" stroked="true" strokeweight="1pt" strokecolor="#94b3d6">
                <v:textbox inset="0,0,0,0">
                  <w:txbxContent>
                    <w:p>
                      <w:pPr>
                        <w:spacing w:before="107"/>
                        <w:ind w:left="221" w:right="0" w:firstLine="0"/>
                        <w:jc w:val="left"/>
                        <w:rPr>
                          <w:rFonts w:ascii="宋体" w:hAnsi="宋体" w:cs="宋体" w:eastAsia="宋体" w:hint="default"/>
                          <w:sz w:val="18"/>
                          <w:szCs w:val="18"/>
                        </w:rPr>
                      </w:pPr>
                      <w:r>
                        <w:rPr>
                          <w:rFonts w:ascii="宋体" w:hAnsi="宋体" w:cs="宋体" w:eastAsia="宋体" w:hint="default"/>
                          <w:sz w:val="18"/>
                          <w:szCs w:val="18"/>
                        </w:rPr>
                        <w:t>郭玉梅</w:t>
                      </w:r>
                    </w:p>
                  </w:txbxContent>
                </v:textbox>
                <w10:wrap type="none"/>
              </v:shape>
              <v:shape style="position:absolute;left:3242;top:4178;width:1790;height:480" type="#_x0000_t202" filled="false" stroked="true" strokeweight="1pt" strokecolor="#94b3d6">
                <v:textbox inset="0,0,0,0">
                  <w:txbxContent>
                    <w:p>
                      <w:pPr>
                        <w:spacing w:before="108"/>
                        <w:ind w:left="521" w:right="0" w:firstLine="0"/>
                        <w:jc w:val="left"/>
                        <w:rPr>
                          <w:rFonts w:ascii="宋体" w:hAnsi="宋体" w:cs="宋体" w:eastAsia="宋体" w:hint="default"/>
                          <w:sz w:val="18"/>
                          <w:szCs w:val="18"/>
                        </w:rPr>
                      </w:pPr>
                      <w:r>
                        <w:rPr>
                          <w:rFonts w:ascii="宋体" w:hAnsi="宋体" w:cs="宋体" w:eastAsia="宋体" w:hint="default"/>
                          <w:sz w:val="18"/>
                          <w:szCs w:val="18"/>
                        </w:rPr>
                        <w:t>诚信电脑</w:t>
                      </w:r>
                    </w:p>
                  </w:txbxContent>
                </v:textbox>
                <w10:wrap type="none"/>
              </v:shape>
              <v:shape style="position:absolute;left:1169;top:5228;width:8070;height:525" type="#_x0000_t202" filled="false" stroked="true" strokeweight="1pt" strokecolor="#94b3d6">
                <v:textbox inset="0,0,0,0">
                  <w:txbxContent>
                    <w:p>
                      <w:pPr>
                        <w:spacing w:before="107"/>
                        <w:ind w:left="0" w:right="7" w:firstLine="0"/>
                        <w:jc w:val="center"/>
                        <w:rPr>
                          <w:rFonts w:ascii="宋体" w:hAnsi="宋体" w:cs="宋体" w:eastAsia="宋体" w:hint="default"/>
                          <w:sz w:val="18"/>
                          <w:szCs w:val="18"/>
                        </w:rPr>
                      </w:pPr>
                      <w:r>
                        <w:rPr>
                          <w:rFonts w:ascii="宋体" w:hAnsi="宋体" w:cs="宋体" w:eastAsia="宋体" w:hint="default"/>
                          <w:sz w:val="18"/>
                          <w:szCs w:val="18"/>
                        </w:rPr>
                        <w:t>东华软件股份公司</w:t>
                      </w:r>
                    </w:p>
                  </w:txbxContent>
                </v:textbox>
                <w10:wrap type="none"/>
              </v:shape>
            </v:group>
            <w10:wrap type="none"/>
          </v:group>
        </w:pict>
      </w:r>
      <w:r>
        <w:rPr/>
        <w:t>□ 适用 √</w:t>
      </w:r>
      <w:r>
        <w:rPr>
          <w:spacing w:val="3"/>
        </w:rPr>
        <w:t> </w:t>
      </w:r>
      <w:r>
        <w:rPr/>
        <w:t>不适用</w:t>
      </w:r>
      <w:r>
        <w:rPr/>
        <w:t>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2501" w:type="dxa"/>
        <w:tblLayout w:type="fixed"/>
        <w:tblCellMar>
          <w:top w:w="0" w:type="dxa"/>
          <w:left w:w="0" w:type="dxa"/>
          <w:bottom w:w="0" w:type="dxa"/>
          <w:right w:w="0" w:type="dxa"/>
        </w:tblCellMar>
        <w:tblLook w:val="01E0"/>
      </w:tblPr>
      <w:tblGrid>
        <w:gridCol w:w="1125"/>
        <w:gridCol w:w="418"/>
      </w:tblGrid>
      <w:tr>
        <w:trPr>
          <w:trHeight w:val="204" w:hRule="exact"/>
        </w:trPr>
        <w:tc>
          <w:tcPr>
            <w:tcW w:w="1125" w:type="dxa"/>
            <w:vMerge w:val="restart"/>
            <w:tcBorders>
              <w:top w:val="single" w:sz="8" w:space="0" w:color="94B3D6"/>
              <w:left w:val="single" w:sz="8" w:space="0" w:color="94B3D6"/>
              <w:right w:val="single" w:sz="8" w:space="0" w:color="94B3D6"/>
            </w:tcBorders>
          </w:tcPr>
          <w:p>
            <w:pPr>
              <w:pStyle w:val="TableParagraph"/>
              <w:spacing w:line="240" w:lineRule="auto" w:before="108"/>
              <w:ind w:left="367" w:right="0"/>
              <w:jc w:val="left"/>
              <w:rPr>
                <w:rFonts w:ascii="宋体" w:hAnsi="宋体" w:cs="宋体" w:eastAsia="宋体" w:hint="default"/>
                <w:sz w:val="18"/>
                <w:szCs w:val="18"/>
              </w:rPr>
            </w:pPr>
            <w:r>
              <w:rPr>
                <w:rFonts w:ascii="宋体" w:hAnsi="宋体" w:cs="宋体" w:eastAsia="宋体" w:hint="default"/>
                <w:sz w:val="18"/>
                <w:szCs w:val="18"/>
              </w:rPr>
              <w:t>薛坤</w:t>
            </w:r>
          </w:p>
        </w:tc>
        <w:tc>
          <w:tcPr>
            <w:tcW w:w="418" w:type="dxa"/>
            <w:tcBorders>
              <w:top w:val="nil" w:sz="6" w:space="0" w:color="auto"/>
              <w:left w:val="single" w:sz="8" w:space="0" w:color="94B3D6"/>
              <w:bottom w:val="single" w:sz="6" w:space="0" w:color="000000"/>
              <w:right w:val="nil" w:sz="6" w:space="0" w:color="auto"/>
            </w:tcBorders>
          </w:tcPr>
          <w:p>
            <w:pPr>
              <w:pStyle w:val="TableParagraph"/>
              <w:spacing w:line="170" w:lineRule="exact"/>
              <w:ind w:left="-4" w:right="0"/>
              <w:jc w:val="left"/>
              <w:rPr>
                <w:rFonts w:ascii="Times New Roman" w:hAnsi="Times New Roman" w:cs="Times New Roman" w:eastAsia="Times New Roman" w:hint="default"/>
                <w:sz w:val="18"/>
                <w:szCs w:val="18"/>
              </w:rPr>
            </w:pPr>
            <w:r>
              <w:rPr>
                <w:rFonts w:ascii="Times New Roman"/>
                <w:sz w:val="18"/>
              </w:rPr>
              <w:t>30%</w:t>
            </w:r>
          </w:p>
        </w:tc>
      </w:tr>
      <w:tr>
        <w:trPr>
          <w:trHeight w:val="314" w:hRule="exact"/>
        </w:trPr>
        <w:tc>
          <w:tcPr>
            <w:tcW w:w="1125" w:type="dxa"/>
            <w:vMerge/>
            <w:tcBorders>
              <w:left w:val="single" w:sz="8" w:space="0" w:color="94B3D6"/>
              <w:bottom w:val="single" w:sz="8" w:space="0" w:color="94B3D6"/>
              <w:right w:val="single" w:sz="8" w:space="0" w:color="94B3D6"/>
            </w:tcBorders>
          </w:tcPr>
          <w:p>
            <w:pPr/>
          </w:p>
        </w:tc>
        <w:tc>
          <w:tcPr>
            <w:tcW w:w="418" w:type="dxa"/>
            <w:tcBorders>
              <w:top w:val="single" w:sz="6" w:space="0" w:color="000000"/>
              <w:left w:val="single" w:sz="8" w:space="0" w:color="94B3D6"/>
              <w:bottom w:val="nil" w:sz="6" w:space="0" w:color="auto"/>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BodyText"/>
        <w:spacing w:line="240" w:lineRule="auto"/>
        <w:ind w:right="15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、其他持股在</w:t>
      </w:r>
      <w:r>
        <w:rPr>
          <w:spacing w:val="-52"/>
        </w:rPr>
        <w:t> </w:t>
      </w:r>
      <w:r>
        <w:rPr>
          <w:rFonts w:ascii="宋体" w:hAnsi="宋体" w:cs="宋体" w:eastAsia="宋体" w:hint="default"/>
        </w:rPr>
        <w:t>10%</w:t>
      </w:r>
      <w:r>
        <w:rPr/>
        <w:t>以上的法人股东</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0"/>
        <w:jc w:val="center"/>
        <w:rPr>
          <w:b w:val="0"/>
          <w:bCs w:val="0"/>
        </w:rPr>
      </w:pPr>
      <w:bookmarkStart w:name="_bookmark5" w:id="6"/>
      <w:bookmarkEnd w:id="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4"/>
        <w:ind w:right="7614"/>
        <w:jc w:val="left"/>
      </w:pPr>
      <w:r>
        <w:rPr/>
        <w:t>□ 适用 √</w:t>
      </w:r>
      <w:r>
        <w:rPr>
          <w:spacing w:val="3"/>
        </w:rPr>
        <w:t> </w:t>
      </w:r>
      <w:r>
        <w:rPr/>
        <w:t>不适用</w:t>
      </w:r>
      <w:r>
        <w:rPr/>
        <w:t> 报告期公司不存在优先股。</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53"/>
        <w:jc w:val="left"/>
        <w:rPr>
          <w:b w:val="0"/>
          <w:bCs w:val="0"/>
        </w:rPr>
      </w:pPr>
      <w:bookmarkStart w:name="_bookmark6" w:id="7"/>
      <w:bookmarkEnd w:id="7"/>
      <w:r>
        <w:rPr>
          <w:b w:val="0"/>
          <w:bCs w:val="0"/>
        </w:rPr>
      </w:r>
      <w:r>
        <w:rPr/>
        <w:t>第八节董事、监事、高级管理人员和员工情况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566"/>
        <w:gridCol w:w="566"/>
        <w:gridCol w:w="569"/>
        <w:gridCol w:w="850"/>
        <w:gridCol w:w="850"/>
        <w:gridCol w:w="994"/>
        <w:gridCol w:w="850"/>
        <w:gridCol w:w="852"/>
        <w:gridCol w:w="709"/>
        <w:gridCol w:w="1066"/>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191,226,69</w:t>
            </w:r>
          </w:p>
          <w:p>
            <w:pPr>
              <w:pStyle w:val="TableParagraph"/>
              <w:spacing w:line="240" w:lineRule="auto" w:before="74"/>
              <w:ind w:right="23"/>
              <w:jc w:val="right"/>
              <w:rPr>
                <w:rFonts w:ascii="宋体" w:hAnsi="宋体" w:cs="宋体" w:eastAsia="宋体" w:hint="default"/>
                <w:sz w:val="18"/>
                <w:szCs w:val="18"/>
              </w:rPr>
            </w:pPr>
            <w:r>
              <w:rPr>
                <w:rFonts w:ascii="宋体"/>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191,226,692</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2,915,460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18,900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2,986,360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1,366,606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1,408,206</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5"/>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1,201,086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1,272,686</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5"/>
              <w:jc w:val="both"/>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299,462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24,000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365,062</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20,900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31,200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93,900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47,000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185,876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277,476</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124,800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124,800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124,800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25,000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191,400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88,400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150,800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685,284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22,400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749,284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566"/>
        <w:gridCol w:w="566"/>
        <w:gridCol w:w="569"/>
        <w:gridCol w:w="850"/>
        <w:gridCol w:w="850"/>
        <w:gridCol w:w="994"/>
        <w:gridCol w:w="850"/>
        <w:gridCol w:w="852"/>
        <w:gridCol w:w="709"/>
        <w:gridCol w:w="1066"/>
      </w:tblGrid>
      <w:tr>
        <w:trPr>
          <w:trHeight w:val="362"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204,300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29,800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133,800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94,000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阮晋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154,000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26,700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31,200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104,700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2"/>
              <w:jc w:val="righ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198,728,96</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378,800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30,900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702,000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199,461,666</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7"/>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逝世</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逝世</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三、任职情况</w:t>
      </w:r>
      <w:r>
        <w:rPr>
          <w:b w:val="0"/>
          <w:bCs w:val="0"/>
        </w:rPr>
      </w:r>
    </w:p>
    <w:p>
      <w:pPr>
        <w:spacing w:line="240" w:lineRule="auto" w:before="5"/>
        <w:rPr>
          <w:rFonts w:ascii="宋体" w:hAnsi="宋体" w:cs="宋体" w:eastAsia="宋体" w:hint="default"/>
          <w:b/>
          <w:bCs/>
          <w:sz w:val="23"/>
          <w:szCs w:val="23"/>
        </w:rPr>
      </w:pPr>
    </w:p>
    <w:p>
      <w:pPr>
        <w:pStyle w:val="BodyText"/>
        <w:spacing w:line="513" w:lineRule="auto"/>
        <w:ind w:right="4916"/>
        <w:jc w:val="left"/>
      </w:pPr>
      <w:r>
        <w:rPr/>
        <w:t>公司现任董事、监事、高级管理人员最近</w:t>
      </w:r>
      <w:r>
        <w:rPr>
          <w:spacing w:val="-46"/>
        </w:rPr>
        <w:t> </w:t>
      </w:r>
      <w:r>
        <w:rPr>
          <w:rFonts w:ascii="宋体" w:hAnsi="宋体" w:cs="宋体" w:eastAsia="宋体" w:hint="default"/>
        </w:rPr>
        <w:t>5</w:t>
      </w:r>
      <w:r>
        <w:rPr>
          <w:rFonts w:ascii="宋体" w:hAnsi="宋体" w:cs="宋体" w:eastAsia="宋体" w:hint="default"/>
          <w:spacing w:val="-46"/>
        </w:rPr>
        <w:t> </w:t>
      </w:r>
      <w:r>
        <w:rPr/>
        <w:t>年的主要工作经历 </w:t>
      </w:r>
      <w:r>
        <w:rPr>
          <w:rFonts w:ascii="宋体" w:hAnsi="宋体" w:cs="宋体" w:eastAsia="宋体" w:hint="default"/>
        </w:rPr>
        <w:t>1</w:t>
      </w:r>
      <w:r>
        <w:rPr/>
        <w:t>、 董事简介</w:t>
      </w:r>
    </w:p>
    <w:p>
      <w:pPr>
        <w:pStyle w:val="BodyText"/>
        <w:spacing w:line="240" w:lineRule="auto" w:before="65"/>
        <w:ind w:left="513" w:right="0"/>
        <w:jc w:val="left"/>
      </w:pPr>
      <w:r>
        <w:rPr>
          <w:spacing w:val="-6"/>
        </w:rPr>
        <w:t>薛向东先生：中国国籍，现年 </w:t>
      </w:r>
      <w:r>
        <w:rPr>
          <w:rFonts w:ascii="宋体" w:hAnsi="宋体" w:cs="宋体" w:eastAsia="宋体" w:hint="default"/>
        </w:rPr>
        <w:t>57</w:t>
      </w:r>
      <w:r>
        <w:rPr>
          <w:rFonts w:ascii="宋体" w:hAnsi="宋体" w:cs="宋体" w:eastAsia="宋体" w:hint="default"/>
          <w:spacing w:val="-67"/>
        </w:rPr>
        <w:t> </w:t>
      </w:r>
      <w:r>
        <w:rPr>
          <w:spacing w:val="-3"/>
        </w:rPr>
        <w:t>岁，大学本科，高级工程师，长期从事行业应用软件开发及计算机信息系统集成工作，</w:t>
      </w:r>
    </w:p>
    <w:p>
      <w:pPr>
        <w:pStyle w:val="BodyText"/>
        <w:spacing w:line="240" w:lineRule="auto" w:before="115"/>
        <w:ind w:right="153"/>
        <w:jc w:val="left"/>
      </w:pPr>
      <w:r>
        <w:rPr/>
        <w:t>公司实际控制人，最近</w:t>
      </w:r>
      <w:r>
        <w:rPr>
          <w:spacing w:val="-46"/>
        </w:rPr>
        <w:t> </w:t>
      </w:r>
      <w:r>
        <w:rPr>
          <w:rFonts w:ascii="宋体" w:hAnsi="宋体" w:cs="宋体" w:eastAsia="宋体" w:hint="default"/>
        </w:rPr>
        <w:t>5</w:t>
      </w:r>
      <w:r>
        <w:rPr>
          <w:rFonts w:ascii="宋体" w:hAnsi="宋体" w:cs="宋体" w:eastAsia="宋体" w:hint="default"/>
          <w:spacing w:val="-46"/>
        </w:rPr>
        <w:t> </w:t>
      </w:r>
      <w:r>
        <w:rPr/>
        <w:t>年一直担任本公司董事长。</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吕波先生：中国国籍，现年</w:t>
      </w:r>
      <w:r>
        <w:rPr>
          <w:spacing w:val="-45"/>
        </w:rPr>
        <w:t> </w:t>
      </w:r>
      <w:r>
        <w:rPr>
          <w:rFonts w:ascii="宋体" w:hAnsi="宋体" w:cs="宋体" w:eastAsia="宋体" w:hint="default"/>
        </w:rPr>
        <w:t>53</w:t>
      </w:r>
      <w:r>
        <w:rPr>
          <w:rFonts w:ascii="宋体" w:hAnsi="宋体" w:cs="宋体" w:eastAsia="宋体" w:hint="default"/>
          <w:spacing w:val="-46"/>
        </w:rPr>
        <w:t> </w:t>
      </w:r>
      <w:r>
        <w:rPr/>
        <w:t>岁，硕士研究生，讲师，长期从事行业应用软件开发及计算机信息系统集成工作，最近</w:t>
      </w:r>
    </w:p>
    <w:p>
      <w:pPr>
        <w:pStyle w:val="BodyText"/>
        <w:spacing w:line="240" w:lineRule="auto" w:before="115"/>
        <w:ind w:right="153"/>
        <w:jc w:val="left"/>
      </w:pPr>
      <w:r>
        <w:rPr>
          <w:rFonts w:ascii="宋体" w:hAnsi="宋体" w:cs="宋体" w:eastAsia="宋体" w:hint="default"/>
        </w:rPr>
        <w:t>5</w:t>
      </w:r>
      <w:r>
        <w:rPr>
          <w:rFonts w:ascii="宋体" w:hAnsi="宋体" w:cs="宋体" w:eastAsia="宋体" w:hint="default"/>
          <w:spacing w:val="-47"/>
        </w:rPr>
        <w:t> </w:t>
      </w:r>
      <w:r>
        <w:rPr/>
        <w:t>年一直担任本公司副董事长、总经理。</w:t>
      </w:r>
    </w:p>
    <w:p>
      <w:pPr>
        <w:spacing w:line="240" w:lineRule="auto" w:before="9"/>
        <w:rPr>
          <w:rFonts w:ascii="宋体" w:hAnsi="宋体" w:cs="宋体" w:eastAsia="宋体" w:hint="default"/>
          <w:sz w:val="20"/>
          <w:szCs w:val="20"/>
        </w:rPr>
      </w:pPr>
    </w:p>
    <w:p>
      <w:pPr>
        <w:pStyle w:val="BodyText"/>
        <w:spacing w:line="240" w:lineRule="auto"/>
        <w:ind w:left="513" w:right="0"/>
        <w:jc w:val="left"/>
      </w:pPr>
      <w:r>
        <w:rPr/>
        <w:t>夏金崇先生：中国国籍，现年</w:t>
      </w:r>
      <w:r>
        <w:rPr>
          <w:spacing w:val="-46"/>
        </w:rPr>
        <w:t> </w:t>
      </w:r>
      <w:r>
        <w:rPr>
          <w:rFonts w:ascii="宋体" w:hAnsi="宋体" w:cs="宋体" w:eastAsia="宋体" w:hint="default"/>
        </w:rPr>
        <w:t>52</w:t>
      </w:r>
      <w:r>
        <w:rPr>
          <w:rFonts w:ascii="宋体" w:hAnsi="宋体" w:cs="宋体" w:eastAsia="宋体" w:hint="default"/>
          <w:spacing w:val="-44"/>
        </w:rPr>
        <w:t> </w:t>
      </w:r>
      <w:r>
        <w:rPr/>
        <w:t>岁，大学本科，工程师，长期从事行业应用软件开发及计算机信息系统集成工作，最</w:t>
      </w:r>
    </w:p>
    <w:p>
      <w:pPr>
        <w:pStyle w:val="BodyText"/>
        <w:spacing w:line="240" w:lineRule="auto" w:before="115"/>
        <w:ind w:right="153"/>
        <w:jc w:val="left"/>
      </w:pPr>
      <w:r>
        <w:rPr/>
        <w:t>近</w:t>
      </w:r>
      <w:r>
        <w:rPr>
          <w:spacing w:val="-46"/>
        </w:rPr>
        <w:t> </w:t>
      </w:r>
      <w:r>
        <w:rPr>
          <w:rFonts w:ascii="宋体" w:hAnsi="宋体" w:cs="宋体" w:eastAsia="宋体" w:hint="default"/>
        </w:rPr>
        <w:t>5</w:t>
      </w:r>
      <w:r>
        <w:rPr>
          <w:rFonts w:ascii="宋体" w:hAnsi="宋体" w:cs="宋体" w:eastAsia="宋体" w:hint="default"/>
          <w:spacing w:val="-46"/>
        </w:rPr>
        <w:t> </w:t>
      </w:r>
      <w:r>
        <w:rPr/>
        <w:t>年一直担任本公司董事、总经理。</w:t>
      </w:r>
    </w:p>
    <w:p>
      <w:pPr>
        <w:spacing w:line="240" w:lineRule="auto" w:before="10"/>
        <w:rPr>
          <w:rFonts w:ascii="宋体" w:hAnsi="宋体" w:cs="宋体" w:eastAsia="宋体" w:hint="default"/>
          <w:sz w:val="20"/>
          <w:szCs w:val="20"/>
        </w:rPr>
      </w:pPr>
    </w:p>
    <w:p>
      <w:pPr>
        <w:pStyle w:val="BodyText"/>
        <w:spacing w:line="357" w:lineRule="auto"/>
        <w:ind w:right="144" w:firstLine="360"/>
        <w:jc w:val="left"/>
      </w:pPr>
      <w:r>
        <w:rPr/>
        <w:t>李建国先生：中国国籍，现年</w:t>
      </w:r>
      <w:r>
        <w:rPr>
          <w:spacing w:val="-46"/>
        </w:rPr>
        <w:t> </w:t>
      </w:r>
      <w:r>
        <w:rPr>
          <w:rFonts w:ascii="宋体" w:hAnsi="宋体" w:cs="宋体" w:eastAsia="宋体" w:hint="default"/>
        </w:rPr>
        <w:t>47</w:t>
      </w:r>
      <w:r>
        <w:rPr>
          <w:rFonts w:ascii="宋体" w:hAnsi="宋体" w:cs="宋体" w:eastAsia="宋体" w:hint="default"/>
          <w:spacing w:val="-44"/>
        </w:rPr>
        <w:t> </w:t>
      </w:r>
      <w:r>
        <w:rPr/>
        <w:t>岁，硕士研究生，长期从事行业应用软件开发及计算机信息系统集成工作，最近</w:t>
      </w:r>
      <w:r>
        <w:rPr>
          <w:spacing w:val="-45"/>
        </w:rPr>
        <w:t> </w:t>
      </w:r>
      <w:r>
        <w:rPr>
          <w:rFonts w:ascii="宋体" w:hAnsi="宋体" w:cs="宋体" w:eastAsia="宋体" w:hint="default"/>
        </w:rPr>
        <w:t>5</w:t>
      </w:r>
      <w:r>
        <w:rPr>
          <w:rFonts w:ascii="宋体" w:hAnsi="宋体" w:cs="宋体" w:eastAsia="宋体" w:hint="default"/>
          <w:spacing w:val="-45"/>
        </w:rPr>
        <w:t> </w:t>
      </w:r>
      <w:r>
        <w:rPr/>
        <w:t>年 一直担任本公司董事、总经理。</w:t>
      </w:r>
    </w:p>
    <w:p>
      <w:pPr>
        <w:spacing w:line="240" w:lineRule="auto" w:before="13"/>
        <w:rPr>
          <w:rFonts w:ascii="宋体" w:hAnsi="宋体" w:cs="宋体" w:eastAsia="宋体" w:hint="default"/>
          <w:sz w:val="13"/>
          <w:szCs w:val="13"/>
        </w:rPr>
      </w:pPr>
    </w:p>
    <w:p>
      <w:pPr>
        <w:pStyle w:val="BodyText"/>
        <w:spacing w:line="240" w:lineRule="auto"/>
        <w:ind w:left="513" w:right="153"/>
        <w:jc w:val="left"/>
      </w:pPr>
      <w:r>
        <w:rPr/>
        <w:t>杨健先生：中国国籍，现年</w:t>
      </w:r>
      <w:r>
        <w:rPr>
          <w:spacing w:val="-46"/>
        </w:rPr>
        <w:t> </w:t>
      </w:r>
      <w:r>
        <w:rPr>
          <w:rFonts w:ascii="宋体" w:hAnsi="宋体" w:cs="宋体" w:eastAsia="宋体" w:hint="default"/>
        </w:rPr>
        <w:t>48</w:t>
      </w:r>
      <w:r>
        <w:rPr>
          <w:rFonts w:ascii="宋体" w:hAnsi="宋体" w:cs="宋体" w:eastAsia="宋体" w:hint="default"/>
          <w:spacing w:val="-47"/>
        </w:rPr>
        <w:t> </w:t>
      </w:r>
      <w:r>
        <w:rPr/>
        <w:t>岁，硕士研究生，会计师，最近</w:t>
      </w:r>
      <w:r>
        <w:rPr>
          <w:spacing w:val="-45"/>
        </w:rPr>
        <w:t> </w:t>
      </w:r>
      <w:r>
        <w:rPr>
          <w:rFonts w:ascii="宋体" w:hAnsi="宋体" w:cs="宋体" w:eastAsia="宋体" w:hint="default"/>
        </w:rPr>
        <w:t>5</w:t>
      </w:r>
      <w:r>
        <w:rPr>
          <w:rFonts w:ascii="宋体" w:hAnsi="宋体" w:cs="宋体" w:eastAsia="宋体" w:hint="default"/>
          <w:spacing w:val="-45"/>
        </w:rPr>
        <w:t> </w:t>
      </w:r>
      <w:r>
        <w:rPr/>
        <w:t>年一直担任本公司董事、副总经理、董事会秘书。</w:t>
      </w:r>
    </w:p>
    <w:p>
      <w:pPr>
        <w:spacing w:line="240" w:lineRule="auto" w:before="7"/>
        <w:rPr>
          <w:rFonts w:ascii="宋体" w:hAnsi="宋体" w:cs="宋体" w:eastAsia="宋体" w:hint="default"/>
          <w:sz w:val="20"/>
          <w:szCs w:val="20"/>
        </w:rPr>
      </w:pPr>
    </w:p>
    <w:p>
      <w:pPr>
        <w:pStyle w:val="BodyText"/>
        <w:spacing w:line="240" w:lineRule="auto"/>
        <w:ind w:left="513" w:right="153"/>
        <w:jc w:val="left"/>
      </w:pPr>
      <w:r>
        <w:rPr/>
        <w:t>郑晓清女士：中国国籍，现年</w:t>
      </w:r>
      <w:r>
        <w:rPr>
          <w:spacing w:val="-46"/>
        </w:rPr>
        <w:t> </w:t>
      </w:r>
      <w:r>
        <w:rPr>
          <w:rFonts w:ascii="宋体" w:hAnsi="宋体" w:cs="宋体" w:eastAsia="宋体" w:hint="default"/>
        </w:rPr>
        <w:t>45</w:t>
      </w:r>
      <w:r>
        <w:rPr>
          <w:rFonts w:ascii="宋体" w:hAnsi="宋体" w:cs="宋体" w:eastAsia="宋体" w:hint="default"/>
          <w:spacing w:val="-44"/>
        </w:rPr>
        <w:t> </w:t>
      </w:r>
      <w:r>
        <w:rPr/>
        <w:t>岁，硕士研究生，最近</w:t>
      </w:r>
      <w:r>
        <w:rPr>
          <w:spacing w:val="-48"/>
        </w:rPr>
        <w:t> </w:t>
      </w:r>
      <w:r>
        <w:rPr>
          <w:rFonts w:ascii="宋体" w:hAnsi="宋体" w:cs="宋体" w:eastAsia="宋体" w:hint="default"/>
        </w:rPr>
        <w:t>5</w:t>
      </w:r>
      <w:r>
        <w:rPr>
          <w:rFonts w:ascii="宋体" w:hAnsi="宋体" w:cs="宋体" w:eastAsia="宋体" w:hint="default"/>
          <w:spacing w:val="-45"/>
        </w:rPr>
        <w:t> </w:t>
      </w:r>
      <w:r>
        <w:rPr/>
        <w:t>年一直担任本公司董事、市场部经理。</w:t>
      </w:r>
    </w:p>
    <w:p>
      <w:pPr>
        <w:spacing w:line="240" w:lineRule="auto" w:before="9"/>
        <w:rPr>
          <w:rFonts w:ascii="宋体" w:hAnsi="宋体" w:cs="宋体" w:eastAsia="宋体" w:hint="default"/>
          <w:sz w:val="20"/>
          <w:szCs w:val="20"/>
        </w:rPr>
      </w:pPr>
    </w:p>
    <w:p>
      <w:pPr>
        <w:pStyle w:val="BodyText"/>
        <w:spacing w:line="357" w:lineRule="auto"/>
        <w:ind w:right="155" w:firstLine="360"/>
        <w:jc w:val="both"/>
      </w:pPr>
      <w:r>
        <w:rPr/>
        <w:t>耿建新先生：中国国籍，现年</w:t>
      </w:r>
      <w:r>
        <w:rPr>
          <w:spacing w:val="-47"/>
        </w:rPr>
        <w:t> </w:t>
      </w:r>
      <w:r>
        <w:rPr>
          <w:rFonts w:ascii="宋体" w:hAnsi="宋体" w:cs="宋体" w:eastAsia="宋体" w:hint="default"/>
        </w:rPr>
        <w:t>62</w:t>
      </w:r>
      <w:r>
        <w:rPr>
          <w:rFonts w:ascii="宋体" w:hAnsi="宋体" w:cs="宋体" w:eastAsia="宋体" w:hint="default"/>
          <w:spacing w:val="-45"/>
        </w:rPr>
        <w:t> </w:t>
      </w:r>
      <w:r>
        <w:rPr/>
        <w:t>岁，博士研究生，会计学教授，最近</w:t>
      </w:r>
      <w:r>
        <w:rPr>
          <w:spacing w:val="-47"/>
        </w:rPr>
        <w:t> </w:t>
      </w:r>
      <w:r>
        <w:rPr>
          <w:rFonts w:ascii="宋体" w:hAnsi="宋体" w:cs="宋体" w:eastAsia="宋体" w:hint="default"/>
        </w:rPr>
        <w:t>5</w:t>
      </w:r>
      <w:r>
        <w:rPr>
          <w:rFonts w:ascii="宋体" w:hAnsi="宋体" w:cs="宋体" w:eastAsia="宋体" w:hint="default"/>
          <w:spacing w:val="-46"/>
        </w:rPr>
        <w:t> </w:t>
      </w:r>
      <w:r>
        <w:rPr/>
        <w:t>年一直担任中国人民大学会计学教授，中国会 </w:t>
      </w:r>
      <w:r>
        <w:rPr>
          <w:spacing w:val="-2"/>
        </w:rPr>
        <w:t>计学理事，学部副主任，财政部会计准则委员会委员，中国审计学会理事，学术委员会副主任，中国审计专业研究生教指委</w:t>
      </w:r>
      <w:r>
        <w:rPr>
          <w:spacing w:val="-67"/>
        </w:rPr>
        <w:t> </w:t>
      </w:r>
      <w:r>
        <w:rPr>
          <w:spacing w:val="-67"/>
        </w:rPr>
      </w:r>
      <w:r>
        <w:rPr/>
        <w:t>委员。耿建新先生于</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7"/>
        </w:rPr>
        <w:t> </w:t>
      </w:r>
      <w:r>
        <w:rPr>
          <w:rFonts w:ascii="宋体" w:hAnsi="宋体" w:cs="宋体" w:eastAsia="宋体" w:hint="default"/>
        </w:rPr>
        <w:t>12</w:t>
      </w:r>
      <w:r>
        <w:rPr>
          <w:rFonts w:ascii="宋体" w:hAnsi="宋体" w:cs="宋体" w:eastAsia="宋体" w:hint="default"/>
          <w:spacing w:val="-45"/>
        </w:rPr>
        <w:t> </w:t>
      </w:r>
      <w:r>
        <w:rPr/>
        <w:t>日起不再担任公司独立董事之职。</w:t>
      </w:r>
    </w:p>
    <w:p>
      <w:pPr>
        <w:spacing w:line="240" w:lineRule="auto" w:before="13"/>
        <w:rPr>
          <w:rFonts w:ascii="宋体" w:hAnsi="宋体" w:cs="宋体" w:eastAsia="宋体" w:hint="default"/>
          <w:sz w:val="13"/>
          <w:szCs w:val="13"/>
        </w:rPr>
      </w:pPr>
    </w:p>
    <w:p>
      <w:pPr>
        <w:pStyle w:val="BodyText"/>
        <w:spacing w:line="357" w:lineRule="auto"/>
        <w:ind w:right="147" w:firstLine="360"/>
        <w:jc w:val="left"/>
      </w:pPr>
      <w:r>
        <w:rPr/>
        <w:t>林中先生：中国国籍，现年</w:t>
      </w:r>
      <w:r>
        <w:rPr>
          <w:spacing w:val="-46"/>
        </w:rPr>
        <w:t> </w:t>
      </w:r>
      <w:r>
        <w:rPr>
          <w:rFonts w:ascii="宋体" w:hAnsi="宋体" w:cs="宋体" w:eastAsia="宋体" w:hint="default"/>
        </w:rPr>
        <w:t>55</w:t>
      </w:r>
      <w:r>
        <w:rPr>
          <w:rFonts w:ascii="宋体" w:hAnsi="宋体" w:cs="宋体" w:eastAsia="宋体" w:hint="default"/>
          <w:spacing w:val="-47"/>
        </w:rPr>
        <w:t> </w:t>
      </w:r>
      <w:r>
        <w:rPr/>
        <w:t>岁，硕士研究生，最近</w:t>
      </w:r>
      <w:r>
        <w:rPr>
          <w:spacing w:val="-45"/>
        </w:rPr>
        <w:t> </w:t>
      </w:r>
      <w:r>
        <w:rPr>
          <w:rFonts w:ascii="宋体" w:hAnsi="宋体" w:cs="宋体" w:eastAsia="宋体" w:hint="default"/>
        </w:rPr>
        <w:t>5</w:t>
      </w:r>
      <w:r>
        <w:rPr>
          <w:rFonts w:ascii="宋体" w:hAnsi="宋体" w:cs="宋体" w:eastAsia="宋体" w:hint="default"/>
          <w:spacing w:val="-45"/>
        </w:rPr>
        <w:t> </w:t>
      </w:r>
      <w:r>
        <w:rPr/>
        <w:t>年一直担任华北计算技术研究所科技委学位委员会副主席，全 国信息安全标准化技术委员会委员。</w:t>
      </w:r>
    </w:p>
    <w:p>
      <w:pPr>
        <w:spacing w:line="240" w:lineRule="auto" w:before="13"/>
        <w:rPr>
          <w:rFonts w:ascii="宋体" w:hAnsi="宋体" w:cs="宋体" w:eastAsia="宋体" w:hint="default"/>
          <w:sz w:val="13"/>
          <w:szCs w:val="13"/>
        </w:rPr>
      </w:pPr>
    </w:p>
    <w:p>
      <w:pPr>
        <w:pStyle w:val="BodyText"/>
        <w:spacing w:line="357" w:lineRule="auto"/>
        <w:ind w:right="149" w:firstLine="360"/>
        <w:jc w:val="left"/>
      </w:pPr>
      <w:r>
        <w:rPr/>
        <w:t>范玉顺先生：中国国籍，现年</w:t>
      </w:r>
      <w:r>
        <w:rPr>
          <w:spacing w:val="-47"/>
        </w:rPr>
        <w:t> </w:t>
      </w:r>
      <w:r>
        <w:rPr>
          <w:rFonts w:ascii="宋体" w:hAnsi="宋体" w:cs="宋体" w:eastAsia="宋体" w:hint="default"/>
        </w:rPr>
        <w:t>54</w:t>
      </w:r>
      <w:r>
        <w:rPr>
          <w:rFonts w:ascii="宋体" w:hAnsi="宋体" w:cs="宋体" w:eastAsia="宋体" w:hint="default"/>
          <w:spacing w:val="-45"/>
        </w:rPr>
        <w:t> </w:t>
      </w:r>
      <w:r>
        <w:rPr/>
        <w:t>岁，博士学历，客座科学家。最近</w:t>
      </w:r>
      <w:r>
        <w:rPr>
          <w:spacing w:val="-47"/>
        </w:rPr>
        <w:t> </w:t>
      </w:r>
      <w:r>
        <w:rPr>
          <w:rFonts w:ascii="宋体" w:hAnsi="宋体" w:cs="宋体" w:eastAsia="宋体" w:hint="default"/>
        </w:rPr>
        <w:t>5</w:t>
      </w:r>
      <w:r>
        <w:rPr>
          <w:rFonts w:ascii="宋体" w:hAnsi="宋体" w:cs="宋体" w:eastAsia="宋体" w:hint="default"/>
          <w:spacing w:val="-46"/>
        </w:rPr>
        <w:t> </w:t>
      </w:r>
      <w:r>
        <w:rPr/>
        <w:t>年一直担任清华大学自动化系教师，北京立思辰 科技股份有限公司独立董事。</w:t>
      </w:r>
    </w:p>
    <w:p>
      <w:pPr>
        <w:spacing w:line="240" w:lineRule="auto" w:before="13"/>
        <w:rPr>
          <w:rFonts w:ascii="宋体" w:hAnsi="宋体" w:cs="宋体" w:eastAsia="宋体" w:hint="default"/>
          <w:sz w:val="13"/>
          <w:szCs w:val="13"/>
        </w:rPr>
      </w:pPr>
    </w:p>
    <w:p>
      <w:pPr>
        <w:pStyle w:val="BodyText"/>
        <w:spacing w:line="240" w:lineRule="auto"/>
        <w:ind w:left="513" w:right="0"/>
        <w:jc w:val="left"/>
        <w:rPr>
          <w:rFonts w:ascii="宋体" w:hAnsi="宋体" w:cs="宋体" w:eastAsia="宋体" w:hint="default"/>
        </w:rPr>
      </w:pPr>
      <w:r>
        <w:rPr>
          <w:spacing w:val="-6"/>
        </w:rPr>
        <w:t>同生辉先生：中国国籍，现年</w:t>
      </w:r>
      <w:r>
        <w:rPr>
          <w:spacing w:val="-43"/>
        </w:rPr>
        <w:t> </w:t>
      </w:r>
      <w:r>
        <w:rPr>
          <w:rFonts w:ascii="宋体" w:hAnsi="宋体" w:cs="宋体" w:eastAsia="宋体" w:hint="default"/>
        </w:rPr>
        <w:t>45</w:t>
      </w:r>
      <w:r>
        <w:rPr>
          <w:rFonts w:ascii="宋体" w:hAnsi="宋体" w:cs="宋体" w:eastAsia="宋体" w:hint="default"/>
          <w:spacing w:val="-41"/>
        </w:rPr>
        <w:t> </w:t>
      </w:r>
      <w:r>
        <w:rPr>
          <w:spacing w:val="-8"/>
        </w:rPr>
        <w:t>岁，博士研究生，最近</w:t>
      </w:r>
      <w:r>
        <w:rPr>
          <w:spacing w:val="-45"/>
        </w:rPr>
        <w:t> </w:t>
      </w:r>
      <w:r>
        <w:rPr>
          <w:rFonts w:ascii="宋体" w:hAnsi="宋体" w:cs="宋体" w:eastAsia="宋体" w:hint="default"/>
        </w:rPr>
        <w:t>5</w:t>
      </w:r>
      <w:r>
        <w:rPr>
          <w:rFonts w:ascii="宋体" w:hAnsi="宋体" w:cs="宋体" w:eastAsia="宋体" w:hint="default"/>
          <w:spacing w:val="-42"/>
        </w:rPr>
        <w:t> </w:t>
      </w:r>
      <w:r>
        <w:rPr>
          <w:spacing w:val="-3"/>
        </w:rPr>
        <w:t>年一直担任中央财经大学副教授、副院长。同生辉先生于</w:t>
      </w:r>
      <w:r>
        <w:rPr>
          <w:spacing w:val="-42"/>
        </w:rPr>
        <w:t> </w:t>
      </w:r>
      <w:r>
        <w:rPr>
          <w:rFonts w:ascii="宋体" w:hAnsi="宋体" w:cs="宋体" w:eastAsia="宋体" w:hint="default"/>
        </w:rPr>
        <w:t>2015</w:t>
      </w:r>
    </w:p>
    <w:p>
      <w:pPr>
        <w:pStyle w:val="BodyText"/>
        <w:spacing w:line="240" w:lineRule="auto" w:before="115"/>
        <w:ind w:right="153"/>
        <w:jc w:val="left"/>
      </w:pP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8"/>
        </w:rPr>
        <w:t> </w:t>
      </w:r>
      <w:r>
        <w:rPr>
          <w:rFonts w:ascii="宋体" w:hAnsi="宋体" w:cs="宋体" w:eastAsia="宋体" w:hint="default"/>
        </w:rPr>
        <w:t>3</w:t>
      </w:r>
      <w:r>
        <w:rPr>
          <w:rFonts w:ascii="宋体" w:hAnsi="宋体" w:cs="宋体" w:eastAsia="宋体" w:hint="default"/>
          <w:spacing w:val="-45"/>
        </w:rPr>
        <w:t> </w:t>
      </w:r>
      <w:r>
        <w:rPr/>
        <w:t>日起不再担任公司独立董事之职。</w:t>
      </w:r>
    </w:p>
    <w:p>
      <w:pPr>
        <w:spacing w:line="240" w:lineRule="auto" w:before="7"/>
        <w:rPr>
          <w:rFonts w:ascii="宋体" w:hAnsi="宋体" w:cs="宋体" w:eastAsia="宋体" w:hint="default"/>
          <w:sz w:val="20"/>
          <w:szCs w:val="20"/>
        </w:rPr>
      </w:pPr>
    </w:p>
    <w:p>
      <w:pPr>
        <w:pStyle w:val="BodyText"/>
        <w:spacing w:line="357" w:lineRule="auto"/>
        <w:ind w:right="150" w:firstLine="360"/>
        <w:jc w:val="both"/>
      </w:pPr>
      <w:r>
        <w:rPr>
          <w:spacing w:val="-5"/>
        </w:rPr>
        <w:t>李燕女士：中国国籍，现年</w:t>
      </w:r>
      <w:r>
        <w:rPr>
          <w:spacing w:val="-51"/>
        </w:rPr>
        <w:t> </w:t>
      </w:r>
      <w:r>
        <w:rPr>
          <w:rFonts w:ascii="宋体" w:hAnsi="宋体" w:cs="宋体" w:eastAsia="宋体" w:hint="default"/>
        </w:rPr>
        <w:t>59</w:t>
      </w:r>
      <w:r>
        <w:rPr>
          <w:rFonts w:ascii="宋体" w:hAnsi="宋体" w:cs="宋体" w:eastAsia="宋体" w:hint="default"/>
          <w:spacing w:val="-52"/>
        </w:rPr>
        <w:t> </w:t>
      </w:r>
      <w:r>
        <w:rPr>
          <w:spacing w:val="-6"/>
        </w:rPr>
        <w:t>岁，大学本科，注册会计师，最近</w:t>
      </w:r>
      <w:r>
        <w:rPr>
          <w:spacing w:val="-51"/>
        </w:rPr>
        <w:t> </w:t>
      </w:r>
      <w:r>
        <w:rPr>
          <w:rFonts w:ascii="宋体" w:hAnsi="宋体" w:cs="宋体" w:eastAsia="宋体" w:hint="default"/>
        </w:rPr>
        <w:t>5</w:t>
      </w:r>
      <w:r>
        <w:rPr>
          <w:rFonts w:ascii="宋体" w:hAnsi="宋体" w:cs="宋体" w:eastAsia="宋体" w:hint="default"/>
          <w:spacing w:val="-50"/>
        </w:rPr>
        <w:t> </w:t>
      </w:r>
      <w:r>
        <w:rPr/>
        <w:t>年一直担任中央财经大学教授，中国财政学会理事， </w:t>
      </w:r>
      <w:r>
        <w:rPr>
          <w:spacing w:val="-2"/>
        </w:rPr>
        <w:t>中国财税法学会理事，全国政府预算研究会副会长，北京华力创通科技股份有限公司独立董事，安徽荃银高科股份有限公司</w:t>
      </w:r>
      <w:r>
        <w:rPr>
          <w:spacing w:val="-63"/>
        </w:rPr>
        <w:t> </w:t>
      </w:r>
      <w:r>
        <w:rPr>
          <w:spacing w:val="-63"/>
        </w:rPr>
      </w:r>
      <w:r>
        <w:rPr/>
        <w:t>独立董事，全国高校财政学教学研究会常务理事，北京市东城区、顺义区人大常委会顾问。</w:t>
      </w:r>
    </w:p>
    <w:p>
      <w:pPr>
        <w:spacing w:line="240" w:lineRule="auto" w:before="13"/>
        <w:rPr>
          <w:rFonts w:ascii="宋体" w:hAnsi="宋体" w:cs="宋体" w:eastAsia="宋体" w:hint="default"/>
          <w:sz w:val="13"/>
          <w:szCs w:val="13"/>
        </w:rPr>
      </w:pPr>
    </w:p>
    <w:p>
      <w:pPr>
        <w:pStyle w:val="BodyText"/>
        <w:spacing w:line="240" w:lineRule="auto"/>
        <w:ind w:right="153"/>
        <w:jc w:val="left"/>
      </w:pPr>
      <w:r>
        <w:rPr>
          <w:rFonts w:ascii="宋体" w:hAnsi="宋体" w:cs="宋体" w:eastAsia="宋体" w:hint="default"/>
        </w:rPr>
        <w:t>2</w:t>
      </w:r>
      <w:r>
        <w:rPr/>
        <w:t>、 监事简介</w:t>
      </w:r>
    </w:p>
    <w:p>
      <w:pPr>
        <w:spacing w:line="240" w:lineRule="auto" w:before="9"/>
        <w:rPr>
          <w:rFonts w:ascii="宋体" w:hAnsi="宋体" w:cs="宋体" w:eastAsia="宋体" w:hint="default"/>
          <w:sz w:val="20"/>
          <w:szCs w:val="20"/>
        </w:rPr>
      </w:pPr>
    </w:p>
    <w:p>
      <w:pPr>
        <w:pStyle w:val="BodyText"/>
        <w:spacing w:line="240" w:lineRule="auto"/>
        <w:ind w:left="513" w:right="153"/>
        <w:jc w:val="left"/>
      </w:pPr>
      <w:r>
        <w:rPr/>
        <w:t>苏根继先生：中国国籍，现年</w:t>
      </w:r>
      <w:r>
        <w:rPr>
          <w:spacing w:val="-46"/>
        </w:rPr>
        <w:t> </w:t>
      </w:r>
      <w:r>
        <w:rPr>
          <w:rFonts w:ascii="宋体" w:hAnsi="宋体" w:cs="宋体" w:eastAsia="宋体" w:hint="default"/>
        </w:rPr>
        <w:t>52</w:t>
      </w:r>
      <w:r>
        <w:rPr>
          <w:rFonts w:ascii="宋体" w:hAnsi="宋体" w:cs="宋体" w:eastAsia="宋体" w:hint="default"/>
          <w:spacing w:val="-44"/>
        </w:rPr>
        <w:t> </w:t>
      </w:r>
      <w:r>
        <w:rPr/>
        <w:t>岁，大学本科，讲师，最近</w:t>
      </w:r>
      <w:r>
        <w:rPr>
          <w:spacing w:val="-48"/>
        </w:rPr>
        <w:t> </w:t>
      </w:r>
      <w:r>
        <w:rPr>
          <w:rFonts w:ascii="宋体" w:hAnsi="宋体" w:cs="宋体" w:eastAsia="宋体" w:hint="default"/>
        </w:rPr>
        <w:t>5</w:t>
      </w:r>
      <w:r>
        <w:rPr>
          <w:rFonts w:ascii="宋体" w:hAnsi="宋体" w:cs="宋体" w:eastAsia="宋体" w:hint="default"/>
          <w:spacing w:val="-45"/>
        </w:rPr>
        <w:t> </w:t>
      </w:r>
      <w:r>
        <w:rPr/>
        <w:t>年一直担任本公司监事会主席、法律部负责人。</w:t>
      </w:r>
    </w:p>
    <w:p>
      <w:pPr>
        <w:spacing w:line="240" w:lineRule="auto" w:before="10"/>
        <w:rPr>
          <w:rFonts w:ascii="宋体" w:hAnsi="宋体" w:cs="宋体" w:eastAsia="宋体" w:hint="default"/>
          <w:sz w:val="20"/>
          <w:szCs w:val="20"/>
        </w:rPr>
      </w:pPr>
    </w:p>
    <w:p>
      <w:pPr>
        <w:pStyle w:val="BodyText"/>
        <w:spacing w:line="240" w:lineRule="auto"/>
        <w:ind w:left="513" w:right="153"/>
        <w:jc w:val="left"/>
      </w:pPr>
      <w:r>
        <w:rPr/>
        <w:t>蒋恕慧女士：中国国籍，现年</w:t>
      </w:r>
      <w:r>
        <w:rPr>
          <w:spacing w:val="-47"/>
        </w:rPr>
        <w:t> </w:t>
      </w:r>
      <w:r>
        <w:rPr>
          <w:rFonts w:ascii="宋体" w:hAnsi="宋体" w:cs="宋体" w:eastAsia="宋体" w:hint="default"/>
        </w:rPr>
        <w:t>52</w:t>
      </w:r>
      <w:r>
        <w:rPr>
          <w:rFonts w:ascii="宋体" w:hAnsi="宋体" w:cs="宋体" w:eastAsia="宋体" w:hint="default"/>
          <w:spacing w:val="-45"/>
        </w:rPr>
        <w:t> </w:t>
      </w:r>
      <w:r>
        <w:rPr/>
        <w:t>岁，大学本科，工程师，最近</w:t>
      </w:r>
      <w:r>
        <w:rPr>
          <w:spacing w:val="-47"/>
        </w:rPr>
        <w:t> </w:t>
      </w:r>
      <w:r>
        <w:rPr>
          <w:rFonts w:ascii="宋体" w:hAnsi="宋体" w:cs="宋体" w:eastAsia="宋体" w:hint="default"/>
        </w:rPr>
        <w:t>5</w:t>
      </w:r>
      <w:r>
        <w:rPr>
          <w:rFonts w:ascii="宋体" w:hAnsi="宋体" w:cs="宋体" w:eastAsia="宋体" w:hint="default"/>
          <w:spacing w:val="-46"/>
        </w:rPr>
        <w:t> </w:t>
      </w:r>
      <w:r>
        <w:rPr/>
        <w:t>年一直担任本公司监事、商务部经理。</w:t>
      </w:r>
    </w:p>
    <w:p>
      <w:pPr>
        <w:spacing w:line="240" w:lineRule="auto" w:before="9"/>
        <w:rPr>
          <w:rFonts w:ascii="宋体" w:hAnsi="宋体" w:cs="宋体" w:eastAsia="宋体" w:hint="default"/>
          <w:sz w:val="20"/>
          <w:szCs w:val="20"/>
        </w:rPr>
      </w:pPr>
    </w:p>
    <w:p>
      <w:pPr>
        <w:pStyle w:val="BodyText"/>
        <w:spacing w:line="516" w:lineRule="auto"/>
        <w:ind w:right="3027" w:firstLine="360"/>
        <w:jc w:val="left"/>
      </w:pPr>
      <w:r>
        <w:rPr/>
        <w:t>郭玉杰先生：中国国籍，现年</w:t>
      </w:r>
      <w:r>
        <w:rPr>
          <w:spacing w:val="-46"/>
        </w:rPr>
        <w:t> </w:t>
      </w:r>
      <w:r>
        <w:rPr>
          <w:rFonts w:ascii="宋体" w:hAnsi="宋体" w:cs="宋体" w:eastAsia="宋体" w:hint="default"/>
        </w:rPr>
        <w:t>52</w:t>
      </w:r>
      <w:r>
        <w:rPr>
          <w:rFonts w:ascii="宋体" w:hAnsi="宋体" w:cs="宋体" w:eastAsia="宋体" w:hint="default"/>
          <w:spacing w:val="-44"/>
        </w:rPr>
        <w:t> </w:t>
      </w:r>
      <w:r>
        <w:rPr/>
        <w:t>岁，大学专科，最近</w:t>
      </w:r>
      <w:r>
        <w:rPr>
          <w:spacing w:val="-48"/>
        </w:rPr>
        <w:t> </w:t>
      </w:r>
      <w:r>
        <w:rPr>
          <w:rFonts w:ascii="宋体" w:hAnsi="宋体" w:cs="宋体" w:eastAsia="宋体" w:hint="default"/>
        </w:rPr>
        <w:t>5</w:t>
      </w:r>
      <w:r>
        <w:rPr>
          <w:rFonts w:ascii="宋体" w:hAnsi="宋体" w:cs="宋体" w:eastAsia="宋体" w:hint="default"/>
          <w:spacing w:val="-45"/>
        </w:rPr>
        <w:t> </w:t>
      </w:r>
      <w:r>
        <w:rPr/>
        <w:t>年一直担任本公司监事。 </w:t>
      </w:r>
      <w:r>
        <w:rPr>
          <w:rFonts w:ascii="宋体" w:hAnsi="宋体" w:cs="宋体" w:eastAsia="宋体" w:hint="default"/>
        </w:rPr>
        <w:t>3</w:t>
      </w:r>
      <w:r>
        <w:rPr/>
        <w:t>、 高级管理人员简介</w:t>
      </w:r>
    </w:p>
    <w:p>
      <w:pPr>
        <w:pStyle w:val="BodyText"/>
        <w:spacing w:line="240" w:lineRule="auto" w:before="63"/>
        <w:ind w:left="513" w:right="153"/>
        <w:jc w:val="left"/>
      </w:pPr>
      <w:r>
        <w:rPr/>
        <w:t>金伟先生：中国国籍，现年</w:t>
      </w:r>
      <w:r>
        <w:rPr>
          <w:spacing w:val="-46"/>
        </w:rPr>
        <w:t> </w:t>
      </w:r>
      <w:r>
        <w:rPr>
          <w:rFonts w:ascii="宋体" w:hAnsi="宋体" w:cs="宋体" w:eastAsia="宋体" w:hint="default"/>
        </w:rPr>
        <w:t>59</w:t>
      </w:r>
      <w:r>
        <w:rPr>
          <w:rFonts w:ascii="宋体" w:hAnsi="宋体" w:cs="宋体" w:eastAsia="宋体" w:hint="default"/>
          <w:spacing w:val="-47"/>
        </w:rPr>
        <w:t> </w:t>
      </w:r>
      <w:r>
        <w:rPr/>
        <w:t>岁，硕士研究生，工程师，最近</w:t>
      </w:r>
      <w:r>
        <w:rPr>
          <w:spacing w:val="-45"/>
        </w:rPr>
        <w:t> </w:t>
      </w:r>
      <w:r>
        <w:rPr>
          <w:rFonts w:ascii="宋体" w:hAnsi="宋体" w:cs="宋体" w:eastAsia="宋体" w:hint="default"/>
        </w:rPr>
        <w:t>5</w:t>
      </w:r>
      <w:r>
        <w:rPr>
          <w:rFonts w:ascii="宋体" w:hAnsi="宋体" w:cs="宋体" w:eastAsia="宋体" w:hint="default"/>
          <w:spacing w:val="-45"/>
        </w:rPr>
        <w:t> </w:t>
      </w:r>
      <w:r>
        <w:rPr/>
        <w:t>年一直担任本公司副总经理。</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44"/>
        <w:ind w:left="513" w:right="153"/>
        <w:jc w:val="left"/>
      </w:pPr>
      <w:r>
        <w:rPr/>
        <w:t>林文平先生：中国国籍，现年</w:t>
      </w:r>
      <w:r>
        <w:rPr>
          <w:spacing w:val="-47"/>
        </w:rPr>
        <w:t> </w:t>
      </w:r>
      <w:r>
        <w:rPr>
          <w:rFonts w:ascii="宋体" w:hAnsi="宋体" w:cs="宋体" w:eastAsia="宋体" w:hint="default"/>
        </w:rPr>
        <w:t>50</w:t>
      </w:r>
      <w:r>
        <w:rPr>
          <w:rFonts w:ascii="宋体" w:hAnsi="宋体" w:cs="宋体" w:eastAsia="宋体" w:hint="default"/>
          <w:spacing w:val="-45"/>
        </w:rPr>
        <w:t> </w:t>
      </w:r>
      <w:r>
        <w:rPr/>
        <w:t>岁，硕士研究生，工程师，最近</w:t>
      </w:r>
      <w:r>
        <w:rPr>
          <w:spacing w:val="-47"/>
        </w:rPr>
        <w:t> </w:t>
      </w:r>
      <w:r>
        <w:rPr>
          <w:rFonts w:ascii="宋体" w:hAnsi="宋体" w:cs="宋体" w:eastAsia="宋体" w:hint="default"/>
        </w:rPr>
        <w:t>5</w:t>
      </w:r>
      <w:r>
        <w:rPr>
          <w:rFonts w:ascii="宋体" w:hAnsi="宋体" w:cs="宋体" w:eastAsia="宋体" w:hint="default"/>
          <w:spacing w:val="-46"/>
        </w:rPr>
        <w:t> </w:t>
      </w:r>
      <w:r>
        <w:rPr/>
        <w:t>年一直在本公司工作，现任公司副总经理。</w:t>
      </w:r>
    </w:p>
    <w:p>
      <w:pPr>
        <w:spacing w:line="240" w:lineRule="auto" w:before="10"/>
        <w:rPr>
          <w:rFonts w:ascii="宋体" w:hAnsi="宋体" w:cs="宋体" w:eastAsia="宋体" w:hint="default"/>
          <w:sz w:val="20"/>
          <w:szCs w:val="20"/>
        </w:rPr>
      </w:pPr>
    </w:p>
    <w:p>
      <w:pPr>
        <w:pStyle w:val="BodyText"/>
        <w:spacing w:line="240" w:lineRule="auto"/>
        <w:ind w:left="513" w:right="153"/>
        <w:jc w:val="left"/>
      </w:pPr>
      <w:r>
        <w:rPr/>
        <w:t>刘志华先生：中国国籍，现年</w:t>
      </w:r>
      <w:r>
        <w:rPr>
          <w:spacing w:val="-47"/>
        </w:rPr>
        <w:t> </w:t>
      </w:r>
      <w:r>
        <w:rPr>
          <w:rFonts w:ascii="宋体" w:hAnsi="宋体" w:cs="宋体" w:eastAsia="宋体" w:hint="default"/>
        </w:rPr>
        <w:t>46</w:t>
      </w:r>
      <w:r>
        <w:rPr>
          <w:rFonts w:ascii="宋体" w:hAnsi="宋体" w:cs="宋体" w:eastAsia="宋体" w:hint="default"/>
          <w:spacing w:val="-45"/>
        </w:rPr>
        <w:t> </w:t>
      </w:r>
      <w:r>
        <w:rPr/>
        <w:t>岁，硕士研究生，工程师，最近</w:t>
      </w:r>
      <w:r>
        <w:rPr>
          <w:spacing w:val="-47"/>
        </w:rPr>
        <w:t> </w:t>
      </w:r>
      <w:r>
        <w:rPr>
          <w:rFonts w:ascii="宋体" w:hAnsi="宋体" w:cs="宋体" w:eastAsia="宋体" w:hint="default"/>
        </w:rPr>
        <w:t>5</w:t>
      </w:r>
      <w:r>
        <w:rPr>
          <w:rFonts w:ascii="宋体" w:hAnsi="宋体" w:cs="宋体" w:eastAsia="宋体" w:hint="default"/>
          <w:spacing w:val="-46"/>
        </w:rPr>
        <w:t> </w:t>
      </w:r>
      <w:r>
        <w:rPr/>
        <w:t>年一直在本公司工作，现任本公司副总经理。</w:t>
      </w:r>
    </w:p>
    <w:p>
      <w:pPr>
        <w:spacing w:line="240" w:lineRule="auto" w:before="9"/>
        <w:rPr>
          <w:rFonts w:ascii="宋体" w:hAnsi="宋体" w:cs="宋体" w:eastAsia="宋体" w:hint="default"/>
          <w:sz w:val="20"/>
          <w:szCs w:val="20"/>
        </w:rPr>
      </w:pPr>
    </w:p>
    <w:p>
      <w:pPr>
        <w:pStyle w:val="BodyText"/>
        <w:spacing w:line="357" w:lineRule="auto"/>
        <w:ind w:right="144" w:firstLine="360"/>
        <w:jc w:val="left"/>
      </w:pPr>
      <w:r>
        <w:rPr/>
        <w:t>王佺先生：中国国籍，现年</w:t>
      </w:r>
      <w:r>
        <w:rPr>
          <w:spacing w:val="-51"/>
        </w:rPr>
        <w:t> </w:t>
      </w:r>
      <w:r>
        <w:rPr>
          <w:rFonts w:ascii="宋体" w:hAnsi="宋体" w:cs="宋体" w:eastAsia="宋体" w:hint="default"/>
        </w:rPr>
        <w:t>42</w:t>
      </w:r>
      <w:r>
        <w:rPr>
          <w:rFonts w:ascii="宋体" w:hAnsi="宋体" w:cs="宋体" w:eastAsia="宋体" w:hint="default"/>
          <w:spacing w:val="-52"/>
        </w:rPr>
        <w:t> </w:t>
      </w:r>
      <w:r>
        <w:rPr/>
        <w:t>岁，</w:t>
      </w:r>
      <w:r>
        <w:rPr>
          <w:rFonts w:ascii="宋体" w:hAnsi="宋体" w:cs="宋体" w:eastAsia="宋体" w:hint="default"/>
        </w:rPr>
        <w:t>EMBA</w:t>
      </w:r>
      <w:r>
        <w:rPr>
          <w:rFonts w:ascii="宋体" w:hAnsi="宋体" w:cs="宋体" w:eastAsia="宋体" w:hint="default"/>
          <w:spacing w:val="-50"/>
        </w:rPr>
        <w:t> </w:t>
      </w:r>
      <w:r>
        <w:rPr>
          <w:spacing w:val="-3"/>
        </w:rPr>
        <w:t>学位，最近</w:t>
      </w:r>
      <w:r>
        <w:rPr>
          <w:spacing w:val="-51"/>
        </w:rPr>
        <w:t> </w:t>
      </w:r>
      <w:r>
        <w:rPr>
          <w:rFonts w:ascii="宋体" w:hAnsi="宋体" w:cs="宋体" w:eastAsia="宋体" w:hint="default"/>
        </w:rPr>
        <w:t>5</w:t>
      </w:r>
      <w:r>
        <w:rPr>
          <w:rFonts w:ascii="宋体" w:hAnsi="宋体" w:cs="宋体" w:eastAsia="宋体" w:hint="default"/>
          <w:spacing w:val="-51"/>
        </w:rPr>
        <w:t> </w:t>
      </w:r>
      <w:r>
        <w:rPr/>
        <w:t>年一直担任北京神州新桥科技有限公司副总裁，现任本公司副总 经理。</w:t>
      </w:r>
    </w:p>
    <w:p>
      <w:pPr>
        <w:spacing w:line="240" w:lineRule="auto" w:before="13"/>
        <w:rPr>
          <w:rFonts w:ascii="宋体" w:hAnsi="宋体" w:cs="宋体" w:eastAsia="宋体" w:hint="default"/>
          <w:sz w:val="13"/>
          <w:szCs w:val="13"/>
        </w:rPr>
      </w:pPr>
    </w:p>
    <w:p>
      <w:pPr>
        <w:pStyle w:val="BodyText"/>
        <w:spacing w:line="355" w:lineRule="auto"/>
        <w:ind w:right="147" w:firstLine="360"/>
        <w:jc w:val="left"/>
      </w:pPr>
      <w:r>
        <w:rPr/>
        <w:t>徐德力先生：中国国籍，现年</w:t>
      </w:r>
      <w:r>
        <w:rPr>
          <w:spacing w:val="-46"/>
        </w:rPr>
        <w:t> </w:t>
      </w:r>
      <w:r>
        <w:rPr>
          <w:rFonts w:ascii="宋体" w:hAnsi="宋体" w:cs="宋体" w:eastAsia="宋体" w:hint="default"/>
        </w:rPr>
        <w:t>42</w:t>
      </w:r>
      <w:r>
        <w:rPr>
          <w:rFonts w:ascii="宋体" w:hAnsi="宋体" w:cs="宋体" w:eastAsia="宋体" w:hint="default"/>
          <w:spacing w:val="-44"/>
        </w:rPr>
        <w:t> </w:t>
      </w:r>
      <w:r>
        <w:rPr/>
        <w:t>岁，硕士研究生，最近</w:t>
      </w:r>
      <w:r>
        <w:rPr>
          <w:spacing w:val="-48"/>
        </w:rPr>
        <w:t> </w:t>
      </w:r>
      <w:r>
        <w:rPr>
          <w:rFonts w:ascii="宋体" w:hAnsi="宋体" w:cs="宋体" w:eastAsia="宋体" w:hint="default"/>
        </w:rPr>
        <w:t>5</w:t>
      </w:r>
      <w:r>
        <w:rPr>
          <w:rFonts w:ascii="宋体" w:hAnsi="宋体" w:cs="宋体" w:eastAsia="宋体" w:hint="default"/>
          <w:spacing w:val="-45"/>
        </w:rPr>
        <w:t> </w:t>
      </w:r>
      <w:r>
        <w:rPr/>
        <w:t>年一直在本公司工作，现任本公司副总经理、电力事业部总 经理。</w:t>
      </w:r>
    </w:p>
    <w:p>
      <w:pPr>
        <w:spacing w:line="240" w:lineRule="auto" w:before="1"/>
        <w:rPr>
          <w:rFonts w:ascii="宋体" w:hAnsi="宋体" w:cs="宋体" w:eastAsia="宋体" w:hint="default"/>
          <w:sz w:val="14"/>
          <w:szCs w:val="14"/>
        </w:rPr>
      </w:pPr>
    </w:p>
    <w:p>
      <w:pPr>
        <w:pStyle w:val="BodyText"/>
        <w:spacing w:line="357" w:lineRule="auto"/>
        <w:ind w:right="149" w:firstLine="360"/>
        <w:jc w:val="left"/>
      </w:pPr>
      <w:r>
        <w:rPr/>
        <w:t>韩士斌先生：中国国籍，现年</w:t>
      </w:r>
      <w:r>
        <w:rPr>
          <w:spacing w:val="-47"/>
        </w:rPr>
        <w:t> </w:t>
      </w:r>
      <w:r>
        <w:rPr>
          <w:rFonts w:ascii="宋体" w:hAnsi="宋体" w:cs="宋体" w:eastAsia="宋体" w:hint="default"/>
        </w:rPr>
        <w:t>50</w:t>
      </w:r>
      <w:r>
        <w:rPr>
          <w:rFonts w:ascii="宋体" w:hAnsi="宋体" w:cs="宋体" w:eastAsia="宋体" w:hint="default"/>
          <w:spacing w:val="-45"/>
        </w:rPr>
        <w:t> </w:t>
      </w:r>
      <w:r>
        <w:rPr/>
        <w:t>岁，硕士研究生，工程师，最近</w:t>
      </w:r>
      <w:r>
        <w:rPr>
          <w:spacing w:val="-47"/>
        </w:rPr>
        <w:t> </w:t>
      </w:r>
      <w:r>
        <w:rPr>
          <w:rFonts w:ascii="宋体" w:hAnsi="宋体" w:cs="宋体" w:eastAsia="宋体" w:hint="default"/>
        </w:rPr>
        <w:t>5</w:t>
      </w:r>
      <w:r>
        <w:rPr>
          <w:rFonts w:ascii="宋体" w:hAnsi="宋体" w:cs="宋体" w:eastAsia="宋体" w:hint="default"/>
          <w:spacing w:val="-46"/>
        </w:rPr>
        <w:t> </w:t>
      </w:r>
      <w:r>
        <w:rPr/>
        <w:t>年一直在本公司工作，现任本公司副总经理、医疗 卫生事业部总经理。</w:t>
      </w:r>
    </w:p>
    <w:p>
      <w:pPr>
        <w:spacing w:line="240" w:lineRule="auto" w:before="7"/>
        <w:rPr>
          <w:rFonts w:ascii="宋体" w:hAnsi="宋体" w:cs="宋体" w:eastAsia="宋体" w:hint="default"/>
          <w:sz w:val="10"/>
          <w:szCs w:val="10"/>
        </w:rPr>
      </w:pPr>
    </w:p>
    <w:p>
      <w:pPr>
        <w:pStyle w:val="BodyText"/>
        <w:spacing w:line="240" w:lineRule="auto" w:before="44"/>
        <w:ind w:left="513" w:right="0"/>
        <w:jc w:val="left"/>
      </w:pPr>
      <w:r>
        <w:rPr/>
        <w:t>董国勇先生：中国国籍，现年</w:t>
      </w:r>
      <w:r>
        <w:rPr>
          <w:spacing w:val="-46"/>
        </w:rPr>
        <w:t> </w:t>
      </w:r>
      <w:r>
        <w:rPr>
          <w:rFonts w:ascii="宋体" w:hAnsi="宋体" w:cs="宋体" w:eastAsia="宋体" w:hint="default"/>
        </w:rPr>
        <w:t>43</w:t>
      </w:r>
      <w:r>
        <w:rPr>
          <w:rFonts w:ascii="宋体" w:hAnsi="宋体" w:cs="宋体" w:eastAsia="宋体" w:hint="default"/>
          <w:spacing w:val="-44"/>
        </w:rPr>
        <w:t> </w:t>
      </w:r>
      <w:r>
        <w:rPr/>
        <w:t>岁，大学本科，最近</w:t>
      </w:r>
      <w:r>
        <w:rPr>
          <w:spacing w:val="-48"/>
        </w:rPr>
        <w:t> </w:t>
      </w:r>
      <w:r>
        <w:rPr>
          <w:rFonts w:ascii="宋体" w:hAnsi="宋体" w:cs="宋体" w:eastAsia="宋体" w:hint="default"/>
        </w:rPr>
        <w:t>5</w:t>
      </w:r>
      <w:r>
        <w:rPr>
          <w:rFonts w:ascii="宋体" w:hAnsi="宋体" w:cs="宋体" w:eastAsia="宋体" w:hint="default"/>
          <w:spacing w:val="-45"/>
        </w:rPr>
        <w:t> </w:t>
      </w:r>
      <w:r>
        <w:rPr/>
        <w:t>年一直在本公司工作，现任本公司副总经理、金融事业部总经</w:t>
      </w:r>
    </w:p>
    <w:p>
      <w:pPr>
        <w:pStyle w:val="BodyText"/>
        <w:spacing w:line="240" w:lineRule="auto" w:before="115"/>
        <w:ind w:right="153"/>
        <w:jc w:val="left"/>
      </w:pPr>
      <w:r>
        <w:rPr/>
        <w:t>理。</w:t>
      </w:r>
    </w:p>
    <w:p>
      <w:pPr>
        <w:spacing w:line="240" w:lineRule="auto" w:before="5"/>
        <w:rPr>
          <w:rFonts w:ascii="宋体" w:hAnsi="宋体" w:cs="宋体" w:eastAsia="宋体" w:hint="default"/>
          <w:sz w:val="17"/>
          <w:szCs w:val="17"/>
        </w:rPr>
      </w:pPr>
    </w:p>
    <w:p>
      <w:pPr>
        <w:pStyle w:val="BodyText"/>
        <w:spacing w:line="240" w:lineRule="auto" w:before="44"/>
        <w:ind w:left="513" w:right="153"/>
        <w:jc w:val="left"/>
      </w:pPr>
      <w:r>
        <w:rPr/>
        <w:t>阮晋先生：中国国籍，现年</w:t>
      </w:r>
      <w:r>
        <w:rPr>
          <w:spacing w:val="-46"/>
        </w:rPr>
        <w:t> </w:t>
      </w:r>
      <w:r>
        <w:rPr>
          <w:rFonts w:ascii="宋体" w:hAnsi="宋体" w:cs="宋体" w:eastAsia="宋体" w:hint="default"/>
        </w:rPr>
        <w:t>43</w:t>
      </w:r>
      <w:r>
        <w:rPr>
          <w:rFonts w:ascii="宋体" w:hAnsi="宋体" w:cs="宋体" w:eastAsia="宋体" w:hint="default"/>
          <w:spacing w:val="-47"/>
        </w:rPr>
        <w:t> </w:t>
      </w:r>
      <w:r>
        <w:rPr/>
        <w:t>岁，</w:t>
      </w:r>
      <w:r>
        <w:rPr>
          <w:rFonts w:ascii="宋体" w:hAnsi="宋体" w:cs="宋体" w:eastAsia="宋体" w:hint="default"/>
        </w:rPr>
        <w:t>EMBA</w:t>
      </w:r>
      <w:r>
        <w:rPr>
          <w:rFonts w:ascii="宋体" w:hAnsi="宋体" w:cs="宋体" w:eastAsia="宋体" w:hint="default"/>
          <w:spacing w:val="-44"/>
        </w:rPr>
        <w:t> </w:t>
      </w:r>
      <w:r>
        <w:rPr/>
        <w:t>学位，最近</w:t>
      </w:r>
      <w:r>
        <w:rPr>
          <w:spacing w:val="-48"/>
        </w:rPr>
        <w:t> </w:t>
      </w:r>
      <w:r>
        <w:rPr>
          <w:rFonts w:ascii="宋体" w:hAnsi="宋体" w:cs="宋体" w:eastAsia="宋体" w:hint="default"/>
        </w:rPr>
        <w:t>5</w:t>
      </w:r>
      <w:r>
        <w:rPr>
          <w:rFonts w:ascii="宋体" w:hAnsi="宋体" w:cs="宋体" w:eastAsia="宋体" w:hint="default"/>
          <w:spacing w:val="-45"/>
        </w:rPr>
        <w:t> </w:t>
      </w:r>
      <w:r>
        <w:rPr/>
        <w:t>年一直在本公司工作，现任本公司副总经理。</w:t>
      </w:r>
    </w:p>
    <w:p>
      <w:pPr>
        <w:pStyle w:val="BodyText"/>
        <w:spacing w:line="548" w:lineRule="exact" w:before="42"/>
        <w:ind w:right="1407" w:firstLine="360"/>
        <w:jc w:val="left"/>
      </w:pPr>
      <w:r>
        <w:rPr/>
        <w:t>叶莉女士：中国国籍，现年</w:t>
      </w:r>
      <w:r>
        <w:rPr>
          <w:spacing w:val="-46"/>
        </w:rPr>
        <w:t> </w:t>
      </w:r>
      <w:r>
        <w:rPr>
          <w:rFonts w:ascii="宋体" w:hAnsi="宋体" w:cs="宋体" w:eastAsia="宋体" w:hint="default"/>
        </w:rPr>
        <w:t>43</w:t>
      </w:r>
      <w:r>
        <w:rPr>
          <w:rFonts w:ascii="宋体" w:hAnsi="宋体" w:cs="宋体" w:eastAsia="宋体" w:hint="default"/>
          <w:spacing w:val="-47"/>
        </w:rPr>
        <w:t> </w:t>
      </w:r>
      <w:r>
        <w:rPr/>
        <w:t>岁，硕士研究生，最近</w:t>
      </w:r>
      <w:r>
        <w:rPr>
          <w:spacing w:val="-45"/>
        </w:rPr>
        <w:t> </w:t>
      </w:r>
      <w:r>
        <w:rPr>
          <w:rFonts w:ascii="宋体" w:hAnsi="宋体" w:cs="宋体" w:eastAsia="宋体" w:hint="default"/>
        </w:rPr>
        <w:t>5</w:t>
      </w:r>
      <w:r>
        <w:rPr>
          <w:rFonts w:ascii="宋体" w:hAnsi="宋体" w:cs="宋体" w:eastAsia="宋体" w:hint="default"/>
          <w:spacing w:val="-45"/>
        </w:rPr>
        <w:t> </w:t>
      </w:r>
      <w:r>
        <w:rPr/>
        <w:t>年一直在本公司工作，现任本公司财务总监。 在股东单位任职情况</w:t>
      </w:r>
    </w:p>
    <w:p>
      <w:pPr>
        <w:pStyle w:val="BodyText"/>
        <w:spacing w:line="240" w:lineRule="auto" w:before="30"/>
        <w:ind w:right="153"/>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59"/>
        <w:jc w:val="right"/>
      </w:pPr>
      <w:r>
        <w:rPr/>
        <w:pict>
          <v:shape style="position:absolute;margin-left:56.459999pt;margin-top:-121.148293pt;width:479.2pt;height:201.3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6"/>
                    <w:gridCol w:w="3037"/>
                    <w:gridCol w:w="1135"/>
                    <w:gridCol w:w="1558"/>
                    <w:gridCol w:w="1138"/>
                    <w:gridCol w:w="1486"/>
                  </w:tblGrid>
                  <w:tr>
                    <w:trPr>
                      <w:trHeight w:val="715"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00"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薛向东先生最近五年一直担任本公司董事长，除此之外现任本公司控股股东北京东华诚信电脑科技发展有 限公司董事，本公司全资子公司北京东华合创科技有限公司、东华合创软件有限公司、北京东华合创香港 有限公司、东华软件工程有限公司、北京东华信息技术有限公司、东华星联科技有限公司、合力东华（北 京）科技有限公司董事长，全资子公司广州东华合创数码科技有限公司、东华合创软件有限公司、北京东 </w:t>
                        </w:r>
                        <w:r>
                          <w:rPr>
                            <w:rFonts w:ascii="宋体" w:hAnsi="宋体" w:cs="宋体" w:eastAsia="宋体" w:hint="default"/>
                            <w:spacing w:val="-2"/>
                            <w:sz w:val="18"/>
                            <w:szCs w:val="18"/>
                          </w:rPr>
                          <w:t>华易时科技有限公司、泰安东华合创软件有限公司、北京厚盾科技有限公司、北京卓讯科信技术有限公司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东华合创科技有限公司、北京东华厚盾软件有限公司、山西东华软件有限公司、天津东华博雅软件有限公</w:t>
                        </w:r>
                        <w:r>
                          <w:rPr>
                            <w:rFonts w:ascii="宋体" w:hAnsi="宋体" w:cs="宋体" w:eastAsia="宋体" w:hint="default"/>
                            <w:sz w:val="18"/>
                            <w:szCs w:val="18"/>
                          </w:rPr>
                          <w:t> 司、东华软件技术有限公司执行董事，控股子公司北京东华万兴软件有限公司、北京联银通科技有限公司 董事，全资子公司哈尔滨东华软件有限公司董事，控股子公司东华互联宜家数据服务有限公司、北京光明 数据信息技术有限公司董事长。</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right="153"/>
        <w:jc w:val="left"/>
      </w:pPr>
      <w:r>
        <w:rPr/>
        <w:t>在其他单位任职情况</w:t>
      </w:r>
    </w:p>
    <w:p>
      <w:pPr>
        <w:pStyle w:val="BodyText"/>
        <w:spacing w:line="240" w:lineRule="auto" w:before="11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天津东华博雅软件有限公司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中国人民大学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中国会计学会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理事，学部副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财政部会计准则委员会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中国审计学会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理事，学术委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员会副主任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中国审计专业研究生教指委</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北京京东方科技股份有限公司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深圳大富科技股份有限公司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北京首行节能艾启威股份有限公司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华北计算机技术研究所科技委</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学位委员会 副主席</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中国财政学会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中国财税法学会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全国政府预算研究会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全国高校财政学教学研究会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北京市东城区、顺义区人大常委会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北京华力创通科技股份有限公司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江西富祥药业股份公司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安徽荃银高科股份有限公司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青岛啤酒</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清华大学自动化系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北京立思辰科技股份有限公司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53"/>
        <w:jc w:val="left"/>
      </w:pPr>
      <w:r>
        <w:rPr/>
        <w:t>公司现任及报告期内离任董事、监事和高级管理人员近三年证券监管机构处罚的情况</w:t>
      </w:r>
    </w:p>
    <w:p>
      <w:pPr>
        <w:pStyle w:val="BodyText"/>
        <w:spacing w:line="240" w:lineRule="auto" w:before="115"/>
        <w:ind w:right="153"/>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44"/>
        <w:jc w:val="left"/>
      </w:pPr>
      <w:r>
        <w:rPr/>
        <w:t>董事、监事、高级管理人员报酬的决策程序、确定依据、实际支付情况 </w:t>
      </w:r>
      <w:r>
        <w:rPr>
          <w:rFonts w:ascii="宋体" w:hAnsi="宋体" w:cs="宋体" w:eastAsia="宋体" w:hint="default"/>
        </w:rPr>
        <w:t>1</w:t>
      </w:r>
      <w:r>
        <w:rPr/>
        <w:t>、董事、监事、高级管理人员报酬的决策程序：董事、监事的津贴根据股东大会决议确定。薪酬与考核委员会是董事会按 照股东大会决议设立的专门工作机构，负责对董事与高级管理人员的考核和薪酬进行审查，并提出意见和建议。</w:t>
      </w:r>
    </w:p>
    <w:p>
      <w:pPr>
        <w:pStyle w:val="BodyText"/>
        <w:spacing w:line="240" w:lineRule="auto" w:before="43"/>
        <w:ind w:right="0"/>
        <w:jc w:val="left"/>
      </w:pPr>
      <w:r>
        <w:rPr>
          <w:rFonts w:ascii="宋体" w:hAnsi="宋体" w:cs="宋体" w:eastAsia="宋体" w:hint="default"/>
        </w:rPr>
        <w:t>2</w:t>
      </w:r>
      <w:r>
        <w:rPr/>
        <w:t>、董事、监事、高级管理人员报酬确定依据：在公司任职的董事、监事、高级管理人员按照其行政职务根据公司现行的工</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144"/>
        <w:jc w:val="left"/>
      </w:pPr>
      <w:r>
        <w:rPr/>
        <w:t>资制度领取报酬，年底根据经营业绩，按照绩效考核体系对高级管理人员进行考评，根据考评结果确定其年终奖金。 </w:t>
      </w:r>
      <w:r>
        <w:rPr>
          <w:rFonts w:ascii="宋体" w:hAnsi="宋体" w:cs="宋体" w:eastAsia="宋体" w:hint="default"/>
        </w:rPr>
        <w:t>3</w:t>
      </w:r>
      <w:r>
        <w:rPr/>
        <w:t>、董事、监事和高级管理人员报酬的实际支付情况：公司严格按照董事、监事、高级管理人员薪酬的决策程序与确定依据 按月支付薪酬。</w:t>
      </w:r>
    </w:p>
    <w:p>
      <w:pPr>
        <w:pStyle w:val="BodyText"/>
        <w:spacing w:line="240" w:lineRule="auto" w:before="41"/>
        <w:ind w:right="153"/>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2552"/>
        <w:gridCol w:w="850"/>
        <w:gridCol w:w="994"/>
        <w:gridCol w:w="1275"/>
        <w:gridCol w:w="1561"/>
        <w:gridCol w:w="1349"/>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5" w:right="53" w:hanging="360"/>
              <w:jc w:val="left"/>
              <w:rPr>
                <w:rFonts w:ascii="宋体" w:hAnsi="宋体" w:cs="宋体" w:eastAsia="宋体" w:hint="default"/>
                <w:sz w:val="18"/>
                <w:szCs w:val="18"/>
              </w:rPr>
            </w:pPr>
            <w:r>
              <w:rPr>
                <w:rFonts w:ascii="宋体" w:hAnsi="宋体" w:cs="宋体" w:eastAsia="宋体" w:hint="default"/>
                <w:sz w:val="18"/>
                <w:szCs w:val="18"/>
              </w:rPr>
              <w:t>从公司获得的税前 报酬总额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0" w:right="36"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阮晋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25.15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795.6</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footerReference w:type="default" r:id="rId34"/>
          <w:pgSz w:w="11910" w:h="16840"/>
          <w:pgMar w:footer="980" w:header="745" w:top="1060" w:bottom="1160" w:left="980" w:right="980"/>
          <w:pgNumType w:start="73"/>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5193" w:space="3727"/>
            <w:col w:w="1030"/>
          </w:cols>
        </w:sectPr>
      </w:pPr>
    </w:p>
    <w:p>
      <w:pPr>
        <w:spacing w:line="240" w:lineRule="auto" w:before="0"/>
        <w:rPr>
          <w:rFonts w:ascii="Times New Roman" w:hAnsi="Times New Roman" w:cs="Times New Roman" w:eastAsia="Times New Roman" w:hint="default"/>
          <w:sz w:val="20"/>
          <w:szCs w:val="20"/>
        </w:rPr>
      </w:pPr>
      <w:r>
        <w:rPr/>
        <w:pict>
          <v:group style="position:absolute;margin-left:143.660004pt;margin-top:159.499985pt;width:43pt;height:28pt;mso-position-horizontal-relative:page;mso-position-vertical-relative:page;z-index:-1059424" coordorigin="2873,3190" coordsize="860,560">
            <v:group style="position:absolute;left:2873;top:3190;width:860;height:156" coordorigin="2873,3190" coordsize="860,156">
              <v:shape style="position:absolute;left:2873;top:3190;width:860;height:156" coordorigin="2873,3190" coordsize="860,156" path="m2873,3346l3732,3346,3732,3190,2873,3190,2873,3346xe" filled="true" fillcolor="#ffffff" stroked="false">
                <v:path arrowok="t"/>
                <v:fill type="solid"/>
              </v:shape>
            </v:group>
            <v:group style="position:absolute;left:2885;top:3346;width:2;height:392" coordorigin="2885,3346" coordsize="2,392">
              <v:shape style="position:absolute;left:2885;top:3346;width:2;height:392" coordorigin="2885,3346" coordsize="0,392" path="m2885,3346l2885,3737e" filled="false" stroked="true" strokeweight="1.2pt" strokecolor="#ffffff">
                <v:path arrowok="t"/>
              </v:shape>
            </v:group>
            <v:group style="position:absolute;left:2897;top:3346;width:814;height:392" coordorigin="2897,3346" coordsize="814,392">
              <v:shape style="position:absolute;left:2897;top:3346;width:814;height:392" coordorigin="2897,3346" coordsize="814,392" path="m2897,3737l3711,3737,3711,3346,2897,3346,2897,37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181"/>
        <w:gridCol w:w="688"/>
        <w:gridCol w:w="872"/>
        <w:gridCol w:w="869"/>
        <w:gridCol w:w="869"/>
        <w:gridCol w:w="872"/>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310" w:lineRule="atLeast" w:before="2"/>
              <w:ind w:left="24" w:right="23"/>
              <w:jc w:val="center"/>
              <w:rPr>
                <w:rFonts w:ascii="宋体" w:hAnsi="宋体" w:cs="宋体" w:eastAsia="宋体" w:hint="default"/>
                <w:sz w:val="18"/>
                <w:szCs w:val="18"/>
              </w:rPr>
            </w:pPr>
            <w:r>
              <w:rPr>
                <w:rFonts w:ascii="宋体" w:hAnsi="宋体" w:cs="宋体" w:eastAsia="宋体" w:hint="default"/>
                <w:sz w:val="18"/>
                <w:szCs w:val="18"/>
              </w:rPr>
              <w:t>市价（元</w:t>
            </w:r>
            <w:r>
              <w:rPr>
                <w:rFonts w:ascii="宋体" w:hAnsi="宋体" w:cs="宋体" w:eastAsia="宋体" w:hint="default"/>
                <w:sz w:val="18"/>
                <w:szCs w:val="18"/>
              </w:rPr>
              <w:t>/ </w:t>
            </w:r>
            <w:r>
              <w:rPr>
                <w:rFonts w:ascii="宋体" w:hAnsi="宋体" w:cs="宋体" w:eastAsia="宋体" w:hint="default"/>
                <w:sz w:val="18"/>
                <w:szCs w:val="18"/>
              </w:rPr>
              <w:t>股）</w:t>
            </w:r>
          </w:p>
          <w:p>
            <w:pPr>
              <w:pStyle w:val="TableParagraph"/>
              <w:spacing w:line="15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sz w:val="18"/>
              </w:rPr>
              <w:t>52,000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31,200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郭玉洁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阮晋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宋体" w:hAnsi="宋体" w:cs="宋体" w:eastAsia="宋体" w:hint="default"/>
                <w:sz w:val="18"/>
                <w:szCs w:val="18"/>
              </w:rPr>
            </w:pPr>
            <w:r>
              <w:rPr>
                <w:rFonts w:ascii="宋体"/>
                <w:sz w:val="18"/>
              </w:rPr>
              <w:t>41,600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宋体"/>
                <w:sz w:val="18"/>
              </w:rPr>
              <w:t>31,200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sz w:val="18"/>
              </w:rPr>
              <w:t>25.10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sz w:val="18"/>
              </w:rPr>
              <w:t>655,200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left="252" w:right="0"/>
        <w:jc w:val="left"/>
        <w:rPr>
          <w:b w:val="0"/>
          <w:bCs w:val="0"/>
        </w:rPr>
      </w:pPr>
      <w:r>
        <w:rPr/>
        <w:t>五、公司员工情况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2" w:right="0"/>
        <w:jc w:val="left"/>
      </w:pPr>
      <w:r>
        <w:rPr/>
        <w:t>截止报告期末，公司在职员工为</w:t>
      </w:r>
      <w:r>
        <w:rPr>
          <w:spacing w:val="-44"/>
        </w:rPr>
        <w:t> </w:t>
      </w:r>
      <w:r>
        <w:rPr>
          <w:rFonts w:ascii="宋体" w:hAnsi="宋体" w:cs="宋体" w:eastAsia="宋体" w:hint="default"/>
        </w:rPr>
        <w:t>7031</w:t>
      </w:r>
      <w:r>
        <w:rPr>
          <w:rFonts w:ascii="宋体" w:hAnsi="宋体" w:cs="宋体" w:eastAsia="宋体" w:hint="default"/>
          <w:spacing w:val="-43"/>
        </w:rPr>
        <w:t> </w:t>
      </w:r>
      <w:r>
        <w:rPr/>
        <w:t>人。</w:t>
      </w:r>
    </w:p>
    <w:p>
      <w:pPr>
        <w:spacing w:line="240" w:lineRule="auto" w:before="2"/>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4927"/>
        <w:gridCol w:w="4928"/>
      </w:tblGrid>
      <w:tr>
        <w:trPr>
          <w:trHeight w:val="403"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2,354</w:t>
            </w:r>
          </w:p>
        </w:tc>
      </w:tr>
      <w:tr>
        <w:trPr>
          <w:trHeight w:val="401"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4,677</w:t>
            </w:r>
          </w:p>
        </w:tc>
      </w:tr>
      <w:tr>
        <w:trPr>
          <w:trHeight w:val="403"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7,031</w:t>
            </w:r>
          </w:p>
        </w:tc>
      </w:tr>
      <w:tr>
        <w:trPr>
          <w:trHeight w:val="401"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7,031</w:t>
            </w:r>
          </w:p>
        </w:tc>
      </w:tr>
      <w:tr>
        <w:trPr>
          <w:trHeight w:val="403"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3</w:t>
            </w:r>
          </w:p>
        </w:tc>
      </w:tr>
    </w:tbl>
    <w:p>
      <w:pPr>
        <w:spacing w:line="240" w:lineRule="auto" w:before="5"/>
        <w:rPr>
          <w:rFonts w:ascii="宋体" w:hAnsi="宋体" w:cs="宋体" w:eastAsia="宋体" w:hint="default"/>
          <w:sz w:val="6"/>
          <w:szCs w:val="6"/>
        </w:rPr>
      </w:pPr>
    </w:p>
    <w:p>
      <w:pPr>
        <w:pStyle w:val="BodyText"/>
        <w:spacing w:line="240" w:lineRule="auto" w:before="44"/>
        <w:ind w:left="432" w:right="0"/>
        <w:jc w:val="left"/>
      </w:pPr>
      <w:r>
        <w:rPr>
          <w:rFonts w:ascii="Times New Roman" w:hAnsi="Times New Roman" w:cs="Times New Roman" w:eastAsia="Times New Roman" w:hint="default"/>
        </w:rPr>
        <w:t>1</w:t>
      </w:r>
      <w:r>
        <w:rPr/>
        <w:t>、按员工专业构成分类：</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483"/>
        <w:gridCol w:w="2756"/>
        <w:gridCol w:w="3651"/>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专业</w:t>
            </w:r>
            <w:r>
              <w:rPr>
                <w:rFonts w:ascii="宋体" w:hAnsi="宋体" w:cs="宋体" w:eastAsia="宋体" w:hint="default"/>
                <w:sz w:val="18"/>
                <w:szCs w:val="18"/>
              </w:rPr>
            </w:r>
          </w:p>
        </w:tc>
        <w:tc>
          <w:tcPr>
            <w:tcW w:w="2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187" w:right="0"/>
              <w:jc w:val="left"/>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40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108</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1.54%</w:t>
            </w:r>
          </w:p>
        </w:tc>
      </w:tr>
      <w:tr>
        <w:trPr>
          <w:trHeight w:val="40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773</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10.99%</w:t>
            </w:r>
          </w:p>
        </w:tc>
      </w:tr>
      <w:tr>
        <w:trPr>
          <w:trHeight w:val="40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5,610</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79.79%</w:t>
            </w:r>
          </w:p>
        </w:tc>
      </w:tr>
      <w:tr>
        <w:trPr>
          <w:trHeight w:val="40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93</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1.32%</w:t>
            </w:r>
          </w:p>
        </w:tc>
      </w:tr>
      <w:tr>
        <w:trPr>
          <w:trHeight w:val="40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447</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6.36%</w:t>
            </w:r>
          </w:p>
        </w:tc>
      </w:tr>
      <w:tr>
        <w:trPr>
          <w:trHeight w:val="401" w:hRule="exact"/>
        </w:trPr>
        <w:tc>
          <w:tcPr>
            <w:tcW w:w="3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7,031</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100%</w:t>
            </w:r>
          </w:p>
        </w:tc>
      </w:tr>
    </w:tbl>
    <w:p>
      <w:pPr>
        <w:spacing w:line="240" w:lineRule="auto" w:before="5"/>
        <w:rPr>
          <w:rFonts w:ascii="宋体" w:hAnsi="宋体" w:cs="宋体" w:eastAsia="宋体" w:hint="default"/>
          <w:sz w:val="6"/>
          <w:szCs w:val="6"/>
        </w:rPr>
      </w:pPr>
    </w:p>
    <w:p>
      <w:pPr>
        <w:pStyle w:val="BodyText"/>
        <w:spacing w:line="240" w:lineRule="auto" w:before="44"/>
        <w:ind w:left="432" w:right="0"/>
        <w:jc w:val="left"/>
      </w:pPr>
      <w:r>
        <w:rPr>
          <w:rFonts w:ascii="Times New Roman" w:hAnsi="Times New Roman" w:cs="Times New Roman" w:eastAsia="Times New Roman" w:hint="default"/>
        </w:rPr>
        <w:t>2</w:t>
      </w:r>
      <w:r>
        <w:rPr/>
        <w:t>、按员工教育程度分类</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404"/>
        <w:gridCol w:w="2835"/>
        <w:gridCol w:w="3651"/>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187" w:right="0"/>
              <w:jc w:val="left"/>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研究生及以上学历</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809</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11.51%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大学本科学历</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5294</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75.30%</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823</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11.71%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105</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1.49%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7031</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745" w:footer="980" w:top="1060" w:bottom="1160" w:left="8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5055" w:lineRule="exact"/>
        <w:ind w:left="596" w:right="0" w:firstLine="0"/>
        <w:rPr>
          <w:rFonts w:ascii="宋体" w:hAnsi="宋体" w:cs="宋体" w:eastAsia="宋体" w:hint="default"/>
          <w:sz w:val="20"/>
          <w:szCs w:val="20"/>
        </w:rPr>
      </w:pPr>
      <w:r>
        <w:rPr>
          <w:rFonts w:ascii="宋体" w:hAnsi="宋体" w:cs="宋体" w:eastAsia="宋体" w:hint="default"/>
          <w:position w:val="-100"/>
          <w:sz w:val="20"/>
          <w:szCs w:val="20"/>
        </w:rPr>
        <w:pict>
          <v:group style="width:432.75pt;height:252.75pt;mso-position-horizontal-relative:char;mso-position-vertical-relative:line" coordorigin="0,0" coordsize="8655,5055">
            <v:group style="position:absolute;left:3698;top:1151;width:164;height:1702" coordorigin="3698,1151" coordsize="164,1702">
              <v:shape style="position:absolute;left:3698;top:1151;width:164;height:1702" coordorigin="3698,1151" coordsize="164,1702" path="m3698,1151l3698,2852,3862,1159,3821,1155,3780,1153,3739,1151,3698,1151xe" filled="true" fillcolor="#4f81bc" stroked="false">
                <v:path arrowok="t"/>
                <v:fill type="solid"/>
              </v:shape>
            </v:group>
            <v:group style="position:absolute;left:3698;top:1158;width:1206;height:1694" coordorigin="3698,1158" coordsize="1206,1694">
              <v:shape style="position:absolute;left:3698;top:1158;width:1206;height:1694" coordorigin="3698,1158" coordsize="1206,1694" path="m3862,1158l3698,2852,4903,1651,4846,1597,4787,1545,4725,1496,4662,1450,4596,1407,4529,1368,4460,1331,4390,1298,4318,1268,4245,1241,4170,1218,4094,1198,4018,1181,3940,1168,3862,1158xe" filled="true" fillcolor="#c0504d" stroked="false">
                <v:path arrowok="t"/>
                <v:fill type="solid"/>
              </v:shape>
            </v:group>
            <v:group style="position:absolute;left:1996;top:1359;width:3404;height:3196" coordorigin="1996,1359" coordsize="3404,3196">
              <v:shape style="position:absolute;left:1996;top:1359;width:3404;height:3196" coordorigin="1996,1359" coordsize="3404,3196" path="m2883,1359l2817,1396,2753,1436,2692,1479,2634,1524,2577,1571,2523,1620,2472,1671,2423,1724,2376,1779,2333,1836,2291,1894,2252,1954,2216,2015,2183,2077,2152,2141,2124,2206,2098,2272,2075,2339,2056,2406,2038,2475,2024,2544,2013,2614,2004,2684,1999,2755,1996,2826,1996,2897,2000,2968,2006,3040,2015,3111,2028,3182,2044,3253,2062,3323,2084,3393,2109,3463,2138,3532,2169,3600,2204,3667,2242,3733,2282,3796,2325,3857,2370,3916,2417,3972,2466,4026,2517,4078,2570,4127,2625,4173,2681,4217,2740,4259,2799,4297,2860,4334,2923,4367,2987,4398,3051,4426,3117,4452,3184,4474,3252,4494,3320,4511,3390,4526,3459,4537,3530,4545,3600,4551,3671,4554,3743,4553,3814,4550,3885,4544,3956,4534,4028,4522,4098,4506,4169,4487,4239,4466,4308,4440,4377,4412,4445,4381,4513,4346,4578,4308,4642,4268,4703,4225,4762,4180,4818,4133,4872,4084,4923,4033,4972,3980,5019,3925,5063,3868,5104,3810,5143,3751,5179,3689,5213,3627,5243,3563,5272,3498,5297,3433,5320,3366,5340,3298,5357,3229,5371,3160,5382,3090,5391,3020,5397,2949,5399,2878,5399,2852,3698,2852,2883,1359xe" filled="true" fillcolor="#9bba58" stroked="false">
                <v:path arrowok="t"/>
                <v:fill type="solid"/>
              </v:shape>
              <v:shape style="position:absolute;left:1996;top:1359;width:3404;height:3196" coordorigin="1996,1359" coordsize="3404,3196" path="m4903,1651l3698,2852,5399,2852,5396,2736,5389,2665,5380,2593,5367,2522,5352,2451,5333,2381,5311,2311,5286,2241,5258,2173,5226,2104,5191,2037,5151,1967,5107,1900,5061,1834,5011,1771,4959,1710,4903,1651xe" filled="true" fillcolor="#9bba58" stroked="false">
                <v:path arrowok="t"/>
                <v:fill type="solid"/>
              </v:shape>
            </v:group>
            <v:group style="position:absolute;left:2883;top:1284;width:816;height:1568" coordorigin="2883,1284" coordsize="816,1568">
              <v:shape style="position:absolute;left:2883;top:1284;width:816;height:1568" coordorigin="2883,1284" coordsize="816,1568" path="m3036,1284l2997,1302,2958,1320,2920,1339,2883,1358,3698,2852,3036,1284xe" filled="true" fillcolor="#8063a1" stroked="false">
                <v:path arrowok="t"/>
                <v:fill type="solid"/>
              </v:shape>
            </v:group>
            <v:group style="position:absolute;left:3036;top:1151;width:662;height:1702" coordorigin="3036,1151" coordsize="662,1702">
              <v:shape style="position:absolute;left:3036;top:1151;width:662;height:1702" coordorigin="3036,1151" coordsize="662,1702" path="m3698,1151l3622,1152,3547,1157,3472,1166,3397,1177,3323,1192,3250,1210,3178,1232,3106,1257,3036,1285,3698,2852,3698,1151xe" filled="true" fillcolor="#4aacc5" stroked="false">
                <v:path arrowok="t"/>
                <v:fill type="solid"/>
              </v:shape>
            </v:group>
            <v:group style="position:absolute;left:7488;top:2074;width:111;height:111" coordorigin="7488,2074" coordsize="111,111">
              <v:shape style="position:absolute;left:7488;top:2074;width:111;height:111" coordorigin="7488,2074" coordsize="111,111" path="m7488,2185l7599,2185,7599,2074,7488,2074,7488,2185xe" filled="true" fillcolor="#4f81bc" stroked="false">
                <v:path arrowok="t"/>
                <v:fill type="solid"/>
              </v:shape>
            </v:group>
            <v:group style="position:absolute;left:7488;top:2434;width:111;height:111" coordorigin="7488,2434" coordsize="111,111">
              <v:shape style="position:absolute;left:7488;top:2434;width:111;height:111" coordorigin="7488,2434" coordsize="111,111" path="m7488,2545l7599,2545,7599,2434,7488,2434,7488,2545xe" filled="true" fillcolor="#c0504d" stroked="false">
                <v:path arrowok="t"/>
                <v:fill type="solid"/>
              </v:shape>
            </v:group>
            <v:group style="position:absolute;left:7488;top:2797;width:111;height:111" coordorigin="7488,2797" coordsize="111,111">
              <v:shape style="position:absolute;left:7488;top:2797;width:111;height:111" coordorigin="7488,2797" coordsize="111,111" path="m7488,2907l7599,2907,7599,2797,7488,2797,7488,2907xe" filled="true" fillcolor="#9bba58" stroked="false">
                <v:path arrowok="t"/>
                <v:fill type="solid"/>
              </v:shape>
            </v:group>
            <v:group style="position:absolute;left:7488;top:3159;width:111;height:111" coordorigin="7488,3159" coordsize="111,111">
              <v:shape style="position:absolute;left:7488;top:3159;width:111;height:111" coordorigin="7488,3159" coordsize="111,111" path="m7488,3270l7599,3270,7599,3159,7488,3159,7488,3270xe" filled="true" fillcolor="#8063a1" stroked="false">
                <v:path arrowok="t"/>
                <v:fill type="solid"/>
              </v:shape>
            </v:group>
            <v:group style="position:absolute;left:7488;top:3519;width:111;height:111" coordorigin="7488,3519" coordsize="111,111">
              <v:shape style="position:absolute;left:7488;top:3519;width:111;height:111" coordorigin="7488,3519" coordsize="111,111" path="m7488,3630l7599,3630,7599,3519,7488,3519,7488,3630xe" filled="true" fillcolor="#4aacc5" stroked="false">
                <v:path arrowok="t"/>
                <v:fill type="solid"/>
              </v:shape>
            </v:group>
            <v:group style="position:absolute;left:8;top:8;width:8640;height:5040" coordorigin="8,8" coordsize="8640,5040">
              <v:shape style="position:absolute;left:8;top:8;width:8640;height:5040" coordorigin="8,8" coordsize="8640,5040" path="m8,5048l8648,5048,8648,8,8,8,8,5048xe" filled="false" stroked="true" strokeweight=".75pt" strokecolor="#858585">
                <v:path arrowok="t"/>
              </v:shape>
              <v:shape style="position:absolute;left:3604;top:211;width:1450;height:360" type="#_x0000_t202" filled="false" stroked="false">
                <v:textbox inset="0,0,0,0">
                  <w:txbxContent>
                    <w:p>
                      <w:pPr>
                        <w:spacing w:line="360" w:lineRule="exact" w:before="0"/>
                        <w:ind w:left="0" w:right="0" w:firstLine="0"/>
                        <w:jc w:val="left"/>
                        <w:rPr>
                          <w:rFonts w:ascii="宋体" w:hAnsi="宋体" w:cs="宋体" w:eastAsia="宋体" w:hint="default"/>
                          <w:sz w:val="36"/>
                          <w:szCs w:val="36"/>
                        </w:rPr>
                      </w:pPr>
                      <w:r>
                        <w:rPr>
                          <w:rFonts w:ascii="宋体" w:hAnsi="宋体" w:cs="宋体" w:eastAsia="宋体" w:hint="default"/>
                          <w:b/>
                          <w:bCs/>
                          <w:sz w:val="36"/>
                          <w:szCs w:val="36"/>
                        </w:rPr>
                        <w:t>专业构成</w:t>
                      </w:r>
                      <w:r>
                        <w:rPr>
                          <w:rFonts w:ascii="宋体" w:hAnsi="宋体" w:cs="宋体" w:eastAsia="宋体" w:hint="default"/>
                          <w:sz w:val="36"/>
                          <w:szCs w:val="36"/>
                        </w:rPr>
                      </w:r>
                    </w:p>
                  </w:txbxContent>
                </v:textbox>
                <w10:wrap type="none"/>
              </v:shape>
              <v:shape style="position:absolute;left:2558;top:948;width:342;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2%</w:t>
                      </w:r>
                      <w:r>
                        <w:rPr>
                          <w:rFonts w:ascii="Calibri"/>
                          <w:sz w:val="28"/>
                        </w:rPr>
                      </w:r>
                    </w:p>
                  </w:txbxContent>
                </v:textbox>
                <w10:wrap type="none"/>
              </v:shape>
              <v:shape style="position:absolute;left:3263;top:828;width:1232;height:957" type="#_x0000_t202" filled="false" stroked="false">
                <v:textbox inset="0,0,0,0">
                  <w:txbxContent>
                    <w:p>
                      <w:pPr>
                        <w:spacing w:line="286" w:lineRule="exact" w:before="0"/>
                        <w:ind w:left="0" w:right="199" w:firstLine="0"/>
                        <w:jc w:val="center"/>
                        <w:rPr>
                          <w:rFonts w:ascii="Calibri" w:hAnsi="Calibri" w:cs="Calibri" w:eastAsia="Calibri" w:hint="default"/>
                          <w:sz w:val="28"/>
                          <w:szCs w:val="28"/>
                        </w:rPr>
                      </w:pPr>
                      <w:r>
                        <w:rPr>
                          <w:rFonts w:ascii="Calibri"/>
                          <w:sz w:val="28"/>
                        </w:rPr>
                        <w:t>2%</w:t>
                      </w:r>
                    </w:p>
                    <w:p>
                      <w:pPr>
                        <w:tabs>
                          <w:tab w:pos="748" w:val="left" w:leader="none"/>
                        </w:tabs>
                        <w:spacing w:line="487" w:lineRule="exact" w:before="183"/>
                        <w:ind w:left="0" w:right="0" w:firstLine="0"/>
                        <w:jc w:val="center"/>
                        <w:rPr>
                          <w:rFonts w:ascii="Calibri" w:hAnsi="Calibri" w:cs="Calibri" w:eastAsia="Calibri" w:hint="default"/>
                          <w:sz w:val="28"/>
                          <w:szCs w:val="28"/>
                        </w:rPr>
                      </w:pPr>
                      <w:r>
                        <w:rPr>
                          <w:rFonts w:ascii="Calibri"/>
                          <w:spacing w:val="-1"/>
                          <w:position w:val="15"/>
                          <w:sz w:val="28"/>
                        </w:rPr>
                        <w:t>6%</w:t>
                        <w:tab/>
                      </w:r>
                      <w:r>
                        <w:rPr>
                          <w:rFonts w:ascii="Calibri"/>
                          <w:spacing w:val="-1"/>
                          <w:sz w:val="28"/>
                        </w:rPr>
                        <w:t>11%</w:t>
                      </w:r>
                      <w:r>
                        <w:rPr>
                          <w:rFonts w:ascii="Calibri"/>
                          <w:sz w:val="28"/>
                        </w:rPr>
                      </w:r>
                    </w:p>
                  </w:txbxContent>
                </v:textbox>
                <w10:wrap type="none"/>
              </v:shape>
              <v:shape style="position:absolute;left:7647;top:2018;width:797;height:1646" type="#_x0000_t202" filled="false" stroked="false">
                <v:textbox inset="0,0,0,0">
                  <w:txbxContent>
                    <w:p>
                      <w:pPr>
                        <w:spacing w:line="199" w:lineRule="exact" w:before="0"/>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生产人员</w:t>
                      </w:r>
                      <w:r>
                        <w:rPr>
                          <w:rFonts w:ascii="宋体" w:hAnsi="宋体" w:cs="宋体" w:eastAsia="宋体" w:hint="default"/>
                          <w:sz w:val="20"/>
                          <w:szCs w:val="20"/>
                        </w:rPr>
                      </w:r>
                    </w:p>
                    <w:p>
                      <w:pPr>
                        <w:spacing w:line="331" w:lineRule="auto" w:before="100"/>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销售人员</w:t>
                      </w:r>
                      <w:r>
                        <w:rPr>
                          <w:rFonts w:ascii="宋体" w:hAnsi="宋体" w:cs="宋体" w:eastAsia="宋体" w:hint="default"/>
                          <w:spacing w:val="-59"/>
                          <w:w w:val="95"/>
                          <w:sz w:val="20"/>
                          <w:szCs w:val="20"/>
                        </w:rPr>
                        <w:t> </w:t>
                      </w:r>
                      <w:r>
                        <w:rPr>
                          <w:rFonts w:ascii="宋体" w:hAnsi="宋体" w:cs="宋体" w:eastAsia="宋体" w:hint="default"/>
                          <w:w w:val="95"/>
                          <w:sz w:val="20"/>
                          <w:szCs w:val="20"/>
                        </w:rPr>
                        <w:t>技术人员</w:t>
                      </w:r>
                      <w:r>
                        <w:rPr>
                          <w:rFonts w:ascii="宋体" w:hAnsi="宋体" w:cs="宋体" w:eastAsia="宋体" w:hint="default"/>
                          <w:spacing w:val="-59"/>
                          <w:w w:val="95"/>
                          <w:sz w:val="20"/>
                          <w:szCs w:val="20"/>
                        </w:rPr>
                        <w:t> </w:t>
                      </w:r>
                      <w:r>
                        <w:rPr>
                          <w:rFonts w:ascii="宋体" w:hAnsi="宋体" w:cs="宋体" w:eastAsia="宋体" w:hint="default"/>
                          <w:w w:val="95"/>
                          <w:sz w:val="20"/>
                          <w:szCs w:val="20"/>
                        </w:rPr>
                        <w:t>财务人员</w:t>
                      </w:r>
                      <w:r>
                        <w:rPr>
                          <w:rFonts w:ascii="宋体" w:hAnsi="宋体" w:cs="宋体" w:eastAsia="宋体" w:hint="default"/>
                          <w:sz w:val="20"/>
                          <w:szCs w:val="20"/>
                        </w:rPr>
                      </w:r>
                    </w:p>
                    <w:p>
                      <w:pPr>
                        <w:spacing w:before="23"/>
                        <w:ind w:left="0" w:right="0" w:firstLine="0"/>
                        <w:jc w:val="both"/>
                        <w:rPr>
                          <w:rFonts w:ascii="宋体" w:hAnsi="宋体" w:cs="宋体" w:eastAsia="宋体" w:hint="default"/>
                          <w:sz w:val="20"/>
                          <w:szCs w:val="20"/>
                        </w:rPr>
                      </w:pPr>
                      <w:r>
                        <w:rPr>
                          <w:rFonts w:ascii="宋体" w:hAnsi="宋体" w:cs="宋体" w:eastAsia="宋体" w:hint="default"/>
                          <w:w w:val="95"/>
                          <w:sz w:val="20"/>
                          <w:szCs w:val="20"/>
                        </w:rPr>
                        <w:t>行政人员</w:t>
                      </w:r>
                      <w:r>
                        <w:rPr>
                          <w:rFonts w:ascii="宋体" w:hAnsi="宋体" w:cs="宋体" w:eastAsia="宋体" w:hint="default"/>
                          <w:sz w:val="20"/>
                          <w:szCs w:val="20"/>
                        </w:rPr>
                      </w:r>
                    </w:p>
                  </w:txbxContent>
                </v:textbox>
                <w10:wrap type="none"/>
              </v:shape>
              <v:shape style="position:absolute;left:3052;top:3934;width:484;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79%</w:t>
                      </w:r>
                      <w:r>
                        <w:rPr>
                          <w:rFonts w:ascii="Calibri"/>
                          <w:sz w:val="28"/>
                        </w:rPr>
                      </w:r>
                    </w:p>
                  </w:txbxContent>
                </v:textbox>
                <w10:wrap type="none"/>
              </v:shape>
            </v:group>
          </v:group>
        </w:pict>
      </w:r>
      <w:r>
        <w:rPr>
          <w:rFonts w:ascii="宋体" w:hAnsi="宋体" w:cs="宋体" w:eastAsia="宋体" w:hint="default"/>
          <w:position w:val="-100"/>
          <w:sz w:val="20"/>
          <w:szCs w:val="20"/>
        </w:rPr>
      </w:r>
    </w:p>
    <w:p>
      <w:pPr>
        <w:spacing w:line="240" w:lineRule="auto" w:before="3"/>
        <w:rPr>
          <w:rFonts w:ascii="宋体" w:hAnsi="宋体" w:cs="宋体" w:eastAsia="宋体" w:hint="default"/>
          <w:sz w:val="28"/>
          <w:szCs w:val="28"/>
        </w:rPr>
      </w:pPr>
    </w:p>
    <w:p>
      <w:pPr>
        <w:spacing w:line="5055" w:lineRule="exact"/>
        <w:ind w:left="596" w:right="0" w:firstLine="0"/>
        <w:rPr>
          <w:rFonts w:ascii="宋体" w:hAnsi="宋体" w:cs="宋体" w:eastAsia="宋体" w:hint="default"/>
          <w:sz w:val="20"/>
          <w:szCs w:val="20"/>
        </w:rPr>
      </w:pPr>
      <w:r>
        <w:rPr>
          <w:rFonts w:ascii="宋体" w:hAnsi="宋体" w:cs="宋体" w:eastAsia="宋体" w:hint="default"/>
          <w:position w:val="-100"/>
          <w:sz w:val="20"/>
          <w:szCs w:val="20"/>
        </w:rPr>
        <w:pict>
          <v:group style="width:432.75pt;height:252.75pt;mso-position-horizontal-relative:char;mso-position-vertical-relative:line" coordorigin="0,0" coordsize="8655,5055">
            <v:group style="position:absolute;left:3298;top:1151;width:1126;height:1702" coordorigin="3298,1151" coordsize="1126,1702">
              <v:shape style="position:absolute;left:3298;top:1151;width:1126;height:1702" coordorigin="3298,1151" coordsize="1126,1702" path="m3298,1151l3298,2852,4423,1576,4364,1526,4303,1479,4240,1435,4175,1394,4108,1356,4040,1321,3970,1289,3899,1261,3827,1235,3754,1213,3680,1194,3605,1178,3529,1166,3452,1158,3375,1152,3298,1151xe" filled="true" fillcolor="#4f81bc" stroked="false">
                <v:path arrowok="t"/>
                <v:fill type="solid"/>
              </v:shape>
            </v:group>
            <v:group style="position:absolute;left:1597;top:1576;width:3403;height:2978" coordorigin="1597,1576" coordsize="3403,2978">
              <v:shape style="position:absolute;left:1597;top:1576;width:3403;height:2978" coordorigin="1597,1576" coordsize="3403,2978" path="m2043,1703l1993,1760,1946,1819,1902,1879,1861,1940,1823,2003,1788,2067,1756,2132,1726,2198,1700,2265,1677,2333,1657,2401,1639,2470,1625,2540,1613,2610,1605,2680,1599,2750,1597,2813,1597,2892,1600,2962,1606,3032,1615,3103,1626,3172,1641,3241,1659,3310,1679,3378,1703,3445,1729,3512,1758,3577,1790,3642,1825,3705,1862,3767,1903,3827,1946,3887,1993,3944,2042,4000,2094,4054,2149,4107,2206,4157,2264,4204,2324,4248,2386,4289,2448,4327,2512,4362,2577,4394,2643,4423,2710,4449,2778,4473,2847,4493,2916,4510,2985,4525,3055,4536,3125,4545,3196,4551,3266,4553,3337,4553,3408,4550,3478,4544,3548,4535,3618,4523,3687,4509,3756,4491,3824,4471,3891,4447,3957,4421,4023,4392,4087,4360,4150,4325,4212,4287,4273,4247,4332,4203,4390,4157,4446,4108,4500,4056,4553,4001,4602,3944,4649,3886,4693,3826,4734,3764,4773,3701,4808,3637,4840,3572,4869,3506,4895,3439,4918,3372,4939,3303,4956,3234,4970,3165,4982,3095,4991,3024,4996,2954,4999,2883,4999,2852,3298,2852,2043,1703xe" filled="true" fillcolor="#c0504d" stroked="false">
                <v:path arrowok="t"/>
                <v:fill type="solid"/>
              </v:shape>
              <v:shape style="position:absolute;left:1597;top:1576;width:3403;height:2978" coordorigin="1597,1576" coordsize="3403,2978" path="m4423,1576l3298,2852,4999,2852,4996,2742,4990,2672,4981,2602,4969,2532,4954,2463,4937,2394,4916,2326,4893,2259,4867,2192,4837,2127,4805,2063,4771,1999,4733,1937,4692,1877,4649,1818,4603,1760,4554,1704,4502,1650,4447,1597,4439,1590,4431,1583,4423,1576xe" filled="true" fillcolor="#c0504d" stroked="false">
                <v:path arrowok="t"/>
                <v:fill type="solid"/>
              </v:shape>
            </v:group>
            <v:group style="position:absolute;left:2043;top:1158;width:1255;height:1694" coordorigin="2043,1158" coordsize="1255,1694">
              <v:shape style="position:absolute;left:2043;top:1158;width:1255;height:1694" coordorigin="2043,1158" coordsize="1255,1694" path="m3138,1158l3060,1167,2982,1180,2906,1196,2830,1216,2755,1239,2682,1266,2610,1296,2540,1329,2471,1365,2404,1404,2339,1447,2275,1492,2214,1540,2155,1592,2098,1646,2043,1703,3298,2852,3138,1158xe" filled="true" fillcolor="#9bba58" stroked="false">
                <v:path arrowok="t"/>
                <v:fill type="solid"/>
              </v:shape>
            </v:group>
            <v:group style="position:absolute;left:3138;top:1151;width:160;height:1702" coordorigin="3138,1151" coordsize="160,1702">
              <v:shape style="position:absolute;left:3138;top:1151;width:160;height:1702" coordorigin="3138,1151" coordsize="160,1702" path="m3298,1151l3258,1151,3218,1152,3178,1155,3138,1158,3298,2852,3298,1151xe" filled="true" fillcolor="#8063a1" stroked="false">
                <v:path arrowok="t"/>
                <v:fill type="solid"/>
              </v:shape>
            </v:group>
            <v:group style="position:absolute;left:6687;top:2254;width:111;height:111" coordorigin="6687,2254" coordsize="111,111">
              <v:shape style="position:absolute;left:6687;top:2254;width:111;height:111" coordorigin="6687,2254" coordsize="111,111" path="m6687,2365l6797,2365,6797,2254,6687,2254,6687,2365xe" filled="true" fillcolor="#4f81bc" stroked="false">
                <v:path arrowok="t"/>
                <v:fill type="solid"/>
              </v:shape>
            </v:group>
            <v:group style="position:absolute;left:6687;top:2617;width:111;height:111" coordorigin="6687,2617" coordsize="111,111">
              <v:shape style="position:absolute;left:6687;top:2617;width:111;height:111" coordorigin="6687,2617" coordsize="111,111" path="m6687,2727l6797,2727,6797,2617,6687,2617,6687,2727xe" filled="true" fillcolor="#c0504d" stroked="false">
                <v:path arrowok="t"/>
                <v:fill type="solid"/>
              </v:shape>
            </v:group>
            <v:group style="position:absolute;left:6687;top:2977;width:111;height:111" coordorigin="6687,2977" coordsize="111,111">
              <v:shape style="position:absolute;left:6687;top:2977;width:111;height:111" coordorigin="6687,2977" coordsize="111,111" path="m6687,3087l6797,3087,6797,2977,6687,2977,6687,3087xe" filled="true" fillcolor="#9bba58" stroked="false">
                <v:path arrowok="t"/>
                <v:fill type="solid"/>
              </v:shape>
            </v:group>
            <v:group style="position:absolute;left:6687;top:3339;width:111;height:111" coordorigin="6687,3339" coordsize="111,111">
              <v:shape style="position:absolute;left:6687;top:3339;width:111;height:111" coordorigin="6687,3339" coordsize="111,111" path="m6687,3450l6797,3450,6797,3339,6687,3339,6687,3450xe" filled="true" fillcolor="#8063a1" stroked="false">
                <v:path arrowok="t"/>
                <v:fill type="solid"/>
              </v:shape>
            </v:group>
            <v:group style="position:absolute;left:8;top:8;width:8640;height:5040" coordorigin="8,8" coordsize="8640,5040">
              <v:shape style="position:absolute;left:8;top:8;width:8640;height:5040" coordorigin="8,8" coordsize="8640,5040" path="m8,5048l8648,5048,8648,8,8,8,8,5048xe" filled="false" stroked="true" strokeweight=".75pt" strokecolor="#858585">
                <v:path arrowok="t"/>
              </v:shape>
              <v:shape style="position:absolute;left:3604;top:211;width:1450;height:360" type="#_x0000_t202" filled="false" stroked="false">
                <v:textbox inset="0,0,0,0">
                  <w:txbxContent>
                    <w:p>
                      <w:pPr>
                        <w:spacing w:line="360" w:lineRule="exact" w:before="0"/>
                        <w:ind w:left="0" w:right="0" w:firstLine="0"/>
                        <w:jc w:val="left"/>
                        <w:rPr>
                          <w:rFonts w:ascii="宋体" w:hAnsi="宋体" w:cs="宋体" w:eastAsia="宋体" w:hint="default"/>
                          <w:sz w:val="36"/>
                          <w:szCs w:val="36"/>
                        </w:rPr>
                      </w:pPr>
                      <w:r>
                        <w:rPr>
                          <w:rFonts w:ascii="宋体" w:hAnsi="宋体" w:cs="宋体" w:eastAsia="宋体" w:hint="default"/>
                          <w:b/>
                          <w:bCs/>
                          <w:sz w:val="36"/>
                          <w:szCs w:val="36"/>
                        </w:rPr>
                        <w:t>教育程度</w:t>
                      </w:r>
                      <w:r>
                        <w:rPr>
                          <w:rFonts w:ascii="宋体" w:hAnsi="宋体" w:cs="宋体" w:eastAsia="宋体" w:hint="default"/>
                          <w:sz w:val="36"/>
                          <w:szCs w:val="36"/>
                        </w:rPr>
                      </w:r>
                    </w:p>
                  </w:txbxContent>
                </v:textbox>
                <w10:wrap type="none"/>
              </v:shape>
              <v:shape style="position:absolute;left:3038;top:829;width:342;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w:t>
                      </w:r>
                      <w:r>
                        <w:rPr>
                          <w:rFonts w:ascii="Calibri"/>
                          <w:sz w:val="28"/>
                        </w:rPr>
                      </w:r>
                    </w:p>
                  </w:txbxContent>
                </v:textbox>
                <w10:wrap type="none"/>
              </v:shape>
              <v:shape style="position:absolute;left:2452;top:1519;width:484;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12%</w:t>
                      </w:r>
                      <w:r>
                        <w:rPr>
                          <w:rFonts w:ascii="Calibri"/>
                          <w:sz w:val="28"/>
                        </w:rPr>
                      </w:r>
                    </w:p>
                  </w:txbxContent>
                </v:textbox>
                <w10:wrap type="none"/>
              </v:shape>
              <v:shape style="position:absolute;left:3502;top:1459;width:484;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12%</w:t>
                      </w:r>
                      <w:r>
                        <w:rPr>
                          <w:rFonts w:ascii="Calibri"/>
                          <w:sz w:val="28"/>
                        </w:rPr>
                      </w:r>
                    </w:p>
                  </w:txbxContent>
                </v:textbox>
                <w10:wrap type="none"/>
              </v:shape>
              <v:shape style="position:absolute;left:6847;top:2200;width:1594;height:1285"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研究生及以上学历</w:t>
                      </w:r>
                      <w:r>
                        <w:rPr>
                          <w:rFonts w:ascii="宋体" w:hAnsi="宋体" w:cs="宋体" w:eastAsia="宋体" w:hint="default"/>
                          <w:sz w:val="20"/>
                          <w:szCs w:val="20"/>
                        </w:rPr>
                      </w:r>
                    </w:p>
                    <w:p>
                      <w:pPr>
                        <w:spacing w:line="362" w:lineRule="exact" w:before="44"/>
                        <w:ind w:left="0" w:right="396" w:firstLine="0"/>
                        <w:jc w:val="left"/>
                        <w:rPr>
                          <w:rFonts w:ascii="宋体" w:hAnsi="宋体" w:cs="宋体" w:eastAsia="宋体" w:hint="default"/>
                          <w:sz w:val="20"/>
                          <w:szCs w:val="20"/>
                        </w:rPr>
                      </w:pPr>
                      <w:r>
                        <w:rPr>
                          <w:rFonts w:ascii="宋体" w:hAnsi="宋体" w:cs="宋体" w:eastAsia="宋体" w:hint="default"/>
                          <w:w w:val="95"/>
                          <w:sz w:val="20"/>
                          <w:szCs w:val="20"/>
                        </w:rPr>
                        <w:t>大学本科学历</w:t>
                      </w:r>
                      <w:r>
                        <w:rPr>
                          <w:rFonts w:ascii="宋体" w:hAnsi="宋体" w:cs="宋体" w:eastAsia="宋体" w:hint="default"/>
                          <w:spacing w:val="-40"/>
                          <w:w w:val="95"/>
                          <w:sz w:val="20"/>
                          <w:szCs w:val="20"/>
                        </w:rPr>
                        <w:t> </w:t>
                      </w:r>
                      <w:r>
                        <w:rPr>
                          <w:rFonts w:ascii="宋体" w:hAnsi="宋体" w:cs="宋体" w:eastAsia="宋体" w:hint="default"/>
                          <w:sz w:val="20"/>
                          <w:szCs w:val="20"/>
                        </w:rPr>
                        <w:t>大专学历</w:t>
                      </w:r>
                      <w:r>
                        <w:rPr>
                          <w:rFonts w:ascii="宋体" w:hAnsi="宋体" w:cs="宋体" w:eastAsia="宋体" w:hint="default"/>
                          <w:w w:val="99"/>
                          <w:sz w:val="20"/>
                          <w:szCs w:val="20"/>
                        </w:rPr>
                        <w:t> </w:t>
                      </w:r>
                      <w:r>
                        <w:rPr>
                          <w:rFonts w:ascii="宋体" w:hAnsi="宋体" w:cs="宋体" w:eastAsia="宋体" w:hint="default"/>
                          <w:sz w:val="20"/>
                          <w:szCs w:val="20"/>
                        </w:rPr>
                        <w:t>大专以下</w:t>
                      </w:r>
                    </w:p>
                  </w:txbxContent>
                </v:textbox>
                <w10:wrap type="none"/>
              </v:shape>
              <v:shape style="position:absolute;left:3352;top:3950;width:484;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75%</w:t>
                      </w:r>
                      <w:r>
                        <w:rPr>
                          <w:rFonts w:ascii="Calibri"/>
                          <w:sz w:val="28"/>
                        </w:rPr>
                      </w:r>
                    </w:p>
                  </w:txbxContent>
                </v:textbox>
                <w10:wrap type="none"/>
              </v:shape>
            </v:group>
          </v:group>
        </w:pict>
      </w:r>
      <w:r>
        <w:rPr>
          <w:rFonts w:ascii="宋体" w:hAnsi="宋体" w:cs="宋体" w:eastAsia="宋体" w:hint="default"/>
          <w:position w:val="-100"/>
          <w:sz w:val="20"/>
          <w:szCs w:val="20"/>
        </w:rPr>
      </w:r>
    </w:p>
    <w:p>
      <w:pPr>
        <w:spacing w:line="240" w:lineRule="auto" w:before="13"/>
        <w:rPr>
          <w:rFonts w:ascii="宋体" w:hAnsi="宋体" w:cs="宋体" w:eastAsia="宋体" w:hint="default"/>
          <w:sz w:val="29"/>
          <w:szCs w:val="29"/>
        </w:rPr>
      </w:pPr>
    </w:p>
    <w:p>
      <w:pPr>
        <w:pStyle w:val="Heading3"/>
        <w:spacing w:line="240" w:lineRule="auto" w:before="36"/>
        <w:ind w:right="94"/>
        <w:jc w:val="left"/>
        <w:rPr>
          <w:b w:val="0"/>
          <w:bCs w:val="0"/>
        </w:rPr>
      </w:pPr>
      <w:r>
        <w:rPr>
          <w:rFonts w:ascii="宋体" w:hAnsi="宋体" w:cs="宋体" w:eastAsia="宋体" w:hint="default"/>
        </w:rPr>
        <w:t>2</w:t>
      </w:r>
      <w:r>
        <w:rPr/>
        <w:t>、薪酬政策</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94" w:firstLine="360"/>
        <w:jc w:val="left"/>
      </w:pPr>
      <w:r>
        <w:rPr>
          <w:spacing w:val="-2"/>
        </w:rPr>
        <w:t>公司严格按照《中华人民共和国劳动合同法》和相关法律法规的规定，公司根据行业薪酬状况以及公司薪酬在市场中的</w:t>
      </w:r>
      <w:r>
        <w:rPr/>
        <w:t> 定位，与员工签订劳动合同，按照国家规定为员工缴纳医疗保险金、养老保险、失业保险、工伤保险、生育保险、公积金。</w:t>
      </w:r>
      <w:r>
        <w:rPr>
          <w:spacing w:val="-83"/>
        </w:rPr>
        <w:t> </w:t>
      </w:r>
      <w:r>
        <w:rPr>
          <w:spacing w:val="-83"/>
        </w:rPr>
      </w:r>
      <w:r>
        <w:rPr>
          <w:spacing w:val="-2"/>
        </w:rPr>
        <w:t>同时，公司通过股票期权激励计划的实施，进一步调动管理者和核心员工的工作积极性，对吸引和保留优秀管理人才和核心</w:t>
      </w:r>
      <w:r>
        <w:rPr>
          <w:spacing w:val="-63"/>
        </w:rPr>
        <w:t> </w:t>
      </w:r>
      <w:r>
        <w:rPr>
          <w:spacing w:val="-63"/>
        </w:rPr>
      </w:r>
      <w:r>
        <w:rPr/>
        <w:t>员工起到积极的促进作用。通过激励机制的不断完善，有效的促进了公司持续健康发展、完善了公司法人治理结构。</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3</w:t>
      </w:r>
      <w:r>
        <w:rPr/>
        <w:t>、培训计划</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0" w:firstLine="360"/>
        <w:jc w:val="both"/>
      </w:pPr>
      <w:r>
        <w:rPr>
          <w:spacing w:val="-2"/>
        </w:rPr>
        <w:t>公司十分注重人才的培养和储备，积极寻求各种培训资源和渠道，搭建完善的培训体系，结合发展状况、岗位要求、企</w:t>
      </w:r>
      <w:r>
        <w:rPr/>
        <w:t> </w:t>
      </w:r>
      <w:r>
        <w:rPr>
          <w:spacing w:val="-2"/>
        </w:rPr>
        <w:t>业文化及个人职业发展建立了分级培训计划，采取现场培训和网络培训相结合的方式，进行定期或不定期的培训，有效地提</w:t>
      </w:r>
      <w:r>
        <w:rPr>
          <w:spacing w:val="-63"/>
        </w:rPr>
        <w:t> </w:t>
      </w:r>
      <w:r>
        <w:rPr>
          <w:spacing w:val="-63"/>
        </w:rPr>
      </w:r>
      <w:r>
        <w:rPr/>
        <w:t>高了员工的整体素质和企业的经营管理水平，为公司发展储备人力资源。</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4</w:t>
      </w:r>
      <w:r>
        <w:rPr/>
        <w:t>、劳务外包情况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34" w:right="172"/>
        <w:jc w:val="center"/>
        <w:rPr>
          <w:b w:val="0"/>
          <w:bCs w:val="0"/>
        </w:rPr>
      </w:pPr>
      <w:bookmarkStart w:name="_bookmark7" w:id="8"/>
      <w:bookmarkEnd w:id="8"/>
      <w:r>
        <w:rPr>
          <w:b w:val="0"/>
          <w:bCs w:val="0"/>
        </w:rPr>
      </w:r>
      <w:r>
        <w:rPr/>
        <w:t>第九节公司治理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圳证券交易所中小企业板上市公司规范运作指引》及中国证监会有关法律法规的要求，不断完善公司治理结构，建立健全内</w:t>
      </w:r>
      <w:r>
        <w:rPr>
          <w:spacing w:val="-63"/>
        </w:rPr>
        <w:t> </w:t>
      </w:r>
      <w:r>
        <w:rPr>
          <w:spacing w:val="-63"/>
        </w:rPr>
      </w:r>
      <w:r>
        <w:rPr>
          <w:spacing w:val="-2"/>
        </w:rPr>
        <w:t>部管理和控制制度，持续深入开展公司治理活动，规范公司运作，提高公司治理水平。公司在实际运作中没有违反相关规定</w:t>
      </w:r>
      <w:r>
        <w:rPr>
          <w:spacing w:val="-64"/>
        </w:rPr>
        <w:t> </w:t>
      </w:r>
      <w:r>
        <w:rPr>
          <w:spacing w:val="-64"/>
        </w:rPr>
      </w:r>
      <w:r>
        <w:rPr>
          <w:spacing w:val="-5"/>
        </w:rPr>
        <w:t>或与相关规定不一致的情况，公司治理基本符合相关法律法规和规范性文件的要求。报告期内，公司严格按照《章程》、《董</w:t>
      </w:r>
      <w:r>
        <w:rPr>
          <w:spacing w:val="-82"/>
        </w:rPr>
        <w:t> </w:t>
      </w:r>
      <w:r>
        <w:rPr>
          <w:spacing w:val="-82"/>
        </w:rPr>
      </w:r>
      <w:r>
        <w:rPr>
          <w:spacing w:val="-2"/>
        </w:rPr>
        <w:t>事会议事规则》、《监事会议事规则》规定，召开了</w:t>
      </w:r>
      <w:r>
        <w:rPr>
          <w:rFonts w:ascii="宋体" w:hAnsi="宋体" w:cs="宋体" w:eastAsia="宋体" w:hint="default"/>
          <w:spacing w:val="-2"/>
        </w:rPr>
        <w:t>3</w:t>
      </w:r>
      <w:r>
        <w:rPr>
          <w:spacing w:val="-2"/>
        </w:rPr>
        <w:t>次股东大会，</w:t>
      </w:r>
      <w:r>
        <w:rPr>
          <w:rFonts w:ascii="宋体" w:hAnsi="宋体" w:cs="宋体" w:eastAsia="宋体" w:hint="default"/>
          <w:spacing w:val="-2"/>
        </w:rPr>
        <w:t>17</w:t>
      </w:r>
      <w:r>
        <w:rPr>
          <w:spacing w:val="-2"/>
        </w:rPr>
        <w:t>次董事会会议，</w:t>
      </w:r>
      <w:r>
        <w:rPr>
          <w:rFonts w:ascii="宋体" w:hAnsi="宋体" w:cs="宋体" w:eastAsia="宋体" w:hint="default"/>
          <w:spacing w:val="-2"/>
        </w:rPr>
        <w:t>4</w:t>
      </w:r>
      <w:r>
        <w:rPr>
          <w:spacing w:val="-2"/>
        </w:rPr>
        <w:t>次监事会会议，各会议召开运行合法</w:t>
      </w:r>
      <w:r>
        <w:rPr>
          <w:spacing w:val="-65"/>
        </w:rPr>
        <w:t> </w:t>
      </w:r>
      <w:r>
        <w:rPr>
          <w:spacing w:val="-65"/>
        </w:rPr>
      </w:r>
      <w:r>
        <w:rPr/>
        <w:t>有效。截止报告期末，公司治理实际情况基本符合中国证监会、深交所发布的有关上市公司治理的规范性文件的要求。</w:t>
      </w:r>
    </w:p>
    <w:p>
      <w:pPr>
        <w:pStyle w:val="BodyText"/>
        <w:spacing w:line="432" w:lineRule="exact" w:before="3"/>
        <w:ind w:left="513" w:right="94"/>
        <w:jc w:val="left"/>
      </w:pPr>
      <w:r>
        <w:rPr>
          <w:rFonts w:ascii="宋体" w:hAnsi="宋体" w:cs="宋体" w:eastAsia="宋体" w:hint="default"/>
        </w:rPr>
        <w:t>1</w:t>
      </w:r>
      <w:r>
        <w:rPr/>
        <w:t>、公司治理制度的建立情况 </w:t>
      </w:r>
      <w:r>
        <w:rPr>
          <w:spacing w:val="-2"/>
        </w:rPr>
        <w:t>报告期内，公司不断建立、健全各项公司治理制度，目前已涵盖经营管理、财务、信息披露、内部审计、对外投资等各</w:t>
      </w:r>
    </w:p>
    <w:p>
      <w:pPr>
        <w:pStyle w:val="BodyText"/>
        <w:spacing w:line="439" w:lineRule="auto" w:before="15"/>
        <w:ind w:left="513" w:right="4774" w:hanging="361"/>
        <w:jc w:val="left"/>
      </w:pPr>
      <w:r>
        <w:rPr/>
        <w:t>个方面，为公司的规范运作与健康发展提供了良好的制度保障。 </w:t>
      </w:r>
      <w:r>
        <w:rPr>
          <w:rFonts w:ascii="宋体" w:hAnsi="宋体" w:cs="宋体" w:eastAsia="宋体" w:hint="default"/>
        </w:rPr>
        <w:t>2</w:t>
      </w:r>
      <w:r>
        <w:rPr/>
        <w:t>、关于股东与股东大会</w:t>
      </w:r>
    </w:p>
    <w:p>
      <w:pPr>
        <w:pStyle w:val="BodyText"/>
        <w:spacing w:line="316" w:lineRule="auto" w:before="47"/>
        <w:ind w:right="193" w:firstLine="360"/>
        <w:jc w:val="both"/>
      </w:pPr>
      <w:r>
        <w:rPr>
          <w:spacing w:val="-2"/>
        </w:rPr>
        <w:t>公司严格按照《公司法》、《上市公司股东大会规范意见》、《公司章程》、《股东大会议事规则》的规定和要求，召</w:t>
      </w:r>
      <w:r>
        <w:rPr/>
        <w:t> </w:t>
      </w:r>
      <w:r>
        <w:rPr>
          <w:spacing w:val="-2"/>
        </w:rPr>
        <w:t>集、召开股东大会，规范表决程序，并通过聘请律师见证，保证会议的合法性。确保全体股东特别是中小股东享有平等地位</w:t>
      </w:r>
      <w:r>
        <w:rPr>
          <w:spacing w:val="-67"/>
        </w:rPr>
        <w:t> </w:t>
      </w:r>
      <w:r>
        <w:rPr>
          <w:spacing w:val="-67"/>
        </w:rPr>
      </w:r>
      <w:r>
        <w:rPr/>
        <w:t>和权利，并承担相应的义务，充分保护股东的合法权益，充分行使自己的权利。</w:t>
      </w:r>
    </w:p>
    <w:p>
      <w:pPr>
        <w:pStyle w:val="BodyText"/>
        <w:spacing w:line="432" w:lineRule="exact" w:before="3"/>
        <w:ind w:left="513" w:right="94"/>
        <w:jc w:val="left"/>
      </w:pPr>
      <w:r>
        <w:rPr>
          <w:rFonts w:ascii="宋体" w:hAnsi="宋体" w:cs="宋体" w:eastAsia="宋体" w:hint="default"/>
        </w:rPr>
        <w:t>3</w:t>
      </w:r>
      <w:r>
        <w:rPr/>
        <w:t>、关于公司与控股股东 </w:t>
      </w:r>
      <w:r>
        <w:rPr>
          <w:spacing w:val="-2"/>
        </w:rPr>
        <w:t>本公司按照《公司法》、《证券法》、《公司章程》及证券监管部门的有关规定正确处理与控股股东的关系。本公司控</w:t>
      </w:r>
    </w:p>
    <w:p>
      <w:pPr>
        <w:pStyle w:val="BodyText"/>
        <w:spacing w:line="319" w:lineRule="auto" w:before="15"/>
        <w:ind w:right="193"/>
        <w:jc w:val="both"/>
      </w:pPr>
      <w:r>
        <w:rPr>
          <w:spacing w:val="-2"/>
        </w:rPr>
        <w:t>股股东依法行使其权利并承担相应义务，无占用公司资金、超越股东大会授权范围行使职权、直接或间接干预本公司的决策</w:t>
      </w:r>
      <w:r>
        <w:rPr>
          <w:spacing w:val="-65"/>
        </w:rPr>
        <w:t> </w:t>
      </w:r>
      <w:r>
        <w:rPr>
          <w:spacing w:val="-65"/>
        </w:rPr>
      </w:r>
      <w:r>
        <w:rPr>
          <w:spacing w:val="-2"/>
        </w:rPr>
        <w:t>和生产经营活动的情形。本公司具有自主经营能力，在业务、人员、资金、财务等方面均独立于控股股东，公司董事会、监</w:t>
      </w:r>
      <w:r>
        <w:rPr>
          <w:spacing w:val="-73"/>
        </w:rPr>
        <w:t> </w:t>
      </w:r>
      <w:r>
        <w:rPr>
          <w:spacing w:val="-73"/>
        </w:rPr>
      </w:r>
      <w:r>
        <w:rPr/>
        <w:t>事会和内部机构能够按照各自的议事规则和规章制度独立运作，各司其职。</w:t>
      </w:r>
    </w:p>
    <w:p>
      <w:pPr>
        <w:pStyle w:val="BodyText"/>
        <w:spacing w:line="432" w:lineRule="exact" w:before="1"/>
        <w:ind w:left="513" w:right="94"/>
        <w:jc w:val="left"/>
      </w:pPr>
      <w:r>
        <w:rPr>
          <w:rFonts w:ascii="宋体" w:hAnsi="宋体" w:cs="宋体" w:eastAsia="宋体" w:hint="default"/>
        </w:rPr>
        <w:t>4</w:t>
      </w:r>
      <w:r>
        <w:rPr/>
        <w:t>、关于董事与董事会 </w:t>
      </w:r>
      <w:r>
        <w:rPr>
          <w:spacing w:val="-2"/>
        </w:rPr>
        <w:t>公司董事能够依据《中小企业板块上市公司董事行为指引》、《董事会议事规则》开展工作，认真出席相关会议，积极</w:t>
      </w:r>
    </w:p>
    <w:p>
      <w:pPr>
        <w:pStyle w:val="BodyText"/>
        <w:spacing w:line="316" w:lineRule="auto" w:before="15"/>
        <w:ind w:right="193"/>
        <w:jc w:val="both"/>
      </w:pPr>
      <w:r>
        <w:rPr>
          <w:spacing w:val="-2"/>
        </w:rPr>
        <w:t>参加培训，熟悉有关法律法规。公司严格按照《公司章程》规定的选聘程序选举董事，公司目前有董事</w:t>
      </w:r>
      <w:r>
        <w:rPr>
          <w:rFonts w:ascii="宋体" w:hAnsi="宋体" w:cs="宋体" w:eastAsia="宋体" w:hint="default"/>
          <w:spacing w:val="-2"/>
        </w:rPr>
        <w:t>10</w:t>
      </w:r>
      <w:r>
        <w:rPr>
          <w:spacing w:val="-2"/>
        </w:rPr>
        <w:t>名，其中独立董事</w:t>
      </w:r>
      <w:r>
        <w:rPr>
          <w:spacing w:val="-68"/>
        </w:rPr>
        <w:t> </w:t>
      </w:r>
      <w:r>
        <w:rPr>
          <w:spacing w:val="-68"/>
        </w:rPr>
      </w:r>
      <w:r>
        <w:rPr>
          <w:rFonts w:ascii="宋体" w:hAnsi="宋体" w:cs="宋体" w:eastAsia="宋体" w:hint="default"/>
        </w:rPr>
        <w:t>4</w:t>
      </w:r>
      <w:r>
        <w:rPr/>
        <w:t>名，董事会的人员构成符合法律法规和《公司章程》的要求。独立董事按照《独立董事工作细则》等制度规定独立履行职</w:t>
      </w:r>
      <w:r>
        <w:rPr>
          <w:spacing w:val="-84"/>
        </w:rPr>
        <w:t> </w:t>
      </w:r>
      <w:r>
        <w:rPr>
          <w:spacing w:val="-84"/>
        </w:rPr>
      </w:r>
      <w:r>
        <w:rPr/>
        <w:t>责，出席公司董事会、股东大会，对公司重大事项发表独立意见，保证了公司的规范运作。</w:t>
      </w:r>
    </w:p>
    <w:p>
      <w:pPr>
        <w:pStyle w:val="BodyText"/>
        <w:spacing w:line="432" w:lineRule="exact" w:before="3"/>
        <w:ind w:left="513" w:right="94"/>
        <w:jc w:val="left"/>
      </w:pPr>
      <w:r>
        <w:rPr>
          <w:rFonts w:ascii="宋体" w:hAnsi="宋体" w:cs="宋体" w:eastAsia="宋体" w:hint="default"/>
        </w:rPr>
        <w:t>5</w:t>
      </w:r>
      <w:r>
        <w:rPr/>
        <w:t>、监事和监事会 </w:t>
      </w:r>
      <w:r>
        <w:rPr>
          <w:spacing w:val="-2"/>
        </w:rPr>
        <w:t>公司监事会严格按照《公司法》、《公司章程》和《监事会议事规则》的有关规定开展工作，监事的推荐、选举和产生</w:t>
      </w:r>
    </w:p>
    <w:p>
      <w:pPr>
        <w:pStyle w:val="BodyText"/>
        <w:spacing w:line="439" w:lineRule="auto" w:before="15"/>
        <w:ind w:left="513" w:right="94" w:hanging="361"/>
        <w:jc w:val="left"/>
      </w:pPr>
      <w:r>
        <w:rPr>
          <w:spacing w:val="-2"/>
        </w:rPr>
        <w:t>程序符合相关法律、法规要求。公司监事认真履行职责，对公司财务状况、重大事项的合法、合规性进行监督，维护公司及</w:t>
      </w:r>
      <w:r>
        <w:rPr>
          <w:spacing w:val="-68"/>
        </w:rPr>
        <w:t> </w:t>
      </w:r>
      <w:r>
        <w:rPr>
          <w:spacing w:val="-68"/>
        </w:rPr>
      </w:r>
      <w:r>
        <w:rPr/>
        <w:t>股东的合法权益。</w:t>
      </w:r>
    </w:p>
    <w:p>
      <w:pPr>
        <w:pStyle w:val="BodyText"/>
        <w:spacing w:line="240" w:lineRule="auto" w:before="47"/>
        <w:ind w:left="513" w:right="94"/>
        <w:jc w:val="left"/>
      </w:pPr>
      <w:r>
        <w:rPr>
          <w:rFonts w:ascii="宋体" w:hAnsi="宋体" w:cs="宋体" w:eastAsia="宋体" w:hint="default"/>
        </w:rPr>
        <w:t>6</w:t>
      </w:r>
      <w:r>
        <w:rPr/>
        <w:t>、关于信息披露与透明度</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公司根据《信息披露事务管理办法》和《投资者关系管理制度》，认真履行信息披露义务。公司指定《中国证券报》、</w:t>
      </w:r>
    </w:p>
    <w:p>
      <w:pPr>
        <w:pStyle w:val="BodyText"/>
        <w:spacing w:line="316" w:lineRule="auto" w:before="76"/>
        <w:ind w:right="192"/>
        <w:jc w:val="both"/>
      </w:pPr>
      <w:r>
        <w:rPr/>
        <w:t>《证券日报》、《证券时报》以及巨潮资讯网（</w:t>
      </w:r>
      <w:hyperlink r:id="rId12">
        <w:r>
          <w:rPr>
            <w:rFonts w:ascii="宋体" w:hAnsi="宋体" w:cs="宋体" w:eastAsia="宋体" w:hint="default"/>
          </w:rPr>
          <w:t>www.cninfo.com.cn</w:t>
        </w:r>
      </w:hyperlink>
      <w:r>
        <w:rPr/>
        <w:t>）作为公司信息披露的报纸和网站。保证公司信息披露 </w:t>
      </w:r>
      <w:r>
        <w:rPr>
          <w:spacing w:val="-2"/>
        </w:rPr>
        <w:t>的真实、准确、完整、及时，并确保所有股东有平等的机会获得信息。本公司指定董事会秘书负责信息披露工作，证券事务</w:t>
      </w:r>
      <w:r>
        <w:rPr>
          <w:spacing w:val="-69"/>
        </w:rPr>
        <w:t> </w:t>
      </w:r>
      <w:r>
        <w:rPr>
          <w:spacing w:val="-69"/>
        </w:rPr>
      </w:r>
      <w:r>
        <w:rPr/>
        <w:t>代表协助董事会秘书开展工作。</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4"/>
        <w:jc w:val="left"/>
      </w:pPr>
      <w:r>
        <w:rPr>
          <w:rFonts w:ascii="宋体" w:hAnsi="宋体" w:cs="宋体" w:eastAsia="宋体" w:hint="default"/>
        </w:rPr>
        <w:t>7</w:t>
      </w:r>
      <w:r>
        <w:rPr/>
        <w:t>、关于相关利益者</w:t>
      </w:r>
    </w:p>
    <w:p>
      <w:pPr>
        <w:spacing w:line="240" w:lineRule="auto" w:before="1"/>
        <w:rPr>
          <w:rFonts w:ascii="宋体" w:hAnsi="宋体" w:cs="宋体" w:eastAsia="宋体" w:hint="default"/>
          <w:sz w:val="15"/>
          <w:szCs w:val="15"/>
        </w:rPr>
      </w:pPr>
    </w:p>
    <w:p>
      <w:pPr>
        <w:pStyle w:val="BodyText"/>
        <w:spacing w:line="316" w:lineRule="auto"/>
        <w:ind w:right="193" w:firstLine="360"/>
        <w:jc w:val="both"/>
      </w:pPr>
      <w:r>
        <w:rPr>
          <w:spacing w:val="-2"/>
        </w:rPr>
        <w:t>本公司能够充分尊重和维护相关利益者的合法权益，积极与相关利益者合作，加强与各方的沟通和交流，实现股东、员</w:t>
      </w:r>
      <w:r>
        <w:rPr/>
        <w:t> 工、社会等各方利益的协调平衡，共同推动公司持续、健康的发展。</w:t>
      </w:r>
    </w:p>
    <w:p>
      <w:pPr>
        <w:pStyle w:val="BodyText"/>
        <w:spacing w:line="432" w:lineRule="exact" w:before="3"/>
        <w:ind w:left="513" w:right="94"/>
        <w:jc w:val="left"/>
      </w:pPr>
      <w:r>
        <w:rPr>
          <w:rFonts w:ascii="宋体" w:hAnsi="宋体" w:cs="宋体" w:eastAsia="宋体" w:hint="default"/>
        </w:rPr>
        <w:t>8</w:t>
      </w:r>
      <w:r>
        <w:rPr/>
        <w:t>、绩效评价与激励约束机制 </w:t>
      </w:r>
      <w:r>
        <w:rPr>
          <w:spacing w:val="-2"/>
        </w:rPr>
        <w:t>公司建立了完善的绩效评价、激励与约束机制，公司高级管理人员均有董事会聘任，董事会薪酬与考核委员会负责对公</w:t>
      </w:r>
    </w:p>
    <w:p>
      <w:pPr>
        <w:pStyle w:val="BodyText"/>
        <w:spacing w:line="316" w:lineRule="auto" w:before="15"/>
        <w:ind w:right="193"/>
        <w:jc w:val="both"/>
      </w:pPr>
      <w:r>
        <w:rPr>
          <w:spacing w:val="-2"/>
        </w:rPr>
        <w:t>司高级管理人员的工作能力、履行情况、责任目标完成情况进行严格考评。同时，公司通过股票期权激励计划的实施，进一</w:t>
      </w:r>
      <w:r>
        <w:rPr>
          <w:spacing w:val="-66"/>
        </w:rPr>
        <w:t> </w:t>
      </w:r>
      <w:r>
        <w:rPr>
          <w:spacing w:val="-66"/>
        </w:rPr>
      </w:r>
      <w:r>
        <w:rPr>
          <w:spacing w:val="-2"/>
        </w:rPr>
        <w:t>步调动管理者和核心员工的工作积极性，对吸引和保留优秀管理人才和核心员工起到积极的促进作用。通过激励机制的不断</w:t>
      </w:r>
      <w:r>
        <w:rPr>
          <w:spacing w:val="-64"/>
        </w:rPr>
        <w:t> </w:t>
      </w:r>
      <w:r>
        <w:rPr>
          <w:spacing w:val="-64"/>
        </w:rPr>
      </w:r>
      <w:r>
        <w:rPr/>
        <w:t>完善，有效的促进了公司持续健康发展、完善了公司法人治理结构。</w:t>
      </w:r>
    </w:p>
    <w:p>
      <w:pPr>
        <w:pStyle w:val="BodyText"/>
        <w:spacing w:line="432" w:lineRule="exact" w:before="3"/>
        <w:ind w:left="513" w:right="94"/>
        <w:jc w:val="left"/>
      </w:pPr>
      <w:r>
        <w:rPr>
          <w:rFonts w:ascii="宋体" w:hAnsi="宋体" w:cs="宋体" w:eastAsia="宋体" w:hint="default"/>
        </w:rPr>
        <w:t>9</w:t>
      </w:r>
      <w:r>
        <w:rPr/>
        <w:t>、内部审计制度的建立和执行情况 </w:t>
      </w:r>
      <w:r>
        <w:rPr>
          <w:spacing w:val="-2"/>
        </w:rPr>
        <w:t>公司建立了《内部审计制度》，对内审工作作出明确的规定和要求。公司内部审计部门直接对董事会负责，在审计委员</w:t>
      </w:r>
    </w:p>
    <w:p>
      <w:pPr>
        <w:pStyle w:val="BodyText"/>
        <w:spacing w:line="319" w:lineRule="auto" w:before="15"/>
        <w:ind w:right="193"/>
        <w:jc w:val="both"/>
      </w:pPr>
      <w:r>
        <w:rPr>
          <w:spacing w:val="-5"/>
        </w:rPr>
        <w:t>会的指导下，独立行使审计职权，不受其他部门和个人的干涉。内部审计部门对公司及下属子公司所有经营管理、财务状况、</w:t>
      </w:r>
      <w:r>
        <w:rPr>
          <w:spacing w:val="-78"/>
        </w:rPr>
        <w:t> </w:t>
      </w:r>
      <w:r>
        <w:rPr>
          <w:spacing w:val="-78"/>
        </w:rPr>
      </w:r>
      <w:r>
        <w:rPr>
          <w:spacing w:val="-2"/>
        </w:rPr>
        <w:t>内控执行等情况进行内部审计，对其经济效益的真实性、合理性、合法性做出合理评价，提升内部控制管理的有效性，进一</w:t>
      </w:r>
      <w:r>
        <w:rPr>
          <w:spacing w:val="-66"/>
        </w:rPr>
        <w:t> </w:t>
      </w:r>
      <w:r>
        <w:rPr>
          <w:spacing w:val="-66"/>
        </w:rPr>
      </w:r>
      <w:r>
        <w:rPr/>
        <w:t>步防范经营风险和财务风险。</w:t>
      </w:r>
    </w:p>
    <w:p>
      <w:pPr>
        <w:pStyle w:val="BodyText"/>
        <w:spacing w:line="240" w:lineRule="auto" w:before="137"/>
        <w:ind w:right="0"/>
        <w:jc w:val="both"/>
      </w:pPr>
      <w:r>
        <w:rPr/>
        <w:t>公司治理的实际状况与中国证监会发布的有关上市公司治理的规范性文件是否存在重大差异</w:t>
      </w:r>
    </w:p>
    <w:p>
      <w:pPr>
        <w:pStyle w:val="BodyText"/>
        <w:spacing w:line="357" w:lineRule="auto" w:before="117"/>
        <w:ind w:right="261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pStyle w:val="BodyText"/>
        <w:spacing w:line="430" w:lineRule="atLeast" w:before="152"/>
        <w:ind w:left="513" w:right="94"/>
        <w:jc w:val="left"/>
      </w:pPr>
      <w:r>
        <w:rPr/>
        <w:t>公司与控股股东在业务、人员、资产、机构、财务等方面完全分开，具有独立完整的业务及自主经营能力。 </w:t>
      </w:r>
      <w:r>
        <w:rPr>
          <w:rFonts w:ascii="宋体" w:hAnsi="宋体" w:cs="宋体" w:eastAsia="宋体" w:hint="default"/>
          <w:spacing w:val="-4"/>
        </w:rPr>
        <w:t>1</w:t>
      </w:r>
      <w:r>
        <w:rPr>
          <w:spacing w:val="-4"/>
        </w:rPr>
        <w:t>、业务独立情况公司主要从事行业应用软件开发、计算机信息系统集成及相关服务业务，拥有独立的采购和销售系统，</w:t>
      </w:r>
    </w:p>
    <w:p>
      <w:pPr>
        <w:pStyle w:val="BodyText"/>
        <w:spacing w:line="319" w:lineRule="auto" w:before="76"/>
        <w:ind w:right="94"/>
        <w:jc w:val="left"/>
      </w:pPr>
      <w:r>
        <w:rPr/>
        <w:t>独立的进行原材料和产品的采购和销售，并建立了符合现代企业制度要求和公司实际情况的法人治理结构和内部组织结构，</w:t>
      </w:r>
      <w:r>
        <w:rPr>
          <w:spacing w:val="-83"/>
        </w:rPr>
        <w:t> </w:t>
      </w:r>
      <w:r>
        <w:rPr>
          <w:spacing w:val="-83"/>
        </w:rPr>
      </w:r>
      <w:r>
        <w:rPr>
          <w:spacing w:val="-2"/>
        </w:rPr>
        <w:t>在生产经营及管理上独立运作。本公司的实际控制人薛向东及其家族成员以及所控制的诚信电脑、诚信设备、合创投资分别</w:t>
      </w:r>
      <w:r>
        <w:rPr>
          <w:spacing w:val="-66"/>
        </w:rPr>
        <w:t> </w:t>
      </w:r>
      <w:r>
        <w:rPr>
          <w:spacing w:val="-66"/>
        </w:rPr>
      </w:r>
      <w:r>
        <w:rPr/>
        <w:t>于</w:t>
      </w: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28</w:t>
      </w:r>
      <w:r>
        <w:rPr/>
        <w:t>日向本公司出具了《不竞争承诺函》以及</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5</w:t>
      </w:r>
      <w:r>
        <w:rPr/>
        <w:t>日签订的《避免同业竞争承诺》，本公司与任何股东 及其他关联方之间不存在同业竞争。</w:t>
      </w:r>
    </w:p>
    <w:p>
      <w:pPr>
        <w:pStyle w:val="BodyText"/>
        <w:spacing w:line="316" w:lineRule="auto" w:before="137"/>
        <w:ind w:right="191" w:firstLine="360"/>
        <w:jc w:val="both"/>
      </w:pPr>
      <w:r>
        <w:rPr>
          <w:rFonts w:ascii="宋体" w:hAnsi="宋体" w:cs="宋体" w:eastAsia="宋体" w:hint="default"/>
        </w:rPr>
        <w:t>2</w:t>
      </w:r>
      <w:r>
        <w:rPr/>
        <w:t>、人员独立情况公司逐步建立健全法人治理结构，董事、监事及高级管理人员均严格按照《公司法》、《公司章程》 </w:t>
      </w:r>
      <w:r>
        <w:rPr>
          <w:spacing w:val="-2"/>
        </w:rPr>
        <w:t>规定的条件和程序产生。目前，除董事长薛向东担任控股股东诚信电脑的董事外，公司其余董事、监事均未在公司股东单位</w:t>
      </w:r>
      <w:r>
        <w:rPr>
          <w:spacing w:val="-65"/>
        </w:rPr>
        <w:t> </w:t>
      </w:r>
      <w:r>
        <w:rPr>
          <w:spacing w:val="-65"/>
        </w:rPr>
      </w:r>
      <w:r>
        <w:rPr>
          <w:spacing w:val="-2"/>
        </w:rPr>
        <w:t>任职。公司总经理、副总经理、财务负责人和董事会秘书等高级管理人员专职在公司工作并领取薪酬，其中公司副总经理王</w:t>
      </w:r>
      <w:r>
        <w:rPr>
          <w:spacing w:val="-64"/>
        </w:rPr>
        <w:t> </w:t>
      </w:r>
      <w:r>
        <w:rPr>
          <w:spacing w:val="-64"/>
        </w:rPr>
      </w:r>
      <w:r>
        <w:rPr>
          <w:spacing w:val="-2"/>
        </w:rPr>
        <w:t>佺在控股子公司北京神州新桥科技有限公司担任副总经理，并在控股子公司领取工资。其余公司高级管理人员未在公司股东</w:t>
      </w:r>
      <w:r>
        <w:rPr>
          <w:spacing w:val="-64"/>
        </w:rPr>
        <w:t> </w:t>
      </w:r>
      <w:r>
        <w:rPr>
          <w:spacing w:val="-64"/>
        </w:rPr>
      </w:r>
      <w:r>
        <w:rPr/>
        <w:t>单位任职，也未在与公司业务相同或相似、或存在其他利益冲突的企业任职。</w:t>
      </w:r>
    </w:p>
    <w:p>
      <w:pPr>
        <w:pStyle w:val="BodyText"/>
        <w:spacing w:line="316" w:lineRule="auto" w:before="139"/>
        <w:ind w:right="190" w:firstLine="360"/>
        <w:jc w:val="both"/>
      </w:pPr>
      <w:r>
        <w:rPr>
          <w:rFonts w:ascii="宋体" w:hAnsi="宋体" w:cs="宋体" w:eastAsia="宋体" w:hint="default"/>
          <w:spacing w:val="-4"/>
        </w:rPr>
        <w:t>3</w:t>
      </w:r>
      <w:r>
        <w:rPr>
          <w:spacing w:val="-4"/>
        </w:rPr>
        <w:t>、资产独立情况公司拥有独立的生产经营场所，对全部资产拥有完全的控制支配权，拥有独立的经营系统和配套设施、</w:t>
      </w:r>
      <w:r>
        <w:rPr/>
        <w:t> </w:t>
      </w:r>
      <w:r>
        <w:rPr>
          <w:spacing w:val="-5"/>
        </w:rPr>
        <w:t>专有技术、计算机软件著作权等资产。公司和控股股东产权关系明确，公司资产完整并由公司实际控制和使用，不存在资产、</w:t>
      </w:r>
      <w:r>
        <w:rPr>
          <w:spacing w:val="-75"/>
        </w:rPr>
        <w:t> </w:t>
      </w:r>
      <w:r>
        <w:rPr>
          <w:spacing w:val="-75"/>
        </w:rPr>
      </w:r>
      <w:r>
        <w:rPr/>
        <w:t>资金被控股股东、实际控制人及其控制的企业违规占用而损害公司利益的情况。</w:t>
      </w:r>
    </w:p>
    <w:p>
      <w:pPr>
        <w:pStyle w:val="BodyText"/>
        <w:spacing w:line="316" w:lineRule="auto" w:before="139"/>
        <w:ind w:right="193" w:firstLine="360"/>
        <w:jc w:val="both"/>
      </w:pPr>
      <w:r>
        <w:rPr>
          <w:rFonts w:ascii="宋体" w:hAnsi="宋体" w:cs="宋体" w:eastAsia="宋体" w:hint="default"/>
        </w:rPr>
        <w:t>4</w:t>
      </w:r>
      <w:r>
        <w:rPr/>
        <w:t>、机构独立情况公司根据《公司法》、《证券法》及《公司章程》的相关规定，设立了健全的组织结构体系，独立运 作，不存在与控股股东或其职能部门之间的从属关系。</w:t>
      </w:r>
    </w:p>
    <w:p>
      <w:pPr>
        <w:pStyle w:val="BodyText"/>
        <w:spacing w:line="316" w:lineRule="auto" w:before="139"/>
        <w:ind w:right="190" w:firstLine="360"/>
        <w:jc w:val="both"/>
      </w:pPr>
      <w:r>
        <w:rPr>
          <w:rFonts w:ascii="宋体" w:hAnsi="宋体" w:cs="宋体" w:eastAsia="宋体" w:hint="default"/>
        </w:rPr>
        <w:t>5</w:t>
      </w:r>
      <w:r>
        <w:rPr/>
        <w:t>、财务独立情况公司已依照相关法律、法规成立了独立的财务部门，建立了独立的会计核算体系和财务管理制度，并 </w:t>
      </w:r>
      <w:r>
        <w:rPr>
          <w:spacing w:val="-2"/>
        </w:rPr>
        <w:t>实施严格的内部审计制度，不存在本公司股东或其他关联方干预本公司资金使用的情况；公司拥有独立的银行账户，独立进</w:t>
      </w:r>
      <w:r>
        <w:rPr>
          <w:spacing w:val="-63"/>
        </w:rPr>
        <w:t> </w:t>
      </w:r>
      <w:r>
        <w:rPr>
          <w:spacing w:val="-63"/>
        </w:rPr>
      </w:r>
      <w:r>
        <w:rPr>
          <w:spacing w:val="-2"/>
        </w:rPr>
        <w:t>行纳税申报并履行纳税义务，本公司股东及其他关联方未以任何形式占用公司资金、资产和其他资源。截止目前，本公司没</w:t>
      </w:r>
      <w:r>
        <w:rPr>
          <w:spacing w:val="-64"/>
        </w:rPr>
        <w:t> </w:t>
      </w:r>
      <w:r>
        <w:rPr>
          <w:spacing w:val="-64"/>
        </w:rPr>
      </w:r>
      <w:r>
        <w:rPr/>
        <w:t>有以资产、权益或信誉为股东、股东的控股子公司或附属企业、个人提供担保的行为。</w:t>
      </w:r>
    </w:p>
    <w:p>
      <w:pPr>
        <w:spacing w:after="0" w:line="316" w:lineRule="auto"/>
        <w:jc w:val="both"/>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19"/>
        <w:gridCol w:w="1277"/>
        <w:gridCol w:w="1417"/>
        <w:gridCol w:w="1560"/>
        <w:gridCol w:w="1560"/>
        <w:gridCol w:w="2283"/>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4" w:right="7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年年度股东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both"/>
              <w:rPr>
                <w:rFonts w:ascii="宋体" w:hAnsi="宋体" w:cs="宋体" w:eastAsia="宋体" w:hint="default"/>
                <w:sz w:val="18"/>
                <w:szCs w:val="18"/>
              </w:rPr>
            </w:pPr>
            <w:r>
              <w:rPr>
                <w:rFonts w:ascii="宋体" w:hAnsi="宋体" w:cs="宋体" w:eastAsia="宋体" w:hint="default"/>
                <w:spacing w:val="-15"/>
                <w:sz w:val="18"/>
                <w:szCs w:val="18"/>
              </w:rPr>
              <w:t>刊登在《中国证券报》、《证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5"/>
                <w:sz w:val="18"/>
                <w:szCs w:val="18"/>
              </w:rPr>
              <w:t>券日报》、《证券时报》及巨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潮资讯网</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www.cninfo.com.cn)</w:t>
            </w:r>
            <w:r>
              <w:rPr>
                <w:rFonts w:ascii="宋体" w:hAnsi="宋体" w:cs="宋体" w:eastAsia="宋体" w:hint="default"/>
                <w:sz w:val="18"/>
                <w:szCs w:val="18"/>
              </w:rPr>
              <w:t>上的</w:t>
            </w:r>
          </w:p>
          <w:p>
            <w:pPr>
              <w:pStyle w:val="TableParagraph"/>
              <w:spacing w:line="316" w:lineRule="auto" w:before="77"/>
              <w:ind w:left="24" w:right="17"/>
              <w:jc w:val="both"/>
              <w:rPr>
                <w:rFonts w:ascii="宋体" w:hAnsi="宋体" w:cs="宋体" w:eastAsia="宋体" w:hint="default"/>
                <w:sz w:val="18"/>
                <w:szCs w:val="18"/>
              </w:rPr>
            </w:pPr>
            <w:r>
              <w:rPr>
                <w:rFonts w:ascii="宋体" w:hAnsi="宋体" w:cs="宋体" w:eastAsia="宋体" w:hint="default"/>
                <w:sz w:val="18"/>
                <w:szCs w:val="18"/>
              </w:rPr>
              <w:t>《东华软件股份公司</w:t>
            </w:r>
            <w:r>
              <w:rPr>
                <w:rFonts w:ascii="宋体" w:hAnsi="宋体" w:cs="宋体" w:eastAsia="宋体" w:hint="default"/>
                <w:spacing w:val="-56"/>
                <w:sz w:val="18"/>
                <w:szCs w:val="18"/>
              </w:rPr>
              <w:t> </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 </w:t>
            </w:r>
            <w:r>
              <w:rPr>
                <w:rFonts w:ascii="宋体" w:hAnsi="宋体" w:cs="宋体" w:eastAsia="宋体" w:hint="default"/>
                <w:spacing w:val="-9"/>
                <w:sz w:val="18"/>
                <w:szCs w:val="18"/>
              </w:rPr>
              <w:t>年度股东大会决议公告》（公</w:t>
            </w:r>
            <w:r>
              <w:rPr>
                <w:rFonts w:ascii="宋体" w:hAnsi="宋体" w:cs="宋体" w:eastAsia="宋体" w:hint="default"/>
                <w:sz w:val="18"/>
                <w:szCs w:val="18"/>
              </w:rPr>
              <w:t> 告编号：</w:t>
            </w:r>
            <w:r>
              <w:rPr>
                <w:rFonts w:ascii="宋体" w:hAnsi="宋体" w:cs="宋体" w:eastAsia="宋体" w:hint="default"/>
                <w:sz w:val="18"/>
                <w:szCs w:val="18"/>
              </w:rPr>
              <w:t>2015-068</w:t>
            </w:r>
            <w:r>
              <w:rPr>
                <w:rFonts w:ascii="宋体" w:hAnsi="宋体" w:cs="宋体" w:eastAsia="宋体" w:hint="default"/>
                <w:sz w:val="18"/>
                <w:szCs w:val="18"/>
              </w:rPr>
              <w:t>）</w:t>
            </w:r>
          </w:p>
        </w:tc>
      </w:tr>
      <w:tr>
        <w:trPr>
          <w:trHeight w:val="227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2"/>
              <w:ind w:left="24" w:right="7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年第一次临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both"/>
              <w:rPr>
                <w:rFonts w:ascii="宋体" w:hAnsi="宋体" w:cs="宋体" w:eastAsia="宋体" w:hint="default"/>
                <w:sz w:val="18"/>
                <w:szCs w:val="18"/>
              </w:rPr>
            </w:pPr>
            <w:r>
              <w:rPr>
                <w:rFonts w:ascii="宋体" w:hAnsi="宋体" w:cs="宋体" w:eastAsia="宋体" w:hint="default"/>
                <w:spacing w:val="-15"/>
                <w:sz w:val="18"/>
                <w:szCs w:val="18"/>
              </w:rPr>
              <w:t>刊登在《中国证券报》、《证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5"/>
                <w:sz w:val="18"/>
                <w:szCs w:val="18"/>
              </w:rPr>
              <w:t>券日报》、《证券时报》及巨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潮资讯网</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www.cninfo.com.cn)</w:t>
            </w:r>
            <w:r>
              <w:rPr>
                <w:rFonts w:ascii="宋体" w:hAnsi="宋体" w:cs="宋体" w:eastAsia="宋体" w:hint="default"/>
                <w:sz w:val="18"/>
                <w:szCs w:val="18"/>
              </w:rPr>
              <w:t>上的</w:t>
            </w:r>
          </w:p>
          <w:p>
            <w:pPr>
              <w:pStyle w:val="TableParagraph"/>
              <w:spacing w:line="316" w:lineRule="auto" w:before="76"/>
              <w:ind w:left="24" w:right="-5"/>
              <w:jc w:val="left"/>
              <w:rPr>
                <w:rFonts w:ascii="宋体" w:hAnsi="宋体" w:cs="宋体" w:eastAsia="宋体" w:hint="default"/>
                <w:sz w:val="18"/>
                <w:szCs w:val="18"/>
              </w:rPr>
            </w:pPr>
            <w:r>
              <w:rPr>
                <w:rFonts w:ascii="宋体" w:hAnsi="宋体" w:cs="宋体" w:eastAsia="宋体" w:hint="default"/>
                <w:sz w:val="18"/>
                <w:szCs w:val="18"/>
              </w:rPr>
              <w:t>《东华软件股份公司</w:t>
            </w:r>
            <w:r>
              <w:rPr>
                <w:rFonts w:ascii="宋体" w:hAnsi="宋体" w:cs="宋体" w:eastAsia="宋体" w:hint="default"/>
                <w:spacing w:val="-56"/>
                <w:sz w:val="18"/>
                <w:szCs w:val="18"/>
              </w:rPr>
              <w:t> </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 第一次临时股东大会决议公 </w:t>
            </w:r>
            <w:r>
              <w:rPr>
                <w:rFonts w:ascii="宋体" w:hAnsi="宋体" w:cs="宋体" w:eastAsia="宋体" w:hint="default"/>
                <w:spacing w:val="-6"/>
                <w:sz w:val="18"/>
                <w:szCs w:val="18"/>
              </w:rPr>
              <w:t>告》（公告编号：</w:t>
            </w:r>
            <w:r>
              <w:rPr>
                <w:rFonts w:ascii="宋体" w:hAnsi="宋体" w:cs="宋体" w:eastAsia="宋体" w:hint="default"/>
                <w:spacing w:val="-6"/>
                <w:sz w:val="18"/>
                <w:szCs w:val="18"/>
              </w:rPr>
              <w:t>2015-028</w:t>
            </w:r>
            <w:r>
              <w:rPr>
                <w:rFonts w:ascii="宋体" w:hAnsi="宋体" w:cs="宋体" w:eastAsia="宋体" w:hint="default"/>
                <w:spacing w:val="-6"/>
                <w:sz w:val="18"/>
                <w:szCs w:val="18"/>
              </w:rPr>
              <w:t>）</w:t>
            </w:r>
          </w:p>
        </w:tc>
      </w:tr>
      <w:tr>
        <w:trPr>
          <w:trHeight w:val="227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4" w:right="7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年第二次临 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both"/>
              <w:rPr>
                <w:rFonts w:ascii="宋体" w:hAnsi="宋体" w:cs="宋体" w:eastAsia="宋体" w:hint="default"/>
                <w:sz w:val="18"/>
                <w:szCs w:val="18"/>
              </w:rPr>
            </w:pPr>
            <w:r>
              <w:rPr>
                <w:rFonts w:ascii="宋体" w:hAnsi="宋体" w:cs="宋体" w:eastAsia="宋体" w:hint="default"/>
                <w:spacing w:val="-15"/>
                <w:sz w:val="18"/>
                <w:szCs w:val="18"/>
              </w:rPr>
              <w:t>刊登在《中国证券报》、《证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5"/>
                <w:sz w:val="18"/>
                <w:szCs w:val="18"/>
              </w:rPr>
              <w:t>券日报》、《证券时报》及巨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潮资讯网</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www.cninfo.com.cn)</w:t>
            </w:r>
            <w:r>
              <w:rPr>
                <w:rFonts w:ascii="宋体" w:hAnsi="宋体" w:cs="宋体" w:eastAsia="宋体" w:hint="default"/>
                <w:sz w:val="18"/>
                <w:szCs w:val="18"/>
              </w:rPr>
              <w:t>上的</w:t>
            </w:r>
          </w:p>
          <w:p>
            <w:pPr>
              <w:pStyle w:val="TableParagraph"/>
              <w:spacing w:line="316" w:lineRule="auto" w:before="76"/>
              <w:ind w:left="24" w:right="-5"/>
              <w:jc w:val="left"/>
              <w:rPr>
                <w:rFonts w:ascii="宋体" w:hAnsi="宋体" w:cs="宋体" w:eastAsia="宋体" w:hint="default"/>
                <w:sz w:val="18"/>
                <w:szCs w:val="18"/>
              </w:rPr>
            </w:pPr>
            <w:r>
              <w:rPr>
                <w:rFonts w:ascii="宋体" w:hAnsi="宋体" w:cs="宋体" w:eastAsia="宋体" w:hint="default"/>
                <w:sz w:val="18"/>
                <w:szCs w:val="18"/>
              </w:rPr>
              <w:t>《东华软件股份公司</w:t>
            </w:r>
            <w:r>
              <w:rPr>
                <w:rFonts w:ascii="宋体" w:hAnsi="宋体" w:cs="宋体" w:eastAsia="宋体" w:hint="default"/>
                <w:spacing w:val="-56"/>
                <w:sz w:val="18"/>
                <w:szCs w:val="18"/>
              </w:rPr>
              <w:t> </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 第二次临时股东大会决议公 </w:t>
            </w:r>
            <w:r>
              <w:rPr>
                <w:rFonts w:ascii="宋体" w:hAnsi="宋体" w:cs="宋体" w:eastAsia="宋体" w:hint="default"/>
                <w:spacing w:val="-6"/>
                <w:sz w:val="18"/>
                <w:szCs w:val="18"/>
              </w:rPr>
              <w:t>告》（公告编号：</w:t>
            </w:r>
            <w:r>
              <w:rPr>
                <w:rFonts w:ascii="宋体" w:hAnsi="宋体" w:cs="宋体" w:eastAsia="宋体" w:hint="default"/>
                <w:spacing w:val="-6"/>
                <w:sz w:val="18"/>
                <w:szCs w:val="18"/>
              </w:rPr>
              <w:t>2015-122</w:t>
            </w:r>
            <w:r>
              <w:rPr>
                <w:rFonts w:ascii="宋体" w:hAnsi="宋体" w:cs="宋体" w:eastAsia="宋体" w:hint="default"/>
                <w:spacing w:val="-6"/>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、独立董事出席董事会及股东大会的情况</w:t>
      </w:r>
      <w:r>
        <w:rPr>
          <w:b w:val="0"/>
          <w:bCs w:val="0"/>
        </w:rPr>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w:t>
            </w:r>
          </w:p>
        </w:tc>
      </w:tr>
    </w:tbl>
    <w:p>
      <w:pPr>
        <w:pStyle w:val="BodyText"/>
        <w:spacing w:line="240" w:lineRule="auto" w:before="49"/>
        <w:ind w:right="153"/>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独立董事对公司有关事项是否提出异议</w:t>
      </w:r>
    </w:p>
    <w:p>
      <w:pPr>
        <w:pStyle w:val="BodyText"/>
        <w:spacing w:line="360" w:lineRule="auto" w:before="117"/>
        <w:ind w:right="5994"/>
        <w:jc w:val="left"/>
      </w:pPr>
      <w:r>
        <w:rPr/>
        <w:t>□ 是 √</w:t>
      </w:r>
      <w:r>
        <w:rPr>
          <w:spacing w:val="3"/>
        </w:rPr>
        <w:t> </w:t>
      </w:r>
      <w:r>
        <w:rPr/>
        <w:t>否</w:t>
      </w:r>
      <w:r>
        <w:rPr/>
        <w:t> 报告期内独立董事对公司有关事项未提出异议。</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独立董事对公司有关建议是否被采纳</w:t>
      </w:r>
    </w:p>
    <w:p>
      <w:pPr>
        <w:pStyle w:val="BodyText"/>
        <w:spacing w:line="360" w:lineRule="auto" w:before="117"/>
        <w:ind w:right="5814"/>
        <w:jc w:val="left"/>
      </w:pPr>
      <w:r>
        <w:rPr/>
        <w:t>√ 是 □</w:t>
      </w:r>
      <w:r>
        <w:rPr>
          <w:spacing w:val="3"/>
        </w:rPr>
        <w:t> </w:t>
      </w:r>
      <w:r>
        <w:rPr/>
        <w:t>否</w:t>
      </w:r>
      <w:r>
        <w:rPr/>
        <w:t> 独立董事对公司有关建议被采纳或未被采纳的说明</w:t>
      </w:r>
    </w:p>
    <w:p>
      <w:pPr>
        <w:pStyle w:val="BodyText"/>
        <w:spacing w:line="316" w:lineRule="auto" w:before="107"/>
        <w:ind w:right="151" w:firstLine="360"/>
        <w:jc w:val="both"/>
      </w:pPr>
      <w:r>
        <w:rPr>
          <w:spacing w:val="-2"/>
        </w:rPr>
        <w:t>报告期内，公司独立董事勤勉尽责、有效地履行独立董事职务，对公司进行了多次实地现场考察，详细了解公司日常经</w:t>
      </w:r>
      <w:r>
        <w:rPr/>
        <w:t> </w:t>
      </w:r>
      <w:r>
        <w:rPr>
          <w:spacing w:val="-2"/>
        </w:rPr>
        <w:t>营和公司财务状况。报告期内，公司四名独立董事全部出席公司历次董事会，并在会议中提出对公司发展的建议与意见。在</w:t>
      </w:r>
      <w:r>
        <w:rPr>
          <w:spacing w:val="-64"/>
        </w:rPr>
        <w:t> </w:t>
      </w:r>
      <w:r>
        <w:rPr>
          <w:spacing w:val="-64"/>
        </w:rPr>
      </w:r>
      <w:r>
        <w:rPr>
          <w:spacing w:val="-2"/>
        </w:rPr>
        <w:t>公司定期报告前后，独立董事与公司董事、高级管理人员、内审部门及会计师进行沟通，对公司内部控制、公司治理、经营</w:t>
      </w:r>
      <w:r>
        <w:rPr>
          <w:spacing w:val="-68"/>
        </w:rPr>
        <w:t> </w:t>
      </w:r>
      <w:r>
        <w:rPr>
          <w:spacing w:val="-68"/>
        </w:rPr>
      </w:r>
      <w:r>
        <w:rPr>
          <w:spacing w:val="-2"/>
        </w:rPr>
        <w:t>策略、发展方向、公司战略等诸多方面提出指导性意见；同时，及时获悉公司各大重大事项的进展情况，并对公司重大事项</w:t>
      </w:r>
      <w:r>
        <w:rPr>
          <w:spacing w:val="-67"/>
        </w:rPr>
        <w:t> </w:t>
      </w:r>
      <w:r>
        <w:rPr>
          <w:spacing w:val="-67"/>
        </w:rPr>
      </w:r>
      <w:r>
        <w:rPr/>
        <w:t>发表独立意见，为公司董事会各项议案的审议表决提供了有力的支持，保护了公司和广大投资者的利益。</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、审计委员会的履行职责情况</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51" w:firstLine="360"/>
        <w:jc w:val="both"/>
      </w:pPr>
      <w:r>
        <w:rPr/>
        <w:t>报告期内，公司董事会审计委员会认真履行职责，共召开</w:t>
      </w:r>
      <w:r>
        <w:rPr>
          <w:rFonts w:ascii="宋体" w:hAnsi="宋体" w:cs="宋体" w:eastAsia="宋体" w:hint="default"/>
        </w:rPr>
        <w:t>5</w:t>
      </w:r>
      <w:r>
        <w:rPr/>
        <w:t>次审计委员会工作会议，听取了审计公司年度工作总结和工 </w:t>
      </w:r>
      <w:r>
        <w:rPr>
          <w:spacing w:val="-2"/>
        </w:rPr>
        <w:t>作计划安排，与公司内部审计部门积极沟通配合，指导审计部门开展各项相关工作；提议续聘外部审计机构；积极监督公司</w:t>
      </w:r>
      <w:r>
        <w:rPr>
          <w:spacing w:val="-65"/>
        </w:rPr>
        <w:t> </w:t>
      </w:r>
      <w:r>
        <w:rPr>
          <w:spacing w:val="-65"/>
        </w:rPr>
      </w:r>
      <w:r>
        <w:rPr>
          <w:spacing w:val="-2"/>
        </w:rPr>
        <w:t>的内部审计制度及其实施情况，对公司的内控制度的健全和完善提出意见和建议；对公司定期财务报告等需要披露的重要财</w:t>
      </w:r>
      <w:r>
        <w:rPr>
          <w:spacing w:val="-64"/>
        </w:rPr>
        <w:t> </w:t>
      </w:r>
      <w:r>
        <w:rPr>
          <w:spacing w:val="-64"/>
        </w:rPr>
      </w:r>
      <w:r>
        <w:rPr/>
        <w:t>务信息进行严格审核，与审计会计师及时、有效沟通，并对重要事项进行充分讨论。</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2</w:t>
      </w:r>
      <w:r>
        <w:rPr/>
        <w:t>、提名委员会的履行职责情况</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52" w:firstLine="360"/>
        <w:jc w:val="both"/>
      </w:pPr>
      <w:r>
        <w:rPr>
          <w:spacing w:val="-4"/>
        </w:rPr>
        <w:t>报告期内，公司董事会提名委员会认真履行职责，共召开</w:t>
      </w:r>
      <w:r>
        <w:rPr>
          <w:rFonts w:ascii="宋体" w:hAnsi="宋体" w:cs="宋体" w:eastAsia="宋体" w:hint="default"/>
          <w:spacing w:val="-4"/>
        </w:rPr>
        <w:t>1</w:t>
      </w:r>
      <w:r>
        <w:rPr>
          <w:spacing w:val="-4"/>
        </w:rPr>
        <w:t>次提名委员会工作会议，按照《董事会提名委员会工作细则》</w:t>
      </w:r>
      <w:r>
        <w:rPr/>
        <w:t> 提名李燕女生为第五届董事会独立董事候选人。</w:t>
      </w:r>
    </w:p>
    <w:p>
      <w:pPr>
        <w:spacing w:after="0" w:line="31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宋体" w:hAnsi="宋体" w:cs="宋体" w:eastAsia="宋体" w:hint="default"/>
        </w:rPr>
        <w:t>3</w:t>
      </w:r>
      <w:r>
        <w:rPr/>
        <w:t>、薪酬与考核委员会的履行职责情况</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94" w:firstLine="360"/>
        <w:jc w:val="left"/>
      </w:pPr>
      <w:r>
        <w:rPr>
          <w:spacing w:val="-2"/>
        </w:rPr>
        <w:t>报告期内，公司董事会薪酬与考核委员会认真履行职责，共召开</w:t>
      </w:r>
      <w:r>
        <w:rPr>
          <w:rFonts w:ascii="宋体" w:hAnsi="宋体" w:cs="宋体" w:eastAsia="宋体" w:hint="default"/>
          <w:spacing w:val="-2"/>
        </w:rPr>
        <w:t>1</w:t>
      </w:r>
      <w:r>
        <w:rPr>
          <w:spacing w:val="-2"/>
        </w:rPr>
        <w:t>次薪酬与考核委员会工作会议，出席了</w:t>
      </w:r>
      <w:r>
        <w:rPr>
          <w:rFonts w:ascii="宋体" w:hAnsi="宋体" w:cs="宋体" w:eastAsia="宋体" w:hint="default"/>
          <w:spacing w:val="-2"/>
        </w:rPr>
        <w:t>1</w:t>
      </w:r>
      <w:r>
        <w:rPr>
          <w:spacing w:val="-2"/>
        </w:rPr>
        <w:t>次薪酬与考核</w:t>
      </w:r>
      <w:r>
        <w:rPr/>
        <w:t> 委员会工作会议，年底依据公司《高级管理人员薪酬及考核制度》对公司高级管理人员进行考核，确认薪酬。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4</w:t>
      </w:r>
      <w:r>
        <w:rPr/>
        <w:t>、战略委员会的履行职责情况</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91" w:firstLine="360"/>
        <w:jc w:val="both"/>
      </w:pPr>
      <w:r>
        <w:rPr>
          <w:spacing w:val="-2"/>
        </w:rPr>
        <w:t>报告期内，公司董事会战略委员会认真履行职责，共召开</w:t>
      </w:r>
      <w:r>
        <w:rPr>
          <w:rFonts w:ascii="宋体" w:hAnsi="宋体" w:cs="宋体" w:eastAsia="宋体" w:hint="default"/>
          <w:spacing w:val="-2"/>
        </w:rPr>
        <w:t>8</w:t>
      </w:r>
      <w:r>
        <w:rPr>
          <w:spacing w:val="-2"/>
        </w:rPr>
        <w:t>次战略委员会工作会议，出席了</w:t>
      </w:r>
      <w:r>
        <w:rPr>
          <w:rFonts w:ascii="宋体" w:hAnsi="宋体" w:cs="宋体" w:eastAsia="宋体" w:hint="default"/>
          <w:spacing w:val="-2"/>
        </w:rPr>
        <w:t>8</w:t>
      </w:r>
      <w:r>
        <w:rPr>
          <w:spacing w:val="-2"/>
        </w:rPr>
        <w:t>次战略委员会工作会议，对</w:t>
      </w:r>
      <w:r>
        <w:rPr/>
        <w:t> </w:t>
      </w:r>
      <w:r>
        <w:rPr>
          <w:spacing w:val="-2"/>
        </w:rPr>
        <w:t>公司未来发展规划以及影响公司未来发展的重大事项进行了深入探讨研究并提出了建议；提议对北京东方通科技股份有限公</w:t>
      </w:r>
      <w:r>
        <w:rPr>
          <w:spacing w:val="-64"/>
        </w:rPr>
        <w:t> </w:t>
      </w:r>
      <w:r>
        <w:rPr>
          <w:spacing w:val="-64"/>
        </w:rPr>
      </w:r>
      <w:r>
        <w:rPr>
          <w:spacing w:val="-2"/>
        </w:rPr>
        <w:t>司的股份增持计划的事项；提议对外投资成立东华呼和浩特中西部基地的相关事项；提议对外投资设立北京首创金融资产交</w:t>
      </w:r>
      <w:r>
        <w:rPr>
          <w:spacing w:val="-64"/>
        </w:rPr>
        <w:t> </w:t>
      </w:r>
      <w:r>
        <w:rPr>
          <w:spacing w:val="-64"/>
        </w:rPr>
      </w:r>
      <w:r>
        <w:rPr>
          <w:spacing w:val="-2"/>
        </w:rPr>
        <w:t>易信息服务股份有限公司和东华网络股份有限公司的相关事项；提议对外投资分别在威海市，苏州市，绵阳市，儋州市和长</w:t>
      </w:r>
      <w:r>
        <w:rPr>
          <w:spacing w:val="-66"/>
        </w:rPr>
        <w:t> </w:t>
      </w:r>
      <w:r>
        <w:rPr>
          <w:spacing w:val="-66"/>
        </w:rPr>
      </w:r>
      <w:r>
        <w:rPr>
          <w:spacing w:val="-2"/>
        </w:rPr>
        <w:t>春市设立全资子公司的事项；讨论公司以发行股份的方式收购江苏群立世纪投资发展有限公司的事项；讨论公司以自筹资金</w:t>
      </w:r>
      <w:r>
        <w:rPr>
          <w:spacing w:val="-64"/>
        </w:rPr>
        <w:t> </w:t>
      </w:r>
      <w:r>
        <w:rPr>
          <w:spacing w:val="-64"/>
        </w:rPr>
      </w:r>
      <w:r>
        <w:rPr/>
        <w:t>收购北京万兴新锐科技发展有限公司</w:t>
      </w:r>
      <w:r>
        <w:rPr>
          <w:rFonts w:ascii="宋体" w:hAnsi="宋体" w:cs="宋体" w:eastAsia="宋体" w:hint="default"/>
        </w:rPr>
        <w:t>51%</w:t>
      </w:r>
      <w:r>
        <w:rPr/>
        <w:t>股权。</w:t>
      </w: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60" w:lineRule="auto" w:before="115"/>
        <w:ind w:right="6754"/>
        <w:jc w:val="left"/>
      </w:pPr>
      <w:r>
        <w:rPr/>
        <w:t>□ 是 √</w:t>
      </w:r>
      <w:r>
        <w:rPr>
          <w:spacing w:val="3"/>
        </w:rPr>
        <w:t> </w:t>
      </w:r>
      <w:r>
        <w:rPr/>
        <w:t>否</w:t>
      </w:r>
      <w:r>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360"/>
        <w:jc w:val="left"/>
      </w:pPr>
      <w:r>
        <w:rPr/>
        <w:t>根据公司《高级管理人员薪酬及考核制度》等相关制度的规定，公司高管人员的分配与考核以公司经济效益为出发点， </w:t>
      </w:r>
      <w:r>
        <w:rPr>
          <w:spacing w:val="-2"/>
        </w:rPr>
        <w:t>主要由基本薪酬、绩效薪酬和奖励三部分组成，根据公司年度经营计划和高管人员分管工作的工作目标，进行综合考核，根</w:t>
      </w:r>
      <w:r>
        <w:rPr>
          <w:spacing w:val="-64"/>
        </w:rPr>
        <w:t> </w:t>
      </w:r>
      <w:r>
        <w:rPr>
          <w:spacing w:val="-64"/>
        </w:rPr>
      </w:r>
      <w:r>
        <w:rPr>
          <w:spacing w:val="-2"/>
        </w:rPr>
        <w:t>据考核结果确定高管人员的年度薪酬分配。同时，公司</w:t>
      </w:r>
      <w:r>
        <w:rPr>
          <w:rFonts w:ascii="宋体" w:hAnsi="宋体" w:cs="宋体" w:eastAsia="宋体" w:hint="default"/>
          <w:spacing w:val="-2"/>
        </w:rPr>
        <w:t>2012</w:t>
      </w:r>
      <w:r>
        <w:rPr>
          <w:spacing w:val="-2"/>
        </w:rPr>
        <w:t>年第一次临时股东大会审议通过了《东华软件股份公司股票期权</w:t>
      </w:r>
      <w:r>
        <w:rPr>
          <w:spacing w:val="-61"/>
        </w:rPr>
        <w:t> </w:t>
      </w:r>
      <w:r>
        <w:rPr>
          <w:spacing w:val="-61"/>
        </w:rPr>
      </w:r>
      <w:r>
        <w:rPr/>
        <w:t>激励计划 </w:t>
      </w:r>
      <w:r>
        <w:rPr>
          <w:rFonts w:ascii="宋体" w:hAnsi="宋体" w:cs="宋体" w:eastAsia="宋体" w:hint="default"/>
        </w:rPr>
        <w:t>(</w:t>
      </w:r>
      <w:r>
        <w:rPr/>
        <w:t>草案</w:t>
      </w:r>
      <w:r>
        <w:rPr>
          <w:rFonts w:ascii="宋体" w:hAnsi="宋体" w:cs="宋体" w:eastAsia="宋体" w:hint="default"/>
        </w:rPr>
        <w:t>)</w:t>
      </w:r>
      <w:r>
        <w:rPr/>
        <w:t>修订稿》及其摘要、《考核办法》、《关于提请股东大会授权董事会办理公司股票期权激励计划相关事宜</w:t>
      </w:r>
      <w:r>
        <w:rPr>
          <w:spacing w:val="-82"/>
        </w:rPr>
        <w:t> </w:t>
      </w:r>
      <w:r>
        <w:rPr>
          <w:spacing w:val="-82"/>
        </w:rPr>
      </w:r>
      <w:r>
        <w:rPr/>
        <w:t>的议案》，向公司核心员工及技术人员实施股权激励计划。</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94"/>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宋体" w:hAnsi="宋体" w:cs="宋体" w:eastAsia="宋体" w:hint="default"/>
        </w:rPr>
        <w:t>2</w:t>
      </w:r>
      <w:r>
        <w:rPr/>
        <w:t>、内控自我评价报告</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详见刊登在巨潮资讯网（</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）上的《东华软件股份公司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pacing w:val="-7"/>
                <w:sz w:val="18"/>
                <w:szCs w:val="18"/>
              </w:rPr>
              <w:t>年度内部控制自我评价报告》。</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3687"/>
        <w:gridCol w:w="3332"/>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51"/>
              <w:jc w:val="both"/>
              <w:rPr>
                <w:rFonts w:ascii="宋体" w:hAnsi="宋体" w:cs="宋体" w:eastAsia="宋体" w:hint="default"/>
                <w:sz w:val="18"/>
                <w:szCs w:val="18"/>
              </w:rPr>
            </w:pPr>
            <w:r>
              <w:rPr>
                <w:rFonts w:ascii="宋体" w:hAnsi="宋体" w:cs="宋体" w:eastAsia="宋体" w:hint="default"/>
                <w:sz w:val="18"/>
                <w:szCs w:val="18"/>
              </w:rPr>
              <w:t>属于财务报告重大缺陷的情形：①公司董事、 监事及高级管理人员的舞弊行为；②公司更正 已发布的财务报告；③注册会计师发现的却未 被公司内部控制识别的当期财务报告中的重大 错报；④审计委员会和审计内控部门对公司的 对外财务报告和财务报告内部控制监督无效。 属于财务报告重要缺陷的情形：①按照公认会 计准则选择和应用会计政策；②公司内控系统 未建立反舞弊程序和控制措施；③重要的业务 流程或系统存在缺陷；④当期财务报告出现重 要错报。属于财务报告一般缺陷的情形：未构 成重大缺陷、重要缺陷标准的其他内部控制缺 陷。</w:t>
            </w:r>
          </w:p>
        </w:tc>
        <w:tc>
          <w:tcPr>
            <w:tcW w:w="333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非财务报告重大缺陷的存在迹象包括：① 严重违反国家法律、法规，并造成重大损 失；②缺乏民主决策程序，决策程序不科 学或出现重大失误，给公司造成重大财产 损失；③重要业务制度性缺失或制度运行 系统性失效；④严重违规并处以重罚或承 担刑事责任。非财务报告重要缺陷的存在 迹象包括：①决策程序存在缺陷，可能导 致一般失误；②违反企业内部规章，形成 损失；③关键岗位业务人员流失严重；④ 内部控制重要或一般缺陷未得到整改；非 财务报告一般缺陷的存在迹象包括：除上 述重大缺陷、重要缺陷之外的其他缺陷。</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7" w:type="dxa"/>
            <w:vMerge/>
            <w:tcBorders>
              <w:left w:val="single" w:sz="10" w:space="0" w:color="D2D2D2"/>
              <w:right w:val="single" w:sz="4" w:space="0" w:color="000000"/>
            </w:tcBorders>
          </w:tcPr>
          <w:p>
            <w:pPr/>
          </w:p>
        </w:tc>
        <w:tc>
          <w:tcPr>
            <w:tcW w:w="3332" w:type="dxa"/>
            <w:vMerge/>
            <w:tcBorders>
              <w:left w:val="single" w:sz="4" w:space="0" w:color="000000"/>
              <w:right w:val="single" w:sz="4" w:space="0" w:color="000000"/>
            </w:tcBorders>
          </w:tcPr>
          <w:p>
            <w:pPr/>
          </w:p>
        </w:tc>
      </w:tr>
      <w:tr>
        <w:trPr>
          <w:trHeight w:val="1877"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10" w:space="0" w:color="D2D2D2"/>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943"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10" w:space="0" w:color="D2D2D2"/>
              <w:right w:val="single" w:sz="4" w:space="0" w:color="000000"/>
            </w:tcBorders>
          </w:tcPr>
          <w:p>
            <w:pPr>
              <w:pStyle w:val="TableParagraph"/>
              <w:spacing w:line="316" w:lineRule="auto" w:before="51"/>
              <w:ind w:left="16" w:right="170"/>
              <w:jc w:val="both"/>
              <w:rPr>
                <w:rFonts w:ascii="宋体" w:hAnsi="宋体" w:cs="宋体" w:eastAsia="宋体" w:hint="default"/>
                <w:sz w:val="18"/>
                <w:szCs w:val="18"/>
              </w:rPr>
            </w:pPr>
            <w:r>
              <w:rPr>
                <w:rFonts w:ascii="宋体" w:hAnsi="宋体" w:cs="宋体" w:eastAsia="宋体" w:hint="default"/>
                <w:sz w:val="18"/>
                <w:szCs w:val="18"/>
              </w:rPr>
              <w:t>定量标准指标 重大缺陷 重要缺陷</w:t>
            </w:r>
            <w:r>
              <w:rPr>
                <w:rFonts w:ascii="宋体" w:hAnsi="宋体" w:cs="宋体" w:eastAsia="宋体" w:hint="default"/>
                <w:spacing w:val="60"/>
                <w:sz w:val="18"/>
                <w:szCs w:val="18"/>
              </w:rPr>
              <w:t> </w:t>
            </w:r>
            <w:r>
              <w:rPr>
                <w:rFonts w:ascii="宋体" w:hAnsi="宋体" w:cs="宋体" w:eastAsia="宋体" w:hint="default"/>
                <w:sz w:val="18"/>
                <w:szCs w:val="18"/>
              </w:rPr>
              <w:t>一般缺</w:t>
            </w:r>
            <w:r>
              <w:rPr>
                <w:rFonts w:ascii="宋体" w:hAnsi="宋体" w:cs="宋体" w:eastAsia="宋体" w:hint="default"/>
                <w:sz w:val="18"/>
                <w:szCs w:val="18"/>
              </w:rPr>
              <w:t> 陷利润总额潜在错报</w:t>
            </w:r>
            <w:r>
              <w:rPr>
                <w:rFonts w:ascii="宋体" w:hAnsi="宋体" w:cs="宋体" w:eastAsia="宋体" w:hint="default"/>
                <w:spacing w:val="-30"/>
                <w:sz w:val="18"/>
                <w:szCs w:val="18"/>
              </w:rPr>
              <w:t> </w:t>
            </w:r>
            <w:r>
              <w:rPr>
                <w:rFonts w:ascii="宋体" w:hAnsi="宋体" w:cs="宋体" w:eastAsia="宋体" w:hint="default"/>
                <w:sz w:val="18"/>
                <w:szCs w:val="18"/>
              </w:rPr>
              <w:t>直接损失≥利润总额的</w:t>
            </w:r>
            <w:r>
              <w:rPr>
                <w:rFonts w:ascii="宋体" w:hAnsi="宋体" w:cs="宋体" w:eastAsia="宋体" w:hint="default"/>
                <w:sz w:val="18"/>
                <w:szCs w:val="18"/>
              </w:rPr>
              <w:t> </w:t>
            </w:r>
            <w:r>
              <w:rPr>
                <w:rFonts w:ascii="宋体" w:hAnsi="宋体" w:cs="宋体" w:eastAsia="宋体" w:hint="default"/>
                <w:sz w:val="18"/>
                <w:szCs w:val="18"/>
              </w:rPr>
              <w:t>5%  </w:t>
            </w:r>
            <w:r>
              <w:rPr>
                <w:rFonts w:ascii="宋体" w:hAnsi="宋体" w:cs="宋体" w:eastAsia="宋体" w:hint="default"/>
                <w:sz w:val="18"/>
                <w:szCs w:val="18"/>
              </w:rPr>
              <w:t>利润总额的 1%≤错报＜利润总额的</w:t>
            </w:r>
            <w:r>
              <w:rPr>
                <w:rFonts w:ascii="宋体" w:hAnsi="宋体" w:cs="宋体" w:eastAsia="宋体" w:hint="default"/>
                <w:spacing w:val="-29"/>
                <w:sz w:val="18"/>
                <w:szCs w:val="18"/>
              </w:rPr>
              <w:t> </w:t>
            </w:r>
            <w:r>
              <w:rPr>
                <w:rFonts w:ascii="宋体" w:hAnsi="宋体" w:cs="宋体" w:eastAsia="宋体" w:hint="default"/>
                <w:sz w:val="18"/>
                <w:szCs w:val="18"/>
              </w:rPr>
              <w:t>5%</w:t>
            </w:r>
          </w:p>
          <w:p>
            <w:pPr>
              <w:pStyle w:val="TableParagraph"/>
              <w:tabs>
                <w:tab w:pos="2957" w:val="left" w:leader="none"/>
              </w:tabs>
              <w:spacing w:line="316" w:lineRule="auto" w:before="19"/>
              <w:ind w:left="437" w:right="125"/>
              <w:jc w:val="left"/>
              <w:rPr>
                <w:rFonts w:ascii="宋体" w:hAnsi="宋体" w:cs="宋体" w:eastAsia="宋体" w:hint="default"/>
                <w:sz w:val="18"/>
                <w:szCs w:val="18"/>
              </w:rPr>
            </w:pP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资产总额潜在错报 直接损失≥资产总额的</w:t>
            </w:r>
            <w:r>
              <w:rPr>
                <w:rFonts w:ascii="宋体" w:hAnsi="宋体" w:cs="宋体" w:eastAsia="宋体" w:hint="default"/>
                <w:spacing w:val="-45"/>
                <w:sz w:val="18"/>
                <w:szCs w:val="18"/>
              </w:rPr>
              <w:t> </w:t>
            </w:r>
            <w:r>
              <w:rPr>
                <w:rFonts w:ascii="宋体" w:hAnsi="宋体" w:cs="宋体" w:eastAsia="宋体" w:hint="default"/>
                <w:sz w:val="18"/>
                <w:szCs w:val="18"/>
              </w:rPr>
              <w:t>0.5%</w:t>
              <w:tab/>
            </w:r>
            <w:r>
              <w:rPr>
                <w:rFonts w:ascii="宋体" w:hAnsi="宋体" w:cs="宋体" w:eastAsia="宋体" w:hint="default"/>
                <w:sz w:val="18"/>
                <w:szCs w:val="18"/>
              </w:rPr>
              <w:t>资产总</w:t>
            </w:r>
          </w:p>
          <w:p>
            <w:pPr>
              <w:pStyle w:val="TableParagraph"/>
              <w:spacing w:line="316" w:lineRule="auto" w:before="19"/>
              <w:ind w:left="16" w:right="170"/>
              <w:jc w:val="both"/>
              <w:rPr>
                <w:rFonts w:ascii="宋体" w:hAnsi="宋体" w:cs="宋体" w:eastAsia="宋体" w:hint="default"/>
                <w:sz w:val="18"/>
                <w:szCs w:val="18"/>
              </w:rPr>
            </w:pPr>
            <w:r>
              <w:rPr>
                <w:rFonts w:ascii="宋体" w:hAnsi="宋体" w:cs="宋体" w:eastAsia="宋体" w:hint="default"/>
                <w:sz w:val="18"/>
                <w:szCs w:val="18"/>
              </w:rPr>
              <w:t>额的 0.2%≤错报＜资产总额的 </w:t>
            </w:r>
            <w:r>
              <w:rPr>
                <w:rFonts w:ascii="宋体" w:hAnsi="宋体" w:cs="宋体" w:eastAsia="宋体" w:hint="default"/>
                <w:sz w:val="18"/>
                <w:szCs w:val="18"/>
              </w:rPr>
              <w:t>0.5%</w:t>
            </w:r>
            <w:r>
              <w:rPr>
                <w:rFonts w:ascii="宋体" w:hAnsi="宋体" w:cs="宋体" w:eastAsia="宋体" w:hint="default"/>
                <w:spacing w:val="-33"/>
                <w:sz w:val="18"/>
                <w:szCs w:val="18"/>
              </w:rPr>
              <w:t> </w:t>
            </w:r>
            <w:r>
              <w:rPr>
                <w:rFonts w:ascii="宋体" w:hAnsi="宋体" w:cs="宋体" w:eastAsia="宋体" w:hint="default"/>
                <w:sz w:val="18"/>
                <w:szCs w:val="18"/>
              </w:rPr>
              <w:t>错报＜ 资产总额的</w:t>
            </w:r>
            <w:r>
              <w:rPr>
                <w:rFonts w:ascii="宋体" w:hAnsi="宋体" w:cs="宋体" w:eastAsia="宋体" w:hint="default"/>
                <w:spacing w:val="-44"/>
                <w:sz w:val="18"/>
                <w:szCs w:val="18"/>
              </w:rPr>
              <w:t> </w:t>
            </w:r>
            <w:r>
              <w:rPr>
                <w:rFonts w:ascii="宋体" w:hAnsi="宋体" w:cs="宋体" w:eastAsia="宋体" w:hint="default"/>
                <w:sz w:val="18"/>
                <w:szCs w:val="18"/>
              </w:rPr>
              <w:t>0.2%</w:t>
            </w:r>
          </w:p>
        </w:tc>
        <w:tc>
          <w:tcPr>
            <w:tcW w:w="3332" w:type="dxa"/>
            <w:vMerge w:val="restart"/>
            <w:tcBorders>
              <w:top w:val="single" w:sz="4" w:space="0" w:color="000000"/>
              <w:left w:val="single" w:sz="4" w:space="0" w:color="000000"/>
              <w:right w:val="single" w:sz="4" w:space="0" w:color="000000"/>
            </w:tcBorders>
          </w:tcPr>
          <w:p>
            <w:pPr>
              <w:pStyle w:val="TableParagraph"/>
              <w:tabs>
                <w:tab w:pos="2964" w:val="left" w:leader="none"/>
              </w:tabs>
              <w:spacing w:line="316" w:lineRule="auto" w:before="51"/>
              <w:ind w:left="23" w:right="55" w:firstLine="420"/>
              <w:jc w:val="left"/>
              <w:rPr>
                <w:rFonts w:ascii="宋体" w:hAnsi="宋体" w:cs="宋体" w:eastAsia="宋体" w:hint="default"/>
                <w:sz w:val="18"/>
                <w:szCs w:val="18"/>
              </w:rPr>
            </w:pPr>
            <w:r>
              <w:rPr>
                <w:rFonts w:ascii="宋体" w:hAnsi="宋体" w:cs="宋体" w:eastAsia="宋体" w:hint="default"/>
                <w:sz w:val="18"/>
                <w:szCs w:val="18"/>
              </w:rPr>
              <w:t>重大缺陷 重要缺陷</w:t>
            </w:r>
            <w:r>
              <w:rPr>
                <w:rFonts w:ascii="宋体" w:hAnsi="宋体" w:cs="宋体" w:eastAsia="宋体" w:hint="default"/>
                <w:spacing w:val="60"/>
                <w:sz w:val="18"/>
                <w:szCs w:val="18"/>
              </w:rPr>
              <w:t> </w:t>
            </w:r>
            <w:r>
              <w:rPr>
                <w:rFonts w:ascii="宋体" w:hAnsi="宋体" w:cs="宋体" w:eastAsia="宋体" w:hint="default"/>
                <w:sz w:val="18"/>
                <w:szCs w:val="18"/>
              </w:rPr>
              <w:t>一般缺陷直接</w:t>
            </w:r>
            <w:r>
              <w:rPr>
                <w:rFonts w:ascii="宋体" w:hAnsi="宋体" w:cs="宋体" w:eastAsia="宋体" w:hint="default"/>
                <w:sz w:val="18"/>
                <w:szCs w:val="18"/>
              </w:rPr>
              <w:t> 损失</w:t>
            </w:r>
            <w:r>
              <w:rPr>
                <w:rFonts w:ascii="宋体" w:hAnsi="宋体" w:cs="宋体" w:eastAsia="宋体" w:hint="default"/>
                <w:spacing w:val="-30"/>
                <w:sz w:val="18"/>
                <w:szCs w:val="18"/>
              </w:rPr>
              <w:t> </w:t>
            </w:r>
            <w:r>
              <w:rPr>
                <w:rFonts w:ascii="宋体" w:hAnsi="宋体" w:cs="宋体" w:eastAsia="宋体" w:hint="default"/>
                <w:sz w:val="18"/>
                <w:szCs w:val="18"/>
              </w:rPr>
              <w:t>直接损失≥利润总额的</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17"/>
                <w:sz w:val="18"/>
                <w:szCs w:val="18"/>
              </w:rPr>
              <w:t> </w:t>
            </w:r>
            <w:r>
              <w:rPr>
                <w:rFonts w:ascii="宋体" w:hAnsi="宋体" w:cs="宋体" w:eastAsia="宋体" w:hint="default"/>
                <w:sz w:val="18"/>
                <w:szCs w:val="18"/>
              </w:rPr>
              <w:t>利润总额 的</w:t>
            </w:r>
            <w:r>
              <w:rPr>
                <w:rFonts w:ascii="宋体" w:hAnsi="宋体" w:cs="宋体" w:eastAsia="宋体" w:hint="default"/>
                <w:spacing w:val="-44"/>
                <w:sz w:val="18"/>
                <w:szCs w:val="18"/>
              </w:rPr>
              <w:t> </w:t>
            </w:r>
            <w:r>
              <w:rPr>
                <w:rFonts w:ascii="宋体" w:hAnsi="宋体" w:cs="宋体" w:eastAsia="宋体" w:hint="default"/>
                <w:sz w:val="18"/>
                <w:szCs w:val="18"/>
              </w:rPr>
              <w:t>1%≤直接损失＜利润总额的</w:t>
            </w:r>
            <w:r>
              <w:rPr>
                <w:rFonts w:ascii="宋体" w:hAnsi="宋体" w:cs="宋体" w:eastAsia="宋体" w:hint="default"/>
                <w:spacing w:val="-46"/>
                <w:sz w:val="18"/>
                <w:szCs w:val="18"/>
              </w:rPr>
              <w:t> </w:t>
            </w:r>
            <w:r>
              <w:rPr>
                <w:rFonts w:ascii="宋体" w:hAnsi="宋体" w:cs="宋体" w:eastAsia="宋体" w:hint="default"/>
                <w:sz w:val="18"/>
                <w:szCs w:val="18"/>
              </w:rPr>
              <w:t>5%</w:t>
              <w:tab/>
            </w:r>
            <w:r>
              <w:rPr>
                <w:rFonts w:ascii="宋体" w:hAnsi="宋体" w:cs="宋体" w:eastAsia="宋体" w:hint="default"/>
                <w:sz w:val="18"/>
                <w:szCs w:val="18"/>
              </w:rPr>
              <w:t>直 接损失＜利润总额的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直接损失</w:t>
              <w:tab/>
              <w:t>直 接损失≥资产总额的 </w:t>
            </w:r>
            <w:r>
              <w:rPr>
                <w:rFonts w:ascii="宋体" w:hAnsi="宋体" w:cs="宋体" w:eastAsia="宋体" w:hint="default"/>
                <w:sz w:val="18"/>
                <w:szCs w:val="18"/>
              </w:rPr>
              <w:t>0.5%</w:t>
            </w:r>
            <w:r>
              <w:rPr>
                <w:rFonts w:ascii="宋体" w:hAnsi="宋体" w:cs="宋体" w:eastAsia="宋体" w:hint="default"/>
                <w:spacing w:val="-61"/>
                <w:sz w:val="18"/>
                <w:szCs w:val="18"/>
              </w:rPr>
              <w:t> </w:t>
            </w:r>
            <w:r>
              <w:rPr>
                <w:rFonts w:ascii="宋体" w:hAnsi="宋体" w:cs="宋体" w:eastAsia="宋体" w:hint="default"/>
                <w:sz w:val="18"/>
                <w:szCs w:val="18"/>
              </w:rPr>
              <w:t>资产总额的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0.2%≤直接损失＜资产总额的 </w:t>
            </w:r>
            <w:r>
              <w:rPr>
                <w:rFonts w:ascii="宋体" w:hAnsi="宋体" w:cs="宋体" w:eastAsia="宋体" w:hint="default"/>
                <w:sz w:val="18"/>
                <w:szCs w:val="18"/>
              </w:rPr>
              <w:t>0.5%</w:t>
            </w:r>
            <w:r>
              <w:rPr>
                <w:rFonts w:ascii="宋体" w:hAnsi="宋体" w:cs="宋体" w:eastAsia="宋体" w:hint="default"/>
                <w:spacing w:val="57"/>
                <w:sz w:val="18"/>
                <w:szCs w:val="18"/>
              </w:rPr>
              <w:t> </w:t>
            </w:r>
            <w:r>
              <w:rPr>
                <w:rFonts w:ascii="宋体" w:hAnsi="宋体" w:cs="宋体" w:eastAsia="宋体" w:hint="default"/>
                <w:sz w:val="18"/>
                <w:szCs w:val="18"/>
              </w:rPr>
              <w:t>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接损失＜资产总额的</w:t>
            </w:r>
            <w:r>
              <w:rPr>
                <w:rFonts w:ascii="宋体" w:hAnsi="宋体" w:cs="宋体" w:eastAsia="宋体" w:hint="default"/>
                <w:spacing w:val="-45"/>
                <w:sz w:val="18"/>
                <w:szCs w:val="18"/>
              </w:rPr>
              <w:t> </w:t>
            </w:r>
            <w:r>
              <w:rPr>
                <w:rFonts w:ascii="宋体" w:hAnsi="宋体" w:cs="宋体" w:eastAsia="宋体" w:hint="default"/>
                <w:sz w:val="18"/>
                <w:szCs w:val="18"/>
              </w:rPr>
              <w:t>0.2%</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7" w:type="dxa"/>
            <w:vMerge/>
            <w:tcBorders>
              <w:left w:val="single" w:sz="10" w:space="0" w:color="D2D2D2"/>
              <w:right w:val="single" w:sz="4" w:space="0" w:color="000000"/>
            </w:tcBorders>
          </w:tcPr>
          <w:p>
            <w:pPr/>
          </w:p>
        </w:tc>
        <w:tc>
          <w:tcPr>
            <w:tcW w:w="3332" w:type="dxa"/>
            <w:vMerge/>
            <w:tcBorders>
              <w:left w:val="single" w:sz="4" w:space="0" w:color="000000"/>
              <w:right w:val="single" w:sz="4" w:space="0" w:color="000000"/>
            </w:tcBorders>
          </w:tcPr>
          <w:p>
            <w:pPr/>
          </w:p>
        </w:tc>
      </w:tr>
      <w:tr>
        <w:trPr>
          <w:trHeight w:val="94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10" w:space="0" w:color="D2D2D2"/>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3"/>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3"/>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pacing w:val="-2"/>
                <w:sz w:val="18"/>
                <w:szCs w:val="18"/>
              </w:rPr>
              <w:t>北京兴华会计师事务所（特殊普通合伙）对公司内部控制的有效性进行了评价，出具了《内部控制鉴证报告》（</w:t>
            </w:r>
            <w:r>
              <w:rPr>
                <w:rFonts w:ascii="宋体" w:hAnsi="宋体" w:cs="宋体" w:eastAsia="宋体" w:hint="default"/>
                <w:spacing w:val="-2"/>
                <w:sz w:val="18"/>
                <w:szCs w:val="18"/>
              </w:rPr>
              <w:t>2016</w:t>
            </w:r>
            <w:r>
              <w:rPr>
                <w:rFonts w:ascii="宋体" w:hAnsi="宋体" w:cs="宋体" w:eastAsia="宋体" w:hint="default"/>
                <w:spacing w:val="-2"/>
                <w:sz w:val="18"/>
                <w:szCs w:val="18"/>
              </w:rPr>
              <w:t>）京</w:t>
            </w:r>
            <w:r>
              <w:rPr>
                <w:rFonts w:ascii="宋体" w:hAnsi="宋体" w:cs="宋体" w:eastAsia="宋体" w:hint="default"/>
                <w:spacing w:val="-66"/>
                <w:sz w:val="18"/>
                <w:szCs w:val="18"/>
              </w:rPr>
              <w:t> </w:t>
            </w:r>
            <w:r>
              <w:rPr>
                <w:rFonts w:ascii="宋体" w:hAnsi="宋体" w:cs="宋体" w:eastAsia="宋体" w:hint="default"/>
                <w:sz w:val="18"/>
                <w:szCs w:val="18"/>
              </w:rPr>
              <w:t>会兴内鉴字第</w:t>
            </w:r>
            <w:r>
              <w:rPr>
                <w:rFonts w:ascii="宋体" w:hAnsi="宋体" w:cs="宋体" w:eastAsia="宋体" w:hint="default"/>
                <w:spacing w:val="-47"/>
                <w:sz w:val="18"/>
                <w:szCs w:val="18"/>
              </w:rPr>
              <w:t> </w:t>
            </w:r>
            <w:r>
              <w:rPr>
                <w:rFonts w:ascii="宋体" w:hAnsi="宋体" w:cs="宋体" w:eastAsia="宋体" w:hint="default"/>
                <w:sz w:val="18"/>
                <w:szCs w:val="18"/>
              </w:rPr>
              <w:t>03000005</w:t>
            </w:r>
            <w:r>
              <w:rPr>
                <w:rFonts w:ascii="宋体" w:hAnsi="宋体" w:cs="宋体" w:eastAsia="宋体" w:hint="default"/>
                <w:spacing w:val="-46"/>
                <w:sz w:val="18"/>
                <w:szCs w:val="18"/>
              </w:rPr>
              <w:t> </w:t>
            </w:r>
            <w:r>
              <w:rPr>
                <w:rFonts w:ascii="宋体" w:hAnsi="宋体" w:cs="宋体" w:eastAsia="宋体" w:hint="default"/>
                <w:sz w:val="18"/>
                <w:szCs w:val="18"/>
              </w:rPr>
              <w:t>号，认为：东华软件股份公司按照财政部等五部委颁发的《企业内部控制基本规范》及相关规定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日在所有重大方面保持了与财务报表相关的有效的内部控制。</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刊登在巨潮资讯网上</w:t>
            </w:r>
            <w:r>
              <w:rPr>
                <w:rFonts w:ascii="宋体" w:hAnsi="宋体" w:cs="宋体" w:eastAsia="宋体" w:hint="default"/>
                <w:spacing w:val="-2"/>
                <w:sz w:val="18"/>
                <w:szCs w:val="18"/>
              </w:rPr>
              <w:t>(</w:t>
            </w:r>
            <w:hyperlink r:id="rId35">
              <w:r>
                <w:rPr>
                  <w:rFonts w:ascii="宋体" w:hAnsi="宋体" w:cs="宋体" w:eastAsia="宋体" w:hint="default"/>
                  <w:spacing w:val="-2"/>
                  <w:sz w:val="18"/>
                  <w:szCs w:val="18"/>
                </w:rPr>
                <w:t>http://www.cninfo.com.cn/)</w:t>
              </w:r>
              <w:r>
                <w:rPr>
                  <w:rFonts w:ascii="宋体" w:hAnsi="宋体" w:cs="宋体" w:eastAsia="宋体" w:hint="default"/>
                  <w:spacing w:val="-2"/>
                  <w:sz w:val="18"/>
                  <w:szCs w:val="18"/>
                </w:rPr>
                <w:t>上的</w:t>
              </w:r>
            </w:hyperlink>
            <w:r>
              <w:rPr>
                <w:rFonts w:ascii="宋体" w:hAnsi="宋体" w:cs="宋体" w:eastAsia="宋体" w:hint="default"/>
                <w:spacing w:val="-2"/>
                <w:sz w:val="18"/>
                <w:szCs w:val="18"/>
              </w:rPr>
              <w:t>《东华软件股份公司内部控制鉴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证报告》</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东华软件股份公司管理层按照《企业内部控制基本规范》及相关规定对</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日与财务报表相关的内部控制有效性作出的认定。</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61"/>
        <w:gridCol w:w="6909"/>
      </w:tblGrid>
      <w:tr>
        <w:trPr>
          <w:trHeight w:val="334" w:hRule="exact"/>
        </w:trPr>
        <w:tc>
          <w:tcPr>
            <w:tcW w:w="2661" w:type="dxa"/>
            <w:tcBorders>
              <w:top w:val="single" w:sz="6" w:space="0" w:color="000000"/>
              <w:left w:val="nil" w:sz="6" w:space="0" w:color="auto"/>
              <w:bottom w:val="single" w:sz="4" w:space="0" w:color="000000"/>
              <w:right w:val="nil" w:sz="6" w:space="0" w:color="auto"/>
            </w:tcBorders>
          </w:tcPr>
          <w:p>
            <w:pPr/>
          </w:p>
        </w:tc>
        <w:tc>
          <w:tcPr>
            <w:tcW w:w="6909"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112" w:right="3614"/>
        <w:jc w:val="left"/>
      </w:pPr>
      <w:r>
        <w:rPr/>
        <w:t>会计师事务所是否出具非标准意见的内部控制鉴证报告</w:t>
      </w:r>
    </w:p>
    <w:p>
      <w:pPr>
        <w:pStyle w:val="BodyText"/>
        <w:spacing w:line="360" w:lineRule="auto" w:before="115"/>
        <w:ind w:left="112" w:right="3614"/>
        <w:jc w:val="left"/>
      </w:pPr>
      <w:r>
        <w:rPr/>
        <w:t>□ 是 √</w:t>
      </w:r>
      <w:r>
        <w:rPr>
          <w:spacing w:val="3"/>
        </w:rPr>
        <w:t> </w:t>
      </w:r>
      <w:r>
        <w:rPr/>
        <w:t>否</w:t>
      </w:r>
      <w:r>
        <w:rPr/>
        <w:t> 会计师事务所出具的内部控制鉴证报告与董事会的自我评价报告意见是否一致</w:t>
      </w:r>
    </w:p>
    <w:p>
      <w:pPr>
        <w:pStyle w:val="BodyText"/>
        <w:spacing w:line="240" w:lineRule="auto" w:before="25"/>
        <w:ind w:left="112" w:right="3614"/>
        <w:jc w:val="left"/>
      </w:pPr>
      <w:r>
        <w:rPr/>
        <w:t>√ 是 □</w:t>
      </w:r>
      <w:r>
        <w:rPr>
          <w:spacing w:val="3"/>
        </w:rPr>
        <w:t> </w:t>
      </w:r>
      <w:r>
        <w:rPr/>
        <w:t>否</w:t>
      </w:r>
    </w:p>
    <w:p>
      <w:pPr>
        <w:spacing w:after="0" w:line="240" w:lineRule="auto"/>
        <w:jc w:val="left"/>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134" w:right="172"/>
        <w:jc w:val="center"/>
        <w:rPr>
          <w:b w:val="0"/>
          <w:bCs w:val="0"/>
        </w:rPr>
      </w:pPr>
      <w:bookmarkStart w:name="_bookmark8" w:id="9"/>
      <w:bookmarkEnd w:id="9"/>
      <w:r>
        <w:rPr>
          <w:b w:val="0"/>
          <w:bCs w:val="0"/>
        </w:rPr>
      </w:r>
      <w:r>
        <w:rPr/>
        <w:t>第十节财务报告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）京会兴审字第</w:t>
            </w:r>
            <w:r>
              <w:rPr>
                <w:rFonts w:ascii="宋体" w:hAnsi="宋体" w:cs="宋体" w:eastAsia="宋体" w:hint="default"/>
                <w:spacing w:val="-48"/>
                <w:sz w:val="18"/>
                <w:szCs w:val="18"/>
              </w:rPr>
              <w:t> </w:t>
            </w:r>
            <w:r>
              <w:rPr>
                <w:rFonts w:ascii="宋体" w:hAnsi="宋体" w:cs="宋体" w:eastAsia="宋体" w:hint="default"/>
                <w:sz w:val="18"/>
                <w:szCs w:val="18"/>
              </w:rPr>
              <w:t>03000014</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胡毅，叶丽萍</w:t>
            </w:r>
          </w:p>
        </w:tc>
      </w:tr>
    </w:tbl>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pStyle w:val="Heading3"/>
        <w:spacing w:line="240" w:lineRule="auto" w:before="145"/>
        <w:ind w:left="513" w:right="-7"/>
        <w:jc w:val="left"/>
        <w:rPr>
          <w:b w:val="0"/>
          <w:bCs w:val="0"/>
        </w:rPr>
      </w:pPr>
      <w:r>
        <w:rPr>
          <w:spacing w:val="-1"/>
        </w:rPr>
        <w:t>东华软件股份公司全体股东：</w:t>
      </w:r>
      <w:r>
        <w:rPr>
          <w:b w:val="0"/>
          <w:bCs w:val="0"/>
          <w:spacing w:val="-1"/>
        </w:rPr>
      </w:r>
    </w:p>
    <w:p>
      <w:pPr>
        <w:pStyle w:val="Heading2"/>
        <w:spacing w:line="240" w:lineRule="auto" w:before="26"/>
        <w:ind w:left="513"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980" w:right="940"/>
          <w:cols w:num="2" w:equalWidth="0">
            <w:col w:w="3255" w:space="483"/>
            <w:col w:w="6252"/>
          </w:cols>
        </w:sectPr>
      </w:pPr>
    </w:p>
    <w:p>
      <w:pPr>
        <w:spacing w:line="240" w:lineRule="auto" w:before="3"/>
        <w:rPr>
          <w:rFonts w:ascii="宋体" w:hAnsi="宋体" w:cs="宋体" w:eastAsia="宋体" w:hint="default"/>
          <w:b/>
          <w:bCs/>
          <w:sz w:val="10"/>
          <w:szCs w:val="10"/>
        </w:rPr>
      </w:pPr>
    </w:p>
    <w:p>
      <w:pPr>
        <w:pStyle w:val="BodyText"/>
        <w:spacing w:line="316" w:lineRule="auto" w:before="44"/>
        <w:ind w:right="94" w:firstLine="360"/>
        <w:jc w:val="left"/>
      </w:pPr>
      <w:r>
        <w:rPr>
          <w:spacing w:val="-2"/>
        </w:rPr>
        <w:t>我们审计了后附的东华软件股份公司（以下简称东华软件公司）财务报表，包括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w:t>
      </w:r>
      <w:r>
        <w:rPr/>
        <w:t> 债表，</w:t>
      </w:r>
      <w:r>
        <w:rPr>
          <w:rFonts w:ascii="宋体" w:hAnsi="宋体" w:cs="宋体" w:eastAsia="宋体" w:hint="default"/>
        </w:rPr>
        <w:t>2015</w:t>
      </w:r>
      <w:r>
        <w:rPr/>
        <w:t>年度的合并及母公司利润表、合并及母公司现金流量表、合并及母公司所有者权益变动表，以及财务报表附注。</w:t>
      </w:r>
    </w:p>
    <w:p>
      <w:pPr>
        <w:pStyle w:val="Heading3"/>
        <w:spacing w:line="240" w:lineRule="auto" w:before="118"/>
        <w:ind w:left="513" w:right="94"/>
        <w:jc w:val="left"/>
        <w:rPr>
          <w:b w:val="0"/>
          <w:bCs w:val="0"/>
        </w:rPr>
      </w:pPr>
      <w:r>
        <w:rPr/>
        <w:t>一、管理层对财务报表的责任</w:t>
      </w:r>
      <w:r>
        <w:rPr>
          <w:b w:val="0"/>
          <w:bCs w:val="0"/>
        </w:rPr>
      </w:r>
    </w:p>
    <w:p>
      <w:pPr>
        <w:pStyle w:val="BodyText"/>
        <w:spacing w:line="316" w:lineRule="auto" w:before="178"/>
        <w:ind w:right="94" w:firstLine="360"/>
        <w:jc w:val="left"/>
      </w:pPr>
      <w:r>
        <w:rPr>
          <w:spacing w:val="-4"/>
        </w:rPr>
        <w:t>编制和公允列报财务报表是东华软件公司管理层的责任，这种责任包括：（</w:t>
      </w:r>
      <w:r>
        <w:rPr>
          <w:rFonts w:ascii="宋体" w:hAnsi="宋体" w:cs="宋体" w:eastAsia="宋体" w:hint="default"/>
          <w:spacing w:val="-4"/>
        </w:rPr>
        <w:t>1</w:t>
      </w:r>
      <w:r>
        <w:rPr>
          <w:spacing w:val="-4"/>
        </w:rPr>
        <w:t>）按照企业会计准则的规定编制财务报表，</w:t>
      </w:r>
      <w:r>
        <w:rPr/>
        <w:t> 并使其实现公允反映；（</w:t>
      </w:r>
      <w:r>
        <w:rPr>
          <w:rFonts w:ascii="宋体" w:hAnsi="宋体" w:cs="宋体" w:eastAsia="宋体" w:hint="default"/>
        </w:rPr>
        <w:t>2</w:t>
      </w:r>
      <w:r>
        <w:rPr/>
        <w:t>）设计、执行和维护必要的内部控制，以使财务报表不存在由于舞弊或错误导致的重大错报。</w:t>
      </w:r>
    </w:p>
    <w:p>
      <w:pPr>
        <w:pStyle w:val="Heading3"/>
        <w:spacing w:line="240" w:lineRule="auto" w:before="118"/>
        <w:ind w:left="513" w:right="94"/>
        <w:jc w:val="left"/>
        <w:rPr>
          <w:b w:val="0"/>
          <w:bCs w:val="0"/>
        </w:rPr>
      </w:pPr>
      <w:r>
        <w:rPr/>
        <w:t>二、注册会计师的责任</w:t>
      </w:r>
      <w:r>
        <w:rPr>
          <w:b w:val="0"/>
          <w:bCs w:val="0"/>
        </w:rPr>
      </w:r>
    </w:p>
    <w:p>
      <w:pPr>
        <w:pStyle w:val="BodyText"/>
        <w:spacing w:line="319" w:lineRule="auto" w:before="178"/>
        <w:ind w:right="192"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37"/>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240" w:lineRule="auto" w:before="139"/>
        <w:ind w:left="513" w:right="94"/>
        <w:jc w:val="left"/>
      </w:pPr>
      <w:r>
        <w:rPr/>
        <w:t>我们相信，我们获取的审计证据是充分、适当的，为发表审计意见提供了基础。</w:t>
      </w:r>
    </w:p>
    <w:p>
      <w:pPr>
        <w:spacing w:line="240" w:lineRule="auto" w:before="6"/>
        <w:rPr>
          <w:rFonts w:ascii="宋体" w:hAnsi="宋体" w:cs="宋体" w:eastAsia="宋体" w:hint="default"/>
          <w:sz w:val="13"/>
          <w:szCs w:val="13"/>
        </w:rPr>
      </w:pPr>
    </w:p>
    <w:p>
      <w:pPr>
        <w:pStyle w:val="Heading3"/>
        <w:spacing w:line="240" w:lineRule="auto"/>
        <w:ind w:left="513" w:right="94"/>
        <w:jc w:val="left"/>
        <w:rPr>
          <w:b w:val="0"/>
          <w:bCs w:val="0"/>
        </w:rPr>
      </w:pPr>
      <w:r>
        <w:rPr/>
        <w:t>三、审计意见</w:t>
      </w:r>
      <w:r>
        <w:rPr>
          <w:b w:val="0"/>
          <w:bCs w:val="0"/>
        </w:rPr>
      </w:r>
    </w:p>
    <w:p>
      <w:pPr>
        <w:pStyle w:val="BodyText"/>
        <w:spacing w:line="316" w:lineRule="auto" w:before="178"/>
        <w:ind w:right="94" w:firstLine="360"/>
        <w:jc w:val="left"/>
      </w:pPr>
      <w:r>
        <w:rPr/>
        <w:t>我们认为，东华软件公司财务报表在所有重大方面按照企业会计准则的规定编制，公允反映了东华软件公司</w:t>
      </w:r>
      <w:r>
        <w:rPr>
          <w:rFonts w:ascii="宋体" w:hAnsi="宋体" w:cs="宋体" w:eastAsia="宋体" w:hint="default"/>
        </w:rPr>
        <w:t>2015</w:t>
      </w:r>
      <w:r>
        <w:rPr/>
        <w:t>年</w:t>
      </w:r>
      <w:r>
        <w:rPr>
          <w:rFonts w:ascii="宋体" w:hAnsi="宋体" w:cs="宋体" w:eastAsia="宋体" w:hint="default"/>
        </w:rPr>
        <w:t>12</w:t>
      </w:r>
      <w:r>
        <w:rPr>
          <w:rFonts w:ascii="宋体" w:hAnsi="宋体" w:cs="宋体" w:eastAsia="宋体" w:hint="default"/>
          <w:spacing w:val="-2"/>
        </w:rPr>
        <w:t> </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60" w:bottom="1160" w:left="980" w:right="940"/>
        </w:sectPr>
      </w:pPr>
    </w:p>
    <w:p>
      <w:pPr>
        <w:pStyle w:val="BodyText"/>
        <w:spacing w:line="360" w:lineRule="auto" w:before="44"/>
        <w:ind w:left="1053" w:right="-20" w:hanging="901"/>
        <w:jc w:val="left"/>
      </w:pPr>
      <w:r>
        <w:rPr/>
        <w:t>北京兴华会计师事务所（特殊普通合伙）中国注册会计师：胡毅 中国</w:t>
      </w:r>
      <w:r>
        <w:rPr>
          <w:rFonts w:ascii="宋体" w:hAnsi="宋体" w:cs="宋体" w:eastAsia="宋体" w:hint="default"/>
          <w:b/>
          <w:bCs/>
        </w:rPr>
        <w:t>·</w:t>
      </w:r>
      <w:r>
        <w:rPr/>
        <w:t>北京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717" w:lineRule="auto"/>
        <w:ind w:left="421" w:right="542" w:hanging="269"/>
        <w:jc w:val="left"/>
      </w:pPr>
      <w:r>
        <w:rPr/>
        <w:t>中国注册会计师：叶丽萍 二</w:t>
      </w:r>
      <w:r>
        <w:rPr>
          <w:rFonts w:ascii="宋体" w:hAnsi="宋体" w:cs="宋体" w:eastAsia="宋体" w:hint="default"/>
        </w:rPr>
        <w:t>0</w:t>
      </w:r>
      <w:r>
        <w:rPr/>
        <w:t>一六年四月二十五日</w:t>
      </w:r>
    </w:p>
    <w:p>
      <w:pPr>
        <w:spacing w:after="0" w:line="717" w:lineRule="auto"/>
        <w:jc w:val="left"/>
        <w:sectPr>
          <w:type w:val="continuous"/>
          <w:pgSz w:w="11910" w:h="16840"/>
          <w:pgMar w:top="1060" w:bottom="1160" w:left="980" w:right="940"/>
          <w:cols w:num="2" w:equalWidth="0">
            <w:col w:w="5193" w:space="1919"/>
            <w:col w:w="287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15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1</w:t>
      </w:r>
      <w:r>
        <w:rPr/>
        <w:t>、合并资产负债表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980"/>
        </w:sectPr>
      </w:pPr>
    </w:p>
    <w:p>
      <w:pPr>
        <w:pStyle w:val="BodyText"/>
        <w:spacing w:line="240" w:lineRule="auto" w:before="44"/>
        <w:ind w:right="-20"/>
        <w:jc w:val="left"/>
      </w:pPr>
      <w:r>
        <w:rPr/>
        <w:t>编制单位：东华软件股份公司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宋体" w:hAnsi="宋体" w:cs="宋体" w:eastAsia="宋体" w:hint="default"/>
        </w:rPr>
        <w:t>2015</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2493" w:space="1583"/>
            <w:col w:w="1641" w:space="3203"/>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1,138,049,591.20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1,096,415,088.85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50,052,943.60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51,327,190.65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3,585,237,976.11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2,952,086,558.85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374,561,963.14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194,413,333.24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301,333,420.97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235,377,312.94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2,048,703,075.50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1,189,712,797.66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99,630,730.12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102,185,625.01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7,597,569,700.64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5,821,517,907.20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1,136,716,608.67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380,150,598.35</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608,444.42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443,494,532.62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531,706,339.22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35,020,434.94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22,110,496.83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221,966,683.79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170,039,301.57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26,342,695.90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7,322,827.17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1,663,359,056.20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944,168,058.86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6,551,369.50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1,835,902.25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25,084,202.34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17,210,330.05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27,900,000.00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3,559,144,028.38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2,102,443,854.30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11,156,713,729.02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7,923,961,761.50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840,483,294.08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292,027,009.15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178,496,893.50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136,883,863.90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376,148,821.41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371,571,994.98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528,282,335.26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375,853,151.28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9,206,643.14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3,790,926.67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135,183,261.81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80,444,341.90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275,201.33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210,641,841.95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134,834,877.16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82,285,283.16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40,414,442.50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2,370,528,374.31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1,436,095,808.87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68,096,555.50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83,899,913.86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84,070,870.13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91,216,237.19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40,703,471.92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175,116,151.05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192,870,897.55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2,545,644,525.36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1,628,966,706.42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1,564,561,700.00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1,514,806,948.00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2,306,289,204.25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1,486,530,026.32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743,075,263.24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309,472,715.86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387,109,699.86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293,876,664.93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3,502,736,621.07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2,683,209,472.04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8,503,772,488.42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6,287,895,827.15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107,296,715.24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7,099,227.93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8,611,069,203.66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6,294,995,055.08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11,156,713,729.02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7,923,961,761.50</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right="153"/>
        <w:jc w:val="left"/>
      </w:pPr>
      <w:r>
        <w:rPr/>
        <w:t>法定代表人：薛向东主管会计工作负责人：叶莉会计机构负责人：初美伶</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、母公司资产负债表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457,889,238.76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679,912,624.92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20,225,813.60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31,877,190.65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2,603,130,702.76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2,238,460,289.59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130,437,901.31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120,228,552.29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333,666,358.82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275,599,819.56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1,113,110,665.16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773,512,603.31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60,192,865.76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85,243,137.99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4,718,653,546.17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4,204,834,218.31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1,126,849,608.67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370,283,598.35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3,202,388,967.19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2,005,474,849.04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12,003,020.10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12,940,588.14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358,279,433.58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445,800,355.00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119,828,842.33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95,025,756.82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15,414,411.67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11,160,230.68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4,834,764,283.54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2,968,585,378.03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9,553,417,829.71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7,173,419,596.34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389,611,066.31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187,027,009.15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67,821,580.50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56,303,863.90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155,066,829.04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183,075,586.02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179,628,724.51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221,736,332.18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309,590.77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227,799.79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86,756,225.84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50,180,352.61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275,201.33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210,641,841.95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134,834,877.16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1,027,274,649.77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882,180,648.29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2,117,110,508.69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1,715,841,670.43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68,096,555.50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74,662,948.97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82,300,870.13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82,564,042.97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34,390,261.79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157,226,991.94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184,787,687.42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2,274,337,500.63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1,900,629,357.85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1,564,561,700.00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1,514,806,948.00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2,306,287,981.93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1,486,528,804.00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743,076,386.73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309,512,356.10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385,731,757.35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292,498,722.42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2,279,422,503.07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1,669,443,407.97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7,279,080,329.08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5,272,790,238.49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9,553,417,829.71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7,173,419,596.34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3</w:t>
      </w:r>
      <w:r>
        <w:rPr/>
        <w:t>、合并利润表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5,629,416,583.02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5,171,048,660.00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5,629,416,583.02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5,171,048,660.00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4,683,415,070.95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4,101,003,064.73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3,743,725,785.01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3,346,333,644.90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27,196,192.39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12,308,243.11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234,241,472.83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195,292,367.87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609,815,931.68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500,132,149.65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17,183,032.85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7,702,874.65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51,252,656.19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39,233,784.55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203,409,805.53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11,282,432.53</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-591,555.58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1,149,411,317.60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1,081,328,027.80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90,894,183.62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44,707,697.19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74,060.68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28,992.58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942,500.26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1,197,299.63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87,272.46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312.90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1,239,363,000.96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1,124,838,425.36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100,420,114.76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86,218,926.03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1,138,942,886.20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1,038,619,499.33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1,141,878,403.18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1,038,654,013.57</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-2,935,516.98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-34,514.24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433,602,547.38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309,511,952.42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433,602,547.38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309,511,952.42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433,602,547.38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309,511,952.42</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433,564,030.63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309,512,356.10</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53"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38,516.75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-403.68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1,572,545,433.58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1,348,131,451.75</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1,575,480,950.56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1,348,165,965.99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-2,935,516.98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-34,514.24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0.7416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0.7013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0.7397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0.6981</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right="153"/>
        <w:jc w:val="left"/>
      </w:pPr>
      <w:r>
        <w:rPr/>
        <w:t>法定代表人：薛向东主管会计工作负责人：叶莉会计机构负责人：初美伶</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、母公司利润表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2,831,795,776.88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3,064,451,121.38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1,674,242,665.38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1,825,174,422.08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15,407,853.14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5,578,077.08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108,173,463.77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99,257,560.94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69995pt;margin-top:239.359985pt;width:163.35pt;height:20.65pt;mso-position-horizontal-relative:page;mso-position-vertical-relative:page;z-index:-1059064" coordorigin="4107,4787" coordsize="3267,413">
            <v:group style="position:absolute;left:4118;top:4798;width:2;height:392" coordorigin="4118,4798" coordsize="2,392">
              <v:shape style="position:absolute;left:4118;top:4798;width:2;height:392" coordorigin="4118,4798" coordsize="0,392" path="m4118,4798l4118,5189e" filled="false" stroked="true" strokeweight="1.08pt" strokecolor="#ffffff">
                <v:path arrowok="t"/>
              </v:shape>
            </v:group>
            <v:group style="position:absolute;left:4129;top:4798;width:3246;height:392" coordorigin="4129,4798" coordsize="3246,392">
              <v:shape style="position:absolute;left:4129;top:4798;width:3246;height:392" coordorigin="4129,4798" coordsize="3246,392" path="m4129,5189l7374,5189,7374,4798,4129,4798,4129,5189xe" filled="true" fillcolor="#ffffff" stroked="false">
                <v:path arrowok="t"/>
                <v:fill type="solid"/>
              </v:shape>
            </v:group>
            <w10:wrap type="none"/>
          </v:group>
        </w:pict>
      </w:r>
      <w:r>
        <w:rPr/>
        <w:pict>
          <v:group style="position:absolute;margin-left:205.369995pt;margin-top:395.749969pt;width:163.35pt;height:20.65pt;mso-position-horizontal-relative:page;mso-position-vertical-relative:page;z-index:-1059040" coordorigin="4107,7915" coordsize="3267,413">
            <v:group style="position:absolute;left:4118;top:7926;width:2;height:392" coordorigin="4118,7926" coordsize="2,392">
              <v:shape style="position:absolute;left:4118;top:7926;width:2;height:392" coordorigin="4118,7926" coordsize="0,392" path="m4118,7926l4118,8317e" filled="false" stroked="true" strokeweight="1.08pt" strokecolor="#ffffff">
                <v:path arrowok="t"/>
              </v:shape>
            </v:group>
            <v:group style="position:absolute;left:4129;top:7926;width:3246;height:392" coordorigin="4129,7926" coordsize="3246,392">
              <v:shape style="position:absolute;left:4129;top:7926;width:3246;height:392" coordorigin="4129,7926" coordsize="3246,392" path="m4129,8317l7374,8317,7374,7926,4129,7926,4129,83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1038"/>
        <w:gridCol w:w="2263"/>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08" w:right="0"/>
              <w:jc w:val="left"/>
              <w:rPr>
                <w:rFonts w:ascii="宋体" w:hAnsi="宋体" w:cs="宋体" w:eastAsia="宋体" w:hint="default"/>
                <w:sz w:val="18"/>
                <w:szCs w:val="18"/>
              </w:rPr>
            </w:pPr>
            <w:r>
              <w:rPr>
                <w:rFonts w:ascii="宋体"/>
                <w:sz w:val="18"/>
              </w:rPr>
              <w:t>281,365,084.49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248,187,466.06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8" w:right="0"/>
              <w:jc w:val="left"/>
              <w:rPr>
                <w:rFonts w:ascii="宋体" w:hAnsi="宋体" w:cs="宋体" w:eastAsia="宋体" w:hint="default"/>
                <w:sz w:val="18"/>
                <w:szCs w:val="18"/>
              </w:rPr>
            </w:pPr>
            <w:r>
              <w:rPr>
                <w:rFonts w:ascii="宋体"/>
                <w:sz w:val="18"/>
              </w:rPr>
              <w:t>1,655,579.56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2,931,340.56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97" w:right="0"/>
              <w:jc w:val="left"/>
              <w:rPr>
                <w:rFonts w:ascii="宋体" w:hAnsi="宋体" w:cs="宋体" w:eastAsia="宋体" w:hint="default"/>
                <w:sz w:val="18"/>
                <w:szCs w:val="18"/>
              </w:rPr>
            </w:pPr>
            <w:r>
              <w:rPr>
                <w:rFonts w:ascii="宋体"/>
                <w:sz w:val="18"/>
              </w:rPr>
              <w:t>42,541,809.86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32,135,357.84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08" w:right="0"/>
              <w:jc w:val="left"/>
              <w:rPr>
                <w:rFonts w:ascii="宋体" w:hAnsi="宋体" w:cs="宋体" w:eastAsia="宋体" w:hint="default"/>
                <w:sz w:val="18"/>
                <w:szCs w:val="18"/>
              </w:rPr>
            </w:pPr>
            <w:r>
              <w:rPr>
                <w:rFonts w:ascii="宋体"/>
                <w:sz w:val="18"/>
              </w:rPr>
              <w:t>238,771,916.89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10,748,777.56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-591,555.58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947,181,237.57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861,935,674.38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45,259,033.33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23,961,928.48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827,116.72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198,778.04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76,266.72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8" w:right="0"/>
              <w:jc w:val="left"/>
              <w:rPr>
                <w:rFonts w:ascii="宋体" w:hAnsi="宋体" w:cs="宋体" w:eastAsia="宋体" w:hint="default"/>
                <w:sz w:val="18"/>
                <w:szCs w:val="18"/>
              </w:rPr>
            </w:pPr>
            <w:r>
              <w:rPr>
                <w:rFonts w:ascii="宋体"/>
                <w:sz w:val="18"/>
              </w:rPr>
              <w:t>991,613,154.18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885,698,824.82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97" w:right="0"/>
              <w:jc w:val="left"/>
              <w:rPr>
                <w:rFonts w:ascii="宋体" w:hAnsi="宋体" w:cs="宋体" w:eastAsia="宋体" w:hint="default"/>
                <w:sz w:val="18"/>
                <w:szCs w:val="18"/>
              </w:rPr>
            </w:pPr>
            <w:r>
              <w:rPr>
                <w:rFonts w:ascii="宋体"/>
                <w:sz w:val="18"/>
              </w:rPr>
              <w:t>59,282,804.93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59,201,532.94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932,330,349.25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826,497,291.88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08" w:right="0"/>
              <w:jc w:val="left"/>
              <w:rPr>
                <w:rFonts w:ascii="宋体" w:hAnsi="宋体" w:cs="宋体" w:eastAsia="宋体" w:hint="default"/>
                <w:sz w:val="18"/>
                <w:szCs w:val="18"/>
              </w:rPr>
            </w:pPr>
            <w:r>
              <w:rPr>
                <w:rFonts w:ascii="宋体"/>
                <w:sz w:val="18"/>
              </w:rPr>
              <w:t>433,564,030.63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309,512,356.10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08" w:right="0"/>
              <w:jc w:val="left"/>
              <w:rPr>
                <w:rFonts w:ascii="宋体" w:hAnsi="宋体" w:cs="宋体" w:eastAsia="宋体" w:hint="default"/>
                <w:sz w:val="18"/>
                <w:szCs w:val="18"/>
              </w:rPr>
            </w:pPr>
            <w:r>
              <w:rPr>
                <w:rFonts w:ascii="宋体"/>
                <w:sz w:val="18"/>
              </w:rPr>
              <w:t>433,564,030.63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309,512,356.10</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08" w:right="0"/>
              <w:jc w:val="left"/>
              <w:rPr>
                <w:rFonts w:ascii="宋体" w:hAnsi="宋体" w:cs="宋体" w:eastAsia="宋体" w:hint="default"/>
                <w:sz w:val="18"/>
                <w:szCs w:val="18"/>
              </w:rPr>
            </w:pPr>
            <w:r>
              <w:rPr>
                <w:rFonts w:ascii="宋体"/>
                <w:sz w:val="18"/>
              </w:rPr>
              <w:t>433,564,030.63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309,512,356.10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32" w:right="0"/>
              <w:jc w:val="left"/>
              <w:rPr>
                <w:rFonts w:ascii="宋体" w:hAnsi="宋体" w:cs="宋体" w:eastAsia="宋体" w:hint="default"/>
                <w:sz w:val="18"/>
                <w:szCs w:val="18"/>
              </w:rPr>
            </w:pPr>
            <w:r>
              <w:rPr>
                <w:rFonts w:ascii="宋体"/>
                <w:sz w:val="18"/>
              </w:rPr>
              <w:t>1,365,894,379.88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28" w:right="0"/>
              <w:jc w:val="left"/>
              <w:rPr>
                <w:rFonts w:ascii="宋体" w:hAnsi="宋体" w:cs="宋体" w:eastAsia="宋体" w:hint="default"/>
                <w:sz w:val="18"/>
                <w:szCs w:val="18"/>
              </w:rPr>
            </w:pPr>
            <w:r>
              <w:rPr>
                <w:rFonts w:ascii="宋体"/>
                <w:sz w:val="18"/>
              </w:rPr>
              <w:t>1,136,009,647.98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6,044,137,169.70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4,494,541,299.93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65,991,246.88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33,550,144.25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254,356,026.56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146,990,033.31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6,364,484,443.14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4,675,081,477.49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5,008,747,834.48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3,460,302,130.58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705,810,997.43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572,602,749.41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241,599,731.95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209,662,953.74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442,882,737.01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447,657,717.88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6,399,041,300.87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4,690,225,551.61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-34,556,857.73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-15,144,074.12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207,825,078.28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76,438,837.58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37,362,436.07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427,111.24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1,187,339.33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246,483,153.68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76,865,948.82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148,397,882.00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233,815,355.13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276,957,319.38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112,848,609.00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388,437,080.93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157,800,170.13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813,792,282.31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504,464,134.26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-567,309,128.63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-427,598,185.44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335,308,248.14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258,685,592.20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98,400,000.00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7,115,000.00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1,016,118,491.55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584,978,049.15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1,351,426,739.69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843,663,641.35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555,176,458.21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502,751,040.00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180,320,126.47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97,509,173.17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735,496,584.68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602,330,213.17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615,930,155.01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241,333,428.18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-1,279,984.63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18,339.17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12,784,184.02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-201,390,492.21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1,087,721,047.23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1,289,111,539.44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1,100,505,231.25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1,087,721,047.23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6</w:t>
      </w:r>
      <w:r>
        <w:rPr/>
        <w:t>、母公司现金流量表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2,771,459,179.26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2,497,186,289.88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34,070,843.18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12,627,341.29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281,972,523.42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463,093,050.56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3,087,502,545.86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2,972,906,681.73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2,185,318,568.09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2,007,191,597.21</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274,805,354.29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203,355,000.46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110,230,655.95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104,151,201.83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281,534,504.57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422,924,403.40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2,851,889,082.90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2,737,622,202.90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235,613,462.96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235,284,478.83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207,825,078.28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14,952,293.85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37,136,556.16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244,961,634.44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14,952,293.85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5"/>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79,273,346.57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207,300,806.10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908,236,233.11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453,408,609.00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987,509,579.68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660,709,415.10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-742,547,945.24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-645,757,121.25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236,908,248.14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251,570,592.20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474,508,982.39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419,527,009.15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711,417,230.53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671,097,601.35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274,381,682.67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362,500,000.00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152,753,142.12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92,832,144.51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427,134,824.79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457,402,144.51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284,282,405.74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213,695,456.84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592.42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-222,652,076.54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-196,776,593.16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679,354,049.32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876,130,642.48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456,701,972.78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679,354,049.32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7</w:t>
      </w:r>
      <w:r>
        <w:rPr/>
        <w:t>、合并所有者权益变动表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830"/>
        <w:gridCol w:w="427"/>
        <w:gridCol w:w="425"/>
        <w:gridCol w:w="473"/>
        <w:gridCol w:w="802"/>
        <w:gridCol w:w="528"/>
        <w:gridCol w:w="665"/>
        <w:gridCol w:w="509"/>
        <w:gridCol w:w="821"/>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7"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1"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0" w:type="dxa"/>
            <w:vMerge w:val="restart"/>
            <w:tcBorders>
              <w:top w:val="single" w:sz="4" w:space="0" w:color="000000"/>
              <w:left w:val="single" w:sz="4" w:space="0" w:color="000000"/>
              <w:right w:val="single" w:sz="4" w:space="0" w:color="000000"/>
            </w:tcBorders>
            <w:shd w:val="clear" w:color="auto" w:fill="D2D2D2"/>
          </w:tcPr>
          <w:p>
            <w:pPr/>
          </w:p>
        </w:tc>
        <w:tc>
          <w:tcPr>
            <w:tcW w:w="13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1325" w:type="dxa"/>
            <w:gridSpan w:val="3"/>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52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9" w:right="22"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0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2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7"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2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38" w:type="dxa"/>
            <w:vMerge/>
            <w:tcBorders>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vMerge/>
            <w:tcBorders>
              <w:left w:val="single" w:sz="4" w:space="0" w:color="000000"/>
              <w:bottom w:val="nil" w:sz="6" w:space="0" w:color="auto"/>
              <w:right w:val="single" w:sz="4" w:space="0" w:color="000000"/>
            </w:tcBorders>
            <w:shd w:val="clear" w:color="auto" w:fill="D2D2D2"/>
          </w:tcPr>
          <w:p>
            <w:pPr/>
          </w:p>
        </w:tc>
        <w:tc>
          <w:tcPr>
            <w:tcW w:w="52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39" w:hRule="exact"/>
        </w:trPr>
        <w:tc>
          <w:tcPr>
            <w:tcW w:w="1438" w:type="dxa"/>
            <w:vMerge/>
            <w:tcBorders>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73" w:type="dxa"/>
            <w:vMerge/>
            <w:tcBorders>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52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1,514,80</w:t>
            </w:r>
          </w:p>
          <w:p>
            <w:pPr>
              <w:pStyle w:val="TableParagraph"/>
              <w:spacing w:line="240" w:lineRule="auto" w:before="76"/>
              <w:ind w:left="69" w:right="0"/>
              <w:jc w:val="left"/>
              <w:rPr>
                <w:rFonts w:ascii="宋体" w:hAnsi="宋体" w:cs="宋体" w:eastAsia="宋体" w:hint="default"/>
                <w:sz w:val="18"/>
                <w:szCs w:val="18"/>
              </w:rPr>
            </w:pPr>
            <w:r>
              <w:rPr>
                <w:rFonts w:ascii="宋体"/>
                <w:sz w:val="18"/>
              </w:rPr>
              <w:t>6,948.00</w:t>
            </w:r>
          </w:p>
        </w:tc>
        <w:tc>
          <w:tcPr>
            <w:tcW w:w="42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73"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sz w:val="18"/>
              </w:rPr>
              <w:t>1,486,53</w:t>
            </w:r>
          </w:p>
          <w:p>
            <w:pPr>
              <w:pStyle w:val="TableParagraph"/>
              <w:spacing w:line="240" w:lineRule="auto" w:before="76"/>
              <w:ind w:left="50" w:right="0"/>
              <w:jc w:val="left"/>
              <w:rPr>
                <w:rFonts w:ascii="宋体" w:hAnsi="宋体" w:cs="宋体" w:eastAsia="宋体" w:hint="default"/>
                <w:sz w:val="18"/>
                <w:szCs w:val="18"/>
              </w:rPr>
            </w:pPr>
            <w:r>
              <w:rPr>
                <w:rFonts w:ascii="宋体"/>
                <w:sz w:val="18"/>
              </w:rPr>
              <w:t>0,026.32</w:t>
            </w:r>
          </w:p>
        </w:tc>
        <w:tc>
          <w:tcPr>
            <w:tcW w:w="52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309,47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2,715.</w:t>
            </w:r>
          </w:p>
          <w:p>
            <w:pPr>
              <w:pStyle w:val="TableParagraph"/>
              <w:spacing w:line="240" w:lineRule="auto" w:before="76"/>
              <w:ind w:right="17"/>
              <w:jc w:val="right"/>
              <w:rPr>
                <w:rFonts w:ascii="宋体" w:hAnsi="宋体" w:cs="宋体" w:eastAsia="宋体" w:hint="default"/>
                <w:sz w:val="18"/>
                <w:szCs w:val="18"/>
              </w:rPr>
            </w:pPr>
            <w:r>
              <w:rPr>
                <w:rFonts w:ascii="宋体"/>
                <w:sz w:val="18"/>
              </w:rPr>
              <w:t>86</w:t>
            </w:r>
          </w:p>
        </w:tc>
        <w:tc>
          <w:tcPr>
            <w:tcW w:w="509"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center"/>
              <w:rPr>
                <w:rFonts w:ascii="宋体" w:hAnsi="宋体" w:cs="宋体" w:eastAsia="宋体" w:hint="default"/>
                <w:sz w:val="18"/>
                <w:szCs w:val="18"/>
              </w:rPr>
            </w:pPr>
            <w:r>
              <w:rPr>
                <w:rFonts w:ascii="宋体"/>
                <w:sz w:val="18"/>
              </w:rPr>
              <w:t>293,876,</w:t>
            </w:r>
          </w:p>
          <w:p>
            <w:pPr>
              <w:pStyle w:val="TableParagraph"/>
              <w:spacing w:line="240" w:lineRule="auto" w:before="76"/>
              <w:ind w:left="223" w:right="0"/>
              <w:jc w:val="center"/>
              <w:rPr>
                <w:rFonts w:ascii="宋体" w:hAnsi="宋体" w:cs="宋体" w:eastAsia="宋体" w:hint="default"/>
                <w:sz w:val="18"/>
                <w:szCs w:val="18"/>
              </w:rPr>
            </w:pPr>
            <w:r>
              <w:rPr>
                <w:rFonts w:ascii="宋体"/>
                <w:sz w:val="18"/>
              </w:rPr>
              <w:t>664.93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2,683,</w:t>
            </w:r>
          </w:p>
          <w:p>
            <w:pPr>
              <w:pStyle w:val="TableParagraph"/>
              <w:spacing w:line="240" w:lineRule="auto" w:before="76"/>
              <w:ind w:left="72" w:right="0"/>
              <w:jc w:val="center"/>
              <w:rPr>
                <w:rFonts w:ascii="宋体" w:hAnsi="宋体" w:cs="宋体" w:eastAsia="宋体" w:hint="default"/>
                <w:sz w:val="18"/>
                <w:szCs w:val="18"/>
              </w:rPr>
            </w:pPr>
            <w:r>
              <w:rPr>
                <w:rFonts w:ascii="宋体"/>
                <w:sz w:val="18"/>
              </w:rPr>
              <w:t>209,47</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2.04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7,099,</w:t>
            </w:r>
          </w:p>
          <w:p>
            <w:pPr>
              <w:pStyle w:val="TableParagraph"/>
              <w:spacing w:line="240" w:lineRule="auto" w:before="76"/>
              <w:ind w:left="93" w:right="0"/>
              <w:jc w:val="left"/>
              <w:rPr>
                <w:rFonts w:ascii="宋体" w:hAnsi="宋体" w:cs="宋体" w:eastAsia="宋体" w:hint="default"/>
                <w:sz w:val="18"/>
                <w:szCs w:val="18"/>
              </w:rPr>
            </w:pPr>
            <w:r>
              <w:rPr>
                <w:rFonts w:ascii="宋体"/>
                <w:sz w:val="18"/>
              </w:rPr>
              <w:t>227.93</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6,294,</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995,05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5.08</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830" w:type="dxa"/>
            <w:vMerge/>
            <w:tcBorders>
              <w:left w:val="single" w:sz="10" w:space="0" w:color="D2D2D2"/>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vMerge/>
            <w:tcBorders>
              <w:left w:val="single" w:sz="10" w:space="0" w:color="D2D2D2"/>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830"/>
        <w:gridCol w:w="427"/>
        <w:gridCol w:w="425"/>
        <w:gridCol w:w="473"/>
        <w:gridCol w:w="802"/>
        <w:gridCol w:w="528"/>
        <w:gridCol w:w="665"/>
        <w:gridCol w:w="509"/>
        <w:gridCol w:w="821"/>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宋体" w:hAnsi="宋体" w:cs="宋体" w:eastAsia="宋体" w:hint="default"/>
                <w:sz w:val="18"/>
                <w:szCs w:val="18"/>
              </w:rPr>
            </w:pPr>
            <w:r>
              <w:rPr>
                <w:rFonts w:ascii="宋体"/>
                <w:sz w:val="18"/>
              </w:rPr>
              <w:t>1,514,80</w:t>
            </w:r>
          </w:p>
          <w:p>
            <w:pPr>
              <w:pStyle w:val="TableParagraph"/>
              <w:spacing w:line="240" w:lineRule="auto" w:before="76"/>
              <w:ind w:left="76" w:right="0"/>
              <w:jc w:val="left"/>
              <w:rPr>
                <w:rFonts w:ascii="宋体" w:hAnsi="宋体" w:cs="宋体" w:eastAsia="宋体" w:hint="default"/>
                <w:sz w:val="18"/>
                <w:szCs w:val="18"/>
              </w:rPr>
            </w:pPr>
            <w:r>
              <w:rPr>
                <w:rFonts w:ascii="宋体"/>
                <w:sz w:val="18"/>
              </w:rPr>
              <w:t>6,948.00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1,486,53</w:t>
            </w:r>
          </w:p>
          <w:p>
            <w:pPr>
              <w:pStyle w:val="TableParagraph"/>
              <w:spacing w:line="240" w:lineRule="auto" w:before="76"/>
              <w:ind w:left="50" w:right="0"/>
              <w:jc w:val="left"/>
              <w:rPr>
                <w:rFonts w:ascii="宋体" w:hAnsi="宋体" w:cs="宋体" w:eastAsia="宋体" w:hint="default"/>
                <w:sz w:val="18"/>
                <w:szCs w:val="18"/>
              </w:rPr>
            </w:pPr>
            <w:r>
              <w:rPr>
                <w:rFonts w:ascii="宋体"/>
                <w:sz w:val="18"/>
              </w:rPr>
              <w:t>0,026.32</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309,47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2,715.</w:t>
            </w:r>
          </w:p>
          <w:p>
            <w:pPr>
              <w:pStyle w:val="TableParagraph"/>
              <w:spacing w:line="240" w:lineRule="auto" w:before="76"/>
              <w:ind w:right="17"/>
              <w:jc w:val="right"/>
              <w:rPr>
                <w:rFonts w:ascii="宋体" w:hAnsi="宋体" w:cs="宋体" w:eastAsia="宋体" w:hint="default"/>
                <w:sz w:val="18"/>
                <w:szCs w:val="18"/>
              </w:rPr>
            </w:pPr>
            <w:r>
              <w:rPr>
                <w:rFonts w:ascii="宋体"/>
                <w:sz w:val="18"/>
              </w:rPr>
              <w:t>86</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宋体" w:hAnsi="宋体" w:cs="宋体" w:eastAsia="宋体" w:hint="default"/>
                <w:sz w:val="18"/>
                <w:szCs w:val="18"/>
              </w:rPr>
            </w:pPr>
            <w:r>
              <w:rPr>
                <w:rFonts w:ascii="宋体"/>
                <w:sz w:val="18"/>
              </w:rPr>
              <w:t>293,876,</w:t>
            </w:r>
          </w:p>
          <w:p>
            <w:pPr>
              <w:pStyle w:val="TableParagraph"/>
              <w:spacing w:line="240" w:lineRule="auto" w:before="76"/>
              <w:ind w:left="223" w:right="0"/>
              <w:jc w:val="center"/>
              <w:rPr>
                <w:rFonts w:ascii="宋体" w:hAnsi="宋体" w:cs="宋体" w:eastAsia="宋体" w:hint="default"/>
                <w:sz w:val="18"/>
                <w:szCs w:val="18"/>
              </w:rPr>
            </w:pPr>
            <w:r>
              <w:rPr>
                <w:rFonts w:ascii="宋体"/>
                <w:sz w:val="18"/>
              </w:rPr>
              <w:t>664.93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2,683,</w:t>
            </w:r>
          </w:p>
          <w:p>
            <w:pPr>
              <w:pStyle w:val="TableParagraph"/>
              <w:spacing w:line="240" w:lineRule="auto" w:before="76"/>
              <w:ind w:left="72" w:right="0"/>
              <w:jc w:val="center"/>
              <w:rPr>
                <w:rFonts w:ascii="宋体" w:hAnsi="宋体" w:cs="宋体" w:eastAsia="宋体" w:hint="default"/>
                <w:sz w:val="18"/>
                <w:szCs w:val="18"/>
              </w:rPr>
            </w:pPr>
            <w:r>
              <w:rPr>
                <w:rFonts w:ascii="宋体"/>
                <w:sz w:val="18"/>
              </w:rPr>
              <w:t>209,47</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2.04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sz w:val="18"/>
              </w:rPr>
              <w:t>7,099,</w:t>
            </w:r>
          </w:p>
          <w:p>
            <w:pPr>
              <w:pStyle w:val="TableParagraph"/>
              <w:spacing w:line="240" w:lineRule="auto" w:before="76"/>
              <w:ind w:left="93" w:right="0"/>
              <w:jc w:val="left"/>
              <w:rPr>
                <w:rFonts w:ascii="宋体" w:hAnsi="宋体" w:cs="宋体" w:eastAsia="宋体" w:hint="default"/>
                <w:sz w:val="18"/>
                <w:szCs w:val="18"/>
              </w:rPr>
            </w:pPr>
            <w:r>
              <w:rPr>
                <w:rFonts w:ascii="宋体"/>
                <w:sz w:val="18"/>
              </w:rPr>
              <w:t>227.93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6,294,</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995,05</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5.08</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sz w:val="18"/>
              </w:rPr>
              <w:t>49,754,7</w:t>
            </w:r>
          </w:p>
          <w:p>
            <w:pPr>
              <w:pStyle w:val="TableParagraph"/>
              <w:spacing w:line="240" w:lineRule="auto" w:before="74"/>
              <w:ind w:left="345" w:right="0"/>
              <w:jc w:val="left"/>
              <w:rPr>
                <w:rFonts w:ascii="宋体" w:hAnsi="宋体" w:cs="宋体" w:eastAsia="宋体" w:hint="default"/>
                <w:sz w:val="18"/>
                <w:szCs w:val="18"/>
              </w:rPr>
            </w:pPr>
            <w:r>
              <w:rPr>
                <w:rFonts w:ascii="宋体"/>
                <w:sz w:val="18"/>
              </w:rPr>
              <w:t>52.00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center"/>
              <w:rPr>
                <w:rFonts w:ascii="宋体" w:hAnsi="宋体" w:cs="宋体" w:eastAsia="宋体" w:hint="default"/>
                <w:sz w:val="18"/>
                <w:szCs w:val="18"/>
              </w:rPr>
            </w:pPr>
            <w:r>
              <w:rPr>
                <w:rFonts w:ascii="宋体"/>
                <w:sz w:val="18"/>
              </w:rPr>
              <w:t>819,759,</w:t>
            </w:r>
          </w:p>
          <w:p>
            <w:pPr>
              <w:pStyle w:val="TableParagraph"/>
              <w:spacing w:line="240" w:lineRule="auto" w:before="74"/>
              <w:ind w:left="209" w:right="0"/>
              <w:jc w:val="center"/>
              <w:rPr>
                <w:rFonts w:ascii="宋体" w:hAnsi="宋体" w:cs="宋体" w:eastAsia="宋体" w:hint="default"/>
                <w:sz w:val="18"/>
                <w:szCs w:val="18"/>
              </w:rPr>
            </w:pPr>
            <w:r>
              <w:rPr>
                <w:rFonts w:ascii="宋体"/>
                <w:sz w:val="18"/>
              </w:rPr>
              <w:t>177.93</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433,60</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2,547.</w:t>
            </w:r>
          </w:p>
          <w:p>
            <w:pPr>
              <w:pStyle w:val="TableParagraph"/>
              <w:spacing w:line="240" w:lineRule="auto" w:before="77"/>
              <w:ind w:right="17"/>
              <w:jc w:val="right"/>
              <w:rPr>
                <w:rFonts w:ascii="宋体" w:hAnsi="宋体" w:cs="宋体" w:eastAsia="宋体" w:hint="default"/>
                <w:sz w:val="18"/>
                <w:szCs w:val="18"/>
              </w:rPr>
            </w:pPr>
            <w:r>
              <w:rPr>
                <w:rFonts w:ascii="宋体"/>
                <w:sz w:val="18"/>
              </w:rPr>
              <w:t>38</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sz w:val="18"/>
              </w:rPr>
              <w:t>93,233,0</w:t>
            </w:r>
          </w:p>
          <w:p>
            <w:pPr>
              <w:pStyle w:val="TableParagraph"/>
              <w:spacing w:line="240" w:lineRule="auto" w:before="74"/>
              <w:ind w:left="335" w:right="0"/>
              <w:jc w:val="left"/>
              <w:rPr>
                <w:rFonts w:ascii="宋体" w:hAnsi="宋体" w:cs="宋体" w:eastAsia="宋体" w:hint="default"/>
                <w:sz w:val="18"/>
                <w:szCs w:val="18"/>
              </w:rPr>
            </w:pPr>
            <w:r>
              <w:rPr>
                <w:rFonts w:ascii="宋体"/>
                <w:sz w:val="18"/>
              </w:rPr>
              <w:t>34.93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819,52</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7,149.</w:t>
            </w:r>
          </w:p>
          <w:p>
            <w:pPr>
              <w:pStyle w:val="TableParagraph"/>
              <w:spacing w:line="240" w:lineRule="auto" w:before="77"/>
              <w:ind w:right="17"/>
              <w:jc w:val="right"/>
              <w:rPr>
                <w:rFonts w:ascii="宋体" w:hAnsi="宋体" w:cs="宋体" w:eastAsia="宋体" w:hint="default"/>
                <w:sz w:val="18"/>
                <w:szCs w:val="18"/>
              </w:rPr>
            </w:pPr>
            <w:r>
              <w:rPr>
                <w:rFonts w:ascii="宋体"/>
                <w:sz w:val="18"/>
              </w:rPr>
              <w:t>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100,19</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7,487.</w:t>
            </w:r>
          </w:p>
          <w:p>
            <w:pPr>
              <w:pStyle w:val="TableParagraph"/>
              <w:spacing w:line="240" w:lineRule="auto" w:before="77"/>
              <w:ind w:right="17"/>
              <w:jc w:val="right"/>
              <w:rPr>
                <w:rFonts w:ascii="宋体" w:hAnsi="宋体" w:cs="宋体" w:eastAsia="宋体" w:hint="default"/>
                <w:sz w:val="18"/>
                <w:szCs w:val="18"/>
              </w:rPr>
            </w:pPr>
            <w:r>
              <w:rPr>
                <w:rFonts w:ascii="宋体"/>
                <w:sz w:val="18"/>
              </w:rPr>
              <w:t>31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center"/>
              <w:rPr>
                <w:rFonts w:ascii="宋体" w:hAnsi="宋体" w:cs="宋体" w:eastAsia="宋体" w:hint="default"/>
                <w:sz w:val="18"/>
                <w:szCs w:val="18"/>
              </w:rPr>
            </w:pPr>
            <w:r>
              <w:rPr>
                <w:rFonts w:ascii="宋体"/>
                <w:sz w:val="18"/>
              </w:rPr>
              <w:t>2,316,</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074,14</w:t>
            </w:r>
          </w:p>
          <w:p>
            <w:pPr>
              <w:pStyle w:val="TableParagraph"/>
              <w:spacing w:line="240" w:lineRule="auto" w:before="77"/>
              <w:ind w:left="243" w:right="0"/>
              <w:jc w:val="center"/>
              <w:rPr>
                <w:rFonts w:ascii="宋体" w:hAnsi="宋体" w:cs="宋体" w:eastAsia="宋体" w:hint="default"/>
                <w:sz w:val="18"/>
                <w:szCs w:val="18"/>
              </w:rPr>
            </w:pPr>
            <w:r>
              <w:rPr>
                <w:rFonts w:ascii="宋体"/>
                <w:sz w:val="18"/>
              </w:rPr>
              <w:t>8.58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433,60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2,547.</w:t>
            </w:r>
          </w:p>
          <w:p>
            <w:pPr>
              <w:pStyle w:val="TableParagraph"/>
              <w:spacing w:line="240" w:lineRule="auto" w:before="76"/>
              <w:ind w:right="17"/>
              <w:jc w:val="right"/>
              <w:rPr>
                <w:rFonts w:ascii="宋体" w:hAnsi="宋体" w:cs="宋体" w:eastAsia="宋体" w:hint="default"/>
                <w:sz w:val="18"/>
                <w:szCs w:val="18"/>
              </w:rPr>
            </w:pPr>
            <w:r>
              <w:rPr>
                <w:rFonts w:ascii="宋体"/>
                <w:sz w:val="18"/>
              </w:rPr>
              <w:t>38</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1,141,</w:t>
            </w:r>
          </w:p>
          <w:p>
            <w:pPr>
              <w:pStyle w:val="TableParagraph"/>
              <w:spacing w:line="240" w:lineRule="auto" w:before="76"/>
              <w:ind w:left="72" w:right="0"/>
              <w:jc w:val="center"/>
              <w:rPr>
                <w:rFonts w:ascii="宋体" w:hAnsi="宋体" w:cs="宋体" w:eastAsia="宋体" w:hint="default"/>
                <w:sz w:val="18"/>
                <w:szCs w:val="18"/>
              </w:rPr>
            </w:pPr>
            <w:r>
              <w:rPr>
                <w:rFonts w:ascii="宋体"/>
                <w:sz w:val="18"/>
              </w:rPr>
              <w:t>878,40</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3.18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-2,935</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,516.9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1,572,</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545,43</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3.58</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sz w:val="18"/>
              </w:rPr>
              <w:t>49,754,7</w:t>
            </w:r>
          </w:p>
          <w:p>
            <w:pPr>
              <w:pStyle w:val="TableParagraph"/>
              <w:spacing w:line="240" w:lineRule="auto" w:before="74"/>
              <w:ind w:left="345" w:right="0"/>
              <w:jc w:val="left"/>
              <w:rPr>
                <w:rFonts w:ascii="宋体" w:hAnsi="宋体" w:cs="宋体" w:eastAsia="宋体" w:hint="default"/>
                <w:sz w:val="18"/>
                <w:szCs w:val="18"/>
              </w:rPr>
            </w:pPr>
            <w:r>
              <w:rPr>
                <w:rFonts w:ascii="宋体"/>
                <w:sz w:val="18"/>
              </w:rPr>
              <w:t>52.00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center"/>
              <w:rPr>
                <w:rFonts w:ascii="宋体" w:hAnsi="宋体" w:cs="宋体" w:eastAsia="宋体" w:hint="default"/>
                <w:sz w:val="18"/>
                <w:szCs w:val="18"/>
              </w:rPr>
            </w:pPr>
            <w:r>
              <w:rPr>
                <w:rFonts w:ascii="宋体"/>
                <w:sz w:val="18"/>
              </w:rPr>
              <w:t>819,759,</w:t>
            </w:r>
          </w:p>
          <w:p>
            <w:pPr>
              <w:pStyle w:val="TableParagraph"/>
              <w:spacing w:line="240" w:lineRule="auto" w:before="74"/>
              <w:ind w:left="209" w:right="0"/>
              <w:jc w:val="center"/>
              <w:rPr>
                <w:rFonts w:ascii="宋体" w:hAnsi="宋体" w:cs="宋体" w:eastAsia="宋体" w:hint="default"/>
                <w:sz w:val="18"/>
                <w:szCs w:val="18"/>
              </w:rPr>
            </w:pPr>
            <w:r>
              <w:rPr>
                <w:rFonts w:ascii="宋体"/>
                <w:sz w:val="18"/>
              </w:rPr>
              <w:t>177.93</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103,13</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3,004.</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972,64</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6,934.</w:t>
            </w:r>
          </w:p>
          <w:p>
            <w:pPr>
              <w:pStyle w:val="TableParagraph"/>
              <w:spacing w:line="240" w:lineRule="auto" w:before="76"/>
              <w:ind w:right="19"/>
              <w:jc w:val="right"/>
              <w:rPr>
                <w:rFonts w:ascii="宋体" w:hAnsi="宋体" w:cs="宋体" w:eastAsia="宋体" w:hint="default"/>
                <w:sz w:val="18"/>
                <w:szCs w:val="18"/>
              </w:rPr>
            </w:pPr>
            <w:r>
              <w:rPr>
                <w:rFonts w:ascii="宋体"/>
                <w:sz w:val="18"/>
              </w:rPr>
              <w:t>22</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宋体" w:hAnsi="宋体" w:cs="宋体" w:eastAsia="宋体" w:hint="default"/>
                <w:sz w:val="18"/>
                <w:szCs w:val="18"/>
              </w:rPr>
            </w:pPr>
            <w:r>
              <w:rPr>
                <w:rFonts w:ascii="宋体"/>
                <w:sz w:val="18"/>
              </w:rPr>
              <w:t>42,758,7</w:t>
            </w:r>
          </w:p>
          <w:p>
            <w:pPr>
              <w:pStyle w:val="TableParagraph"/>
              <w:spacing w:line="240" w:lineRule="auto" w:before="76"/>
              <w:ind w:left="345" w:right="0"/>
              <w:jc w:val="left"/>
              <w:rPr>
                <w:rFonts w:ascii="宋体" w:hAnsi="宋体" w:cs="宋体" w:eastAsia="宋体" w:hint="default"/>
                <w:sz w:val="18"/>
                <w:szCs w:val="18"/>
              </w:rPr>
            </w:pPr>
            <w:r>
              <w:rPr>
                <w:rFonts w:ascii="宋体"/>
                <w:sz w:val="18"/>
              </w:rPr>
              <w:t>85.00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宋体" w:hAnsi="宋体" w:cs="宋体" w:eastAsia="宋体" w:hint="default"/>
                <w:sz w:val="18"/>
                <w:szCs w:val="18"/>
              </w:rPr>
            </w:pPr>
            <w:r>
              <w:rPr>
                <w:rFonts w:ascii="宋体"/>
                <w:sz w:val="18"/>
              </w:rPr>
              <w:t>754,149,</w:t>
            </w:r>
          </w:p>
          <w:p>
            <w:pPr>
              <w:pStyle w:val="TableParagraph"/>
              <w:spacing w:line="240" w:lineRule="auto" w:before="76"/>
              <w:ind w:left="209" w:right="0"/>
              <w:jc w:val="center"/>
              <w:rPr>
                <w:rFonts w:ascii="宋体" w:hAnsi="宋体" w:cs="宋体" w:eastAsia="宋体" w:hint="default"/>
                <w:sz w:val="18"/>
                <w:szCs w:val="18"/>
              </w:rPr>
            </w:pPr>
            <w:r>
              <w:rPr>
                <w:rFonts w:ascii="宋体"/>
                <w:sz w:val="18"/>
              </w:rPr>
              <w:t>463.14</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103,13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3,004.</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900,04</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1,252.</w:t>
            </w:r>
          </w:p>
          <w:p>
            <w:pPr>
              <w:pStyle w:val="TableParagraph"/>
              <w:spacing w:line="240" w:lineRule="auto" w:before="76"/>
              <w:ind w:right="19"/>
              <w:jc w:val="right"/>
              <w:rPr>
                <w:rFonts w:ascii="宋体" w:hAnsi="宋体" w:cs="宋体" w:eastAsia="宋体" w:hint="default"/>
                <w:sz w:val="18"/>
                <w:szCs w:val="18"/>
              </w:rPr>
            </w:pPr>
            <w:r>
              <w:rPr>
                <w:rFonts w:ascii="宋体"/>
                <w:sz w:val="18"/>
              </w:rPr>
              <w:t>43</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sz w:val="18"/>
              </w:rPr>
              <w:t>6,995,96</w:t>
            </w:r>
          </w:p>
          <w:p>
            <w:pPr>
              <w:pStyle w:val="TableParagraph"/>
              <w:spacing w:line="240" w:lineRule="auto" w:before="74"/>
              <w:ind w:left="436" w:right="0"/>
              <w:jc w:val="left"/>
              <w:rPr>
                <w:rFonts w:ascii="宋体" w:hAnsi="宋体" w:cs="宋体" w:eastAsia="宋体" w:hint="default"/>
                <w:sz w:val="18"/>
                <w:szCs w:val="18"/>
              </w:rPr>
            </w:pPr>
            <w:r>
              <w:rPr>
                <w:rFonts w:ascii="宋体"/>
                <w:sz w:val="18"/>
              </w:rPr>
              <w:t>7.00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61,242,2</w:t>
            </w:r>
          </w:p>
          <w:p>
            <w:pPr>
              <w:pStyle w:val="TableParagraph"/>
              <w:spacing w:line="240" w:lineRule="auto" w:before="74"/>
              <w:ind w:left="319" w:right="0"/>
              <w:jc w:val="left"/>
              <w:rPr>
                <w:rFonts w:ascii="宋体" w:hAnsi="宋体" w:cs="宋体" w:eastAsia="宋体" w:hint="default"/>
                <w:sz w:val="18"/>
                <w:szCs w:val="18"/>
              </w:rPr>
            </w:pPr>
            <w:r>
              <w:rPr>
                <w:rFonts w:ascii="宋体"/>
                <w:sz w:val="18"/>
              </w:rPr>
              <w:t>89.47</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68,238</w:t>
            </w:r>
          </w:p>
          <w:p>
            <w:pPr>
              <w:pStyle w:val="TableParagraph"/>
              <w:spacing w:line="240" w:lineRule="auto" w:before="74"/>
              <w:ind w:right="21"/>
              <w:jc w:val="right"/>
              <w:rPr>
                <w:rFonts w:ascii="宋体" w:hAnsi="宋体" w:cs="宋体" w:eastAsia="宋体" w:hint="default"/>
                <w:sz w:val="18"/>
                <w:szCs w:val="18"/>
              </w:rPr>
            </w:pPr>
            <w:r>
              <w:rPr>
                <w:rFonts w:ascii="宋体"/>
                <w:spacing w:val="-1"/>
                <w:sz w:val="18"/>
              </w:rPr>
              <w:t>,256.4</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4,367,42</w:t>
            </w:r>
          </w:p>
          <w:p>
            <w:pPr>
              <w:pStyle w:val="TableParagraph"/>
              <w:spacing w:line="240" w:lineRule="auto" w:before="76"/>
              <w:ind w:left="410" w:right="0"/>
              <w:jc w:val="left"/>
              <w:rPr>
                <w:rFonts w:ascii="宋体" w:hAnsi="宋体" w:cs="宋体" w:eastAsia="宋体" w:hint="default"/>
                <w:sz w:val="18"/>
                <w:szCs w:val="18"/>
              </w:rPr>
            </w:pPr>
            <w:r>
              <w:rPr>
                <w:rFonts w:ascii="宋体"/>
                <w:sz w:val="18"/>
              </w:rPr>
              <w:t>5.32</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4,367,</w:t>
            </w:r>
          </w:p>
          <w:p>
            <w:pPr>
              <w:pStyle w:val="TableParagraph"/>
              <w:spacing w:line="240" w:lineRule="auto" w:before="76"/>
              <w:ind w:left="86" w:right="0"/>
              <w:jc w:val="left"/>
              <w:rPr>
                <w:rFonts w:ascii="宋体" w:hAnsi="宋体" w:cs="宋体" w:eastAsia="宋体" w:hint="default"/>
                <w:sz w:val="18"/>
                <w:szCs w:val="18"/>
              </w:rPr>
            </w:pPr>
            <w:r>
              <w:rPr>
                <w:rFonts w:ascii="宋体"/>
                <w:sz w:val="18"/>
              </w:rPr>
              <w:t>425.32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宋体" w:hAnsi="宋体" w:cs="宋体" w:eastAsia="宋体" w:hint="default"/>
                <w:sz w:val="18"/>
                <w:szCs w:val="18"/>
              </w:rPr>
            </w:pPr>
            <w:r>
              <w:rPr>
                <w:rFonts w:ascii="宋体"/>
                <w:sz w:val="18"/>
              </w:rPr>
              <w:t>93,233,0</w:t>
            </w:r>
          </w:p>
          <w:p>
            <w:pPr>
              <w:pStyle w:val="TableParagraph"/>
              <w:spacing w:line="240" w:lineRule="auto" w:before="76"/>
              <w:ind w:left="335" w:right="0"/>
              <w:jc w:val="left"/>
              <w:rPr>
                <w:rFonts w:ascii="宋体" w:hAnsi="宋体" w:cs="宋体" w:eastAsia="宋体" w:hint="default"/>
                <w:sz w:val="18"/>
                <w:szCs w:val="18"/>
              </w:rPr>
            </w:pPr>
            <w:r>
              <w:rPr>
                <w:rFonts w:ascii="宋体"/>
                <w:sz w:val="18"/>
              </w:rPr>
              <w:t>34.93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sz w:val="18"/>
              </w:rPr>
              <w:t>-322,3</w:t>
            </w:r>
          </w:p>
          <w:p>
            <w:pPr>
              <w:pStyle w:val="TableParagraph"/>
              <w:spacing w:line="240" w:lineRule="auto" w:before="76"/>
              <w:ind w:left="93" w:right="0"/>
              <w:jc w:val="left"/>
              <w:rPr>
                <w:rFonts w:ascii="宋体" w:hAnsi="宋体" w:cs="宋体" w:eastAsia="宋体" w:hint="default"/>
                <w:sz w:val="18"/>
                <w:szCs w:val="18"/>
              </w:rPr>
            </w:pPr>
            <w:r>
              <w:rPr>
                <w:rFonts w:ascii="宋体"/>
                <w:sz w:val="18"/>
              </w:rPr>
              <w:t>51,254</w:t>
            </w:r>
          </w:p>
          <w:p>
            <w:pPr>
              <w:pStyle w:val="TableParagraph"/>
              <w:spacing w:line="240" w:lineRule="auto" w:before="76"/>
              <w:ind w:left="362" w:right="0"/>
              <w:jc w:val="left"/>
              <w:rPr>
                <w:rFonts w:ascii="宋体" w:hAnsi="宋体" w:cs="宋体" w:eastAsia="宋体" w:hint="default"/>
                <w:sz w:val="18"/>
                <w:szCs w:val="18"/>
              </w:rPr>
            </w:pPr>
            <w:r>
              <w:rPr>
                <w:rFonts w:ascii="宋体"/>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-229,1</w:t>
            </w:r>
          </w:p>
          <w:p>
            <w:pPr>
              <w:pStyle w:val="TableParagraph"/>
              <w:spacing w:line="240" w:lineRule="auto" w:before="76"/>
              <w:ind w:left="86" w:right="0"/>
              <w:jc w:val="left"/>
              <w:rPr>
                <w:rFonts w:ascii="宋体" w:hAnsi="宋体" w:cs="宋体" w:eastAsia="宋体" w:hint="default"/>
                <w:sz w:val="18"/>
                <w:szCs w:val="18"/>
              </w:rPr>
            </w:pPr>
            <w:r>
              <w:rPr>
                <w:rFonts w:ascii="宋体"/>
                <w:sz w:val="18"/>
              </w:rPr>
              <w:t>18,219</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.22</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sz w:val="18"/>
              </w:rPr>
              <w:t>93,233,0</w:t>
            </w:r>
          </w:p>
          <w:p>
            <w:pPr>
              <w:pStyle w:val="TableParagraph"/>
              <w:spacing w:line="240" w:lineRule="auto" w:before="74"/>
              <w:ind w:left="335" w:right="0"/>
              <w:jc w:val="left"/>
              <w:rPr>
                <w:rFonts w:ascii="宋体" w:hAnsi="宋体" w:cs="宋体" w:eastAsia="宋体" w:hint="default"/>
                <w:sz w:val="18"/>
                <w:szCs w:val="18"/>
              </w:rPr>
            </w:pPr>
            <w:r>
              <w:rPr>
                <w:rFonts w:ascii="宋体"/>
                <w:sz w:val="18"/>
              </w:rPr>
              <w:t>34.93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-93,23</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3,034.</w:t>
            </w:r>
          </w:p>
          <w:p>
            <w:pPr>
              <w:pStyle w:val="TableParagraph"/>
              <w:spacing w:line="240" w:lineRule="auto" w:before="77"/>
              <w:ind w:right="17"/>
              <w:jc w:val="right"/>
              <w:rPr>
                <w:rFonts w:ascii="宋体" w:hAnsi="宋体" w:cs="宋体" w:eastAsia="宋体" w:hint="default"/>
                <w:sz w:val="18"/>
                <w:szCs w:val="18"/>
              </w:rPr>
            </w:pPr>
            <w:r>
              <w:rPr>
                <w:rFonts w:ascii="宋体"/>
                <w:sz w:val="18"/>
              </w:rPr>
              <w:t>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-229,1</w:t>
            </w:r>
          </w:p>
          <w:p>
            <w:pPr>
              <w:pStyle w:val="TableParagraph"/>
              <w:spacing w:line="240" w:lineRule="auto" w:before="74"/>
              <w:ind w:left="93" w:right="0"/>
              <w:jc w:val="left"/>
              <w:rPr>
                <w:rFonts w:ascii="宋体" w:hAnsi="宋体" w:cs="宋体" w:eastAsia="宋体" w:hint="default"/>
                <w:sz w:val="18"/>
                <w:szCs w:val="18"/>
              </w:rPr>
            </w:pPr>
            <w:r>
              <w:rPr>
                <w:rFonts w:ascii="宋体"/>
                <w:sz w:val="18"/>
              </w:rPr>
              <w:t>18,219</w:t>
            </w:r>
          </w:p>
          <w:p>
            <w:pPr>
              <w:pStyle w:val="TableParagraph"/>
              <w:spacing w:line="240" w:lineRule="auto" w:before="76"/>
              <w:ind w:left="362" w:right="0"/>
              <w:jc w:val="left"/>
              <w:rPr>
                <w:rFonts w:ascii="宋体" w:hAnsi="宋体" w:cs="宋体" w:eastAsia="宋体" w:hint="default"/>
                <w:sz w:val="18"/>
                <w:szCs w:val="18"/>
              </w:rPr>
            </w:pPr>
            <w:r>
              <w:rPr>
                <w:rFonts w:ascii="宋体"/>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-229,1</w:t>
            </w:r>
          </w:p>
          <w:p>
            <w:pPr>
              <w:pStyle w:val="TableParagraph"/>
              <w:spacing w:line="240" w:lineRule="auto" w:before="74"/>
              <w:ind w:left="86" w:right="0"/>
              <w:jc w:val="left"/>
              <w:rPr>
                <w:rFonts w:ascii="宋体" w:hAnsi="宋体" w:cs="宋体" w:eastAsia="宋体" w:hint="default"/>
                <w:sz w:val="18"/>
                <w:szCs w:val="18"/>
              </w:rPr>
            </w:pPr>
            <w:r>
              <w:rPr>
                <w:rFonts w:ascii="宋体"/>
                <w:sz w:val="18"/>
              </w:rPr>
              <w:t>18,219</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.22</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830"/>
        <w:gridCol w:w="427"/>
        <w:gridCol w:w="425"/>
        <w:gridCol w:w="473"/>
        <w:gridCol w:w="802"/>
        <w:gridCol w:w="528"/>
        <w:gridCol w:w="665"/>
        <w:gridCol w:w="509"/>
        <w:gridCol w:w="821"/>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宋体" w:hAnsi="宋体" w:cs="宋体" w:eastAsia="宋体" w:hint="default"/>
                <w:sz w:val="18"/>
                <w:szCs w:val="18"/>
              </w:rPr>
            </w:pPr>
            <w:r>
              <w:rPr>
                <w:rFonts w:ascii="宋体"/>
                <w:sz w:val="18"/>
              </w:rPr>
              <w:t>1,564,56</w:t>
            </w:r>
          </w:p>
          <w:p>
            <w:pPr>
              <w:pStyle w:val="TableParagraph"/>
              <w:spacing w:line="240" w:lineRule="auto" w:before="76"/>
              <w:ind w:left="76" w:right="0"/>
              <w:jc w:val="left"/>
              <w:rPr>
                <w:rFonts w:ascii="宋体" w:hAnsi="宋体" w:cs="宋体" w:eastAsia="宋体" w:hint="default"/>
                <w:sz w:val="18"/>
                <w:szCs w:val="18"/>
              </w:rPr>
            </w:pPr>
            <w:r>
              <w:rPr>
                <w:rFonts w:ascii="宋体"/>
                <w:sz w:val="18"/>
              </w:rPr>
              <w:t>1,700.00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2,306,28</w:t>
            </w:r>
          </w:p>
          <w:p>
            <w:pPr>
              <w:pStyle w:val="TableParagraph"/>
              <w:spacing w:line="240" w:lineRule="auto" w:before="76"/>
              <w:ind w:left="50" w:right="0"/>
              <w:jc w:val="left"/>
              <w:rPr>
                <w:rFonts w:ascii="宋体" w:hAnsi="宋体" w:cs="宋体" w:eastAsia="宋体" w:hint="default"/>
                <w:sz w:val="18"/>
                <w:szCs w:val="18"/>
              </w:rPr>
            </w:pPr>
            <w:r>
              <w:rPr>
                <w:rFonts w:ascii="宋体"/>
                <w:sz w:val="18"/>
              </w:rPr>
              <w:t>9,204.25</w:t>
            </w:r>
          </w:p>
        </w:tc>
        <w:tc>
          <w:tcPr>
            <w:tcW w:w="5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743,07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5,263.</w:t>
            </w:r>
          </w:p>
          <w:p>
            <w:pPr>
              <w:pStyle w:val="TableParagraph"/>
              <w:spacing w:line="240" w:lineRule="auto" w:before="76"/>
              <w:ind w:right="17"/>
              <w:jc w:val="right"/>
              <w:rPr>
                <w:rFonts w:ascii="宋体" w:hAnsi="宋体" w:cs="宋体" w:eastAsia="宋体" w:hint="default"/>
                <w:sz w:val="18"/>
                <w:szCs w:val="18"/>
              </w:rPr>
            </w:pPr>
            <w:r>
              <w:rPr>
                <w:rFonts w:ascii="宋体"/>
                <w:sz w:val="18"/>
              </w:rPr>
              <w:t>24</w:t>
            </w:r>
          </w:p>
        </w:tc>
        <w:tc>
          <w:tcPr>
            <w:tcW w:w="5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宋体" w:hAnsi="宋体" w:cs="宋体" w:eastAsia="宋体" w:hint="default"/>
                <w:sz w:val="18"/>
                <w:szCs w:val="18"/>
              </w:rPr>
            </w:pPr>
            <w:r>
              <w:rPr>
                <w:rFonts w:ascii="宋体"/>
                <w:sz w:val="18"/>
              </w:rPr>
              <w:t>387,109,</w:t>
            </w:r>
          </w:p>
          <w:p>
            <w:pPr>
              <w:pStyle w:val="TableParagraph"/>
              <w:spacing w:line="240" w:lineRule="auto" w:before="76"/>
              <w:ind w:left="223" w:right="0"/>
              <w:jc w:val="center"/>
              <w:rPr>
                <w:rFonts w:ascii="宋体" w:hAnsi="宋体" w:cs="宋体" w:eastAsia="宋体" w:hint="default"/>
                <w:sz w:val="18"/>
                <w:szCs w:val="18"/>
              </w:rPr>
            </w:pPr>
            <w:r>
              <w:rPr>
                <w:rFonts w:ascii="宋体"/>
                <w:sz w:val="18"/>
              </w:rPr>
              <w:t>699.86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center"/>
              <w:rPr>
                <w:rFonts w:ascii="宋体" w:hAnsi="宋体" w:cs="宋体" w:eastAsia="宋体" w:hint="default"/>
                <w:sz w:val="18"/>
                <w:szCs w:val="18"/>
              </w:rPr>
            </w:pPr>
            <w:r>
              <w:rPr>
                <w:rFonts w:ascii="宋体"/>
                <w:sz w:val="18"/>
              </w:rPr>
              <w:t>3,502,</w:t>
            </w:r>
          </w:p>
          <w:p>
            <w:pPr>
              <w:pStyle w:val="TableParagraph"/>
              <w:spacing w:line="240" w:lineRule="auto" w:before="76"/>
              <w:ind w:left="72" w:right="0"/>
              <w:jc w:val="center"/>
              <w:rPr>
                <w:rFonts w:ascii="宋体" w:hAnsi="宋体" w:cs="宋体" w:eastAsia="宋体" w:hint="default"/>
                <w:sz w:val="18"/>
                <w:szCs w:val="18"/>
              </w:rPr>
            </w:pPr>
            <w:r>
              <w:rPr>
                <w:rFonts w:ascii="宋体"/>
                <w:sz w:val="18"/>
              </w:rPr>
              <w:t>736,62</w:t>
            </w:r>
          </w:p>
          <w:p>
            <w:pPr>
              <w:pStyle w:val="TableParagraph"/>
              <w:spacing w:line="240" w:lineRule="auto" w:before="76"/>
              <w:ind w:left="252" w:right="0"/>
              <w:jc w:val="center"/>
              <w:rPr>
                <w:rFonts w:ascii="宋体" w:hAnsi="宋体" w:cs="宋体" w:eastAsia="宋体" w:hint="default"/>
                <w:sz w:val="18"/>
                <w:szCs w:val="18"/>
              </w:rPr>
            </w:pPr>
            <w:r>
              <w:rPr>
                <w:rFonts w:ascii="宋体"/>
                <w:sz w:val="18"/>
              </w:rPr>
              <w:t>1.07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107,29</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6,715.</w:t>
            </w:r>
          </w:p>
          <w:p>
            <w:pPr>
              <w:pStyle w:val="TableParagraph"/>
              <w:spacing w:line="240" w:lineRule="auto" w:before="76"/>
              <w:ind w:right="17"/>
              <w:jc w:val="right"/>
              <w:rPr>
                <w:rFonts w:ascii="宋体" w:hAnsi="宋体" w:cs="宋体" w:eastAsia="宋体" w:hint="default"/>
                <w:sz w:val="18"/>
                <w:szCs w:val="18"/>
              </w:rPr>
            </w:pPr>
            <w:r>
              <w:rPr>
                <w:rFonts w:ascii="宋体"/>
                <w:sz w:val="18"/>
              </w:rPr>
              <w:t>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8,611,</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069,20</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3.66</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830"/>
        <w:gridCol w:w="427"/>
        <w:gridCol w:w="425"/>
        <w:gridCol w:w="473"/>
        <w:gridCol w:w="802"/>
        <w:gridCol w:w="526"/>
        <w:gridCol w:w="668"/>
        <w:gridCol w:w="509"/>
        <w:gridCol w:w="818"/>
        <w:gridCol w:w="665"/>
        <w:gridCol w:w="680"/>
        <w:gridCol w:w="653"/>
        <w:gridCol w:w="658"/>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2"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830" w:type="dxa"/>
            <w:vMerge w:val="restart"/>
            <w:tcBorders>
              <w:top w:val="single" w:sz="4" w:space="0" w:color="000000"/>
              <w:left w:val="single" w:sz="4" w:space="0" w:color="000000"/>
              <w:right w:val="single" w:sz="4" w:space="0" w:color="000000"/>
            </w:tcBorders>
            <w:shd w:val="clear" w:color="auto" w:fill="D2D2D2"/>
          </w:tcPr>
          <w:p>
            <w:pPr/>
          </w:p>
        </w:tc>
        <w:tc>
          <w:tcPr>
            <w:tcW w:w="13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9"/>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1325" w:type="dxa"/>
            <w:gridSpan w:val="3"/>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52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9" w:right="19"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0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18"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7"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26"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vMerge/>
            <w:tcBorders>
              <w:left w:val="single" w:sz="4" w:space="0" w:color="000000"/>
              <w:bottom w:val="nil" w:sz="6" w:space="0" w:color="auto"/>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509" w:type="dxa"/>
            <w:vMerge/>
            <w:tcBorders>
              <w:left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39" w:hRule="exact"/>
        </w:trPr>
        <w:tc>
          <w:tcPr>
            <w:tcW w:w="1426" w:type="dxa"/>
            <w:vMerge/>
            <w:tcBorders>
              <w:left w:val="single" w:sz="4" w:space="0" w:color="000000"/>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73" w:type="dxa"/>
            <w:vMerge/>
            <w:tcBorders>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526"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694,303,</w:t>
            </w:r>
          </w:p>
          <w:p>
            <w:pPr>
              <w:pStyle w:val="TableParagraph"/>
              <w:spacing w:line="240" w:lineRule="auto" w:before="74"/>
              <w:ind w:left="232" w:right="0"/>
              <w:jc w:val="center"/>
              <w:rPr>
                <w:rFonts w:ascii="宋体" w:hAnsi="宋体" w:cs="宋体" w:eastAsia="宋体" w:hint="default"/>
                <w:sz w:val="18"/>
                <w:szCs w:val="18"/>
              </w:rPr>
            </w:pPr>
            <w:r>
              <w:rPr>
                <w:rFonts w:ascii="宋体"/>
                <w:sz w:val="18"/>
              </w:rPr>
              <w:t>610.00</w:t>
            </w:r>
          </w:p>
        </w:tc>
        <w:tc>
          <w:tcPr>
            <w:tcW w:w="42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73"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center"/>
              <w:rPr>
                <w:rFonts w:ascii="宋体" w:hAnsi="宋体" w:cs="宋体" w:eastAsia="宋体" w:hint="default"/>
                <w:sz w:val="18"/>
                <w:szCs w:val="18"/>
              </w:rPr>
            </w:pPr>
            <w:r>
              <w:rPr>
                <w:rFonts w:ascii="宋体"/>
                <w:sz w:val="18"/>
              </w:rPr>
              <w:t>934,721,</w:t>
            </w:r>
          </w:p>
          <w:p>
            <w:pPr>
              <w:pStyle w:val="TableParagraph"/>
              <w:spacing w:line="240" w:lineRule="auto" w:before="74"/>
              <w:ind w:left="209" w:right="0"/>
              <w:jc w:val="center"/>
              <w:rPr>
                <w:rFonts w:ascii="宋体" w:hAnsi="宋体" w:cs="宋体" w:eastAsia="宋体" w:hint="default"/>
                <w:sz w:val="18"/>
                <w:szCs w:val="18"/>
              </w:rPr>
            </w:pPr>
            <w:r>
              <w:rPr>
                <w:rFonts w:ascii="宋体"/>
                <w:sz w:val="18"/>
              </w:rPr>
              <w:t>149.91</w:t>
            </w:r>
          </w:p>
        </w:tc>
        <w:tc>
          <w:tcPr>
            <w:tcW w:w="526"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-39,23</w:t>
            </w:r>
          </w:p>
          <w:p>
            <w:pPr>
              <w:pStyle w:val="TableParagraph"/>
              <w:spacing w:line="240" w:lineRule="auto" w:before="74"/>
              <w:ind w:left="254" w:right="0"/>
              <w:jc w:val="center"/>
              <w:rPr>
                <w:rFonts w:ascii="宋体" w:hAnsi="宋体" w:cs="宋体" w:eastAsia="宋体" w:hint="default"/>
                <w:sz w:val="18"/>
                <w:szCs w:val="18"/>
              </w:rPr>
            </w:pPr>
            <w:r>
              <w:rPr>
                <w:rFonts w:ascii="宋体"/>
                <w:sz w:val="18"/>
              </w:rPr>
              <w:t>6.56</w:t>
            </w:r>
          </w:p>
        </w:tc>
        <w:tc>
          <w:tcPr>
            <w:tcW w:w="509"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211,226,</w:t>
            </w:r>
          </w:p>
          <w:p>
            <w:pPr>
              <w:pStyle w:val="TableParagraph"/>
              <w:spacing w:line="240" w:lineRule="auto" w:before="74"/>
              <w:ind w:left="226" w:right="0"/>
              <w:jc w:val="center"/>
              <w:rPr>
                <w:rFonts w:ascii="宋体" w:hAnsi="宋体" w:cs="宋体" w:eastAsia="宋体" w:hint="default"/>
                <w:sz w:val="18"/>
                <w:szCs w:val="18"/>
              </w:rPr>
            </w:pPr>
            <w:r>
              <w:rPr>
                <w:rFonts w:ascii="宋体"/>
                <w:sz w:val="18"/>
              </w:rPr>
              <w:t>935.74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49"/>
              <w:ind w:left="81" w:right="0"/>
              <w:jc w:val="center"/>
              <w:rPr>
                <w:rFonts w:ascii="宋体" w:hAnsi="宋体" w:cs="宋体" w:eastAsia="宋体" w:hint="default"/>
                <w:sz w:val="18"/>
                <w:szCs w:val="18"/>
              </w:rPr>
            </w:pPr>
            <w:r>
              <w:rPr>
                <w:rFonts w:ascii="宋体"/>
                <w:sz w:val="18"/>
              </w:rPr>
              <w:t>1,874,</w:t>
            </w:r>
          </w:p>
          <w:p>
            <w:pPr>
              <w:pStyle w:val="TableParagraph"/>
              <w:spacing w:line="240" w:lineRule="auto" w:before="74"/>
              <w:ind w:left="81" w:right="0"/>
              <w:jc w:val="center"/>
              <w:rPr>
                <w:rFonts w:ascii="宋体" w:hAnsi="宋体" w:cs="宋体" w:eastAsia="宋体" w:hint="default"/>
                <w:sz w:val="18"/>
                <w:szCs w:val="18"/>
              </w:rPr>
            </w:pPr>
            <w:r>
              <w:rPr>
                <w:rFonts w:ascii="宋体"/>
                <w:sz w:val="18"/>
              </w:rPr>
              <w:t>213,46</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1.86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18,742</w:t>
            </w:r>
          </w:p>
          <w:p>
            <w:pPr>
              <w:pStyle w:val="TableParagraph"/>
              <w:spacing w:line="240" w:lineRule="auto" w:before="74"/>
              <w:ind w:left="348" w:right="0"/>
              <w:jc w:val="left"/>
              <w:rPr>
                <w:rFonts w:ascii="宋体" w:hAnsi="宋体" w:cs="宋体" w:eastAsia="宋体" w:hint="default"/>
                <w:sz w:val="18"/>
                <w:szCs w:val="18"/>
              </w:rPr>
            </w:pPr>
            <w:r>
              <w:rPr>
                <w:rFonts w:ascii="宋体"/>
                <w:sz w:val="18"/>
              </w:rPr>
              <w:t>.17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3,714,</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444,66</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3.12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830" w:type="dxa"/>
            <w:vMerge/>
            <w:tcBorders>
              <w:left w:val="single" w:sz="9" w:space="0" w:color="D2D2D2"/>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vMerge/>
            <w:tcBorders>
              <w:left w:val="single" w:sz="9" w:space="0" w:color="D2D2D2"/>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830" w:type="dxa"/>
            <w:tcBorders>
              <w:top w:val="single" w:sz="4" w:space="0" w:color="000000"/>
              <w:left w:val="single" w:sz="12"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830" w:type="dxa"/>
            <w:tcBorders>
              <w:top w:val="single" w:sz="4" w:space="0" w:color="000000"/>
              <w:left w:val="single" w:sz="12"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830" w:type="dxa"/>
            <w:tcBorders>
              <w:top w:val="single" w:sz="4" w:space="0" w:color="000000"/>
              <w:left w:val="single" w:sz="12"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0" w:type="dxa"/>
            <w:tcBorders>
              <w:top w:val="single" w:sz="4" w:space="0" w:color="000000"/>
              <w:left w:val="single" w:sz="12" w:space="0" w:color="D2D2D2"/>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694,303,</w:t>
            </w:r>
          </w:p>
          <w:p>
            <w:pPr>
              <w:pStyle w:val="TableParagraph"/>
              <w:spacing w:line="240" w:lineRule="auto" w:before="76"/>
              <w:ind w:left="232" w:right="0"/>
              <w:jc w:val="center"/>
              <w:rPr>
                <w:rFonts w:ascii="宋体" w:hAnsi="宋体" w:cs="宋体" w:eastAsia="宋体" w:hint="default"/>
                <w:sz w:val="18"/>
                <w:szCs w:val="18"/>
              </w:rPr>
            </w:pPr>
            <w:r>
              <w:rPr>
                <w:rFonts w:ascii="宋体"/>
                <w:sz w:val="18"/>
              </w:rPr>
              <w:t>610.00</w:t>
            </w:r>
          </w:p>
        </w:tc>
        <w:tc>
          <w:tcPr>
            <w:tcW w:w="42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73"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center"/>
              <w:rPr>
                <w:rFonts w:ascii="宋体" w:hAnsi="宋体" w:cs="宋体" w:eastAsia="宋体" w:hint="default"/>
                <w:sz w:val="18"/>
                <w:szCs w:val="18"/>
              </w:rPr>
            </w:pPr>
            <w:r>
              <w:rPr>
                <w:rFonts w:ascii="宋体"/>
                <w:sz w:val="18"/>
              </w:rPr>
              <w:t>934,721,</w:t>
            </w:r>
          </w:p>
          <w:p>
            <w:pPr>
              <w:pStyle w:val="TableParagraph"/>
              <w:spacing w:line="240" w:lineRule="auto" w:before="76"/>
              <w:ind w:left="209" w:right="0"/>
              <w:jc w:val="center"/>
              <w:rPr>
                <w:rFonts w:ascii="宋体" w:hAnsi="宋体" w:cs="宋体" w:eastAsia="宋体" w:hint="default"/>
                <w:sz w:val="18"/>
                <w:szCs w:val="18"/>
              </w:rPr>
            </w:pPr>
            <w:r>
              <w:rPr>
                <w:rFonts w:ascii="宋体"/>
                <w:sz w:val="18"/>
              </w:rPr>
              <w:t>149.91</w:t>
            </w:r>
          </w:p>
        </w:tc>
        <w:tc>
          <w:tcPr>
            <w:tcW w:w="526"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-39,23</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6.56</w:t>
            </w:r>
          </w:p>
        </w:tc>
        <w:tc>
          <w:tcPr>
            <w:tcW w:w="509"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8"/>
                <w:szCs w:val="18"/>
              </w:rPr>
            </w:pPr>
            <w:r>
              <w:rPr>
                <w:rFonts w:ascii="宋体"/>
                <w:sz w:val="18"/>
              </w:rPr>
              <w:t>211,226,</w:t>
            </w:r>
          </w:p>
          <w:p>
            <w:pPr>
              <w:pStyle w:val="TableParagraph"/>
              <w:spacing w:line="240" w:lineRule="auto" w:before="76"/>
              <w:ind w:left="226" w:right="0"/>
              <w:jc w:val="center"/>
              <w:rPr>
                <w:rFonts w:ascii="宋体" w:hAnsi="宋体" w:cs="宋体" w:eastAsia="宋体" w:hint="default"/>
                <w:sz w:val="18"/>
                <w:szCs w:val="18"/>
              </w:rPr>
            </w:pPr>
            <w:r>
              <w:rPr>
                <w:rFonts w:ascii="宋体"/>
                <w:sz w:val="18"/>
              </w:rPr>
              <w:t>935.74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49"/>
              <w:ind w:left="81" w:right="0"/>
              <w:jc w:val="center"/>
              <w:rPr>
                <w:rFonts w:ascii="宋体" w:hAnsi="宋体" w:cs="宋体" w:eastAsia="宋体" w:hint="default"/>
                <w:sz w:val="18"/>
                <w:szCs w:val="18"/>
              </w:rPr>
            </w:pPr>
            <w:r>
              <w:rPr>
                <w:rFonts w:ascii="宋体"/>
                <w:sz w:val="18"/>
              </w:rPr>
              <w:t>1,874,</w:t>
            </w:r>
          </w:p>
          <w:p>
            <w:pPr>
              <w:pStyle w:val="TableParagraph"/>
              <w:spacing w:line="240" w:lineRule="auto" w:before="76"/>
              <w:ind w:left="81" w:right="0"/>
              <w:jc w:val="center"/>
              <w:rPr>
                <w:rFonts w:ascii="宋体" w:hAnsi="宋体" w:cs="宋体" w:eastAsia="宋体" w:hint="default"/>
                <w:sz w:val="18"/>
                <w:szCs w:val="18"/>
              </w:rPr>
            </w:pPr>
            <w:r>
              <w:rPr>
                <w:rFonts w:ascii="宋体"/>
                <w:sz w:val="18"/>
              </w:rPr>
              <w:t>213,46</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1.86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18,742</w:t>
            </w:r>
          </w:p>
          <w:p>
            <w:pPr>
              <w:pStyle w:val="TableParagraph"/>
              <w:spacing w:line="240" w:lineRule="auto" w:before="76"/>
              <w:ind w:left="348" w:right="0"/>
              <w:jc w:val="left"/>
              <w:rPr>
                <w:rFonts w:ascii="宋体" w:hAnsi="宋体" w:cs="宋体" w:eastAsia="宋体" w:hint="default"/>
                <w:sz w:val="18"/>
                <w:szCs w:val="18"/>
              </w:rPr>
            </w:pPr>
            <w:r>
              <w:rPr>
                <w:rFonts w:ascii="宋体"/>
                <w:sz w:val="18"/>
              </w:rPr>
              <w:t>.17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3,714,</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444,66</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3.12</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830" w:type="dxa"/>
            <w:vMerge/>
            <w:tcBorders>
              <w:left w:val="single" w:sz="9" w:space="0" w:color="D2D2D2"/>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vMerge/>
            <w:tcBorders>
              <w:left w:val="single" w:sz="9" w:space="0" w:color="D2D2D2"/>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80"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830"/>
        <w:gridCol w:w="427"/>
        <w:gridCol w:w="425"/>
        <w:gridCol w:w="473"/>
        <w:gridCol w:w="802"/>
        <w:gridCol w:w="526"/>
        <w:gridCol w:w="668"/>
        <w:gridCol w:w="509"/>
        <w:gridCol w:w="818"/>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金额（减少以 “－”号填列）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宋体" w:hAnsi="宋体" w:cs="宋体" w:eastAsia="宋体" w:hint="default"/>
                <w:sz w:val="18"/>
                <w:szCs w:val="18"/>
              </w:rPr>
            </w:pPr>
            <w:r>
              <w:rPr>
                <w:rFonts w:ascii="宋体"/>
                <w:sz w:val="18"/>
              </w:rPr>
              <w:t>820,503,</w:t>
            </w:r>
          </w:p>
          <w:p>
            <w:pPr>
              <w:pStyle w:val="TableParagraph"/>
              <w:spacing w:line="240" w:lineRule="auto" w:before="77"/>
              <w:ind w:left="238" w:right="0"/>
              <w:jc w:val="center"/>
              <w:rPr>
                <w:rFonts w:ascii="宋体" w:hAnsi="宋体" w:cs="宋体" w:eastAsia="宋体" w:hint="default"/>
                <w:sz w:val="18"/>
                <w:szCs w:val="18"/>
              </w:rPr>
            </w:pPr>
            <w:r>
              <w:rPr>
                <w:rFonts w:ascii="宋体"/>
                <w:sz w:val="18"/>
              </w:rPr>
              <w:t>338.00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宋体" w:hAnsi="宋体" w:cs="宋体" w:eastAsia="宋体" w:hint="default"/>
                <w:sz w:val="18"/>
                <w:szCs w:val="18"/>
              </w:rPr>
            </w:pPr>
            <w:r>
              <w:rPr>
                <w:rFonts w:ascii="宋体"/>
                <w:sz w:val="18"/>
              </w:rPr>
              <w:t>551,808,</w:t>
            </w:r>
          </w:p>
          <w:p>
            <w:pPr>
              <w:pStyle w:val="TableParagraph"/>
              <w:spacing w:line="240" w:lineRule="auto" w:before="77"/>
              <w:ind w:left="209" w:right="0"/>
              <w:jc w:val="center"/>
              <w:rPr>
                <w:rFonts w:ascii="宋体" w:hAnsi="宋体" w:cs="宋体" w:eastAsia="宋体" w:hint="default"/>
                <w:sz w:val="18"/>
                <w:szCs w:val="18"/>
              </w:rPr>
            </w:pPr>
            <w:r>
              <w:rPr>
                <w:rFonts w:ascii="宋体"/>
                <w:sz w:val="18"/>
              </w:rPr>
              <w:t>876.41</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309,51</w:t>
            </w:r>
          </w:p>
          <w:p>
            <w:pPr>
              <w:pStyle w:val="TableParagraph"/>
              <w:spacing w:line="240" w:lineRule="auto" w:before="77"/>
              <w:ind w:right="19"/>
              <w:jc w:val="right"/>
              <w:rPr>
                <w:rFonts w:ascii="宋体" w:hAnsi="宋体" w:cs="宋体" w:eastAsia="宋体" w:hint="default"/>
                <w:sz w:val="18"/>
                <w:szCs w:val="18"/>
              </w:rPr>
            </w:pPr>
            <w:r>
              <w:rPr>
                <w:rFonts w:ascii="宋体"/>
                <w:spacing w:val="-1"/>
                <w:sz w:val="18"/>
              </w:rPr>
              <w:t>1,952.</w:t>
            </w:r>
          </w:p>
          <w:p>
            <w:pPr>
              <w:pStyle w:val="TableParagraph"/>
              <w:spacing w:line="240" w:lineRule="auto" w:before="76"/>
              <w:ind w:right="17"/>
              <w:jc w:val="right"/>
              <w:rPr>
                <w:rFonts w:ascii="宋体" w:hAnsi="宋体" w:cs="宋体" w:eastAsia="宋体" w:hint="default"/>
                <w:sz w:val="18"/>
                <w:szCs w:val="18"/>
              </w:rPr>
            </w:pPr>
            <w:r>
              <w:rPr>
                <w:rFonts w:ascii="宋体"/>
                <w:sz w:val="18"/>
              </w:rPr>
              <w:t>42</w:t>
            </w: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宋体" w:hAnsi="宋体" w:cs="宋体" w:eastAsia="宋体" w:hint="default"/>
                <w:sz w:val="18"/>
                <w:szCs w:val="18"/>
              </w:rPr>
            </w:pPr>
            <w:r>
              <w:rPr>
                <w:rFonts w:ascii="宋体"/>
                <w:sz w:val="18"/>
              </w:rPr>
              <w:t>82,649,7</w:t>
            </w:r>
          </w:p>
          <w:p>
            <w:pPr>
              <w:pStyle w:val="TableParagraph"/>
              <w:spacing w:line="240" w:lineRule="auto" w:before="77"/>
              <w:ind w:left="335" w:right="0"/>
              <w:jc w:val="left"/>
              <w:rPr>
                <w:rFonts w:ascii="宋体" w:hAnsi="宋体" w:cs="宋体" w:eastAsia="宋体" w:hint="default"/>
                <w:sz w:val="18"/>
                <w:szCs w:val="18"/>
              </w:rPr>
            </w:pPr>
            <w:r>
              <w:rPr>
                <w:rFonts w:ascii="宋体"/>
                <w:sz w:val="18"/>
              </w:rPr>
              <w:t>29.19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808,99</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6,010.</w:t>
            </w:r>
          </w:p>
          <w:p>
            <w:pPr>
              <w:pStyle w:val="TableParagraph"/>
              <w:spacing w:line="240" w:lineRule="auto" w:before="76"/>
              <w:ind w:right="20"/>
              <w:jc w:val="right"/>
              <w:rPr>
                <w:rFonts w:ascii="宋体" w:hAnsi="宋体" w:cs="宋体" w:eastAsia="宋体" w:hint="default"/>
                <w:sz w:val="18"/>
                <w:szCs w:val="18"/>
              </w:rPr>
            </w:pPr>
            <w:r>
              <w:rPr>
                <w:rFonts w:ascii="宋体"/>
                <w:sz w:val="18"/>
              </w:rPr>
              <w:t>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7,080,</w:t>
            </w:r>
          </w:p>
          <w:p>
            <w:pPr>
              <w:pStyle w:val="TableParagraph"/>
              <w:spacing w:line="240" w:lineRule="auto" w:before="77"/>
              <w:ind w:left="79" w:right="0"/>
              <w:jc w:val="left"/>
              <w:rPr>
                <w:rFonts w:ascii="宋体" w:hAnsi="宋体" w:cs="宋体" w:eastAsia="宋体" w:hint="default"/>
                <w:sz w:val="18"/>
                <w:szCs w:val="18"/>
              </w:rPr>
            </w:pPr>
            <w:r>
              <w:rPr>
                <w:rFonts w:ascii="宋体"/>
                <w:sz w:val="18"/>
              </w:rPr>
              <w:t>485.76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2,580,</w:t>
            </w:r>
          </w:p>
          <w:p>
            <w:pPr>
              <w:pStyle w:val="TableParagraph"/>
              <w:spacing w:line="240" w:lineRule="auto" w:before="77"/>
              <w:ind w:left="65" w:right="0"/>
              <w:jc w:val="center"/>
              <w:rPr>
                <w:rFonts w:ascii="宋体" w:hAnsi="宋体" w:cs="宋体" w:eastAsia="宋体" w:hint="default"/>
                <w:sz w:val="18"/>
                <w:szCs w:val="18"/>
              </w:rPr>
            </w:pPr>
            <w:r>
              <w:rPr>
                <w:rFonts w:ascii="宋体"/>
                <w:sz w:val="18"/>
              </w:rPr>
              <w:t>550,39</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1.96</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309,51</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1,952.</w:t>
            </w:r>
          </w:p>
          <w:p>
            <w:pPr>
              <w:pStyle w:val="TableParagraph"/>
              <w:spacing w:line="240" w:lineRule="auto" w:before="76"/>
              <w:ind w:right="17"/>
              <w:jc w:val="right"/>
              <w:rPr>
                <w:rFonts w:ascii="宋体" w:hAnsi="宋体" w:cs="宋体" w:eastAsia="宋体" w:hint="default"/>
                <w:sz w:val="18"/>
                <w:szCs w:val="18"/>
              </w:rPr>
            </w:pPr>
            <w:r>
              <w:rPr>
                <w:rFonts w:ascii="宋体"/>
                <w:sz w:val="18"/>
              </w:rPr>
              <w:t>42</w:t>
            </w: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center"/>
              <w:rPr>
                <w:rFonts w:ascii="宋体" w:hAnsi="宋体" w:cs="宋体" w:eastAsia="宋体" w:hint="default"/>
                <w:sz w:val="18"/>
                <w:szCs w:val="18"/>
              </w:rPr>
            </w:pPr>
            <w:r>
              <w:rPr>
                <w:rFonts w:ascii="宋体"/>
                <w:sz w:val="18"/>
              </w:rPr>
              <w:t>1,038,</w:t>
            </w:r>
          </w:p>
          <w:p>
            <w:pPr>
              <w:pStyle w:val="TableParagraph"/>
              <w:spacing w:line="240" w:lineRule="auto" w:before="74"/>
              <w:ind w:left="81" w:right="0"/>
              <w:jc w:val="center"/>
              <w:rPr>
                <w:rFonts w:ascii="宋体" w:hAnsi="宋体" w:cs="宋体" w:eastAsia="宋体" w:hint="default"/>
                <w:sz w:val="18"/>
                <w:szCs w:val="18"/>
              </w:rPr>
            </w:pPr>
            <w:r>
              <w:rPr>
                <w:rFonts w:ascii="宋体"/>
                <w:sz w:val="18"/>
              </w:rPr>
              <w:t>654,01</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3.57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 w:right="0"/>
              <w:jc w:val="center"/>
              <w:rPr>
                <w:rFonts w:ascii="宋体" w:hAnsi="宋体" w:cs="宋体" w:eastAsia="宋体" w:hint="default"/>
                <w:sz w:val="18"/>
                <w:szCs w:val="18"/>
              </w:rPr>
            </w:pPr>
            <w:r>
              <w:rPr>
                <w:rFonts w:ascii="宋体"/>
                <w:sz w:val="18"/>
              </w:rPr>
              <w:t>-34,51</w:t>
            </w:r>
          </w:p>
          <w:p>
            <w:pPr>
              <w:pStyle w:val="TableParagraph"/>
              <w:spacing w:line="240" w:lineRule="auto" w:before="74"/>
              <w:ind w:left="236" w:right="0"/>
              <w:jc w:val="center"/>
              <w:rPr>
                <w:rFonts w:ascii="宋体" w:hAnsi="宋体" w:cs="宋体" w:eastAsia="宋体" w:hint="default"/>
                <w:sz w:val="18"/>
                <w:szCs w:val="18"/>
              </w:rPr>
            </w:pPr>
            <w:r>
              <w:rPr>
                <w:rFonts w:ascii="宋体"/>
                <w:sz w:val="18"/>
              </w:rPr>
              <w:t>4.24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1,348,</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131,45</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1.75</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85,461,9</w:t>
            </w:r>
          </w:p>
          <w:p>
            <w:pPr>
              <w:pStyle w:val="TableParagraph"/>
              <w:spacing w:line="240" w:lineRule="auto" w:before="76"/>
              <w:ind w:left="347" w:right="0"/>
              <w:jc w:val="left"/>
              <w:rPr>
                <w:rFonts w:ascii="宋体" w:hAnsi="宋体" w:cs="宋体" w:eastAsia="宋体" w:hint="default"/>
                <w:sz w:val="18"/>
                <w:szCs w:val="18"/>
              </w:rPr>
            </w:pPr>
            <w:r>
              <w:rPr>
                <w:rFonts w:ascii="宋体"/>
                <w:sz w:val="18"/>
              </w:rPr>
              <w:t>67.00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sz w:val="18"/>
              </w:rPr>
              <w:t>1,286,85</w:t>
            </w:r>
          </w:p>
          <w:p>
            <w:pPr>
              <w:pStyle w:val="TableParagraph"/>
              <w:spacing w:line="240" w:lineRule="auto" w:before="76"/>
              <w:ind w:left="50" w:right="0"/>
              <w:jc w:val="left"/>
              <w:rPr>
                <w:rFonts w:ascii="宋体" w:hAnsi="宋体" w:cs="宋体" w:eastAsia="宋体" w:hint="default"/>
                <w:sz w:val="18"/>
                <w:szCs w:val="18"/>
              </w:rPr>
            </w:pPr>
            <w:r>
              <w:rPr>
                <w:rFonts w:ascii="宋体"/>
                <w:sz w:val="18"/>
              </w:rPr>
              <w:t>0,247.41</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7,115,</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 w:right="0"/>
              <w:jc w:val="center"/>
              <w:rPr>
                <w:rFonts w:ascii="宋体" w:hAnsi="宋体" w:cs="宋体" w:eastAsia="宋体" w:hint="default"/>
                <w:sz w:val="18"/>
                <w:szCs w:val="18"/>
              </w:rPr>
            </w:pPr>
            <w:r>
              <w:rPr>
                <w:rFonts w:ascii="宋体"/>
                <w:sz w:val="18"/>
              </w:rPr>
              <w:t>1,379,</w:t>
            </w:r>
          </w:p>
          <w:p>
            <w:pPr>
              <w:pStyle w:val="TableParagraph"/>
              <w:spacing w:line="240" w:lineRule="auto" w:before="76"/>
              <w:ind w:left="65" w:right="0"/>
              <w:jc w:val="center"/>
              <w:rPr>
                <w:rFonts w:ascii="宋体" w:hAnsi="宋体" w:cs="宋体" w:eastAsia="宋体" w:hint="default"/>
                <w:sz w:val="18"/>
                <w:szCs w:val="18"/>
              </w:rPr>
            </w:pPr>
            <w:r>
              <w:rPr>
                <w:rFonts w:ascii="宋体"/>
                <w:sz w:val="18"/>
              </w:rPr>
              <w:t>427,21</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4.41</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44,220,8</w:t>
            </w:r>
          </w:p>
          <w:p>
            <w:pPr>
              <w:pStyle w:val="TableParagraph"/>
              <w:spacing w:line="240" w:lineRule="auto" w:before="74"/>
              <w:ind w:left="347" w:right="0"/>
              <w:jc w:val="left"/>
              <w:rPr>
                <w:rFonts w:ascii="宋体" w:hAnsi="宋体" w:cs="宋体" w:eastAsia="宋体" w:hint="default"/>
                <w:sz w:val="18"/>
                <w:szCs w:val="18"/>
              </w:rPr>
            </w:pPr>
            <w:r>
              <w:rPr>
                <w:rFonts w:ascii="宋体"/>
                <w:sz w:val="18"/>
              </w:rPr>
              <w:t>41.00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center"/>
              <w:rPr>
                <w:rFonts w:ascii="宋体" w:hAnsi="宋体" w:cs="宋体" w:eastAsia="宋体" w:hint="default"/>
                <w:sz w:val="18"/>
                <w:szCs w:val="18"/>
              </w:rPr>
            </w:pPr>
            <w:r>
              <w:rPr>
                <w:rFonts w:ascii="宋体"/>
                <w:sz w:val="18"/>
              </w:rPr>
              <w:t>614,790,</w:t>
            </w:r>
          </w:p>
          <w:p>
            <w:pPr>
              <w:pStyle w:val="TableParagraph"/>
              <w:spacing w:line="240" w:lineRule="auto" w:before="74"/>
              <w:ind w:left="209" w:right="0"/>
              <w:jc w:val="center"/>
              <w:rPr>
                <w:rFonts w:ascii="宋体" w:hAnsi="宋体" w:cs="宋体" w:eastAsia="宋体" w:hint="default"/>
                <w:sz w:val="18"/>
                <w:szCs w:val="18"/>
              </w:rPr>
            </w:pPr>
            <w:r>
              <w:rPr>
                <w:rFonts w:ascii="宋体"/>
                <w:sz w:val="18"/>
              </w:rPr>
              <w:t>376.46</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7,115,</w:t>
            </w:r>
          </w:p>
          <w:p>
            <w:pPr>
              <w:pStyle w:val="TableParagraph"/>
              <w:spacing w:line="240" w:lineRule="auto" w:before="74"/>
              <w:ind w:left="79" w:right="0"/>
              <w:jc w:val="left"/>
              <w:rPr>
                <w:rFonts w:ascii="宋体" w:hAnsi="宋体" w:cs="宋体" w:eastAsia="宋体" w:hint="default"/>
                <w:sz w:val="18"/>
                <w:szCs w:val="18"/>
              </w:rPr>
            </w:pPr>
            <w:r>
              <w:rPr>
                <w:rFonts w:ascii="宋体"/>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666,12</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6,217.</w:t>
            </w:r>
          </w:p>
          <w:p>
            <w:pPr>
              <w:pStyle w:val="TableParagraph"/>
              <w:spacing w:line="240" w:lineRule="auto" w:before="76"/>
              <w:ind w:right="17"/>
              <w:jc w:val="right"/>
              <w:rPr>
                <w:rFonts w:ascii="宋体" w:hAnsi="宋体" w:cs="宋体" w:eastAsia="宋体" w:hint="default"/>
                <w:sz w:val="18"/>
                <w:szCs w:val="18"/>
              </w:rPr>
            </w:pPr>
            <w:r>
              <w:rPr>
                <w:rFonts w:ascii="宋体"/>
                <w:sz w:val="18"/>
              </w:rPr>
              <w:t>46</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sz w:val="18"/>
              </w:rPr>
              <w:t>41,241,1</w:t>
            </w:r>
          </w:p>
          <w:p>
            <w:pPr>
              <w:pStyle w:val="TableParagraph"/>
              <w:spacing w:line="240" w:lineRule="auto" w:before="76"/>
              <w:ind w:left="347" w:right="0"/>
              <w:jc w:val="left"/>
              <w:rPr>
                <w:rFonts w:ascii="宋体" w:hAnsi="宋体" w:cs="宋体" w:eastAsia="宋体" w:hint="default"/>
                <w:sz w:val="18"/>
                <w:szCs w:val="18"/>
              </w:rPr>
            </w:pPr>
            <w:r>
              <w:rPr>
                <w:rFonts w:ascii="宋体"/>
                <w:sz w:val="18"/>
              </w:rPr>
              <w:t>26.00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宋体" w:hAnsi="宋体" w:cs="宋体" w:eastAsia="宋体" w:hint="default"/>
                <w:sz w:val="18"/>
                <w:szCs w:val="18"/>
              </w:rPr>
            </w:pPr>
            <w:r>
              <w:rPr>
                <w:rFonts w:ascii="宋体"/>
                <w:sz w:val="18"/>
              </w:rPr>
              <w:t>662,839,</w:t>
            </w:r>
          </w:p>
          <w:p>
            <w:pPr>
              <w:pStyle w:val="TableParagraph"/>
              <w:spacing w:line="240" w:lineRule="auto" w:before="76"/>
              <w:ind w:left="209" w:right="0"/>
              <w:jc w:val="center"/>
              <w:rPr>
                <w:rFonts w:ascii="宋体" w:hAnsi="宋体" w:cs="宋体" w:eastAsia="宋体" w:hint="default"/>
                <w:sz w:val="18"/>
                <w:szCs w:val="18"/>
              </w:rPr>
            </w:pPr>
            <w:r>
              <w:rPr>
                <w:rFonts w:ascii="宋体"/>
                <w:sz w:val="18"/>
              </w:rPr>
              <w:t>387.95</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704,08</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0,513.</w:t>
            </w:r>
          </w:p>
          <w:p>
            <w:pPr>
              <w:pStyle w:val="TableParagraph"/>
              <w:spacing w:line="240" w:lineRule="auto" w:before="76"/>
              <w:ind w:right="17"/>
              <w:jc w:val="right"/>
              <w:rPr>
                <w:rFonts w:ascii="宋体" w:hAnsi="宋体" w:cs="宋体" w:eastAsia="宋体" w:hint="default"/>
                <w:sz w:val="18"/>
                <w:szCs w:val="18"/>
              </w:rPr>
            </w:pPr>
            <w:r>
              <w:rPr>
                <w:rFonts w:ascii="宋体"/>
                <w:sz w:val="18"/>
              </w:rPr>
              <w:t>95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9,220,48</w:t>
            </w:r>
          </w:p>
          <w:p>
            <w:pPr>
              <w:pStyle w:val="TableParagraph"/>
              <w:spacing w:line="240" w:lineRule="auto" w:before="74"/>
              <w:ind w:left="410" w:right="0"/>
              <w:jc w:val="left"/>
              <w:rPr>
                <w:rFonts w:ascii="宋体" w:hAnsi="宋体" w:cs="宋体" w:eastAsia="宋体" w:hint="default"/>
                <w:sz w:val="18"/>
                <w:szCs w:val="18"/>
              </w:rPr>
            </w:pPr>
            <w:r>
              <w:rPr>
                <w:rFonts w:ascii="宋体"/>
                <w:sz w:val="18"/>
              </w:rPr>
              <w:t>3.00</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sz w:val="18"/>
              </w:rPr>
              <w:t>9,220,</w:t>
            </w:r>
          </w:p>
          <w:p>
            <w:pPr>
              <w:pStyle w:val="TableParagraph"/>
              <w:spacing w:line="240" w:lineRule="auto" w:before="74"/>
              <w:ind w:left="86" w:right="0"/>
              <w:jc w:val="left"/>
              <w:rPr>
                <w:rFonts w:ascii="宋体" w:hAnsi="宋体" w:cs="宋体" w:eastAsia="宋体" w:hint="default"/>
                <w:sz w:val="18"/>
                <w:szCs w:val="18"/>
              </w:rPr>
            </w:pPr>
            <w:r>
              <w:rPr>
                <w:rFonts w:ascii="宋体"/>
                <w:sz w:val="18"/>
              </w:rPr>
              <w:t>483.00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sz w:val="18"/>
              </w:rPr>
              <w:t>82,649,7</w:t>
            </w:r>
          </w:p>
          <w:p>
            <w:pPr>
              <w:pStyle w:val="TableParagraph"/>
              <w:spacing w:line="240" w:lineRule="auto" w:before="74"/>
              <w:ind w:left="335" w:right="0"/>
              <w:jc w:val="left"/>
              <w:rPr>
                <w:rFonts w:ascii="宋体" w:hAnsi="宋体" w:cs="宋体" w:eastAsia="宋体" w:hint="default"/>
                <w:sz w:val="18"/>
                <w:szCs w:val="18"/>
              </w:rPr>
            </w:pPr>
            <w:r>
              <w:rPr>
                <w:rFonts w:ascii="宋体"/>
                <w:sz w:val="18"/>
              </w:rPr>
              <w:t>29.19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sz w:val="18"/>
              </w:rPr>
              <w:t>-229,6</w:t>
            </w:r>
          </w:p>
          <w:p>
            <w:pPr>
              <w:pStyle w:val="TableParagraph"/>
              <w:spacing w:line="240" w:lineRule="auto" w:before="74"/>
              <w:ind w:left="105" w:right="0"/>
              <w:jc w:val="left"/>
              <w:rPr>
                <w:rFonts w:ascii="宋体" w:hAnsi="宋体" w:cs="宋体" w:eastAsia="宋体" w:hint="default"/>
                <w:sz w:val="18"/>
                <w:szCs w:val="18"/>
              </w:rPr>
            </w:pPr>
            <w:r>
              <w:rPr>
                <w:rFonts w:ascii="宋体"/>
                <w:sz w:val="18"/>
              </w:rPr>
              <w:t>58,003</w:t>
            </w:r>
          </w:p>
          <w:p>
            <w:pPr>
              <w:pStyle w:val="TableParagraph"/>
              <w:spacing w:line="240" w:lineRule="auto" w:before="76"/>
              <w:ind w:left="374" w:right="0"/>
              <w:jc w:val="left"/>
              <w:rPr>
                <w:rFonts w:ascii="宋体" w:hAnsi="宋体" w:cs="宋体" w:eastAsia="宋体" w:hint="default"/>
                <w:sz w:val="18"/>
                <w:szCs w:val="18"/>
              </w:rPr>
            </w:pPr>
            <w:r>
              <w:rPr>
                <w:rFonts w:ascii="宋体"/>
                <w:sz w:val="18"/>
              </w:rPr>
              <w:t>.39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-147,0</w:t>
            </w:r>
          </w:p>
          <w:p>
            <w:pPr>
              <w:pStyle w:val="TableParagraph"/>
              <w:spacing w:line="240" w:lineRule="auto" w:before="74"/>
              <w:ind w:left="86" w:right="0"/>
              <w:jc w:val="left"/>
              <w:rPr>
                <w:rFonts w:ascii="宋体" w:hAnsi="宋体" w:cs="宋体" w:eastAsia="宋体" w:hint="default"/>
                <w:sz w:val="18"/>
                <w:szCs w:val="18"/>
              </w:rPr>
            </w:pPr>
            <w:r>
              <w:rPr>
                <w:rFonts w:ascii="宋体"/>
                <w:sz w:val="18"/>
              </w:rPr>
              <w:t>08,274</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.20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宋体" w:hAnsi="宋体" w:cs="宋体" w:eastAsia="宋体" w:hint="default"/>
                <w:sz w:val="18"/>
                <w:szCs w:val="18"/>
              </w:rPr>
            </w:pPr>
            <w:r>
              <w:rPr>
                <w:rFonts w:ascii="宋体"/>
                <w:sz w:val="18"/>
              </w:rPr>
              <w:t>82,649,7</w:t>
            </w:r>
          </w:p>
          <w:p>
            <w:pPr>
              <w:pStyle w:val="TableParagraph"/>
              <w:spacing w:line="240" w:lineRule="auto" w:before="76"/>
              <w:ind w:left="335" w:right="0"/>
              <w:jc w:val="left"/>
              <w:rPr>
                <w:rFonts w:ascii="宋体" w:hAnsi="宋体" w:cs="宋体" w:eastAsia="宋体" w:hint="default"/>
                <w:sz w:val="18"/>
                <w:szCs w:val="18"/>
              </w:rPr>
            </w:pPr>
            <w:r>
              <w:rPr>
                <w:rFonts w:ascii="宋体"/>
                <w:sz w:val="18"/>
              </w:rPr>
              <w:t>29.19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-82,64</w:t>
            </w:r>
          </w:p>
          <w:p>
            <w:pPr>
              <w:pStyle w:val="TableParagraph"/>
              <w:spacing w:line="240" w:lineRule="auto" w:before="77"/>
              <w:ind w:right="21"/>
              <w:jc w:val="right"/>
              <w:rPr>
                <w:rFonts w:ascii="宋体" w:hAnsi="宋体" w:cs="宋体" w:eastAsia="宋体" w:hint="default"/>
                <w:sz w:val="18"/>
                <w:szCs w:val="18"/>
              </w:rPr>
            </w:pPr>
            <w:r>
              <w:rPr>
                <w:rFonts w:ascii="宋体"/>
                <w:spacing w:val="-1"/>
                <w:sz w:val="18"/>
              </w:rPr>
              <w:t>9,729.</w:t>
            </w:r>
          </w:p>
          <w:p>
            <w:pPr>
              <w:pStyle w:val="TableParagraph"/>
              <w:spacing w:line="240" w:lineRule="auto" w:before="76"/>
              <w:ind w:right="20"/>
              <w:jc w:val="right"/>
              <w:rPr>
                <w:rFonts w:ascii="宋体" w:hAnsi="宋体" w:cs="宋体" w:eastAsia="宋体" w:hint="default"/>
                <w:sz w:val="18"/>
                <w:szCs w:val="18"/>
              </w:rPr>
            </w:pPr>
            <w:r>
              <w:rPr>
                <w:rFonts w:ascii="宋体"/>
                <w:sz w:val="18"/>
              </w:rPr>
              <w:t>19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sz w:val="18"/>
              </w:rPr>
              <w:t>-147,0</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08,274</w:t>
            </w:r>
          </w:p>
          <w:p>
            <w:pPr>
              <w:pStyle w:val="TableParagraph"/>
              <w:spacing w:line="240" w:lineRule="auto" w:before="76"/>
              <w:ind w:left="374" w:right="0"/>
              <w:jc w:val="left"/>
              <w:rPr>
                <w:rFonts w:ascii="宋体" w:hAnsi="宋体" w:cs="宋体" w:eastAsia="宋体" w:hint="default"/>
                <w:sz w:val="18"/>
                <w:szCs w:val="18"/>
              </w:rPr>
            </w:pPr>
            <w:r>
              <w:rPr>
                <w:rFonts w:ascii="宋体"/>
                <w:sz w:val="18"/>
              </w:rPr>
              <w:t>.20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-147,0</w:t>
            </w:r>
          </w:p>
          <w:p>
            <w:pPr>
              <w:pStyle w:val="TableParagraph"/>
              <w:spacing w:line="240" w:lineRule="auto" w:before="76"/>
              <w:ind w:left="86" w:right="0"/>
              <w:jc w:val="left"/>
              <w:rPr>
                <w:rFonts w:ascii="宋体" w:hAnsi="宋体" w:cs="宋体" w:eastAsia="宋体" w:hint="default"/>
                <w:sz w:val="18"/>
                <w:szCs w:val="18"/>
              </w:rPr>
            </w:pPr>
            <w:r>
              <w:rPr>
                <w:rFonts w:ascii="宋体"/>
                <w:sz w:val="18"/>
              </w:rPr>
              <w:t>08,274</w:t>
            </w:r>
          </w:p>
          <w:p>
            <w:pPr>
              <w:pStyle w:val="TableParagraph"/>
              <w:spacing w:line="240" w:lineRule="auto" w:before="76"/>
              <w:ind w:left="355" w:right="0"/>
              <w:jc w:val="left"/>
              <w:rPr>
                <w:rFonts w:ascii="宋体" w:hAnsi="宋体" w:cs="宋体" w:eastAsia="宋体" w:hint="default"/>
                <w:sz w:val="18"/>
                <w:szCs w:val="18"/>
              </w:rPr>
            </w:pPr>
            <w:r>
              <w:rPr>
                <w:rFonts w:ascii="宋体"/>
                <w:sz w:val="18"/>
              </w:rPr>
              <w:t>.20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 w:right="0"/>
              <w:jc w:val="center"/>
              <w:rPr>
                <w:rFonts w:ascii="宋体" w:hAnsi="宋体" w:cs="宋体" w:eastAsia="宋体" w:hint="default"/>
                <w:sz w:val="18"/>
                <w:szCs w:val="18"/>
              </w:rPr>
            </w:pPr>
            <w:r>
              <w:rPr>
                <w:rFonts w:ascii="宋体"/>
                <w:sz w:val="18"/>
              </w:rPr>
              <w:t>735,041,</w:t>
            </w:r>
          </w:p>
          <w:p>
            <w:pPr>
              <w:pStyle w:val="TableParagraph"/>
              <w:spacing w:line="240" w:lineRule="auto" w:before="76"/>
              <w:ind w:left="238" w:right="0"/>
              <w:jc w:val="center"/>
              <w:rPr>
                <w:rFonts w:ascii="宋体" w:hAnsi="宋体" w:cs="宋体" w:eastAsia="宋体" w:hint="default"/>
                <w:sz w:val="18"/>
                <w:szCs w:val="18"/>
              </w:rPr>
            </w:pPr>
            <w:r>
              <w:rPr>
                <w:rFonts w:ascii="宋体"/>
                <w:sz w:val="18"/>
              </w:rPr>
              <w:t>371.00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宋体" w:hAnsi="宋体" w:cs="宋体" w:eastAsia="宋体" w:hint="default"/>
                <w:sz w:val="18"/>
                <w:szCs w:val="18"/>
              </w:rPr>
            </w:pPr>
            <w:r>
              <w:rPr>
                <w:rFonts w:ascii="宋体"/>
                <w:sz w:val="18"/>
              </w:rPr>
              <w:t>-735,041</w:t>
            </w:r>
          </w:p>
          <w:p>
            <w:pPr>
              <w:pStyle w:val="TableParagraph"/>
              <w:spacing w:line="240" w:lineRule="auto" w:before="76"/>
              <w:ind w:left="139" w:right="0"/>
              <w:jc w:val="left"/>
              <w:rPr>
                <w:rFonts w:ascii="宋体" w:hAnsi="宋体" w:cs="宋体" w:eastAsia="宋体" w:hint="default"/>
                <w:sz w:val="18"/>
                <w:szCs w:val="18"/>
              </w:rPr>
            </w:pPr>
            <w:r>
              <w:rPr>
                <w:rFonts w:ascii="宋体"/>
                <w:sz w:val="18"/>
              </w:rPr>
              <w:t>,371.00</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735,041,</w:t>
            </w:r>
          </w:p>
          <w:p>
            <w:pPr>
              <w:pStyle w:val="TableParagraph"/>
              <w:spacing w:line="240" w:lineRule="auto" w:before="74"/>
              <w:ind w:left="238" w:right="0"/>
              <w:jc w:val="center"/>
              <w:rPr>
                <w:rFonts w:ascii="宋体" w:hAnsi="宋体" w:cs="宋体" w:eastAsia="宋体" w:hint="default"/>
                <w:sz w:val="18"/>
                <w:szCs w:val="18"/>
              </w:rPr>
            </w:pPr>
            <w:r>
              <w:rPr>
                <w:rFonts w:ascii="宋体"/>
                <w:sz w:val="18"/>
              </w:rPr>
              <w:t>371.00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-735,041</w:t>
            </w:r>
          </w:p>
          <w:p>
            <w:pPr>
              <w:pStyle w:val="TableParagraph"/>
              <w:spacing w:line="240" w:lineRule="auto" w:before="74"/>
              <w:ind w:left="139" w:right="0"/>
              <w:jc w:val="left"/>
              <w:rPr>
                <w:rFonts w:ascii="宋体" w:hAnsi="宋体" w:cs="宋体" w:eastAsia="宋体" w:hint="default"/>
                <w:sz w:val="18"/>
                <w:szCs w:val="18"/>
              </w:rPr>
            </w:pPr>
            <w:r>
              <w:rPr>
                <w:rFonts w:ascii="宋体"/>
                <w:sz w:val="18"/>
              </w:rPr>
              <w:t>,371.00</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1910" w:h="16840"/>
          <w:pgMar w:footer="980"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830"/>
        <w:gridCol w:w="427"/>
        <w:gridCol w:w="425"/>
        <w:gridCol w:w="473"/>
        <w:gridCol w:w="802"/>
        <w:gridCol w:w="526"/>
        <w:gridCol w:w="668"/>
        <w:gridCol w:w="509"/>
        <w:gridCol w:w="818"/>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1,514,80</w:t>
            </w:r>
          </w:p>
          <w:p>
            <w:pPr>
              <w:pStyle w:val="TableParagraph"/>
              <w:spacing w:line="240" w:lineRule="auto" w:before="74"/>
              <w:ind w:left="79" w:right="0"/>
              <w:jc w:val="left"/>
              <w:rPr>
                <w:rFonts w:ascii="宋体" w:hAnsi="宋体" w:cs="宋体" w:eastAsia="宋体" w:hint="default"/>
                <w:sz w:val="18"/>
                <w:szCs w:val="18"/>
              </w:rPr>
            </w:pPr>
            <w:r>
              <w:rPr>
                <w:rFonts w:ascii="宋体"/>
                <w:sz w:val="18"/>
              </w:rPr>
              <w:t>6,948.00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sz w:val="18"/>
              </w:rPr>
              <w:t>1,486,53</w:t>
            </w:r>
          </w:p>
          <w:p>
            <w:pPr>
              <w:pStyle w:val="TableParagraph"/>
              <w:spacing w:line="240" w:lineRule="auto" w:before="74"/>
              <w:ind w:left="50" w:right="0"/>
              <w:jc w:val="left"/>
              <w:rPr>
                <w:rFonts w:ascii="宋体" w:hAnsi="宋体" w:cs="宋体" w:eastAsia="宋体" w:hint="default"/>
                <w:sz w:val="18"/>
                <w:szCs w:val="18"/>
              </w:rPr>
            </w:pPr>
            <w:r>
              <w:rPr>
                <w:rFonts w:ascii="宋体"/>
                <w:sz w:val="18"/>
              </w:rPr>
              <w:t>0,026.32</w:t>
            </w:r>
          </w:p>
        </w:tc>
        <w:tc>
          <w:tcPr>
            <w:tcW w:w="52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309,47</w:t>
            </w:r>
          </w:p>
          <w:p>
            <w:pPr>
              <w:pStyle w:val="TableParagraph"/>
              <w:spacing w:line="240" w:lineRule="auto" w:before="74"/>
              <w:ind w:right="19"/>
              <w:jc w:val="right"/>
              <w:rPr>
                <w:rFonts w:ascii="宋体" w:hAnsi="宋体" w:cs="宋体" w:eastAsia="宋体" w:hint="default"/>
                <w:sz w:val="18"/>
                <w:szCs w:val="18"/>
              </w:rPr>
            </w:pPr>
            <w:r>
              <w:rPr>
                <w:rFonts w:ascii="宋体"/>
                <w:spacing w:val="-1"/>
                <w:sz w:val="18"/>
              </w:rPr>
              <w:t>2,715.</w:t>
            </w:r>
          </w:p>
          <w:p>
            <w:pPr>
              <w:pStyle w:val="TableParagraph"/>
              <w:spacing w:line="240" w:lineRule="auto" w:before="76"/>
              <w:ind w:right="17"/>
              <w:jc w:val="right"/>
              <w:rPr>
                <w:rFonts w:ascii="宋体" w:hAnsi="宋体" w:cs="宋体" w:eastAsia="宋体" w:hint="default"/>
                <w:sz w:val="18"/>
                <w:szCs w:val="18"/>
              </w:rPr>
            </w:pPr>
            <w:r>
              <w:rPr>
                <w:rFonts w:ascii="宋体"/>
                <w:sz w:val="18"/>
              </w:rPr>
              <w:t>86</w:t>
            </w:r>
          </w:p>
        </w:tc>
        <w:tc>
          <w:tcPr>
            <w:tcW w:w="50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6" w:right="0"/>
              <w:jc w:val="center"/>
              <w:rPr>
                <w:rFonts w:ascii="宋体" w:hAnsi="宋体" w:cs="宋体" w:eastAsia="宋体" w:hint="default"/>
                <w:sz w:val="18"/>
                <w:szCs w:val="18"/>
              </w:rPr>
            </w:pPr>
            <w:r>
              <w:rPr>
                <w:rFonts w:ascii="宋体"/>
                <w:sz w:val="18"/>
              </w:rPr>
              <w:t>293,876,</w:t>
            </w:r>
          </w:p>
          <w:p>
            <w:pPr>
              <w:pStyle w:val="TableParagraph"/>
              <w:spacing w:line="240" w:lineRule="auto" w:before="74"/>
              <w:ind w:left="226" w:right="0"/>
              <w:jc w:val="center"/>
              <w:rPr>
                <w:rFonts w:ascii="宋体" w:hAnsi="宋体" w:cs="宋体" w:eastAsia="宋体" w:hint="default"/>
                <w:sz w:val="18"/>
                <w:szCs w:val="18"/>
              </w:rPr>
            </w:pPr>
            <w:r>
              <w:rPr>
                <w:rFonts w:ascii="宋体"/>
                <w:sz w:val="18"/>
              </w:rPr>
              <w:t>664.93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center"/>
              <w:rPr>
                <w:rFonts w:ascii="宋体" w:hAnsi="宋体" w:cs="宋体" w:eastAsia="宋体" w:hint="default"/>
                <w:sz w:val="18"/>
                <w:szCs w:val="18"/>
              </w:rPr>
            </w:pPr>
            <w:r>
              <w:rPr>
                <w:rFonts w:ascii="宋体"/>
                <w:sz w:val="18"/>
              </w:rPr>
              <w:t>2,683,</w:t>
            </w:r>
          </w:p>
          <w:p>
            <w:pPr>
              <w:pStyle w:val="TableParagraph"/>
              <w:spacing w:line="240" w:lineRule="auto" w:before="74"/>
              <w:ind w:left="81" w:right="0"/>
              <w:jc w:val="center"/>
              <w:rPr>
                <w:rFonts w:ascii="宋体" w:hAnsi="宋体" w:cs="宋体" w:eastAsia="宋体" w:hint="default"/>
                <w:sz w:val="18"/>
                <w:szCs w:val="18"/>
              </w:rPr>
            </w:pPr>
            <w:r>
              <w:rPr>
                <w:rFonts w:ascii="宋体"/>
                <w:sz w:val="18"/>
              </w:rPr>
              <w:t>209,47</w:t>
            </w:r>
          </w:p>
          <w:p>
            <w:pPr>
              <w:pStyle w:val="TableParagraph"/>
              <w:spacing w:line="240" w:lineRule="auto" w:before="76"/>
              <w:ind w:left="261" w:right="0"/>
              <w:jc w:val="center"/>
              <w:rPr>
                <w:rFonts w:ascii="宋体" w:hAnsi="宋体" w:cs="宋体" w:eastAsia="宋体" w:hint="default"/>
                <w:sz w:val="18"/>
                <w:szCs w:val="18"/>
              </w:rPr>
            </w:pPr>
            <w:r>
              <w:rPr>
                <w:rFonts w:ascii="宋体"/>
                <w:sz w:val="18"/>
              </w:rPr>
              <w:t>2.04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7,099,</w:t>
            </w:r>
          </w:p>
          <w:p>
            <w:pPr>
              <w:pStyle w:val="TableParagraph"/>
              <w:spacing w:line="240" w:lineRule="auto" w:before="74"/>
              <w:ind w:left="79" w:right="0"/>
              <w:jc w:val="left"/>
              <w:rPr>
                <w:rFonts w:ascii="宋体" w:hAnsi="宋体" w:cs="宋体" w:eastAsia="宋体" w:hint="default"/>
                <w:sz w:val="18"/>
                <w:szCs w:val="18"/>
              </w:rPr>
            </w:pPr>
            <w:r>
              <w:rPr>
                <w:rFonts w:ascii="宋体"/>
                <w:sz w:val="18"/>
              </w:rPr>
              <w:t>227.93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宋体" w:hAnsi="宋体" w:cs="宋体" w:eastAsia="宋体" w:hint="default"/>
                <w:sz w:val="18"/>
                <w:szCs w:val="18"/>
              </w:rPr>
            </w:pPr>
            <w:r>
              <w:rPr>
                <w:rFonts w:ascii="宋体"/>
                <w:sz w:val="18"/>
              </w:rPr>
              <w:t>6,294,</w:t>
            </w:r>
          </w:p>
          <w:p>
            <w:pPr>
              <w:pStyle w:val="TableParagraph"/>
              <w:spacing w:line="240" w:lineRule="auto" w:before="74"/>
              <w:ind w:left="65" w:right="0"/>
              <w:jc w:val="center"/>
              <w:rPr>
                <w:rFonts w:ascii="宋体" w:hAnsi="宋体" w:cs="宋体" w:eastAsia="宋体" w:hint="default"/>
                <w:sz w:val="18"/>
                <w:szCs w:val="18"/>
              </w:rPr>
            </w:pPr>
            <w:r>
              <w:rPr>
                <w:rFonts w:ascii="宋体"/>
                <w:sz w:val="18"/>
              </w:rPr>
              <w:t>995,05</w:t>
            </w:r>
          </w:p>
          <w:p>
            <w:pPr>
              <w:pStyle w:val="TableParagraph"/>
              <w:spacing w:line="240" w:lineRule="auto" w:before="76"/>
              <w:ind w:left="245" w:right="0"/>
              <w:jc w:val="center"/>
              <w:rPr>
                <w:rFonts w:ascii="宋体" w:hAnsi="宋体" w:cs="宋体" w:eastAsia="宋体" w:hint="default"/>
                <w:sz w:val="18"/>
                <w:szCs w:val="18"/>
              </w:rPr>
            </w:pPr>
            <w:r>
              <w:rPr>
                <w:rFonts w:ascii="宋体"/>
                <w:sz w:val="18"/>
              </w:rPr>
              <w:t>5.08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1394"/>
        <w:gridCol w:w="428"/>
        <w:gridCol w:w="425"/>
        <w:gridCol w:w="502"/>
        <w:gridCol w:w="708"/>
        <w:gridCol w:w="569"/>
        <w:gridCol w:w="773"/>
        <w:gridCol w:w="566"/>
        <w:gridCol w:w="852"/>
        <w:gridCol w:w="992"/>
        <w:gridCol w:w="1020"/>
      </w:tblGrid>
      <w:tr>
        <w:trPr>
          <w:trHeight w:val="398" w:hRule="exact"/>
        </w:trPr>
        <w:tc>
          <w:tcPr>
            <w:tcW w:w="1428" w:type="dxa"/>
            <w:vMerge w:val="restart"/>
            <w:tcBorders>
              <w:top w:val="single" w:sz="4" w:space="0" w:color="000000"/>
              <w:left w:val="single" w:sz="4" w:space="0" w:color="000000"/>
              <w:right w:val="single" w:sz="4" w:space="0" w:color="000000"/>
            </w:tcBorders>
            <w:shd w:val="clear" w:color="auto" w:fill="D2D2D2"/>
          </w:tcPr>
          <w:p>
            <w:pPr/>
          </w:p>
        </w:tc>
        <w:tc>
          <w:tcPr>
            <w:tcW w:w="822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7"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1394" w:type="dxa"/>
            <w:vMerge w:val="restart"/>
            <w:tcBorders>
              <w:top w:val="single" w:sz="4" w:space="0" w:color="000000"/>
              <w:left w:val="single" w:sz="4" w:space="0" w:color="000000"/>
              <w:right w:val="single" w:sz="4" w:space="0" w:color="000000"/>
            </w:tcBorders>
            <w:shd w:val="clear" w:color="auto" w:fill="D2D2D2"/>
          </w:tcPr>
          <w:p>
            <w:pPr/>
          </w:p>
        </w:tc>
        <w:tc>
          <w:tcPr>
            <w:tcW w:w="13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0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94" w:type="dxa"/>
            <w:vMerge/>
            <w:tcBorders>
              <w:left w:val="single" w:sz="4" w:space="0" w:color="000000"/>
              <w:bottom w:val="single" w:sz="14" w:space="0" w:color="FFFFFF"/>
              <w:right w:val="single" w:sz="4" w:space="0" w:color="000000"/>
            </w:tcBorders>
            <w:shd w:val="clear" w:color="auto" w:fill="D2D2D2"/>
          </w:tcPr>
          <w:p>
            <w:pPr/>
          </w:p>
        </w:tc>
        <w:tc>
          <w:tcPr>
            <w:tcW w:w="1354" w:type="dxa"/>
            <w:gridSpan w:val="3"/>
            <w:vMerge/>
            <w:tcBorders>
              <w:left w:val="single" w:sz="4" w:space="0" w:color="000000"/>
              <w:bottom w:val="single" w:sz="14" w:space="0" w:color="FFFFFF"/>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59" w:right="7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100"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113" w:right="10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324" w:right="53"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88"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1394"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8"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8"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02" w:type="dxa"/>
            <w:tcBorders>
              <w:top w:val="single" w:sz="14" w:space="0" w:color="FFFFFF"/>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7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4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20" w:type="dxa"/>
            <w:vMerge/>
            <w:tcBorders>
              <w:left w:val="single" w:sz="4" w:space="0" w:color="000000"/>
              <w:right w:val="single" w:sz="4" w:space="0" w:color="000000"/>
            </w:tcBorders>
            <w:shd w:val="clear" w:color="auto" w:fill="D2D2D2"/>
          </w:tcPr>
          <w:p>
            <w:pPr/>
          </w:p>
        </w:tc>
      </w:tr>
      <w:tr>
        <w:trPr>
          <w:trHeight w:val="197"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1394"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7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020" w:type="dxa"/>
            <w:vMerge/>
            <w:tcBorders>
              <w:left w:val="single" w:sz="4" w:space="0" w:color="000000"/>
              <w:right w:val="single" w:sz="4" w:space="0" w:color="000000"/>
            </w:tcBorders>
            <w:shd w:val="clear" w:color="auto" w:fill="D2D2D2"/>
          </w:tcPr>
          <w:p>
            <w:pPr/>
          </w:p>
        </w:tc>
      </w:tr>
      <w:tr>
        <w:trPr>
          <w:trHeight w:val="156" w:hRule="exact"/>
        </w:trPr>
        <w:tc>
          <w:tcPr>
            <w:tcW w:w="1428" w:type="dxa"/>
            <w:vMerge/>
            <w:tcBorders>
              <w:left w:val="single" w:sz="4" w:space="0" w:color="000000"/>
              <w:right w:val="single" w:sz="4" w:space="0" w:color="000000"/>
            </w:tcBorders>
            <w:shd w:val="clear" w:color="auto" w:fill="D2D2D2"/>
          </w:tcPr>
          <w:p>
            <w:pPr/>
          </w:p>
        </w:tc>
        <w:tc>
          <w:tcPr>
            <w:tcW w:w="1394" w:type="dxa"/>
            <w:vMerge w:val="restart"/>
            <w:tcBorders>
              <w:top w:val="nil" w:sz="6" w:space="0" w:color="auto"/>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02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1394"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1,514,806,948.</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42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1,486,5</w:t>
            </w:r>
          </w:p>
          <w:p>
            <w:pPr>
              <w:pStyle w:val="TableParagraph"/>
              <w:spacing w:line="240" w:lineRule="auto" w:before="74"/>
              <w:ind w:right="20"/>
              <w:jc w:val="right"/>
              <w:rPr>
                <w:rFonts w:ascii="宋体" w:hAnsi="宋体" w:cs="宋体" w:eastAsia="宋体" w:hint="default"/>
                <w:sz w:val="18"/>
                <w:szCs w:val="18"/>
              </w:rPr>
            </w:pPr>
            <w:r>
              <w:rPr>
                <w:rFonts w:ascii="宋体"/>
                <w:sz w:val="18"/>
              </w:rPr>
              <w:t>28,804.</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569" w:type="dxa"/>
            <w:vMerge w:val="restart"/>
            <w:tcBorders>
              <w:top w:val="single" w:sz="4" w:space="0" w:color="000000"/>
              <w:left w:val="single" w:sz="4" w:space="0" w:color="000000"/>
              <w:right w:val="single" w:sz="4" w:space="0" w:color="000000"/>
            </w:tcBorders>
          </w:tcPr>
          <w:p>
            <w:pP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309,512</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,356.10</w:t>
            </w:r>
          </w:p>
        </w:tc>
        <w:tc>
          <w:tcPr>
            <w:tcW w:w="56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292,498,</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722.42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1,669,443,</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407.97</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5,272,790,</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238.49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1394" w:type="dxa"/>
            <w:vMerge/>
            <w:tcBorders>
              <w:left w:val="single" w:sz="10" w:space="0" w:color="D2D2D2"/>
              <w:right w:val="single" w:sz="4" w:space="0" w:color="000000"/>
            </w:tcBorders>
          </w:tcPr>
          <w:p>
            <w:pPr/>
          </w:p>
        </w:tc>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7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2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4" w:type="dxa"/>
            <w:vMerge/>
            <w:tcBorders>
              <w:left w:val="single" w:sz="10" w:space="0" w:color="D2D2D2"/>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2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394"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394"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4"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1,514,806,948.</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42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1,486,5</w:t>
            </w:r>
          </w:p>
          <w:p>
            <w:pPr>
              <w:pStyle w:val="TableParagraph"/>
              <w:spacing w:line="240" w:lineRule="auto" w:before="74"/>
              <w:ind w:right="20"/>
              <w:jc w:val="right"/>
              <w:rPr>
                <w:rFonts w:ascii="宋体" w:hAnsi="宋体" w:cs="宋体" w:eastAsia="宋体" w:hint="default"/>
                <w:sz w:val="18"/>
                <w:szCs w:val="18"/>
              </w:rPr>
            </w:pPr>
            <w:r>
              <w:rPr>
                <w:rFonts w:ascii="宋体"/>
                <w:sz w:val="18"/>
              </w:rPr>
              <w:t>28,804.</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569" w:type="dxa"/>
            <w:vMerge w:val="restart"/>
            <w:tcBorders>
              <w:top w:val="single" w:sz="4" w:space="0" w:color="000000"/>
              <w:left w:val="single" w:sz="4" w:space="0" w:color="000000"/>
              <w:right w:val="single" w:sz="4" w:space="0" w:color="000000"/>
            </w:tcBorders>
          </w:tcPr>
          <w:p>
            <w:pP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309,512</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,356.10</w:t>
            </w:r>
          </w:p>
        </w:tc>
        <w:tc>
          <w:tcPr>
            <w:tcW w:w="56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292,498,</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722.42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1,669,443,</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407.97</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5,272,790,</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238.49</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1394" w:type="dxa"/>
            <w:vMerge/>
            <w:tcBorders>
              <w:left w:val="single" w:sz="10" w:space="0" w:color="D2D2D2"/>
              <w:right w:val="single" w:sz="4" w:space="0" w:color="000000"/>
            </w:tcBorders>
          </w:tcPr>
          <w:p>
            <w:pPr/>
          </w:p>
        </w:tc>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7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2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4" w:type="dxa"/>
            <w:vMerge/>
            <w:tcBorders>
              <w:left w:val="single" w:sz="10" w:space="0" w:color="D2D2D2"/>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2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13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49,754,752.00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819,759</w:t>
            </w:r>
          </w:p>
          <w:p>
            <w:pPr>
              <w:pStyle w:val="TableParagraph"/>
              <w:spacing w:line="240" w:lineRule="auto" w:before="76"/>
              <w:ind w:left="45" w:right="0"/>
              <w:jc w:val="left"/>
              <w:rPr>
                <w:rFonts w:ascii="宋体" w:hAnsi="宋体" w:cs="宋体" w:eastAsia="宋体" w:hint="default"/>
                <w:sz w:val="18"/>
                <w:szCs w:val="18"/>
              </w:rPr>
            </w:pPr>
            <w:r>
              <w:rPr>
                <w:rFonts w:ascii="宋体"/>
                <w:sz w:val="18"/>
              </w:rPr>
              <w:t>,177.93</w:t>
            </w: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433,564</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,030.63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93,233,0</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34.93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609,979,09</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5.10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2,006,290,</w:t>
            </w:r>
          </w:p>
          <w:p>
            <w:pPr>
              <w:pStyle w:val="TableParagraph"/>
              <w:spacing w:line="240" w:lineRule="auto" w:before="76"/>
              <w:ind w:left="446" w:right="0"/>
              <w:jc w:val="left"/>
              <w:rPr>
                <w:rFonts w:ascii="宋体" w:hAnsi="宋体" w:cs="宋体" w:eastAsia="宋体" w:hint="default"/>
                <w:sz w:val="18"/>
                <w:szCs w:val="18"/>
              </w:rPr>
            </w:pPr>
            <w:r>
              <w:rPr>
                <w:rFonts w:ascii="宋体"/>
                <w:sz w:val="18"/>
              </w:rPr>
              <w:t>090.59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394"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0" w:right="0"/>
              <w:jc w:val="left"/>
              <w:rPr>
                <w:rFonts w:ascii="宋体" w:hAnsi="宋体" w:cs="宋体" w:eastAsia="宋体" w:hint="default"/>
                <w:sz w:val="18"/>
                <w:szCs w:val="18"/>
              </w:rPr>
            </w:pPr>
            <w:r>
              <w:rPr>
                <w:rFonts w:ascii="宋体"/>
                <w:sz w:val="18"/>
              </w:rPr>
              <w:t>433,564</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,030.63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932,330,34</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9.25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1,365,894,</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379.88</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3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49,754,752.00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819,759</w:t>
            </w:r>
          </w:p>
          <w:p>
            <w:pPr>
              <w:pStyle w:val="TableParagraph"/>
              <w:spacing w:line="240" w:lineRule="auto" w:before="76"/>
              <w:ind w:left="45" w:right="0"/>
              <w:jc w:val="left"/>
              <w:rPr>
                <w:rFonts w:ascii="宋体" w:hAnsi="宋体" w:cs="宋体" w:eastAsia="宋体" w:hint="default"/>
                <w:sz w:val="18"/>
                <w:szCs w:val="18"/>
              </w:rPr>
            </w:pPr>
            <w:r>
              <w:rPr>
                <w:rFonts w:ascii="宋体"/>
                <w:sz w:val="18"/>
              </w:rPr>
              <w:t>,177.93</w:t>
            </w: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869,513,92</w:t>
            </w:r>
          </w:p>
          <w:p>
            <w:pPr>
              <w:pStyle w:val="TableParagraph"/>
              <w:spacing w:line="240" w:lineRule="auto" w:before="76"/>
              <w:ind w:left="626" w:right="0"/>
              <w:jc w:val="left"/>
              <w:rPr>
                <w:rFonts w:ascii="宋体" w:hAnsi="宋体" w:cs="宋体" w:eastAsia="宋体" w:hint="default"/>
                <w:sz w:val="18"/>
                <w:szCs w:val="18"/>
              </w:rPr>
            </w:pPr>
            <w:r>
              <w:rPr>
                <w:rFonts w:ascii="宋体"/>
                <w:sz w:val="18"/>
              </w:rPr>
              <w:t>9.93</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13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42,758,785.00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754,149</w:t>
            </w:r>
          </w:p>
          <w:p>
            <w:pPr>
              <w:pStyle w:val="TableParagraph"/>
              <w:spacing w:line="240" w:lineRule="auto" w:before="74"/>
              <w:ind w:left="45" w:right="0"/>
              <w:jc w:val="left"/>
              <w:rPr>
                <w:rFonts w:ascii="宋体" w:hAnsi="宋体" w:cs="宋体" w:eastAsia="宋体" w:hint="default"/>
                <w:sz w:val="18"/>
                <w:szCs w:val="18"/>
              </w:rPr>
            </w:pPr>
            <w:r>
              <w:rPr>
                <w:rFonts w:ascii="宋体"/>
                <w:sz w:val="18"/>
              </w:rPr>
              <w:t>,463.14</w:t>
            </w: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796,908,24</w:t>
            </w:r>
          </w:p>
          <w:p>
            <w:pPr>
              <w:pStyle w:val="TableParagraph"/>
              <w:spacing w:line="240" w:lineRule="auto" w:before="74"/>
              <w:ind w:left="626" w:right="0"/>
              <w:jc w:val="left"/>
              <w:rPr>
                <w:rFonts w:ascii="宋体" w:hAnsi="宋体" w:cs="宋体" w:eastAsia="宋体" w:hint="default"/>
                <w:sz w:val="18"/>
                <w:szCs w:val="18"/>
              </w:rPr>
            </w:pPr>
            <w:r>
              <w:rPr>
                <w:rFonts w:ascii="宋体"/>
                <w:sz w:val="18"/>
              </w:rPr>
              <w:t>8.14</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13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6,995,967.00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61,242,</w:t>
            </w:r>
          </w:p>
          <w:p>
            <w:pPr>
              <w:pStyle w:val="TableParagraph"/>
              <w:spacing w:line="240" w:lineRule="auto" w:before="76"/>
              <w:ind w:left="136" w:right="0"/>
              <w:jc w:val="left"/>
              <w:rPr>
                <w:rFonts w:ascii="宋体" w:hAnsi="宋体" w:cs="宋体" w:eastAsia="宋体" w:hint="default"/>
                <w:sz w:val="18"/>
                <w:szCs w:val="18"/>
              </w:rPr>
            </w:pPr>
            <w:r>
              <w:rPr>
                <w:rFonts w:ascii="宋体"/>
                <w:sz w:val="18"/>
              </w:rPr>
              <w:t>289.47</w:t>
            </w: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68,238,256</w:t>
            </w:r>
          </w:p>
          <w:p>
            <w:pPr>
              <w:pStyle w:val="TableParagraph"/>
              <w:spacing w:line="240" w:lineRule="auto" w:before="76"/>
              <w:ind w:right="19"/>
              <w:jc w:val="right"/>
              <w:rPr>
                <w:rFonts w:ascii="宋体" w:hAnsi="宋体" w:cs="宋体" w:eastAsia="宋体" w:hint="default"/>
                <w:sz w:val="18"/>
                <w:szCs w:val="18"/>
              </w:rPr>
            </w:pPr>
            <w:r>
              <w:rPr>
                <w:rFonts w:ascii="宋体"/>
                <w:sz w:val="18"/>
              </w:rPr>
              <w:t>.47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1394"/>
        <w:gridCol w:w="428"/>
        <w:gridCol w:w="425"/>
        <w:gridCol w:w="502"/>
        <w:gridCol w:w="708"/>
        <w:gridCol w:w="569"/>
        <w:gridCol w:w="773"/>
        <w:gridCol w:w="566"/>
        <w:gridCol w:w="852"/>
        <w:gridCol w:w="992"/>
        <w:gridCol w:w="102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4,367,4</w:t>
            </w:r>
          </w:p>
          <w:p>
            <w:pPr>
              <w:pStyle w:val="TableParagraph"/>
              <w:spacing w:line="240" w:lineRule="auto" w:before="77"/>
              <w:ind w:left="204" w:right="0"/>
              <w:jc w:val="center"/>
              <w:rPr>
                <w:rFonts w:ascii="宋体" w:hAnsi="宋体" w:cs="宋体" w:eastAsia="宋体" w:hint="default"/>
                <w:sz w:val="18"/>
                <w:szCs w:val="18"/>
              </w:rPr>
            </w:pPr>
            <w:r>
              <w:rPr>
                <w:rFonts w:ascii="宋体"/>
                <w:sz w:val="18"/>
              </w:rPr>
              <w:t>25.32</w:t>
            </w: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4,367,425.</w:t>
            </w:r>
          </w:p>
          <w:p>
            <w:pPr>
              <w:pStyle w:val="TableParagraph"/>
              <w:spacing w:line="240" w:lineRule="auto" w:before="77"/>
              <w:ind w:right="19"/>
              <w:jc w:val="right"/>
              <w:rPr>
                <w:rFonts w:ascii="宋体" w:hAnsi="宋体" w:cs="宋体" w:eastAsia="宋体" w:hint="default"/>
                <w:sz w:val="18"/>
                <w:szCs w:val="18"/>
              </w:rPr>
            </w:pPr>
            <w:r>
              <w:rPr>
                <w:rFonts w:ascii="宋体"/>
                <w:sz w:val="18"/>
              </w:rPr>
              <w:t>32</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93,233,0</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34.93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-322,351,2</w:t>
            </w:r>
          </w:p>
          <w:p>
            <w:pPr>
              <w:pStyle w:val="TableParagraph"/>
              <w:spacing w:line="240" w:lineRule="auto" w:before="76"/>
              <w:ind w:left="509" w:right="0"/>
              <w:jc w:val="left"/>
              <w:rPr>
                <w:rFonts w:ascii="宋体" w:hAnsi="宋体" w:cs="宋体" w:eastAsia="宋体" w:hint="default"/>
                <w:sz w:val="18"/>
                <w:szCs w:val="18"/>
              </w:rPr>
            </w:pPr>
            <w:r>
              <w:rPr>
                <w:rFonts w:ascii="宋体"/>
                <w:sz w:val="18"/>
              </w:rPr>
              <w:t>54.15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-229,118,2</w:t>
            </w:r>
          </w:p>
          <w:p>
            <w:pPr>
              <w:pStyle w:val="TableParagraph"/>
              <w:spacing w:line="240" w:lineRule="auto" w:before="76"/>
              <w:ind w:left="535" w:right="0"/>
              <w:jc w:val="left"/>
              <w:rPr>
                <w:rFonts w:ascii="宋体" w:hAnsi="宋体" w:cs="宋体" w:eastAsia="宋体" w:hint="default"/>
                <w:sz w:val="18"/>
                <w:szCs w:val="18"/>
              </w:rPr>
            </w:pPr>
            <w:r>
              <w:rPr>
                <w:rFonts w:ascii="宋体"/>
                <w:sz w:val="18"/>
              </w:rPr>
              <w:t>19.22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93,233,0</w:t>
            </w:r>
          </w:p>
          <w:p>
            <w:pPr>
              <w:pStyle w:val="TableParagraph"/>
              <w:spacing w:line="240" w:lineRule="auto" w:before="74"/>
              <w:ind w:left="367" w:right="0"/>
              <w:jc w:val="left"/>
              <w:rPr>
                <w:rFonts w:ascii="宋体" w:hAnsi="宋体" w:cs="宋体" w:eastAsia="宋体" w:hint="default"/>
                <w:sz w:val="18"/>
                <w:szCs w:val="18"/>
              </w:rPr>
            </w:pPr>
            <w:r>
              <w:rPr>
                <w:rFonts w:ascii="宋体"/>
                <w:sz w:val="18"/>
              </w:rPr>
              <w:t>34.93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-93,233,03</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4.93</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-229,118,2</w:t>
            </w:r>
          </w:p>
          <w:p>
            <w:pPr>
              <w:pStyle w:val="TableParagraph"/>
              <w:spacing w:line="240" w:lineRule="auto" w:before="76"/>
              <w:ind w:left="509" w:right="0"/>
              <w:jc w:val="left"/>
              <w:rPr>
                <w:rFonts w:ascii="宋体" w:hAnsi="宋体" w:cs="宋体" w:eastAsia="宋体" w:hint="default"/>
                <w:sz w:val="18"/>
                <w:szCs w:val="18"/>
              </w:rPr>
            </w:pPr>
            <w:r>
              <w:rPr>
                <w:rFonts w:ascii="宋体"/>
                <w:sz w:val="18"/>
              </w:rPr>
              <w:t>19.22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sz w:val="18"/>
              </w:rPr>
              <w:t>-229,118,2</w:t>
            </w:r>
          </w:p>
          <w:p>
            <w:pPr>
              <w:pStyle w:val="TableParagraph"/>
              <w:spacing w:line="240" w:lineRule="auto" w:before="76"/>
              <w:ind w:left="535" w:right="0"/>
              <w:jc w:val="left"/>
              <w:rPr>
                <w:rFonts w:ascii="宋体" w:hAnsi="宋体" w:cs="宋体" w:eastAsia="宋体" w:hint="default"/>
                <w:sz w:val="18"/>
                <w:szCs w:val="18"/>
              </w:rPr>
            </w:pPr>
            <w:r>
              <w:rPr>
                <w:rFonts w:ascii="宋体"/>
                <w:sz w:val="18"/>
              </w:rPr>
              <w:t>19.22</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1,564,561,700.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2,306,2</w:t>
            </w:r>
          </w:p>
          <w:p>
            <w:pPr>
              <w:pStyle w:val="TableParagraph"/>
              <w:spacing w:line="240" w:lineRule="auto" w:before="74"/>
              <w:ind w:right="20"/>
              <w:jc w:val="right"/>
              <w:rPr>
                <w:rFonts w:ascii="宋体" w:hAnsi="宋体" w:cs="宋体" w:eastAsia="宋体" w:hint="default"/>
                <w:sz w:val="18"/>
                <w:szCs w:val="18"/>
              </w:rPr>
            </w:pPr>
            <w:r>
              <w:rPr>
                <w:rFonts w:ascii="宋体"/>
                <w:sz w:val="18"/>
              </w:rPr>
              <w:t>87,981.</w:t>
            </w:r>
          </w:p>
          <w:p>
            <w:pPr>
              <w:pStyle w:val="TableParagraph"/>
              <w:spacing w:line="240" w:lineRule="auto" w:before="76"/>
              <w:ind w:right="17"/>
              <w:jc w:val="right"/>
              <w:rPr>
                <w:rFonts w:ascii="宋体" w:hAnsi="宋体" w:cs="宋体" w:eastAsia="宋体" w:hint="default"/>
                <w:sz w:val="18"/>
                <w:szCs w:val="18"/>
              </w:rPr>
            </w:pPr>
            <w:r>
              <w:rPr>
                <w:rFonts w:ascii="宋体"/>
                <w:sz w:val="18"/>
              </w:rPr>
              <w:t>93</w:t>
            </w:r>
          </w:p>
        </w:tc>
        <w:tc>
          <w:tcPr>
            <w:tcW w:w="56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743,076</w:t>
            </w:r>
          </w:p>
          <w:p>
            <w:pPr>
              <w:pStyle w:val="TableParagraph"/>
              <w:spacing w:line="240" w:lineRule="auto" w:before="74"/>
              <w:ind w:left="110" w:right="0"/>
              <w:jc w:val="left"/>
              <w:rPr>
                <w:rFonts w:ascii="宋体" w:hAnsi="宋体" w:cs="宋体" w:eastAsia="宋体" w:hint="default"/>
                <w:sz w:val="18"/>
                <w:szCs w:val="18"/>
              </w:rPr>
            </w:pPr>
            <w:r>
              <w:rPr>
                <w:rFonts w:ascii="宋体"/>
                <w:sz w:val="18"/>
              </w:rPr>
              <w:t>,386.73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385,731,</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757.35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2,279,422,</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503.07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7,279,080,</w:t>
            </w:r>
          </w:p>
          <w:p>
            <w:pPr>
              <w:pStyle w:val="TableParagraph"/>
              <w:spacing w:line="240" w:lineRule="auto" w:before="74"/>
              <w:ind w:left="446" w:right="0"/>
              <w:jc w:val="left"/>
              <w:rPr>
                <w:rFonts w:ascii="宋体" w:hAnsi="宋体" w:cs="宋体" w:eastAsia="宋体" w:hint="default"/>
                <w:sz w:val="18"/>
                <w:szCs w:val="18"/>
              </w:rPr>
            </w:pPr>
            <w:r>
              <w:rPr>
                <w:rFonts w:ascii="宋体"/>
                <w:sz w:val="18"/>
              </w:rPr>
              <w:t>329.08</w:t>
            </w:r>
          </w:p>
        </w:tc>
      </w:tr>
    </w:tbl>
    <w:p>
      <w:pPr>
        <w:spacing w:line="240" w:lineRule="auto" w:before="2"/>
        <w:rPr>
          <w:rFonts w:ascii="宋体" w:hAnsi="宋体" w:cs="宋体" w:eastAsia="宋体" w:hint="default"/>
          <w:sz w:val="9"/>
          <w:szCs w:val="9"/>
        </w:rPr>
      </w:pPr>
    </w:p>
    <w:p>
      <w:pPr>
        <w:pStyle w:val="BodyText"/>
        <w:spacing w:line="240" w:lineRule="auto" w:before="44"/>
        <w:ind w:right="153"/>
        <w:jc w:val="left"/>
      </w:pPr>
      <w:r>
        <w:rPr/>
        <w:t>上期金额</w:t>
      </w: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1419"/>
        <w:gridCol w:w="1404"/>
        <w:gridCol w:w="428"/>
        <w:gridCol w:w="425"/>
        <w:gridCol w:w="442"/>
        <w:gridCol w:w="797"/>
        <w:gridCol w:w="605"/>
        <w:gridCol w:w="708"/>
        <w:gridCol w:w="566"/>
        <w:gridCol w:w="852"/>
        <w:gridCol w:w="992"/>
        <w:gridCol w:w="924"/>
      </w:tblGrid>
      <w:tr>
        <w:trPr>
          <w:trHeight w:val="398"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404" w:type="dxa"/>
            <w:vMerge w:val="restart"/>
            <w:tcBorders>
              <w:top w:val="single" w:sz="4" w:space="0" w:color="000000"/>
              <w:left w:val="single" w:sz="4" w:space="0" w:color="000000"/>
              <w:right w:val="single" w:sz="4" w:space="0" w:color="000000"/>
            </w:tcBorders>
            <w:shd w:val="clear" w:color="auto" w:fill="D2D2D2"/>
          </w:tcPr>
          <w:p>
            <w:pPr/>
          </w:p>
        </w:tc>
        <w:tc>
          <w:tcPr>
            <w:tcW w:w="12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4" w:type="dxa"/>
            <w:vMerge/>
            <w:tcBorders>
              <w:left w:val="single" w:sz="4" w:space="0" w:color="000000"/>
              <w:bottom w:val="single" w:sz="14" w:space="0" w:color="FFFFFF"/>
              <w:right w:val="single" w:sz="4" w:space="0" w:color="000000"/>
            </w:tcBorders>
            <w:shd w:val="clear" w:color="auto" w:fill="D2D2D2"/>
          </w:tcPr>
          <w:p>
            <w:pPr/>
          </w:p>
        </w:tc>
        <w:tc>
          <w:tcPr>
            <w:tcW w:w="1294" w:type="dxa"/>
            <w:gridSpan w:val="3"/>
            <w:vMerge/>
            <w:tcBorders>
              <w:left w:val="single" w:sz="4" w:space="0" w:color="000000"/>
              <w:bottom w:val="single" w:sz="14" w:space="0" w:color="FFFFFF"/>
              <w:right w:val="single" w:sz="4" w:space="0" w:color="000000"/>
            </w:tcBorders>
            <w:shd w:val="clear" w:color="auto" w:fill="D2D2D2"/>
          </w:tcPr>
          <w:p>
            <w:pPr/>
          </w:p>
        </w:tc>
        <w:tc>
          <w:tcPr>
            <w:tcW w:w="797" w:type="dxa"/>
            <w:vMerge/>
            <w:tcBorders>
              <w:left w:val="single" w:sz="4" w:space="0" w:color="000000"/>
              <w:bottom w:val="single" w:sz="14" w:space="0" w:color="FFFFFF"/>
              <w:right w:val="single" w:sz="4" w:space="0" w:color="000000"/>
            </w:tcBorders>
            <w:shd w:val="clear" w:color="auto" w:fill="D2D2D2"/>
          </w:tcPr>
          <w:p>
            <w:pPr/>
          </w:p>
        </w:tc>
        <w:tc>
          <w:tcPr>
            <w:tcW w:w="60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117" w:right="24"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1"/>
              <w:ind w:left="187" w:right="95"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404"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8"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8"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42" w:type="dxa"/>
            <w:tcBorders>
              <w:top w:val="single" w:sz="14" w:space="0" w:color="FFFFFF"/>
              <w:left w:val="single" w:sz="4" w:space="0" w:color="000000"/>
              <w:bottom w:val="nil" w:sz="6" w:space="0" w:color="auto"/>
              <w:right w:val="single" w:sz="4" w:space="0" w:color="000000"/>
            </w:tcBorders>
            <w:shd w:val="clear" w:color="auto" w:fill="D2D2D2"/>
          </w:tcPr>
          <w:p>
            <w:pP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4"/>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4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24" w:type="dxa"/>
            <w:vMerge/>
            <w:tcBorders>
              <w:left w:val="single" w:sz="4" w:space="0" w:color="000000"/>
              <w:right w:val="single" w:sz="4" w:space="0" w:color="000000"/>
            </w:tcBorders>
            <w:shd w:val="clear" w:color="auto" w:fill="D2D2D2"/>
          </w:tcPr>
          <w:p>
            <w:pPr/>
          </w:p>
        </w:tc>
      </w:tr>
      <w:tr>
        <w:trPr>
          <w:trHeight w:val="197"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404"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r>
      <w:tr>
        <w:trPr>
          <w:trHeight w:val="179" w:hRule="exact"/>
        </w:trPr>
        <w:tc>
          <w:tcPr>
            <w:tcW w:w="1419" w:type="dxa"/>
            <w:vMerge/>
            <w:tcBorders>
              <w:left w:val="single" w:sz="4" w:space="0" w:color="000000"/>
              <w:right w:val="single" w:sz="4" w:space="0" w:color="000000"/>
            </w:tcBorders>
            <w:shd w:val="clear" w:color="auto" w:fill="D2D2D2"/>
          </w:tcPr>
          <w:p>
            <w:pPr/>
          </w:p>
        </w:tc>
        <w:tc>
          <w:tcPr>
            <w:tcW w:w="1404" w:type="dxa"/>
            <w:vMerge w:val="restart"/>
            <w:tcBorders>
              <w:top w:val="nil" w:sz="6" w:space="0" w:color="auto"/>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4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605"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r>
      <w:tr>
        <w:trPr>
          <w:trHeight w:val="19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404"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4"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694,303,610.00</w:t>
            </w:r>
          </w:p>
        </w:tc>
        <w:tc>
          <w:tcPr>
            <w:tcW w:w="42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934,719,</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927.59</w:t>
            </w:r>
          </w:p>
        </w:tc>
        <w:tc>
          <w:tcPr>
            <w:tcW w:w="605"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209,848,</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993.23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1,072,604,</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119.48</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8"/>
                <w:szCs w:val="18"/>
              </w:rPr>
            </w:pPr>
            <w:r>
              <w:rPr>
                <w:rFonts w:ascii="宋体"/>
                <w:sz w:val="18"/>
              </w:rPr>
              <w:t>2,911,476</w:t>
            </w:r>
          </w:p>
          <w:p>
            <w:pPr>
              <w:pStyle w:val="TableParagraph"/>
              <w:spacing w:line="240" w:lineRule="auto" w:before="74"/>
              <w:ind w:left="240" w:right="0"/>
              <w:jc w:val="center"/>
              <w:rPr>
                <w:rFonts w:ascii="宋体" w:hAnsi="宋体" w:cs="宋体" w:eastAsia="宋体" w:hint="default"/>
                <w:sz w:val="18"/>
                <w:szCs w:val="18"/>
              </w:rPr>
            </w:pPr>
            <w:r>
              <w:rPr>
                <w:rFonts w:ascii="宋体"/>
                <w:sz w:val="18"/>
              </w:rPr>
              <w:t>,650.30</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404" w:type="dxa"/>
            <w:vMerge/>
            <w:tcBorders>
              <w:left w:val="single" w:sz="10" w:space="0" w:color="D2D2D2"/>
              <w:right w:val="single" w:sz="4" w:space="0" w:color="000000"/>
            </w:tcBorders>
          </w:tcPr>
          <w:p>
            <w:pPr/>
          </w:p>
        </w:tc>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4" w:type="dxa"/>
            <w:vMerge/>
            <w:tcBorders>
              <w:left w:val="single" w:sz="10" w:space="0" w:color="D2D2D2"/>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04" w:type="dxa"/>
            <w:tcBorders>
              <w:top w:val="single" w:sz="4" w:space="0" w:color="000000"/>
              <w:left w:val="single" w:sz="10" w:space="0" w:color="D2D2D2"/>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1394"/>
        <w:gridCol w:w="428"/>
        <w:gridCol w:w="425"/>
        <w:gridCol w:w="442"/>
        <w:gridCol w:w="797"/>
        <w:gridCol w:w="605"/>
        <w:gridCol w:w="708"/>
        <w:gridCol w:w="566"/>
        <w:gridCol w:w="852"/>
        <w:gridCol w:w="992"/>
        <w:gridCol w:w="924"/>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694,303,610.00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934,719,</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927.59</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209,848,</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993.23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1,072,604,</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119.48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8"/>
                <w:szCs w:val="18"/>
              </w:rPr>
            </w:pPr>
            <w:r>
              <w:rPr>
                <w:rFonts w:ascii="宋体"/>
                <w:sz w:val="18"/>
              </w:rPr>
              <w:t>2,911,476</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,650.30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820,503,338.00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sz w:val="18"/>
              </w:rPr>
              <w:t>551,808,</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876.41</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309,512</w:t>
            </w:r>
          </w:p>
          <w:p>
            <w:pPr>
              <w:pStyle w:val="TableParagraph"/>
              <w:spacing w:line="240" w:lineRule="auto" w:before="74"/>
              <w:ind w:left="45" w:right="0"/>
              <w:jc w:val="left"/>
              <w:rPr>
                <w:rFonts w:ascii="宋体" w:hAnsi="宋体" w:cs="宋体" w:eastAsia="宋体" w:hint="default"/>
                <w:sz w:val="18"/>
                <w:szCs w:val="18"/>
              </w:rPr>
            </w:pPr>
            <w:r>
              <w:rPr>
                <w:rFonts w:ascii="宋体"/>
                <w:sz w:val="18"/>
              </w:rPr>
              <w:t>,356.10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sz w:val="18"/>
              </w:rPr>
              <w:t>82,649,7</w:t>
            </w:r>
          </w:p>
          <w:p>
            <w:pPr>
              <w:pStyle w:val="TableParagraph"/>
              <w:spacing w:line="240" w:lineRule="auto" w:before="74"/>
              <w:ind w:left="367" w:right="0"/>
              <w:jc w:val="left"/>
              <w:rPr>
                <w:rFonts w:ascii="宋体" w:hAnsi="宋体" w:cs="宋体" w:eastAsia="宋体" w:hint="default"/>
                <w:sz w:val="18"/>
                <w:szCs w:val="18"/>
              </w:rPr>
            </w:pPr>
            <w:r>
              <w:rPr>
                <w:rFonts w:ascii="宋体"/>
                <w:sz w:val="18"/>
              </w:rPr>
              <w:t>29.19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sz w:val="18"/>
              </w:rPr>
              <w:t>596,839,28</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8.49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0" w:right="0"/>
              <w:jc w:val="center"/>
              <w:rPr>
                <w:rFonts w:ascii="宋体" w:hAnsi="宋体" w:cs="宋体" w:eastAsia="宋体" w:hint="default"/>
                <w:sz w:val="18"/>
                <w:szCs w:val="18"/>
              </w:rPr>
            </w:pPr>
            <w:r>
              <w:rPr>
                <w:rFonts w:ascii="宋体"/>
                <w:sz w:val="18"/>
              </w:rPr>
              <w:t>2,361,313</w:t>
            </w:r>
          </w:p>
          <w:p>
            <w:pPr>
              <w:pStyle w:val="TableParagraph"/>
              <w:spacing w:line="240" w:lineRule="auto" w:before="74"/>
              <w:ind w:left="240" w:right="0"/>
              <w:jc w:val="center"/>
              <w:rPr>
                <w:rFonts w:ascii="宋体" w:hAnsi="宋体" w:cs="宋体" w:eastAsia="宋体" w:hint="default"/>
                <w:sz w:val="18"/>
                <w:szCs w:val="18"/>
              </w:rPr>
            </w:pPr>
            <w:r>
              <w:rPr>
                <w:rFonts w:ascii="宋体"/>
                <w:sz w:val="18"/>
              </w:rPr>
              <w:t>,588.19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309,512</w:t>
            </w:r>
          </w:p>
          <w:p>
            <w:pPr>
              <w:pStyle w:val="TableParagraph"/>
              <w:spacing w:line="240" w:lineRule="auto" w:before="76"/>
              <w:ind w:left="45" w:right="0"/>
              <w:jc w:val="left"/>
              <w:rPr>
                <w:rFonts w:ascii="宋体" w:hAnsi="宋体" w:cs="宋体" w:eastAsia="宋体" w:hint="default"/>
                <w:sz w:val="18"/>
                <w:szCs w:val="18"/>
              </w:rPr>
            </w:pPr>
            <w:r>
              <w:rPr>
                <w:rFonts w:ascii="宋体"/>
                <w:sz w:val="18"/>
              </w:rPr>
              <w:t>,356.10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826,497,29</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1.88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8"/>
                <w:szCs w:val="18"/>
              </w:rPr>
            </w:pPr>
            <w:r>
              <w:rPr>
                <w:rFonts w:ascii="宋体"/>
                <w:sz w:val="18"/>
              </w:rPr>
              <w:t>1,136,009</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,647.98</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85,461,967.00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1,286,85</w:t>
            </w:r>
          </w:p>
          <w:p>
            <w:pPr>
              <w:pStyle w:val="TableParagraph"/>
              <w:spacing w:line="240" w:lineRule="auto" w:before="74"/>
              <w:ind w:left="45" w:right="0"/>
              <w:jc w:val="left"/>
              <w:rPr>
                <w:rFonts w:ascii="宋体" w:hAnsi="宋体" w:cs="宋体" w:eastAsia="宋体" w:hint="default"/>
                <w:sz w:val="18"/>
                <w:szCs w:val="18"/>
              </w:rPr>
            </w:pPr>
            <w:r>
              <w:rPr>
                <w:rFonts w:ascii="宋体"/>
                <w:sz w:val="18"/>
              </w:rPr>
              <w:t>0,247.41</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1,372,312</w:t>
            </w:r>
          </w:p>
          <w:p>
            <w:pPr>
              <w:pStyle w:val="TableParagraph"/>
              <w:spacing w:line="240" w:lineRule="auto" w:before="74"/>
              <w:ind w:left="240" w:right="0"/>
              <w:jc w:val="center"/>
              <w:rPr>
                <w:rFonts w:ascii="宋体" w:hAnsi="宋体" w:cs="宋体" w:eastAsia="宋体" w:hint="default"/>
                <w:sz w:val="18"/>
                <w:szCs w:val="18"/>
              </w:rPr>
            </w:pPr>
            <w:r>
              <w:rPr>
                <w:rFonts w:ascii="宋体"/>
                <w:sz w:val="18"/>
              </w:rPr>
              <w:t>,214.41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44,220,841.00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614,790,</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376.46</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659,011,2</w:t>
            </w:r>
          </w:p>
          <w:p>
            <w:pPr>
              <w:pStyle w:val="TableParagraph"/>
              <w:spacing w:line="240" w:lineRule="auto" w:before="76"/>
              <w:ind w:left="441" w:right="0"/>
              <w:jc w:val="left"/>
              <w:rPr>
                <w:rFonts w:ascii="宋体" w:hAnsi="宋体" w:cs="宋体" w:eastAsia="宋体" w:hint="default"/>
                <w:sz w:val="18"/>
                <w:szCs w:val="18"/>
              </w:rPr>
            </w:pPr>
            <w:r>
              <w:rPr>
                <w:rFonts w:ascii="宋体"/>
                <w:sz w:val="18"/>
              </w:rPr>
              <w:t>17.46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41,241,126.00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662,839,</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387.95</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宋体"/>
                <w:sz w:val="18"/>
              </w:rPr>
              <w:t>704,080,5</w:t>
            </w:r>
          </w:p>
          <w:p>
            <w:pPr>
              <w:pStyle w:val="TableParagraph"/>
              <w:spacing w:line="240" w:lineRule="auto" w:before="74"/>
              <w:ind w:left="441" w:right="0"/>
              <w:jc w:val="left"/>
              <w:rPr>
                <w:rFonts w:ascii="宋体" w:hAnsi="宋体" w:cs="宋体" w:eastAsia="宋体" w:hint="default"/>
                <w:sz w:val="18"/>
                <w:szCs w:val="18"/>
              </w:rPr>
            </w:pPr>
            <w:r>
              <w:rPr>
                <w:rFonts w:ascii="宋体"/>
                <w:sz w:val="18"/>
              </w:rPr>
              <w:t>13.95</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9,220,48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9,220,483</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82,649,7</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29.19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-229,658,0</w:t>
            </w:r>
          </w:p>
          <w:p>
            <w:pPr>
              <w:pStyle w:val="TableParagraph"/>
              <w:spacing w:line="240" w:lineRule="auto" w:before="76"/>
              <w:ind w:left="509" w:right="0"/>
              <w:jc w:val="left"/>
              <w:rPr>
                <w:rFonts w:ascii="宋体" w:hAnsi="宋体" w:cs="宋体" w:eastAsia="宋体" w:hint="default"/>
                <w:sz w:val="18"/>
                <w:szCs w:val="18"/>
              </w:rPr>
            </w:pPr>
            <w:r>
              <w:rPr>
                <w:rFonts w:ascii="宋体"/>
                <w:sz w:val="18"/>
              </w:rPr>
              <w:t>03.39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-147,008,</w:t>
            </w:r>
          </w:p>
          <w:p>
            <w:pPr>
              <w:pStyle w:val="TableParagraph"/>
              <w:spacing w:line="240" w:lineRule="auto" w:before="76"/>
              <w:ind w:left="352" w:right="0"/>
              <w:jc w:val="left"/>
              <w:rPr>
                <w:rFonts w:ascii="宋体" w:hAnsi="宋体" w:cs="宋体" w:eastAsia="宋体" w:hint="default"/>
                <w:sz w:val="18"/>
                <w:szCs w:val="18"/>
              </w:rPr>
            </w:pPr>
            <w:r>
              <w:rPr>
                <w:rFonts w:ascii="宋体"/>
                <w:sz w:val="18"/>
              </w:rPr>
              <w:t>274.20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82,649,7</w:t>
            </w:r>
          </w:p>
          <w:p>
            <w:pPr>
              <w:pStyle w:val="TableParagraph"/>
              <w:spacing w:line="240" w:lineRule="auto" w:before="74"/>
              <w:ind w:left="367" w:right="0"/>
              <w:jc w:val="left"/>
              <w:rPr>
                <w:rFonts w:ascii="宋体" w:hAnsi="宋体" w:cs="宋体" w:eastAsia="宋体" w:hint="default"/>
                <w:sz w:val="18"/>
                <w:szCs w:val="18"/>
              </w:rPr>
            </w:pPr>
            <w:r>
              <w:rPr>
                <w:rFonts w:ascii="宋体"/>
                <w:sz w:val="18"/>
              </w:rPr>
              <w:t>29.19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-82,649,72</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9.19</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-147,008,2</w:t>
            </w:r>
          </w:p>
          <w:p>
            <w:pPr>
              <w:pStyle w:val="TableParagraph"/>
              <w:spacing w:line="240" w:lineRule="auto" w:before="76"/>
              <w:ind w:left="509" w:right="0"/>
              <w:jc w:val="left"/>
              <w:rPr>
                <w:rFonts w:ascii="宋体" w:hAnsi="宋体" w:cs="宋体" w:eastAsia="宋体" w:hint="default"/>
                <w:sz w:val="18"/>
                <w:szCs w:val="18"/>
              </w:rPr>
            </w:pPr>
            <w:r>
              <w:rPr>
                <w:rFonts w:ascii="宋体"/>
                <w:sz w:val="18"/>
              </w:rPr>
              <w:t>74.20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宋体"/>
                <w:sz w:val="18"/>
              </w:rPr>
              <w:t>-147,008,</w:t>
            </w:r>
          </w:p>
          <w:p>
            <w:pPr>
              <w:pStyle w:val="TableParagraph"/>
              <w:spacing w:line="240" w:lineRule="auto" w:before="76"/>
              <w:ind w:left="352" w:right="0"/>
              <w:jc w:val="left"/>
              <w:rPr>
                <w:rFonts w:ascii="宋体" w:hAnsi="宋体" w:cs="宋体" w:eastAsia="宋体" w:hint="default"/>
                <w:sz w:val="18"/>
                <w:szCs w:val="18"/>
              </w:rPr>
            </w:pPr>
            <w:r>
              <w:rPr>
                <w:rFonts w:ascii="宋体"/>
                <w:sz w:val="18"/>
              </w:rPr>
              <w:t>274.20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735,041,371.00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-735,041</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,371.00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735,041,371.00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-735,041</w:t>
            </w:r>
          </w:p>
          <w:p>
            <w:pPr>
              <w:pStyle w:val="TableParagraph"/>
              <w:spacing w:line="240" w:lineRule="auto" w:before="74"/>
              <w:ind w:left="134" w:right="0"/>
              <w:jc w:val="left"/>
              <w:rPr>
                <w:rFonts w:ascii="宋体" w:hAnsi="宋体" w:cs="宋体" w:eastAsia="宋体" w:hint="default"/>
                <w:sz w:val="18"/>
                <w:szCs w:val="18"/>
              </w:rPr>
            </w:pPr>
            <w:r>
              <w:rPr>
                <w:rFonts w:ascii="宋体"/>
                <w:sz w:val="18"/>
              </w:rPr>
              <w:t>,371.00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1394"/>
        <w:gridCol w:w="428"/>
        <w:gridCol w:w="425"/>
        <w:gridCol w:w="442"/>
        <w:gridCol w:w="797"/>
        <w:gridCol w:w="605"/>
        <w:gridCol w:w="708"/>
        <w:gridCol w:w="566"/>
        <w:gridCol w:w="852"/>
        <w:gridCol w:w="992"/>
        <w:gridCol w:w="924"/>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1,514,806,948.</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1,486,52</w:t>
            </w:r>
          </w:p>
          <w:p>
            <w:pPr>
              <w:pStyle w:val="TableParagraph"/>
              <w:spacing w:line="240" w:lineRule="auto" w:before="76"/>
              <w:ind w:left="45" w:right="0"/>
              <w:jc w:val="left"/>
              <w:rPr>
                <w:rFonts w:ascii="宋体" w:hAnsi="宋体" w:cs="宋体" w:eastAsia="宋体" w:hint="default"/>
                <w:sz w:val="18"/>
                <w:szCs w:val="18"/>
              </w:rPr>
            </w:pPr>
            <w:r>
              <w:rPr>
                <w:rFonts w:ascii="宋体"/>
                <w:sz w:val="18"/>
              </w:rPr>
              <w:t>8,804.00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309,512</w:t>
            </w:r>
          </w:p>
          <w:p>
            <w:pPr>
              <w:pStyle w:val="TableParagraph"/>
              <w:spacing w:line="240" w:lineRule="auto" w:before="76"/>
              <w:ind w:left="45" w:right="0"/>
              <w:jc w:val="left"/>
              <w:rPr>
                <w:rFonts w:ascii="宋体" w:hAnsi="宋体" w:cs="宋体" w:eastAsia="宋体" w:hint="default"/>
                <w:sz w:val="18"/>
                <w:szCs w:val="18"/>
              </w:rPr>
            </w:pPr>
            <w:r>
              <w:rPr>
                <w:rFonts w:ascii="宋体"/>
                <w:sz w:val="18"/>
              </w:rPr>
              <w:t>,356.10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292,498,</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722.42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1,669,443,</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407.97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8"/>
                <w:szCs w:val="18"/>
              </w:rPr>
            </w:pPr>
            <w:r>
              <w:rPr>
                <w:rFonts w:ascii="宋体"/>
                <w:sz w:val="18"/>
              </w:rPr>
              <w:t>5,272,790</w:t>
            </w:r>
          </w:p>
          <w:p>
            <w:pPr>
              <w:pStyle w:val="TableParagraph"/>
              <w:spacing w:line="240" w:lineRule="auto" w:before="76"/>
              <w:ind w:left="240" w:right="0"/>
              <w:jc w:val="center"/>
              <w:rPr>
                <w:rFonts w:ascii="宋体" w:hAnsi="宋体" w:cs="宋体" w:eastAsia="宋体" w:hint="default"/>
                <w:sz w:val="18"/>
                <w:szCs w:val="18"/>
              </w:rPr>
            </w:pPr>
            <w:r>
              <w:rPr>
                <w:rFonts w:ascii="宋体"/>
                <w:sz w:val="18"/>
              </w:rPr>
              <w:t>,238.49</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9" w:firstLine="360"/>
        <w:jc w:val="both"/>
      </w:pPr>
      <w:r>
        <w:rPr>
          <w:spacing w:val="-2"/>
        </w:rPr>
        <w:t>东华软件股份公司（原“北京东华合创数码科技股份有限公司”，以下简称“本公司”或“公司”）是由北京东华诚信</w:t>
      </w:r>
      <w:r>
        <w:rPr/>
        <w:t> </w:t>
      </w:r>
      <w:r>
        <w:rPr>
          <w:spacing w:val="-2"/>
        </w:rPr>
        <w:t>电脑科技发展有限公司（原北京东华诚信电脑科技发展公司）、北京东华诚信工业设备有限公司、北京合创电商投资顾问有</w:t>
      </w:r>
      <w:r>
        <w:rPr>
          <w:spacing w:val="-64"/>
        </w:rPr>
        <w:t> </w:t>
      </w:r>
      <w:r>
        <w:rPr>
          <w:spacing w:val="-64"/>
        </w:rPr>
      </w:r>
      <w:r>
        <w:rPr/>
        <w:t>限公司等</w:t>
      </w:r>
      <w:r>
        <w:rPr>
          <w:rFonts w:ascii="宋体" w:hAnsi="宋体" w:cs="宋体" w:eastAsia="宋体" w:hint="default"/>
        </w:rPr>
        <w:t>3</w:t>
      </w:r>
      <w:r>
        <w:rPr/>
        <w:t>家法人企业及薛向东等 </w:t>
      </w:r>
      <w:r>
        <w:rPr>
          <w:rFonts w:ascii="宋体" w:hAnsi="宋体" w:cs="宋体" w:eastAsia="宋体" w:hint="default"/>
        </w:rPr>
        <w:t>12</w:t>
      </w:r>
      <w:r>
        <w:rPr>
          <w:rFonts w:ascii="宋体" w:hAnsi="宋体" w:cs="宋体" w:eastAsia="宋体" w:hint="default"/>
          <w:spacing w:val="6"/>
        </w:rPr>
        <w:t> </w:t>
      </w:r>
      <w:r>
        <w:rPr/>
        <w:t>个自然人共同发起，在原北京东华合创数码科技有限公司的基础上，依法改制设立的 </w:t>
      </w:r>
      <w:r>
        <w:rPr>
          <w:spacing w:val="-2"/>
        </w:rPr>
        <w:t>股份有限公司。公司的注册资本为人民币</w:t>
      </w:r>
      <w:r>
        <w:rPr>
          <w:rFonts w:ascii="宋体" w:hAnsi="宋体" w:cs="宋体" w:eastAsia="宋体" w:hint="default"/>
          <w:spacing w:val="-2"/>
        </w:rPr>
        <w:t>1,514,806,948</w:t>
      </w:r>
      <w:r>
        <w:rPr>
          <w:spacing w:val="-2"/>
        </w:rPr>
        <w:t>元，注册地址位于北京市海淀区紫金数码园</w:t>
      </w:r>
      <w:r>
        <w:rPr>
          <w:rFonts w:ascii="宋体" w:hAnsi="宋体" w:cs="宋体" w:eastAsia="宋体" w:hint="default"/>
          <w:spacing w:val="-2"/>
        </w:rPr>
        <w:t>3</w:t>
      </w:r>
      <w:r>
        <w:rPr>
          <w:spacing w:val="-2"/>
        </w:rPr>
        <w:t>号楼</w:t>
      </w:r>
      <w:r>
        <w:rPr>
          <w:rFonts w:ascii="宋体" w:hAnsi="宋体" w:cs="宋体" w:eastAsia="宋体" w:hint="default"/>
          <w:spacing w:val="-2"/>
        </w:rPr>
        <w:t>15</w:t>
      </w:r>
      <w:r>
        <w:rPr>
          <w:spacing w:val="-2"/>
        </w:rPr>
        <w:t>层</w:t>
      </w:r>
      <w:r>
        <w:rPr>
          <w:rFonts w:ascii="宋体" w:hAnsi="宋体" w:cs="宋体" w:eastAsia="宋体" w:hint="default"/>
          <w:spacing w:val="-2"/>
        </w:rPr>
        <w:t>1501</w:t>
      </w:r>
      <w:r>
        <w:rPr>
          <w:spacing w:val="-2"/>
        </w:rPr>
        <w:t>室，法定</w:t>
      </w:r>
      <w:r>
        <w:rPr>
          <w:spacing w:val="-53"/>
        </w:rPr>
        <w:t> </w:t>
      </w:r>
      <w:r>
        <w:rPr>
          <w:spacing w:val="-53"/>
        </w:rPr>
      </w:r>
      <w:r>
        <w:rPr/>
        <w:t>代表人：薛向东，企业法人营业执照为“第</w:t>
      </w:r>
      <w:r>
        <w:rPr>
          <w:rFonts w:ascii="宋体" w:hAnsi="宋体" w:cs="宋体" w:eastAsia="宋体" w:hint="default"/>
        </w:rPr>
        <w:t>110000001930643</w:t>
      </w:r>
      <w:r>
        <w:rPr/>
        <w:t>号”。</w:t>
      </w:r>
    </w:p>
    <w:p>
      <w:pPr>
        <w:pStyle w:val="BodyText"/>
        <w:spacing w:line="316" w:lineRule="auto" w:before="139"/>
        <w:ind w:right="148" w:firstLine="360"/>
        <w:jc w:val="both"/>
      </w:pPr>
      <w:r>
        <w:rPr>
          <w:spacing w:val="-2"/>
        </w:rPr>
        <w:t>公司的前身北京东华合创数码科技有限公司，成立于</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月，注册资本为人民币</w:t>
      </w:r>
      <w:r>
        <w:rPr>
          <w:rFonts w:ascii="宋体" w:hAnsi="宋体" w:cs="宋体" w:eastAsia="宋体" w:hint="default"/>
          <w:spacing w:val="-2"/>
        </w:rPr>
        <w:t>3,700</w:t>
      </w:r>
      <w:r>
        <w:rPr>
          <w:spacing w:val="-2"/>
        </w:rPr>
        <w:t>万元。</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日，经北</w:t>
      </w:r>
      <w:r>
        <w:rPr/>
        <w:t> </w:t>
      </w:r>
      <w:r>
        <w:rPr>
          <w:spacing w:val="-2"/>
        </w:rPr>
        <w:t>京市人民政府经济体制改革办公室以“京政体改股函</w:t>
      </w:r>
      <w:r>
        <w:rPr>
          <w:rFonts w:ascii="宋体" w:hAnsi="宋体" w:cs="宋体" w:eastAsia="宋体" w:hint="default"/>
          <w:spacing w:val="-2"/>
        </w:rPr>
        <w:t>[2001]69</w:t>
      </w:r>
      <w:r>
        <w:rPr>
          <w:spacing w:val="-2"/>
        </w:rPr>
        <w:t>号”文《关于同意北京东华合创数码科技有限公司变更为北京</w:t>
      </w:r>
      <w:r>
        <w:rPr>
          <w:spacing w:val="-59"/>
        </w:rPr>
        <w:t> </w:t>
      </w:r>
      <w:r>
        <w:rPr>
          <w:spacing w:val="-59"/>
        </w:rPr>
      </w:r>
      <w:r>
        <w:rPr>
          <w:spacing w:val="-2"/>
        </w:rPr>
        <w:t>东华合创数码科技股份有限公司的通知》批复，北京东华合创数码科技有限公司依法改制设立为股份有限公司，注册资本为</w:t>
      </w:r>
      <w:r>
        <w:rPr>
          <w:spacing w:val="-66"/>
        </w:rPr>
        <w:t> </w:t>
      </w:r>
      <w:r>
        <w:rPr>
          <w:spacing w:val="-66"/>
        </w:rPr>
      </w:r>
      <w:r>
        <w:rPr/>
        <w:t>人民币</w:t>
      </w:r>
      <w:r>
        <w:rPr>
          <w:rFonts w:ascii="宋体" w:hAnsi="宋体" w:cs="宋体" w:eastAsia="宋体" w:hint="default"/>
        </w:rPr>
        <w:t>4,856.25</w:t>
      </w:r>
      <w:r>
        <w:rPr/>
        <w:t>万元。</w:t>
      </w:r>
    </w:p>
    <w:p>
      <w:pPr>
        <w:pStyle w:val="BodyText"/>
        <w:spacing w:line="316" w:lineRule="auto" w:before="139"/>
        <w:ind w:right="148" w:firstLine="360"/>
        <w:jc w:val="both"/>
      </w:pPr>
      <w:r>
        <w:rPr/>
        <w:t>经公司于</w:t>
      </w:r>
      <w:r>
        <w:rPr>
          <w:rFonts w:ascii="宋体" w:hAnsi="宋体" w:cs="宋体" w:eastAsia="宋体" w:hint="default"/>
        </w:rPr>
        <w:t>2003</w:t>
      </w:r>
      <w:r>
        <w:rPr/>
        <w:t>年</w:t>
      </w:r>
      <w:r>
        <w:rPr>
          <w:rFonts w:ascii="宋体" w:hAnsi="宋体" w:cs="宋体" w:eastAsia="宋体" w:hint="default"/>
        </w:rPr>
        <w:t>3</w:t>
      </w:r>
      <w:r>
        <w:rPr/>
        <w:t>月召开的</w:t>
      </w:r>
      <w:r>
        <w:rPr>
          <w:rFonts w:ascii="宋体" w:hAnsi="宋体" w:cs="宋体" w:eastAsia="宋体" w:hint="default"/>
        </w:rPr>
        <w:t>2002</w:t>
      </w:r>
      <w:r>
        <w:rPr/>
        <w:t>年度股东大会表决通过，公司按照</w:t>
      </w: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4,856.25</w:t>
      </w:r>
      <w:r>
        <w:rPr/>
        <w:t>万元为基数，按 </w:t>
      </w:r>
      <w:r>
        <w:rPr>
          <w:rFonts w:ascii="宋体" w:hAnsi="宋体" w:cs="宋体" w:eastAsia="宋体" w:hint="default"/>
          <w:spacing w:val="-3"/>
        </w:rPr>
        <w:t>10</w:t>
      </w:r>
      <w:r>
        <w:rPr>
          <w:spacing w:val="-3"/>
        </w:rPr>
        <w:t>比</w:t>
      </w:r>
      <w:r>
        <w:rPr>
          <w:rFonts w:ascii="宋体" w:hAnsi="宋体" w:cs="宋体" w:eastAsia="宋体" w:hint="default"/>
          <w:spacing w:val="-3"/>
        </w:rPr>
        <w:t>1</w:t>
      </w:r>
      <w:r>
        <w:rPr>
          <w:spacing w:val="-3"/>
        </w:rPr>
        <w:t>的比例向公司的全体股东派送红股，共增加股本</w:t>
      </w:r>
      <w:r>
        <w:rPr>
          <w:rFonts w:ascii="宋体" w:hAnsi="宋体" w:cs="宋体" w:eastAsia="宋体" w:hint="default"/>
          <w:spacing w:val="-3"/>
        </w:rPr>
        <w:t>485.625</w:t>
      </w:r>
      <w:r>
        <w:rPr>
          <w:spacing w:val="-3"/>
        </w:rPr>
        <w:t>万元。该增资事项完成后，公司的股本增加为人民币</w:t>
      </w:r>
      <w:r>
        <w:rPr>
          <w:rFonts w:ascii="宋体" w:hAnsi="宋体" w:cs="宋体" w:eastAsia="宋体" w:hint="default"/>
          <w:spacing w:val="-3"/>
        </w:rPr>
        <w:t>5,341.875</w:t>
      </w:r>
      <w:r>
        <w:rPr>
          <w:rFonts w:ascii="宋体" w:hAnsi="宋体" w:cs="宋体" w:eastAsia="宋体" w:hint="default"/>
          <w:spacing w:val="-73"/>
        </w:rPr>
        <w:t> </w:t>
      </w:r>
      <w:r>
        <w:rPr>
          <w:rFonts w:ascii="宋体" w:hAnsi="宋体" w:cs="宋体" w:eastAsia="宋体" w:hint="default"/>
          <w:spacing w:val="-73"/>
        </w:rPr>
      </w:r>
      <w:r>
        <w:rPr/>
        <w:t>万元。</w:t>
      </w:r>
    </w:p>
    <w:p>
      <w:pPr>
        <w:pStyle w:val="BodyText"/>
        <w:spacing w:line="316" w:lineRule="auto" w:before="139"/>
        <w:ind w:right="148" w:firstLine="360"/>
        <w:jc w:val="both"/>
      </w:pPr>
      <w:r>
        <w:rPr>
          <w:spacing w:val="-2"/>
        </w:rPr>
        <w:t>经公司于</w:t>
      </w:r>
      <w:r>
        <w:rPr>
          <w:rFonts w:ascii="宋体" w:hAnsi="宋体" w:cs="宋体" w:eastAsia="宋体" w:hint="default"/>
          <w:spacing w:val="-2"/>
        </w:rPr>
        <w:t>2005</w:t>
      </w:r>
      <w:r>
        <w:rPr>
          <w:spacing w:val="-2"/>
        </w:rPr>
        <w:t>年</w:t>
      </w:r>
      <w:r>
        <w:rPr>
          <w:rFonts w:ascii="宋体" w:hAnsi="宋体" w:cs="宋体" w:eastAsia="宋体" w:hint="default"/>
          <w:spacing w:val="-2"/>
        </w:rPr>
        <w:t>3</w:t>
      </w:r>
      <w:r>
        <w:rPr>
          <w:spacing w:val="-2"/>
        </w:rPr>
        <w:t>月召开的</w:t>
      </w:r>
      <w:r>
        <w:rPr>
          <w:rFonts w:ascii="宋体" w:hAnsi="宋体" w:cs="宋体" w:eastAsia="宋体" w:hint="default"/>
          <w:spacing w:val="-2"/>
        </w:rPr>
        <w:t>2004</w:t>
      </w:r>
      <w:r>
        <w:rPr>
          <w:spacing w:val="-2"/>
        </w:rPr>
        <w:t>年度股东大会表决通过，公司按照</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日的股本总额</w:t>
      </w:r>
      <w:r>
        <w:rPr>
          <w:rFonts w:ascii="宋体" w:hAnsi="宋体" w:cs="宋体" w:eastAsia="宋体" w:hint="default"/>
          <w:spacing w:val="-2"/>
        </w:rPr>
        <w:t>5,341.875</w:t>
      </w:r>
      <w:r>
        <w:rPr>
          <w:spacing w:val="-2"/>
        </w:rPr>
        <w:t>万元为基数，按</w:t>
      </w:r>
      <w:r>
        <w:rPr/>
        <w:t> </w:t>
      </w:r>
      <w:r>
        <w:rPr>
          <w:rFonts w:ascii="宋体" w:hAnsi="宋体" w:cs="宋体" w:eastAsia="宋体" w:hint="default"/>
          <w:spacing w:val="9"/>
        </w:rPr>
        <w:t>10</w:t>
      </w:r>
      <w:r>
        <w:rPr>
          <w:spacing w:val="9"/>
        </w:rPr>
        <w:t>比</w:t>
      </w:r>
      <w:r>
        <w:rPr>
          <w:rFonts w:ascii="宋体" w:hAnsi="宋体" w:cs="宋体" w:eastAsia="宋体" w:hint="default"/>
          <w:spacing w:val="9"/>
        </w:rPr>
        <w:t>1</w:t>
      </w:r>
      <w:r>
        <w:rPr>
          <w:spacing w:val="9"/>
        </w:rPr>
        <w:t>的比例向公司的全体股东派送红股，共增加股本</w:t>
      </w:r>
      <w:r>
        <w:rPr>
          <w:rFonts w:ascii="宋体" w:hAnsi="宋体" w:cs="宋体" w:eastAsia="宋体" w:hint="default"/>
          <w:spacing w:val="9"/>
        </w:rPr>
        <w:t>534.1875</w:t>
      </w:r>
      <w:r>
        <w:rPr>
          <w:spacing w:val="9"/>
        </w:rPr>
        <w:t>万元。该增资事项完成后，公司的股本增加为人民币</w:t>
      </w:r>
    </w:p>
    <w:p>
      <w:pPr>
        <w:pStyle w:val="BodyText"/>
        <w:spacing w:line="240" w:lineRule="auto" w:before="19"/>
        <w:ind w:right="0"/>
        <w:jc w:val="both"/>
      </w:pPr>
      <w:r>
        <w:rPr>
          <w:rFonts w:ascii="宋体" w:hAnsi="宋体" w:cs="宋体" w:eastAsia="宋体" w:hint="default"/>
        </w:rPr>
        <w:t>5,876.0625</w:t>
      </w:r>
      <w:r>
        <w:rPr/>
        <w:t>万元。</w:t>
      </w:r>
    </w:p>
    <w:p>
      <w:pPr>
        <w:spacing w:line="240" w:lineRule="auto" w:before="0"/>
        <w:rPr>
          <w:rFonts w:ascii="宋体" w:hAnsi="宋体" w:cs="宋体" w:eastAsia="宋体" w:hint="default"/>
          <w:sz w:val="15"/>
          <w:szCs w:val="15"/>
        </w:rPr>
      </w:pPr>
    </w:p>
    <w:p>
      <w:pPr>
        <w:pStyle w:val="BodyText"/>
        <w:spacing w:line="319" w:lineRule="auto"/>
        <w:ind w:right="148" w:firstLine="360"/>
        <w:jc w:val="both"/>
      </w:pPr>
      <w:r>
        <w:rPr/>
        <w:t>经公司于</w:t>
      </w:r>
      <w:r>
        <w:rPr>
          <w:rFonts w:ascii="宋体" w:hAnsi="宋体" w:cs="宋体" w:eastAsia="宋体" w:hint="default"/>
        </w:rPr>
        <w:t>2006</w:t>
      </w:r>
      <w:r>
        <w:rPr/>
        <w:t>年</w:t>
      </w:r>
      <w:r>
        <w:rPr>
          <w:rFonts w:ascii="宋体" w:hAnsi="宋体" w:cs="宋体" w:eastAsia="宋体" w:hint="default"/>
        </w:rPr>
        <w:t>5</w:t>
      </w:r>
      <w:r>
        <w:rPr/>
        <w:t>月召开的</w:t>
      </w:r>
      <w:r>
        <w:rPr>
          <w:rFonts w:ascii="宋体" w:hAnsi="宋体" w:cs="宋体" w:eastAsia="宋体" w:hint="default"/>
        </w:rPr>
        <w:t>2005</w:t>
      </w:r>
      <w:r>
        <w:rPr/>
        <w:t>年度股东大会表决通过，公司按照</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5,876.0625</w:t>
      </w:r>
      <w:r>
        <w:rPr/>
        <w:t>万元为基数， </w:t>
      </w:r>
      <w:r>
        <w:rPr>
          <w:spacing w:val="6"/>
        </w:rPr>
        <w:t>按</w:t>
      </w:r>
      <w:r>
        <w:rPr>
          <w:rFonts w:ascii="宋体" w:hAnsi="宋体" w:cs="宋体" w:eastAsia="宋体" w:hint="default"/>
          <w:spacing w:val="6"/>
        </w:rPr>
        <w:t>10</w:t>
      </w:r>
      <w:r>
        <w:rPr>
          <w:spacing w:val="6"/>
        </w:rPr>
        <w:t>比</w:t>
      </w:r>
      <w:r>
        <w:rPr>
          <w:rFonts w:ascii="宋体" w:hAnsi="宋体" w:cs="宋体" w:eastAsia="宋体" w:hint="default"/>
          <w:spacing w:val="6"/>
        </w:rPr>
        <w:t>1</w:t>
      </w:r>
      <w:r>
        <w:rPr>
          <w:spacing w:val="6"/>
        </w:rPr>
        <w:t>的比例向公司的全体股东派送红股，共增加股本</w:t>
      </w:r>
      <w:r>
        <w:rPr>
          <w:rFonts w:ascii="宋体" w:hAnsi="宋体" w:cs="宋体" w:eastAsia="宋体" w:hint="default"/>
          <w:spacing w:val="6"/>
        </w:rPr>
        <w:t>587.6062</w:t>
      </w:r>
      <w:r>
        <w:rPr>
          <w:spacing w:val="6"/>
        </w:rPr>
        <w:t>万元。该增资事项完成后，公司的股本增加为人民币</w:t>
      </w:r>
      <w:r>
        <w:rPr>
          <w:spacing w:val="-75"/>
        </w:rPr>
        <w:t> </w:t>
      </w:r>
      <w:r>
        <w:rPr>
          <w:spacing w:val="-75"/>
        </w:rPr>
      </w:r>
      <w:r>
        <w:rPr>
          <w:rFonts w:ascii="宋体" w:hAnsi="宋体" w:cs="宋体" w:eastAsia="宋体" w:hint="default"/>
        </w:rPr>
        <w:t>6,463.6687</w:t>
      </w:r>
      <w:r>
        <w:rPr/>
        <w:t>万元。</w:t>
      </w:r>
    </w:p>
    <w:p>
      <w:pPr>
        <w:pStyle w:val="BodyText"/>
        <w:spacing w:line="316" w:lineRule="auto" w:before="137"/>
        <w:ind w:right="149" w:firstLine="360"/>
        <w:jc w:val="both"/>
      </w:pPr>
      <w:r>
        <w:rPr>
          <w:rFonts w:ascii="宋体" w:hAnsi="宋体" w:cs="宋体" w:eastAsia="宋体" w:hint="default"/>
          <w:spacing w:val="-2"/>
        </w:rPr>
        <w:t>2006</w:t>
      </w:r>
      <w:r>
        <w:rPr>
          <w:spacing w:val="-2"/>
        </w:rPr>
        <w:t>年</w:t>
      </w:r>
      <w:r>
        <w:rPr>
          <w:rFonts w:ascii="宋体" w:hAnsi="宋体" w:cs="宋体" w:eastAsia="宋体" w:hint="default"/>
          <w:spacing w:val="-2"/>
        </w:rPr>
        <w:t>8</w:t>
      </w:r>
      <w:r>
        <w:rPr>
          <w:spacing w:val="-2"/>
        </w:rPr>
        <w:t>月，根据中国证券监督管理委员会于</w:t>
      </w:r>
      <w:r>
        <w:rPr>
          <w:rFonts w:ascii="宋体" w:hAnsi="宋体" w:cs="宋体" w:eastAsia="宋体" w:hint="default"/>
          <w:spacing w:val="-2"/>
        </w:rPr>
        <w:t>2006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25</w:t>
      </w:r>
      <w:r>
        <w:rPr>
          <w:spacing w:val="-2"/>
        </w:rPr>
        <w:t>日下发的《关于核准北京东华合创数码科技股份有限公司首次</w:t>
      </w:r>
      <w:r>
        <w:rPr/>
        <w:t> 公开发行股票的通知》（文号为“证监发行字</w:t>
      </w:r>
      <w:r>
        <w:rPr>
          <w:rFonts w:ascii="宋体" w:hAnsi="宋体" w:cs="宋体" w:eastAsia="宋体" w:hint="default"/>
        </w:rPr>
        <w:t>[2006]55</w:t>
      </w:r>
      <w:r>
        <w:rPr/>
        <w:t>号”）的规定，公司于</w:t>
      </w:r>
      <w:r>
        <w:rPr>
          <w:rFonts w:ascii="宋体" w:hAnsi="宋体" w:cs="宋体" w:eastAsia="宋体" w:hint="default"/>
        </w:rPr>
        <w:t>2006</w:t>
      </w:r>
      <w:r>
        <w:rPr/>
        <w:t>年</w:t>
      </w:r>
      <w:r>
        <w:rPr>
          <w:rFonts w:ascii="宋体" w:hAnsi="宋体" w:cs="宋体" w:eastAsia="宋体" w:hint="default"/>
        </w:rPr>
        <w:t>8</w:t>
      </w:r>
      <w:r>
        <w:rPr/>
        <w:t>月</w:t>
      </w:r>
      <w:r>
        <w:rPr>
          <w:rFonts w:ascii="宋体" w:hAnsi="宋体" w:cs="宋体" w:eastAsia="宋体" w:hint="default"/>
        </w:rPr>
        <w:t>16</w:t>
      </w:r>
      <w:r>
        <w:rPr/>
        <w:t>日前完成了向境内投资者首次公 开发行</w:t>
      </w:r>
      <w:r>
        <w:rPr>
          <w:rFonts w:ascii="宋体" w:hAnsi="宋体" w:cs="宋体" w:eastAsia="宋体" w:hint="default"/>
        </w:rPr>
        <w:t>21,600,000</w:t>
      </w:r>
      <w:r>
        <w:rPr/>
        <w:t>人民币普通股</w:t>
      </w:r>
      <w:r>
        <w:rPr>
          <w:rFonts w:ascii="宋体" w:hAnsi="宋体" w:cs="宋体" w:eastAsia="宋体" w:hint="default"/>
        </w:rPr>
        <w:t>[A</w:t>
      </w:r>
      <w:r>
        <w:rPr/>
        <w:t>股</w:t>
      </w:r>
      <w:r>
        <w:rPr>
          <w:rFonts w:ascii="宋体" w:hAnsi="宋体" w:cs="宋体" w:eastAsia="宋体" w:hint="default"/>
        </w:rPr>
        <w:t>]</w:t>
      </w:r>
      <w:r>
        <w:rPr/>
        <w:t>股票的工作（发行价格为</w:t>
      </w:r>
      <w:r>
        <w:rPr>
          <w:rFonts w:ascii="宋体" w:hAnsi="宋体" w:cs="宋体" w:eastAsia="宋体" w:hint="default"/>
        </w:rPr>
        <w:t>14.50</w:t>
      </w:r>
      <w:r>
        <w:rPr/>
        <w:t>元</w:t>
      </w:r>
      <w:r>
        <w:rPr>
          <w:rFonts w:ascii="宋体" w:hAnsi="宋体" w:cs="宋体" w:eastAsia="宋体" w:hint="default"/>
        </w:rPr>
        <w:t>/</w:t>
      </w:r>
      <w:r>
        <w:rPr/>
        <w:t>股）。经过上述股份变更事项后，公司股本为人民</w:t>
      </w:r>
      <w:r>
        <w:rPr>
          <w:spacing w:val="-86"/>
        </w:rPr>
        <w:t> </w:t>
      </w:r>
      <w:r>
        <w:rPr>
          <w:spacing w:val="-86"/>
        </w:rPr>
      </w:r>
      <w:r>
        <w:rPr/>
        <w:t>币</w:t>
      </w:r>
      <w:r>
        <w:rPr>
          <w:rFonts w:ascii="宋体" w:hAnsi="宋体" w:cs="宋体" w:eastAsia="宋体" w:hint="default"/>
        </w:rPr>
        <w:t>8,623.6687</w:t>
      </w:r>
      <w:r>
        <w:rPr/>
        <w:t>万元。</w:t>
      </w:r>
    </w:p>
    <w:p>
      <w:pPr>
        <w:pStyle w:val="BodyText"/>
        <w:spacing w:line="316" w:lineRule="auto" w:before="139"/>
        <w:ind w:right="148" w:firstLine="360"/>
        <w:jc w:val="both"/>
      </w:pPr>
      <w:r>
        <w:rPr/>
        <w:t>经公司于</w:t>
      </w:r>
      <w:r>
        <w:rPr>
          <w:rFonts w:ascii="宋体" w:hAnsi="宋体" w:cs="宋体" w:eastAsia="宋体" w:hint="default"/>
        </w:rPr>
        <w:t>2007</w:t>
      </w:r>
      <w:r>
        <w:rPr/>
        <w:t>年</w:t>
      </w:r>
      <w:r>
        <w:rPr>
          <w:rFonts w:ascii="宋体" w:hAnsi="宋体" w:cs="宋体" w:eastAsia="宋体" w:hint="default"/>
        </w:rPr>
        <w:t>5</w:t>
      </w:r>
      <w:r>
        <w:rPr/>
        <w:t>月召开的</w:t>
      </w:r>
      <w:r>
        <w:rPr>
          <w:rFonts w:ascii="宋体" w:hAnsi="宋体" w:cs="宋体" w:eastAsia="宋体" w:hint="default"/>
        </w:rPr>
        <w:t>2006</w:t>
      </w:r>
      <w:r>
        <w:rPr/>
        <w:t>年度股东大会表决通过，公司按照</w:t>
      </w:r>
      <w:r>
        <w:rPr>
          <w:rFonts w:ascii="宋体" w:hAnsi="宋体" w:cs="宋体" w:eastAsia="宋体" w:hint="default"/>
        </w:rPr>
        <w:t>2006</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8,623.6687</w:t>
      </w:r>
      <w:r>
        <w:rPr/>
        <w:t>万元为基数， </w:t>
      </w:r>
      <w:r>
        <w:rPr>
          <w:spacing w:val="-3"/>
        </w:rPr>
        <w:t>按</w:t>
      </w:r>
      <w:r>
        <w:rPr>
          <w:rFonts w:ascii="宋体" w:hAnsi="宋体" w:cs="宋体" w:eastAsia="宋体" w:hint="default"/>
          <w:spacing w:val="-3"/>
        </w:rPr>
        <w:t>10</w:t>
      </w:r>
      <w:r>
        <w:rPr>
          <w:spacing w:val="-3"/>
        </w:rPr>
        <w:t>比</w:t>
      </w:r>
      <w:r>
        <w:rPr>
          <w:rFonts w:ascii="宋体" w:hAnsi="宋体" w:cs="宋体" w:eastAsia="宋体" w:hint="default"/>
          <w:spacing w:val="-3"/>
        </w:rPr>
        <w:t>5</w:t>
      </w:r>
      <w:r>
        <w:rPr>
          <w:spacing w:val="-3"/>
        </w:rPr>
        <w:t>的比例以资本公积转增股本，共增加股本</w:t>
      </w:r>
      <w:r>
        <w:rPr>
          <w:rFonts w:ascii="宋体" w:hAnsi="宋体" w:cs="宋体" w:eastAsia="宋体" w:hint="default"/>
          <w:spacing w:val="-3"/>
        </w:rPr>
        <w:t>4,311.8343</w:t>
      </w:r>
      <w:r>
        <w:rPr>
          <w:spacing w:val="-3"/>
        </w:rPr>
        <w:t>万元。该增资事项完成后，公司的股本增加为人民币</w:t>
      </w:r>
      <w:r>
        <w:rPr>
          <w:rFonts w:ascii="宋体" w:hAnsi="宋体" w:cs="宋体" w:eastAsia="宋体" w:hint="default"/>
          <w:spacing w:val="-3"/>
        </w:rPr>
        <w:t>12,935.503</w:t>
      </w:r>
      <w:r>
        <w:rPr>
          <w:rFonts w:ascii="宋体" w:hAnsi="宋体" w:cs="宋体" w:eastAsia="宋体" w:hint="default"/>
          <w:spacing w:val="-72"/>
        </w:rPr>
        <w:t> </w:t>
      </w:r>
      <w:r>
        <w:rPr>
          <w:rFonts w:ascii="宋体" w:hAnsi="宋体" w:cs="宋体" w:eastAsia="宋体" w:hint="default"/>
          <w:spacing w:val="-72"/>
        </w:rPr>
      </w:r>
      <w:r>
        <w:rPr/>
        <w:t>万元。</w:t>
      </w:r>
    </w:p>
    <w:p>
      <w:pPr>
        <w:pStyle w:val="BodyText"/>
        <w:spacing w:line="316" w:lineRule="auto" w:before="139"/>
        <w:ind w:right="148" w:firstLine="360"/>
        <w:jc w:val="both"/>
      </w:pP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月，根据公司</w:t>
      </w:r>
      <w:r>
        <w:rPr>
          <w:rFonts w:ascii="宋体" w:hAnsi="宋体" w:cs="宋体" w:eastAsia="宋体" w:hint="default"/>
          <w:spacing w:val="-2"/>
        </w:rPr>
        <w:t>2007</w:t>
      </w:r>
      <w:r>
        <w:rPr>
          <w:spacing w:val="-2"/>
        </w:rPr>
        <w:t>年第一次临时股东大会决议和修改后章程以及中国证券监督管理委员会于</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日下发</w:t>
      </w:r>
      <w:r>
        <w:rPr/>
        <w:t> 的《关于核准北京东华合创数码科技股份有限公司向秦劳、翟曙春、柏红、胡明炜、谢坤等</w:t>
      </w:r>
      <w:r>
        <w:rPr>
          <w:rFonts w:ascii="宋体" w:hAnsi="宋体" w:cs="宋体" w:eastAsia="宋体" w:hint="default"/>
        </w:rPr>
        <w:t>5</w:t>
      </w:r>
      <w:r>
        <w:rPr/>
        <w:t>人发行新股购买资产的批复》</w:t>
      </w:r>
    </w:p>
    <w:p>
      <w:pPr>
        <w:pStyle w:val="BodyText"/>
        <w:spacing w:line="316" w:lineRule="auto" w:before="19"/>
        <w:ind w:right="150"/>
        <w:jc w:val="both"/>
      </w:pPr>
      <w:r>
        <w:rPr>
          <w:spacing w:val="-5"/>
        </w:rPr>
        <w:t>（文号为“证监许可</w:t>
      </w:r>
      <w:r>
        <w:rPr>
          <w:rFonts w:ascii="宋体" w:hAnsi="宋体" w:cs="宋体" w:eastAsia="宋体" w:hint="default"/>
          <w:spacing w:val="-5"/>
        </w:rPr>
        <w:t>[2008]78</w:t>
      </w:r>
      <w:r>
        <w:rPr>
          <w:spacing w:val="-5"/>
        </w:rPr>
        <w:t>号”）的规定，公司申请增加注册资本人民币</w:t>
      </w:r>
      <w:r>
        <w:rPr>
          <w:spacing w:val="18"/>
        </w:rPr>
        <w:t> </w:t>
      </w:r>
      <w:r>
        <w:rPr>
          <w:rFonts w:ascii="宋体" w:hAnsi="宋体" w:cs="宋体" w:eastAsia="宋体" w:hint="default"/>
          <w:spacing w:val="-4"/>
        </w:rPr>
        <w:t>1,264</w:t>
      </w:r>
      <w:r>
        <w:rPr>
          <w:spacing w:val="-4"/>
        </w:rPr>
        <w:t>万元，划分为每股人民币</w:t>
      </w:r>
      <w:r>
        <w:rPr>
          <w:rFonts w:ascii="宋体" w:hAnsi="宋体" w:cs="宋体" w:eastAsia="宋体" w:hint="default"/>
          <w:spacing w:val="-4"/>
        </w:rPr>
        <w:t>1</w:t>
      </w:r>
      <w:r>
        <w:rPr>
          <w:spacing w:val="-4"/>
        </w:rPr>
        <w:t>元的普通股</w:t>
      </w:r>
      <w:r>
        <w:rPr>
          <w:rFonts w:ascii="宋体" w:hAnsi="宋体" w:cs="宋体" w:eastAsia="宋体" w:hint="default"/>
          <w:spacing w:val="-4"/>
        </w:rPr>
        <w:t>1,264</w:t>
      </w:r>
      <w:r>
        <w:rPr>
          <w:rFonts w:ascii="宋体" w:hAnsi="宋体" w:cs="宋体" w:eastAsia="宋体" w:hint="default"/>
          <w:spacing w:val="-87"/>
        </w:rPr>
        <w:t> </w:t>
      </w:r>
      <w:r>
        <w:rPr>
          <w:rFonts w:ascii="宋体" w:hAnsi="宋体" w:cs="宋体" w:eastAsia="宋体" w:hint="default"/>
          <w:spacing w:val="-87"/>
        </w:rPr>
      </w:r>
      <w:r>
        <w:rPr>
          <w:spacing w:val="-2"/>
        </w:rPr>
        <w:t>万股，由自然人秦劳、翟曙春、柏红、胡明炜、谢坤等五人以所持有的北京联银通科技有限公司的股权认购，变更后的注册</w:t>
      </w:r>
      <w:r>
        <w:rPr>
          <w:spacing w:val="-68"/>
        </w:rPr>
        <w:t> </w:t>
      </w:r>
      <w:r>
        <w:rPr>
          <w:spacing w:val="-68"/>
        </w:rPr>
      </w:r>
      <w:r>
        <w:rPr/>
        <w:t>资本为人民币</w:t>
      </w:r>
      <w:r>
        <w:rPr>
          <w:rFonts w:ascii="宋体" w:hAnsi="宋体" w:cs="宋体" w:eastAsia="宋体" w:hint="default"/>
        </w:rPr>
        <w:t>14,199.503</w:t>
      </w:r>
      <w:r>
        <w:rPr/>
        <w:t>万元。经过上述股份变更事项后，公司股本为人民币</w:t>
      </w:r>
      <w:r>
        <w:rPr>
          <w:rFonts w:ascii="宋体" w:hAnsi="宋体" w:cs="宋体" w:eastAsia="宋体" w:hint="default"/>
        </w:rPr>
        <w:t>14,199.503</w:t>
      </w:r>
      <w:r>
        <w:rPr/>
        <w:t>万元。</w:t>
      </w:r>
    </w:p>
    <w:p>
      <w:pPr>
        <w:pStyle w:val="BodyText"/>
        <w:spacing w:line="316" w:lineRule="auto" w:before="139"/>
        <w:ind w:right="146" w:firstLine="360"/>
        <w:jc w:val="both"/>
      </w:pPr>
      <w:r>
        <w:rPr>
          <w:spacing w:val="-2"/>
        </w:rPr>
        <w:t>经公司于</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月召开的</w:t>
      </w:r>
      <w:r>
        <w:rPr>
          <w:rFonts w:ascii="宋体" w:hAnsi="宋体" w:cs="宋体" w:eastAsia="宋体" w:hint="default"/>
          <w:spacing w:val="-2"/>
        </w:rPr>
        <w:t>2007</w:t>
      </w:r>
      <w:r>
        <w:rPr>
          <w:spacing w:val="-2"/>
        </w:rPr>
        <w:t>年度股东大会表决通过，公司按照</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日的股份总额</w:t>
      </w:r>
      <w:r>
        <w:rPr>
          <w:spacing w:val="18"/>
        </w:rPr>
        <w:t> </w:t>
      </w:r>
      <w:r>
        <w:rPr>
          <w:rFonts w:ascii="宋体" w:hAnsi="宋体" w:cs="宋体" w:eastAsia="宋体" w:hint="default"/>
          <w:spacing w:val="-1"/>
        </w:rPr>
        <w:t>12,935.503</w:t>
      </w:r>
      <w:r>
        <w:rPr>
          <w:spacing w:val="-1"/>
        </w:rPr>
        <w:t>万股及向自然</w:t>
      </w:r>
      <w:r>
        <w:rPr/>
        <w:t> </w:t>
      </w:r>
      <w:r>
        <w:rPr>
          <w:spacing w:val="-2"/>
        </w:rPr>
        <w:t>人秦劳、翟曙春、柏红、胡明炜、谢坤等五人定向增发</w:t>
      </w:r>
      <w:r>
        <w:rPr>
          <w:rFonts w:ascii="宋体" w:hAnsi="宋体" w:cs="宋体" w:eastAsia="宋体" w:hint="default"/>
          <w:spacing w:val="-2"/>
        </w:rPr>
        <w:t>1,264</w:t>
      </w:r>
      <w:r>
        <w:rPr>
          <w:spacing w:val="-2"/>
        </w:rPr>
        <w:t>万股共计</w:t>
      </w:r>
      <w:r>
        <w:rPr>
          <w:rFonts w:ascii="宋体" w:hAnsi="宋体" w:cs="宋体" w:eastAsia="宋体" w:hint="default"/>
          <w:spacing w:val="-2"/>
        </w:rPr>
        <w:t>14,199.503</w:t>
      </w:r>
      <w:r>
        <w:rPr>
          <w:spacing w:val="-2"/>
        </w:rPr>
        <w:t>万股为基数，以资本公积按</w:t>
      </w:r>
      <w:r>
        <w:rPr>
          <w:rFonts w:ascii="宋体" w:hAnsi="宋体" w:cs="宋体" w:eastAsia="宋体" w:hint="default"/>
          <w:spacing w:val="-2"/>
        </w:rPr>
        <w:t>10:10</w:t>
      </w:r>
      <w:r>
        <w:rPr>
          <w:spacing w:val="-2"/>
        </w:rPr>
        <w:t>的比例向</w:t>
      </w:r>
      <w:r>
        <w:rPr>
          <w:spacing w:val="-49"/>
        </w:rPr>
        <w:t> </w:t>
      </w:r>
      <w:r>
        <w:rPr>
          <w:spacing w:val="-49"/>
        </w:rPr>
      </w:r>
      <w:r>
        <w:rPr/>
        <w:t>全体股东转增股本，共增加股本</w:t>
      </w:r>
      <w:r>
        <w:rPr>
          <w:rFonts w:ascii="宋体" w:hAnsi="宋体" w:cs="宋体" w:eastAsia="宋体" w:hint="default"/>
        </w:rPr>
        <w:t>14,199.503</w:t>
      </w:r>
      <w:r>
        <w:rPr/>
        <w:t>万元。该增资事项完成后，公司的股本增加为人民币</w:t>
      </w:r>
      <w:r>
        <w:rPr>
          <w:spacing w:val="-4"/>
        </w:rPr>
        <w:t> </w:t>
      </w:r>
      <w:r>
        <w:rPr>
          <w:rFonts w:ascii="宋体" w:hAnsi="宋体" w:cs="宋体" w:eastAsia="宋体" w:hint="default"/>
        </w:rPr>
        <w:t>28,399.006</w:t>
      </w:r>
      <w:r>
        <w:rPr/>
        <w:t>万元。</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88" w:firstLine="360"/>
        <w:jc w:val="both"/>
      </w:pPr>
      <w:r>
        <w:rPr/>
        <w:t>经公司于</w:t>
      </w:r>
      <w:r>
        <w:rPr>
          <w:rFonts w:ascii="宋体" w:hAnsi="宋体" w:cs="宋体" w:eastAsia="宋体" w:hint="default"/>
        </w:rPr>
        <w:t>2009</w:t>
      </w:r>
      <w:r>
        <w:rPr/>
        <w:t>年</w:t>
      </w:r>
      <w:r>
        <w:rPr>
          <w:rFonts w:ascii="宋体" w:hAnsi="宋体" w:cs="宋体" w:eastAsia="宋体" w:hint="default"/>
        </w:rPr>
        <w:t>5</w:t>
      </w:r>
      <w:r>
        <w:rPr/>
        <w:t>月召开的</w:t>
      </w:r>
      <w:r>
        <w:rPr>
          <w:rFonts w:ascii="宋体" w:hAnsi="宋体" w:cs="宋体" w:eastAsia="宋体" w:hint="default"/>
        </w:rPr>
        <w:t>2008</w:t>
      </w:r>
      <w:r>
        <w:rPr/>
        <w:t>年度股东大会表决通过，公司按照</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28,399.006</w:t>
      </w:r>
      <w:r>
        <w:rPr/>
        <w:t>万元为基数， </w:t>
      </w:r>
      <w:r>
        <w:rPr>
          <w:spacing w:val="-2"/>
        </w:rPr>
        <w:t>按</w:t>
      </w:r>
      <w:r>
        <w:rPr>
          <w:rFonts w:ascii="宋体" w:hAnsi="宋体" w:cs="宋体" w:eastAsia="宋体" w:hint="default"/>
          <w:spacing w:val="-2"/>
        </w:rPr>
        <w:t>10</w:t>
      </w:r>
      <w:r>
        <w:rPr>
          <w:spacing w:val="-2"/>
        </w:rPr>
        <w:t>比</w:t>
      </w:r>
      <w:r>
        <w:rPr>
          <w:rFonts w:ascii="宋体" w:hAnsi="宋体" w:cs="宋体" w:eastAsia="宋体" w:hint="default"/>
          <w:spacing w:val="-2"/>
        </w:rPr>
        <w:t>3</w:t>
      </w:r>
      <w:r>
        <w:rPr>
          <w:spacing w:val="-2"/>
        </w:rPr>
        <w:t>的比例以资本公积转增股本，按</w:t>
      </w:r>
      <w:r>
        <w:rPr>
          <w:rFonts w:ascii="宋体" w:hAnsi="宋体" w:cs="宋体" w:eastAsia="宋体" w:hint="default"/>
          <w:spacing w:val="-2"/>
        </w:rPr>
        <w:t>10</w:t>
      </w:r>
      <w:r>
        <w:rPr>
          <w:spacing w:val="-2"/>
        </w:rPr>
        <w:t>比</w:t>
      </w:r>
      <w:r>
        <w:rPr>
          <w:rFonts w:ascii="宋体" w:hAnsi="宋体" w:cs="宋体" w:eastAsia="宋体" w:hint="default"/>
          <w:spacing w:val="-2"/>
        </w:rPr>
        <w:t>2</w:t>
      </w:r>
      <w:r>
        <w:rPr>
          <w:spacing w:val="-2"/>
        </w:rPr>
        <w:t>的比例向公司的全体股东派送红股，共增加股本</w:t>
      </w:r>
      <w:r>
        <w:rPr>
          <w:rFonts w:ascii="宋体" w:hAnsi="宋体" w:cs="宋体" w:eastAsia="宋体" w:hint="default"/>
          <w:spacing w:val="-2"/>
        </w:rPr>
        <w:t>14,199.503</w:t>
      </w:r>
      <w:r>
        <w:rPr>
          <w:spacing w:val="-2"/>
        </w:rPr>
        <w:t>万元。该增资事项</w:t>
      </w:r>
      <w:r>
        <w:rPr>
          <w:spacing w:val="-54"/>
        </w:rPr>
        <w:t> </w:t>
      </w:r>
      <w:r>
        <w:rPr>
          <w:spacing w:val="-54"/>
        </w:rPr>
      </w:r>
      <w:r>
        <w:rPr/>
        <w:t>完成后，公司的股本增加为人民币</w:t>
      </w:r>
      <w:r>
        <w:rPr>
          <w:rFonts w:ascii="宋体" w:hAnsi="宋体" w:cs="宋体" w:eastAsia="宋体" w:hint="default"/>
        </w:rPr>
        <w:t>42,598.509</w:t>
      </w:r>
      <w:r>
        <w:rPr/>
        <w:t>万元。</w:t>
      </w:r>
    </w:p>
    <w:p>
      <w:pPr>
        <w:pStyle w:val="BodyText"/>
        <w:spacing w:line="316" w:lineRule="auto" w:before="137"/>
        <w:ind w:right="193" w:firstLine="360"/>
        <w:jc w:val="both"/>
      </w:pP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12</w:t>
      </w:r>
      <w:r>
        <w:rPr/>
        <w:t>日，经北京市工商行政管理局核准变更登记，公司名称由“北京东华合创数码科技股份有限公司”变更为 “东华软件股份公司”。</w:t>
      </w:r>
    </w:p>
    <w:p>
      <w:pPr>
        <w:pStyle w:val="BodyText"/>
        <w:spacing w:line="316" w:lineRule="auto" w:before="139"/>
        <w:ind w:right="189" w:firstLine="360"/>
        <w:jc w:val="both"/>
      </w:pPr>
      <w:r>
        <w:rPr>
          <w:spacing w:val="-4"/>
        </w:rPr>
        <w:t>根据中国证券监督管理委员会于</w:t>
      </w:r>
      <w:r>
        <w:rPr>
          <w:rFonts w:ascii="宋体" w:hAnsi="宋体" w:cs="宋体" w:eastAsia="宋体" w:hint="default"/>
          <w:spacing w:val="-4"/>
        </w:rPr>
        <w:t>2011</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18</w:t>
      </w:r>
      <w:r>
        <w:rPr>
          <w:spacing w:val="-4"/>
        </w:rPr>
        <w:t>日下发的《关于核准东华软件股份公司发行股份购买资产的批复》（文号：</w:t>
      </w:r>
      <w:r>
        <w:rPr/>
        <w:t> </w:t>
      </w:r>
      <w:r>
        <w:rPr>
          <w:spacing w:val="-2"/>
        </w:rPr>
        <w:t>“证监许可</w:t>
      </w:r>
      <w:r>
        <w:rPr>
          <w:rFonts w:ascii="宋体" w:hAnsi="宋体" w:cs="宋体" w:eastAsia="宋体" w:hint="default"/>
          <w:spacing w:val="-2"/>
        </w:rPr>
        <w:t>[2011]96</w:t>
      </w:r>
      <w:r>
        <w:rPr>
          <w:spacing w:val="-2"/>
        </w:rPr>
        <w:t>号”）的规定，按照公司与北京神州新桥科技有限公司自然人股东张秀珍、张建华、江海标、王佺、吕</w:t>
      </w:r>
      <w:r>
        <w:rPr>
          <w:spacing w:val="-66"/>
        </w:rPr>
        <w:t> </w:t>
      </w:r>
      <w:r>
        <w:rPr>
          <w:spacing w:val="-66"/>
        </w:rPr>
      </w:r>
      <w:r>
        <w:rPr>
          <w:spacing w:val="-2"/>
        </w:rPr>
        <w:t>兴海五人确定的交易价格</w:t>
      </w:r>
      <w:r>
        <w:rPr>
          <w:rFonts w:ascii="宋体" w:hAnsi="宋体" w:cs="宋体" w:eastAsia="宋体" w:hint="default"/>
          <w:spacing w:val="-2"/>
        </w:rPr>
        <w:t>32,000</w:t>
      </w:r>
      <w:r>
        <w:rPr>
          <w:spacing w:val="-2"/>
        </w:rPr>
        <w:t>万元，公司以</w:t>
      </w:r>
      <w:r>
        <w:rPr>
          <w:rFonts w:ascii="宋体" w:hAnsi="宋体" w:cs="宋体" w:eastAsia="宋体" w:hint="default"/>
          <w:spacing w:val="-2"/>
        </w:rPr>
        <w:t>19.63</w:t>
      </w:r>
      <w:r>
        <w:rPr>
          <w:spacing w:val="-2"/>
        </w:rPr>
        <w:t>元</w:t>
      </w:r>
      <w:r>
        <w:rPr>
          <w:rFonts w:ascii="宋体" w:hAnsi="宋体" w:cs="宋体" w:eastAsia="宋体" w:hint="default"/>
          <w:spacing w:val="-2"/>
        </w:rPr>
        <w:t>/</w:t>
      </w:r>
      <w:r>
        <w:rPr>
          <w:spacing w:val="-2"/>
        </w:rPr>
        <w:t>股的价格向张秀珍、张建华、江海标、王佺、吕兴海五人合计发行股</w:t>
      </w:r>
      <w:r>
        <w:rPr>
          <w:spacing w:val="-58"/>
        </w:rPr>
        <w:t> </w:t>
      </w:r>
      <w:r>
        <w:rPr>
          <w:spacing w:val="-58"/>
        </w:rPr>
      </w:r>
      <w:r>
        <w:rPr>
          <w:spacing w:val="-2"/>
        </w:rPr>
        <w:t>份</w:t>
      </w:r>
      <w:r>
        <w:rPr>
          <w:rFonts w:ascii="宋体" w:hAnsi="宋体" w:cs="宋体" w:eastAsia="宋体" w:hint="default"/>
          <w:spacing w:val="-2"/>
        </w:rPr>
        <w:t>16,301,577</w:t>
      </w:r>
      <w:r>
        <w:rPr>
          <w:spacing w:val="-2"/>
        </w:rPr>
        <w:t>股，作为公司收购北京神州新桥科技有限公司</w:t>
      </w:r>
      <w:r>
        <w:rPr>
          <w:rFonts w:ascii="宋体" w:hAnsi="宋体" w:cs="宋体" w:eastAsia="宋体" w:hint="default"/>
          <w:spacing w:val="-2"/>
        </w:rPr>
        <w:t>100%</w:t>
      </w:r>
      <w:r>
        <w:rPr>
          <w:spacing w:val="-2"/>
        </w:rPr>
        <w:t>股权的支付对价。根据中登深圳分公司出具的《证券登记确</w:t>
      </w:r>
      <w:r>
        <w:rPr>
          <w:spacing w:val="-55"/>
        </w:rPr>
        <w:t> </w:t>
      </w:r>
      <w:r>
        <w:rPr>
          <w:spacing w:val="-55"/>
        </w:rPr>
      </w:r>
      <w:r>
        <w:rPr>
          <w:spacing w:val="-5"/>
        </w:rPr>
        <w:t>认书》，公司于</w:t>
      </w:r>
      <w:r>
        <w:rPr>
          <w:rFonts w:ascii="宋体" w:hAnsi="宋体" w:cs="宋体" w:eastAsia="宋体" w:hint="default"/>
          <w:spacing w:val="-5"/>
        </w:rPr>
        <w:t>2011</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17</w:t>
      </w:r>
      <w:r>
        <w:rPr>
          <w:spacing w:val="-5"/>
        </w:rPr>
        <w:t>日办理完毕本次发行股份的证券登记。经过上述股份变更事项后，公司股本为人民币</w:t>
      </w:r>
      <w:r>
        <w:rPr>
          <w:rFonts w:ascii="宋体" w:hAnsi="宋体" w:cs="宋体" w:eastAsia="宋体" w:hint="default"/>
          <w:spacing w:val="-5"/>
        </w:rPr>
        <w:t>44,228.6667</w:t>
      </w:r>
      <w:r>
        <w:rPr>
          <w:rFonts w:ascii="宋体" w:hAnsi="宋体" w:cs="宋体" w:eastAsia="宋体" w:hint="default"/>
          <w:spacing w:val="-39"/>
        </w:rPr>
        <w:t> </w:t>
      </w:r>
      <w:r>
        <w:rPr>
          <w:rFonts w:ascii="宋体" w:hAnsi="宋体" w:cs="宋体" w:eastAsia="宋体" w:hint="default"/>
          <w:spacing w:val="-39"/>
        </w:rPr>
      </w:r>
      <w:r>
        <w:rPr/>
        <w:t>万元。</w:t>
      </w:r>
    </w:p>
    <w:p>
      <w:pPr>
        <w:pStyle w:val="BodyText"/>
        <w:spacing w:line="319" w:lineRule="auto" w:before="139"/>
        <w:ind w:right="191" w:firstLine="360"/>
        <w:jc w:val="both"/>
      </w:pPr>
      <w:r>
        <w:rPr/>
        <w:t>经公司于</w:t>
      </w:r>
      <w:r>
        <w:rPr>
          <w:rFonts w:ascii="宋体" w:hAnsi="宋体" w:cs="宋体" w:eastAsia="宋体" w:hint="default"/>
        </w:rPr>
        <w:t>2011</w:t>
      </w:r>
      <w:r>
        <w:rPr/>
        <w:t>年</w:t>
      </w:r>
      <w:r>
        <w:rPr>
          <w:rFonts w:ascii="宋体" w:hAnsi="宋体" w:cs="宋体" w:eastAsia="宋体" w:hint="default"/>
        </w:rPr>
        <w:t>05</w:t>
      </w:r>
      <w:r>
        <w:rPr/>
        <w:t>月</w:t>
      </w:r>
      <w:r>
        <w:rPr>
          <w:rFonts w:ascii="宋体" w:hAnsi="宋体" w:cs="宋体" w:eastAsia="宋体" w:hint="default"/>
        </w:rPr>
        <w:t>18</w:t>
      </w:r>
      <w:r>
        <w:rPr/>
        <w:t>日召开的公司</w:t>
      </w:r>
      <w:r>
        <w:rPr>
          <w:rFonts w:ascii="宋体" w:hAnsi="宋体" w:cs="宋体" w:eastAsia="宋体" w:hint="default"/>
        </w:rPr>
        <w:t>2010</w:t>
      </w:r>
      <w:r>
        <w:rPr/>
        <w:t>年度股东大会表决通过，以公司总股本</w:t>
      </w:r>
      <w:r>
        <w:rPr>
          <w:rFonts w:ascii="宋体" w:hAnsi="宋体" w:cs="宋体" w:eastAsia="宋体" w:hint="default"/>
        </w:rPr>
        <w:t>442,286,667</w:t>
      </w:r>
      <w:r>
        <w:rPr/>
        <w:t>股为基数，向全体股东每 </w:t>
      </w:r>
      <w:r>
        <w:rPr>
          <w:rFonts w:ascii="宋体" w:hAnsi="宋体" w:cs="宋体" w:eastAsia="宋体" w:hint="default"/>
        </w:rPr>
        <w:t>10</w:t>
      </w:r>
      <w:r>
        <w:rPr/>
        <w:t>股送</w:t>
      </w:r>
      <w:r>
        <w:rPr>
          <w:rFonts w:ascii="宋体" w:hAnsi="宋体" w:cs="宋体" w:eastAsia="宋体" w:hint="default"/>
        </w:rPr>
        <w:t>2</w:t>
      </w:r>
      <w:r>
        <w:rPr/>
        <w:t>股红股，共增加股本</w:t>
      </w:r>
      <w:r>
        <w:rPr>
          <w:rFonts w:ascii="宋体" w:hAnsi="宋体" w:cs="宋体" w:eastAsia="宋体" w:hint="default"/>
        </w:rPr>
        <w:t>8,845.7333</w:t>
      </w:r>
      <w:r>
        <w:rPr/>
        <w:t>万元，变更后公司股本为人民币</w:t>
      </w:r>
      <w:r>
        <w:rPr>
          <w:rFonts w:ascii="宋体" w:hAnsi="宋体" w:cs="宋体" w:eastAsia="宋体" w:hint="default"/>
        </w:rPr>
        <w:t>53,074.4</w:t>
      </w:r>
      <w:r>
        <w:rPr/>
        <w:t>万元。</w:t>
      </w:r>
    </w:p>
    <w:p>
      <w:pPr>
        <w:pStyle w:val="BodyText"/>
        <w:spacing w:line="316" w:lineRule="auto" w:before="137"/>
        <w:ind w:right="188" w:firstLine="360"/>
        <w:jc w:val="both"/>
      </w:pPr>
      <w:r>
        <w:rPr>
          <w:spacing w:val="-2"/>
        </w:rPr>
        <w:t>经公司于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日召开的公司</w:t>
      </w:r>
      <w:r>
        <w:rPr>
          <w:rFonts w:ascii="宋体" w:hAnsi="宋体" w:cs="宋体" w:eastAsia="宋体" w:hint="default"/>
          <w:spacing w:val="-2"/>
        </w:rPr>
        <w:t>2011</w:t>
      </w:r>
      <w:r>
        <w:rPr>
          <w:spacing w:val="-2"/>
        </w:rPr>
        <w:t>年度股东大会表决通过，以公司总股本</w:t>
      </w:r>
      <w:r>
        <w:rPr>
          <w:rFonts w:ascii="宋体" w:hAnsi="宋体" w:cs="宋体" w:eastAsia="宋体" w:hint="default"/>
          <w:spacing w:val="-2"/>
        </w:rPr>
        <w:t>530,744,000</w:t>
      </w:r>
      <w:r>
        <w:rPr>
          <w:spacing w:val="-2"/>
        </w:rPr>
        <w:t>股为基数，向全体股东每</w:t>
      </w:r>
      <w:r>
        <w:rPr>
          <w:rFonts w:ascii="宋体" w:hAnsi="宋体" w:cs="宋体" w:eastAsia="宋体" w:hint="default"/>
          <w:spacing w:val="-2"/>
        </w:rPr>
        <w:t>10</w:t>
      </w:r>
      <w:r>
        <w:rPr>
          <w:rFonts w:ascii="宋体" w:hAnsi="宋体" w:cs="宋体" w:eastAsia="宋体" w:hint="default"/>
          <w:spacing w:val="1"/>
        </w:rPr>
        <w:t> </w:t>
      </w:r>
      <w:r>
        <w:rPr/>
        <w:t>股送</w:t>
      </w:r>
      <w:r>
        <w:rPr>
          <w:rFonts w:ascii="宋体" w:hAnsi="宋体" w:cs="宋体" w:eastAsia="宋体" w:hint="default"/>
        </w:rPr>
        <w:t>3</w:t>
      </w:r>
      <w:r>
        <w:rPr/>
        <w:t>股红股，共增加股本</w:t>
      </w:r>
      <w:r>
        <w:rPr>
          <w:rFonts w:ascii="宋体" w:hAnsi="宋体" w:cs="宋体" w:eastAsia="宋体" w:hint="default"/>
        </w:rPr>
        <w:t>15,922.32</w:t>
      </w:r>
      <w:r>
        <w:rPr/>
        <w:t>万元，变更后公司股本为人民币</w:t>
      </w:r>
      <w:r>
        <w:rPr>
          <w:rFonts w:ascii="宋体" w:hAnsi="宋体" w:cs="宋体" w:eastAsia="宋体" w:hint="default"/>
        </w:rPr>
        <w:t>68,996.72</w:t>
      </w:r>
      <w:r>
        <w:rPr/>
        <w:t>万元。</w:t>
      </w:r>
    </w:p>
    <w:p>
      <w:pPr>
        <w:pStyle w:val="BodyText"/>
        <w:spacing w:line="316" w:lineRule="auto" w:before="139"/>
        <w:ind w:right="194" w:firstLine="360"/>
        <w:jc w:val="both"/>
      </w:pPr>
      <w:r>
        <w:rPr/>
        <w:t>根据公司股票期权激励计划的规定，</w:t>
      </w:r>
      <w:r>
        <w:rPr>
          <w:rFonts w:ascii="宋体" w:hAnsi="宋体" w:cs="宋体" w:eastAsia="宋体" w:hint="default"/>
        </w:rPr>
        <w:t>2013</w:t>
      </w:r>
      <w:r>
        <w:rPr/>
        <w:t>年</w:t>
      </w:r>
      <w:r>
        <w:rPr>
          <w:rFonts w:ascii="宋体" w:hAnsi="宋体" w:cs="宋体" w:eastAsia="宋体" w:hint="default"/>
        </w:rPr>
        <w:t>11</w:t>
      </w:r>
      <w:r>
        <w:rPr/>
        <w:t>月公司股票期权激励计划第一期行权的</w:t>
      </w:r>
      <w:r>
        <w:rPr>
          <w:rFonts w:ascii="宋体" w:hAnsi="宋体" w:cs="宋体" w:eastAsia="宋体" w:hint="default"/>
        </w:rPr>
        <w:t>432</w:t>
      </w:r>
      <w:r>
        <w:rPr/>
        <w:t>名激励对象缴纳出资增加注册 资本</w:t>
      </w:r>
      <w:r>
        <w:rPr>
          <w:rFonts w:ascii="宋体" w:hAnsi="宋体" w:cs="宋体" w:eastAsia="宋体" w:hint="default"/>
        </w:rPr>
        <w:t>4,336,410.00</w:t>
      </w:r>
      <w:r>
        <w:rPr/>
        <w:t>元，变更后公司股本为人民币</w:t>
      </w:r>
      <w:r>
        <w:rPr>
          <w:rFonts w:ascii="宋体" w:hAnsi="宋体" w:cs="宋体" w:eastAsia="宋体" w:hint="default"/>
        </w:rPr>
        <w:t>694,303,610</w:t>
      </w:r>
      <w:r>
        <w:rPr/>
        <w:t>元。</w:t>
      </w:r>
    </w:p>
    <w:p>
      <w:pPr>
        <w:pStyle w:val="BodyText"/>
        <w:spacing w:line="316" w:lineRule="auto" w:before="139"/>
        <w:ind w:right="188" w:firstLine="360"/>
        <w:jc w:val="both"/>
      </w:pPr>
      <w:r>
        <w:rPr/>
        <w:t>根据公司股票期权激励计划的规定，</w:t>
      </w:r>
      <w:r>
        <w:rPr>
          <w:rFonts w:ascii="宋体" w:hAnsi="宋体" w:cs="宋体" w:eastAsia="宋体" w:hint="default"/>
        </w:rPr>
        <w:t>2014</w:t>
      </w:r>
      <w:r>
        <w:rPr/>
        <w:t>年</w:t>
      </w:r>
      <w:r>
        <w:rPr>
          <w:rFonts w:ascii="宋体" w:hAnsi="宋体" w:cs="宋体" w:eastAsia="宋体" w:hint="default"/>
        </w:rPr>
        <w:t>1</w:t>
      </w:r>
      <w:r>
        <w:rPr/>
        <w:t>月股票期权激励计划第一期行权的</w:t>
      </w:r>
      <w:r>
        <w:rPr>
          <w:rFonts w:ascii="宋体" w:hAnsi="宋体" w:cs="宋体" w:eastAsia="宋体" w:hint="default"/>
        </w:rPr>
        <w:t>1</w:t>
      </w:r>
      <w:r>
        <w:rPr/>
        <w:t>名激励对象和第二期行权的</w:t>
      </w:r>
      <w:r>
        <w:rPr>
          <w:rFonts w:ascii="宋体" w:hAnsi="宋体" w:cs="宋体" w:eastAsia="宋体" w:hint="default"/>
        </w:rPr>
        <w:t>339</w:t>
      </w:r>
      <w:r>
        <w:rPr/>
        <w:t>名激励 对象出资增加注册资本</w:t>
      </w:r>
      <w:r>
        <w:rPr>
          <w:rFonts w:ascii="宋体" w:hAnsi="宋体" w:cs="宋体" w:eastAsia="宋体" w:hint="default"/>
        </w:rPr>
        <w:t>4,295,460.00</w:t>
      </w:r>
      <w:r>
        <w:rPr/>
        <w:t>元，变更后公司股本为人民币</w:t>
      </w:r>
      <w:r>
        <w:rPr>
          <w:rFonts w:ascii="宋体" w:hAnsi="宋体" w:cs="宋体" w:eastAsia="宋体" w:hint="default"/>
        </w:rPr>
        <w:t>698,599,070</w:t>
      </w:r>
      <w:r>
        <w:rPr/>
        <w:t>元。</w:t>
      </w:r>
    </w:p>
    <w:p>
      <w:pPr>
        <w:pStyle w:val="BodyText"/>
        <w:spacing w:line="240" w:lineRule="auto" w:before="139"/>
        <w:ind w:left="513" w:right="94"/>
        <w:jc w:val="left"/>
      </w:pPr>
      <w:r>
        <w:rPr/>
        <w:t>经中国证券监督管理委员会证监许可</w:t>
      </w:r>
      <w:r>
        <w:rPr>
          <w:rFonts w:ascii="宋体" w:hAnsi="宋体" w:cs="宋体" w:eastAsia="宋体" w:hint="default"/>
        </w:rPr>
        <w:t>[2013]845</w:t>
      </w:r>
      <w:r>
        <w:rPr/>
        <w:t>号文核准，公司于 </w:t>
      </w:r>
      <w:r>
        <w:rPr>
          <w:rFonts w:ascii="宋体" w:hAnsi="宋体" w:cs="宋体" w:eastAsia="宋体" w:hint="default"/>
        </w:rPr>
        <w:t>2013 </w:t>
      </w:r>
      <w:r>
        <w:rPr/>
        <w:t>年 </w:t>
      </w:r>
      <w:r>
        <w:rPr>
          <w:rFonts w:ascii="宋体" w:hAnsi="宋体" w:cs="宋体" w:eastAsia="宋体" w:hint="default"/>
        </w:rPr>
        <w:t>7 </w:t>
      </w:r>
      <w:r>
        <w:rPr/>
        <w:t>月 </w:t>
      </w:r>
      <w:r>
        <w:rPr>
          <w:rFonts w:ascii="宋体" w:hAnsi="宋体" w:cs="宋体" w:eastAsia="宋体" w:hint="default"/>
        </w:rPr>
        <w:t>26 </w:t>
      </w:r>
      <w:r>
        <w:rPr/>
        <w:t>日公开发行了 </w:t>
      </w:r>
      <w:r>
        <w:rPr>
          <w:rFonts w:ascii="宋体" w:hAnsi="宋体" w:cs="宋体" w:eastAsia="宋体" w:hint="default"/>
        </w:rPr>
        <w:t>1,000 </w:t>
      </w:r>
      <w:r>
        <w:rPr/>
        <w:t>万张可转换</w:t>
      </w:r>
    </w:p>
    <w:p>
      <w:pPr>
        <w:pStyle w:val="BodyText"/>
        <w:spacing w:line="319" w:lineRule="auto" w:before="76"/>
        <w:ind w:right="190"/>
        <w:jc w:val="both"/>
      </w:pPr>
      <w:r>
        <w:rPr/>
        <w:t>公司债券，每张面值 </w:t>
      </w:r>
      <w:r>
        <w:rPr>
          <w:rFonts w:ascii="宋体" w:hAnsi="宋体" w:cs="宋体" w:eastAsia="宋体" w:hint="default"/>
        </w:rPr>
        <w:t>100</w:t>
      </w:r>
      <w:r>
        <w:rPr/>
        <w:t>元，发行总额</w:t>
      </w:r>
      <w:r>
        <w:rPr>
          <w:rFonts w:ascii="宋体" w:hAnsi="宋体" w:cs="宋体" w:eastAsia="宋体" w:hint="default"/>
        </w:rPr>
        <w:t>100,000</w:t>
      </w:r>
      <w:r>
        <w:rPr/>
        <w:t>万元。转股起止日：</w:t>
      </w:r>
      <w:r>
        <w:rPr>
          <w:rFonts w:ascii="宋体" w:hAnsi="宋体" w:cs="宋体" w:eastAsia="宋体" w:hint="default"/>
        </w:rPr>
        <w:t>2014 </w:t>
      </w:r>
      <w:r>
        <w:rPr/>
        <w:t>年 </w:t>
      </w:r>
      <w:r>
        <w:rPr>
          <w:rFonts w:ascii="宋体" w:hAnsi="宋体" w:cs="宋体" w:eastAsia="宋体" w:hint="default"/>
        </w:rPr>
        <w:t>2 </w:t>
      </w:r>
      <w:r>
        <w:rPr/>
        <w:t>月 </w:t>
      </w:r>
      <w:r>
        <w:rPr>
          <w:rFonts w:ascii="宋体" w:hAnsi="宋体" w:cs="宋体" w:eastAsia="宋体" w:hint="default"/>
        </w:rPr>
        <w:t>7 </w:t>
      </w:r>
      <w:r>
        <w:rPr/>
        <w:t>日至 </w:t>
      </w:r>
      <w:r>
        <w:rPr>
          <w:rFonts w:ascii="宋体" w:hAnsi="宋体" w:cs="宋体" w:eastAsia="宋体" w:hint="default"/>
        </w:rPr>
        <w:t>2019 </w:t>
      </w:r>
      <w:r>
        <w:rPr/>
        <w:t>年 </w:t>
      </w:r>
      <w:r>
        <w:rPr>
          <w:rFonts w:ascii="宋体" w:hAnsi="宋体" w:cs="宋体" w:eastAsia="宋体" w:hint="default"/>
        </w:rPr>
        <w:t>7 </w:t>
      </w:r>
      <w:r>
        <w:rPr/>
        <w:t>月 </w:t>
      </w:r>
      <w:r>
        <w:rPr>
          <w:rFonts w:ascii="宋体" w:hAnsi="宋体" w:cs="宋体" w:eastAsia="宋体" w:hint="default"/>
        </w:rPr>
        <w:t>25</w:t>
      </w:r>
      <w:r>
        <w:rPr>
          <w:rFonts w:ascii="宋体" w:hAnsi="宋体" w:cs="宋体" w:eastAsia="宋体" w:hint="default"/>
          <w:spacing w:val="-7"/>
        </w:rPr>
        <w:t> </w:t>
      </w:r>
      <w:r>
        <w:rPr/>
        <w:t>日。截止</w:t>
      </w:r>
      <w:r>
        <w:rPr>
          <w:rFonts w:ascii="宋体" w:hAnsi="宋体" w:cs="宋体" w:eastAsia="宋体" w:hint="default"/>
        </w:rPr>
        <w:t>2014 </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30</w:t>
      </w:r>
      <w:r>
        <w:rPr>
          <w:spacing w:val="-4"/>
        </w:rPr>
        <w:t>日，可转换公司债券已转股</w:t>
      </w:r>
      <w:r>
        <w:rPr>
          <w:rFonts w:ascii="宋体" w:hAnsi="宋体" w:cs="宋体" w:eastAsia="宋体" w:hint="default"/>
          <w:spacing w:val="-4"/>
        </w:rPr>
        <w:t>36,442,301</w:t>
      </w:r>
      <w:r>
        <w:rPr>
          <w:spacing w:val="-4"/>
        </w:rPr>
        <w:t>股，转股后公司总股本为</w:t>
      </w:r>
      <w:r>
        <w:rPr>
          <w:rFonts w:ascii="宋体" w:hAnsi="宋体" w:cs="宋体" w:eastAsia="宋体" w:hint="default"/>
          <w:spacing w:val="-4"/>
        </w:rPr>
        <w:t>735,041,371</w:t>
      </w:r>
      <w:r>
        <w:rPr>
          <w:spacing w:val="-4"/>
        </w:rPr>
        <w:t>股。根据公司于</w:t>
      </w:r>
      <w:r>
        <w:rPr>
          <w:rFonts w:ascii="宋体" w:hAnsi="宋体" w:cs="宋体" w:eastAsia="宋体" w:hint="default"/>
          <w:spacing w:val="-4"/>
        </w:rPr>
        <w:t>2014</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5</w:t>
      </w:r>
      <w:r>
        <w:rPr>
          <w:spacing w:val="-4"/>
        </w:rPr>
        <w:t>日召开的</w:t>
      </w:r>
      <w:r>
        <w:rPr>
          <w:rFonts w:ascii="宋体" w:hAnsi="宋体" w:cs="宋体" w:eastAsia="宋体" w:hint="default"/>
          <w:spacing w:val="-4"/>
        </w:rPr>
        <w:t>2013</w:t>
      </w:r>
      <w:r>
        <w:rPr>
          <w:rFonts w:ascii="宋体" w:hAnsi="宋体" w:cs="宋体" w:eastAsia="宋体" w:hint="default"/>
          <w:spacing w:val="-81"/>
        </w:rPr>
        <w:t> </w:t>
      </w:r>
      <w:r>
        <w:rPr>
          <w:rFonts w:ascii="宋体" w:hAnsi="宋体" w:cs="宋体" w:eastAsia="宋体" w:hint="default"/>
          <w:spacing w:val="-81"/>
        </w:rPr>
      </w:r>
      <w:r>
        <w:rPr/>
        <w:t>年度股东大会决议，截止股权登记日</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日，公司总股本</w:t>
      </w:r>
      <w:r>
        <w:rPr>
          <w:spacing w:val="-42"/>
        </w:rPr>
        <w:t> </w:t>
      </w:r>
      <w:r>
        <w:rPr>
          <w:rFonts w:ascii="宋体" w:hAnsi="宋体" w:cs="宋体" w:eastAsia="宋体" w:hint="default"/>
        </w:rPr>
        <w:t>735,041,371</w:t>
      </w:r>
      <w:r>
        <w:rPr/>
        <w:t>股，以资本公积金向全体股东每</w:t>
      </w:r>
      <w:r>
        <w:rPr>
          <w:spacing w:val="-42"/>
        </w:rPr>
        <w:t> </w:t>
      </w:r>
      <w:r>
        <w:rPr>
          <w:rFonts w:ascii="宋体" w:hAnsi="宋体" w:cs="宋体" w:eastAsia="宋体" w:hint="default"/>
        </w:rPr>
        <w:t>10</w:t>
      </w:r>
      <w:r>
        <w:rPr/>
        <w:t>股转增</w:t>
      </w:r>
      <w:r>
        <w:rPr>
          <w:rFonts w:ascii="宋体" w:hAnsi="宋体" w:cs="宋体" w:eastAsia="宋体" w:hint="default"/>
        </w:rPr>
        <w:t>10</w:t>
      </w:r>
      <w:r>
        <w:rPr>
          <w:rFonts w:ascii="宋体" w:hAnsi="宋体" w:cs="宋体" w:eastAsia="宋体" w:hint="default"/>
          <w:spacing w:val="-2"/>
        </w:rPr>
        <w:t> </w:t>
      </w:r>
      <w:r>
        <w:rPr/>
        <w:t>股，共计转增</w:t>
      </w:r>
      <w:r>
        <w:rPr>
          <w:rFonts w:ascii="宋体" w:hAnsi="宋体" w:cs="宋体" w:eastAsia="宋体" w:hint="default"/>
        </w:rPr>
        <w:t>735,041,371</w:t>
      </w:r>
      <w:r>
        <w:rPr>
          <w:rFonts w:ascii="宋体" w:hAnsi="宋体" w:cs="宋体" w:eastAsia="宋体" w:hint="default"/>
          <w:spacing w:val="-6"/>
        </w:rPr>
        <w:t> </w:t>
      </w:r>
      <w:r>
        <w:rPr/>
        <w:t>股。变更后股本为人民币</w:t>
      </w:r>
      <w:r>
        <w:rPr>
          <w:rFonts w:ascii="宋体" w:hAnsi="宋体" w:cs="宋体" w:eastAsia="宋体" w:hint="default"/>
        </w:rPr>
        <w:t>1,470,082,742</w:t>
      </w:r>
      <w:r>
        <w:rPr/>
        <w:t>元。</w:t>
      </w:r>
    </w:p>
    <w:p>
      <w:pPr>
        <w:pStyle w:val="BodyText"/>
        <w:spacing w:line="240" w:lineRule="auto" w:before="137"/>
        <w:ind w:left="513" w:right="0"/>
        <w:jc w:val="left"/>
        <w:rPr>
          <w:rFonts w:ascii="宋体" w:hAnsi="宋体" w:cs="宋体" w:eastAsia="宋体" w:hint="default"/>
        </w:rPr>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4</w:t>
      </w:r>
      <w:r>
        <w:rPr>
          <w:spacing w:val="-1"/>
        </w:rPr>
        <w:t>年</w:t>
      </w:r>
      <w:r>
        <w:rPr>
          <w:rFonts w:ascii="宋体" w:hAnsi="宋体" w:cs="宋体" w:eastAsia="宋体" w:hint="default"/>
          <w:spacing w:val="1"/>
        </w:rPr>
        <w:t>6</w:t>
      </w:r>
      <w:r>
        <w:rPr/>
        <w:t>月</w:t>
      </w:r>
      <w:r>
        <w:rPr>
          <w:spacing w:val="-87"/>
        </w:rPr>
        <w:t>，</w:t>
      </w:r>
      <w:r>
        <w:rPr/>
        <w:t>根据公</w:t>
      </w:r>
      <w:r>
        <w:rPr>
          <w:spacing w:val="-3"/>
        </w:rPr>
        <w:t>司</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13</w:t>
      </w:r>
      <w:r>
        <w:rPr>
          <w:spacing w:val="-3"/>
        </w:rPr>
        <w:t>年</w:t>
      </w:r>
      <w:r>
        <w:rPr>
          <w:rFonts w:ascii="宋体" w:hAnsi="宋体" w:cs="宋体" w:eastAsia="宋体" w:hint="default"/>
          <w:spacing w:val="1"/>
        </w:rPr>
        <w:t>1</w:t>
      </w:r>
      <w:r>
        <w:rPr>
          <w:rFonts w:ascii="宋体" w:hAnsi="宋体" w:cs="宋体" w:eastAsia="宋体" w:hint="default"/>
          <w:spacing w:val="-2"/>
        </w:rPr>
        <w:t>2</w:t>
      </w:r>
      <w:r>
        <w:rPr/>
        <w:t>月</w:t>
      </w:r>
      <w:r>
        <w:rPr>
          <w:rFonts w:ascii="宋体" w:hAnsi="宋体" w:cs="宋体" w:eastAsia="宋体" w:hint="default"/>
          <w:spacing w:val="1"/>
        </w:rPr>
        <w:t>6</w:t>
      </w:r>
      <w:r>
        <w:rPr/>
        <w:t>日召开的</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13</w:t>
      </w:r>
      <w:r>
        <w:rPr/>
        <w:t>年第一次临</w:t>
      </w:r>
      <w:r>
        <w:rPr>
          <w:spacing w:val="-3"/>
        </w:rPr>
        <w:t>时</w:t>
      </w:r>
      <w:r>
        <w:rPr/>
        <w:t>股东大会决议</w:t>
      </w:r>
      <w:r>
        <w:rPr>
          <w:spacing w:val="-87"/>
        </w:rPr>
        <w:t>，</w:t>
      </w:r>
      <w:r>
        <w:rPr/>
        <w:t>经中国证券监督管理委员会证监许可</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4</w:t>
      </w:r>
      <w:r>
        <w:rPr>
          <w:rFonts w:ascii="宋体" w:hAnsi="宋体" w:cs="宋体" w:eastAsia="宋体" w:hint="default"/>
        </w:rPr>
        <w:t>]</w:t>
      </w:r>
    </w:p>
    <w:p>
      <w:pPr>
        <w:pStyle w:val="BodyText"/>
        <w:spacing w:line="316" w:lineRule="auto" w:before="76"/>
        <w:ind w:right="188"/>
        <w:jc w:val="both"/>
      </w:pPr>
      <w:r>
        <w:rPr>
          <w:rFonts w:ascii="宋体" w:hAnsi="宋体" w:cs="宋体" w:eastAsia="宋体" w:hint="default"/>
        </w:rPr>
        <w:t>343</w:t>
      </w:r>
      <w:r>
        <w:rPr/>
        <w:t>号《关于核准东华软件股份公司向黄麟雏等发行股份购买资产并募集配套资金的批复》核准，公司获准向北京威锐达测</w:t>
      </w:r>
      <w:r>
        <w:rPr>
          <w:spacing w:val="-85"/>
        </w:rPr>
        <w:t> </w:t>
      </w:r>
      <w:r>
        <w:rPr>
          <w:spacing w:val="-85"/>
        </w:rPr>
      </w:r>
      <w:r>
        <w:rPr/>
        <w:t>控系统有限公司股东黄麟雏等</w:t>
      </w:r>
      <w:r>
        <w:rPr>
          <w:rFonts w:ascii="宋体" w:hAnsi="宋体" w:cs="宋体" w:eastAsia="宋体" w:hint="default"/>
        </w:rPr>
        <w:t>18</w:t>
      </w:r>
      <w:r>
        <w:rPr/>
        <w:t>名自然人发行人民币普通股（</w:t>
      </w:r>
      <w:r>
        <w:rPr>
          <w:rFonts w:ascii="宋体" w:hAnsi="宋体" w:cs="宋体" w:eastAsia="宋体" w:hint="default"/>
        </w:rPr>
        <w:t>A</w:t>
      </w:r>
      <w:r>
        <w:rPr>
          <w:rFonts w:ascii="宋体" w:hAnsi="宋体" w:cs="宋体" w:eastAsia="宋体" w:hint="default"/>
          <w:spacing w:val="8"/>
        </w:rPr>
        <w:t> </w:t>
      </w:r>
      <w:r>
        <w:rPr>
          <w:spacing w:val="-3"/>
        </w:rPr>
        <w:t>股）</w:t>
      </w:r>
      <w:r>
        <w:rPr>
          <w:rFonts w:ascii="宋体" w:hAnsi="宋体" w:cs="宋体" w:eastAsia="宋体" w:hint="default"/>
          <w:spacing w:val="-3"/>
        </w:rPr>
        <w:t>29,212,592</w:t>
      </w:r>
      <w:r>
        <w:rPr>
          <w:spacing w:val="-3"/>
        </w:rPr>
        <w:t>股，以及配融资支付现金，购买黄麟雏等</w:t>
      </w:r>
      <w:r>
        <w:rPr>
          <w:rFonts w:ascii="宋体" w:hAnsi="宋体" w:cs="宋体" w:eastAsia="宋体" w:hint="default"/>
          <w:spacing w:val="-3"/>
        </w:rPr>
        <w:t>18</w:t>
      </w:r>
      <w:r>
        <w:rPr>
          <w:rFonts w:ascii="宋体" w:hAnsi="宋体" w:cs="宋体" w:eastAsia="宋体" w:hint="default"/>
          <w:spacing w:val="1"/>
        </w:rPr>
        <w:t> </w:t>
      </w:r>
      <w:r>
        <w:rPr/>
        <w:t>名自然人持有的北京威锐达测控系统有限公司</w:t>
      </w:r>
      <w:r>
        <w:rPr>
          <w:rFonts w:ascii="宋体" w:hAnsi="宋体" w:cs="宋体" w:eastAsia="宋体" w:hint="default"/>
        </w:rPr>
        <w:t>100%</w:t>
      </w:r>
      <w:r>
        <w:rPr/>
        <w:t>的股权。公司募集配套资金增加注册资本人民币</w:t>
      </w:r>
      <w:r>
        <w:rPr>
          <w:rFonts w:ascii="宋体" w:hAnsi="宋体" w:cs="宋体" w:eastAsia="宋体" w:hint="default"/>
        </w:rPr>
        <w:t>10,712,789</w:t>
      </w:r>
      <w:r>
        <w:rPr/>
        <w:t>元。</w:t>
      </w:r>
      <w:r>
        <w:rPr>
          <w:rFonts w:ascii="宋体" w:hAnsi="宋体" w:cs="宋体" w:eastAsia="宋体" w:hint="default"/>
        </w:rPr>
        <w:t>2014</w:t>
      </w:r>
      <w:r>
        <w:rPr/>
        <w:t>年</w:t>
      </w:r>
      <w:r>
        <w:rPr>
          <w:rFonts w:ascii="宋体" w:hAnsi="宋体" w:cs="宋体" w:eastAsia="宋体" w:hint="default"/>
        </w:rPr>
        <w:t>6</w:t>
      </w:r>
      <w:r>
        <w:rPr>
          <w:rFonts w:ascii="宋体" w:hAnsi="宋体" w:cs="宋体" w:eastAsia="宋体" w:hint="default"/>
          <w:spacing w:val="-86"/>
        </w:rPr>
        <w:t> </w:t>
      </w:r>
      <w:r>
        <w:rPr>
          <w:spacing w:val="11"/>
        </w:rPr>
        <w:t>月</w:t>
      </w:r>
      <w:r>
        <w:rPr>
          <w:rFonts w:ascii="宋体" w:hAnsi="宋体" w:cs="宋体" w:eastAsia="宋体" w:hint="default"/>
          <w:spacing w:val="11"/>
        </w:rPr>
        <w:t>1</w:t>
      </w:r>
      <w:r>
        <w:rPr>
          <w:spacing w:val="11"/>
        </w:rPr>
        <w:t>日至</w:t>
      </w:r>
      <w:r>
        <w:rPr>
          <w:rFonts w:ascii="宋体" w:hAnsi="宋体" w:cs="宋体" w:eastAsia="宋体" w:hint="default"/>
          <w:spacing w:val="11"/>
        </w:rPr>
        <w:t>12</w:t>
      </w:r>
      <w:r>
        <w:rPr>
          <w:spacing w:val="11"/>
        </w:rPr>
        <w:t>月</w:t>
      </w:r>
      <w:r>
        <w:rPr>
          <w:rFonts w:ascii="宋体" w:hAnsi="宋体" w:cs="宋体" w:eastAsia="宋体" w:hint="default"/>
          <w:spacing w:val="11"/>
        </w:rPr>
        <w:t>31</w:t>
      </w:r>
      <w:r>
        <w:rPr>
          <w:spacing w:val="11"/>
        </w:rPr>
        <w:t>日，公司发行的可转换公司债券共计转股</w:t>
      </w:r>
      <w:r>
        <w:rPr>
          <w:spacing w:val="-66"/>
        </w:rPr>
        <w:t> </w:t>
      </w:r>
      <w:r>
        <w:rPr>
          <w:rFonts w:ascii="宋体" w:hAnsi="宋体" w:cs="宋体" w:eastAsia="宋体" w:hint="default"/>
        </w:rPr>
        <w:t>4,798,825</w:t>
      </w:r>
      <w:r>
        <w:rPr>
          <w:rFonts w:ascii="宋体" w:hAnsi="宋体" w:cs="宋体" w:eastAsia="宋体" w:hint="default"/>
          <w:spacing w:val="-68"/>
        </w:rPr>
        <w:t> </w:t>
      </w:r>
      <w:r>
        <w:rPr>
          <w:spacing w:val="12"/>
        </w:rPr>
        <w:t>股。经过上述变更后，公司的股本总额为人民币</w:t>
      </w:r>
      <w:r>
        <w:rPr>
          <w:spacing w:val="-75"/>
        </w:rPr>
        <w:t> </w:t>
      </w:r>
      <w:r>
        <w:rPr>
          <w:spacing w:val="-75"/>
        </w:rPr>
      </w:r>
      <w:r>
        <w:rPr>
          <w:rFonts w:ascii="宋体" w:hAnsi="宋体" w:cs="宋体" w:eastAsia="宋体" w:hint="default"/>
        </w:rPr>
        <w:t>1,514,806,948</w:t>
      </w:r>
      <w:r>
        <w:rPr/>
        <w:t>元。</w:t>
      </w:r>
    </w:p>
    <w:p>
      <w:pPr>
        <w:pStyle w:val="BodyText"/>
        <w:spacing w:line="316" w:lineRule="auto" w:before="139"/>
        <w:ind w:right="188" w:firstLine="360"/>
        <w:jc w:val="both"/>
      </w:pPr>
      <w:r>
        <w:rPr>
          <w:rFonts w:ascii="宋体" w:hAnsi="宋体" w:cs="宋体" w:eastAsia="宋体" w:hint="default"/>
        </w:rPr>
        <w:t>2014</w:t>
      </w:r>
      <w:r>
        <w:rPr/>
        <w:t>年</w:t>
      </w:r>
      <w:r>
        <w:rPr>
          <w:rFonts w:ascii="宋体" w:hAnsi="宋体" w:cs="宋体" w:eastAsia="宋体" w:hint="default"/>
        </w:rPr>
        <w:t>12</w:t>
      </w:r>
      <w:r>
        <w:rPr/>
        <w:t>月，公司股权激励第二期行权的</w:t>
      </w:r>
      <w:r>
        <w:rPr>
          <w:rFonts w:ascii="宋体" w:hAnsi="宋体" w:cs="宋体" w:eastAsia="宋体" w:hint="default"/>
        </w:rPr>
        <w:t>1</w:t>
      </w:r>
      <w:r>
        <w:rPr/>
        <w:t>名激励对象缴纳出资增加注册资本人民币</w:t>
      </w:r>
      <w:r>
        <w:rPr>
          <w:rFonts w:ascii="宋体" w:hAnsi="宋体" w:cs="宋体" w:eastAsia="宋体" w:hint="default"/>
        </w:rPr>
        <w:t>62,400.00</w:t>
      </w:r>
      <w:r>
        <w:rPr/>
        <w:t>元。</w:t>
      </w:r>
      <w:r>
        <w:rPr>
          <w:rFonts w:ascii="宋体" w:hAnsi="宋体" w:cs="宋体" w:eastAsia="宋体" w:hint="default"/>
        </w:rPr>
        <w:t>2015</w:t>
      </w:r>
      <w:r>
        <w:rPr/>
        <w:t>年</w:t>
      </w:r>
      <w:r>
        <w:rPr>
          <w:rFonts w:ascii="宋体" w:hAnsi="宋体" w:cs="宋体" w:eastAsia="宋体" w:hint="default"/>
        </w:rPr>
        <w:t>1</w:t>
      </w:r>
      <w:r>
        <w:rPr/>
        <w:t>月，公司股 权激励第三期行权的</w:t>
      </w:r>
      <w:r>
        <w:rPr>
          <w:rFonts w:ascii="宋体" w:hAnsi="宋体" w:cs="宋体" w:eastAsia="宋体" w:hint="default"/>
        </w:rPr>
        <w:t>333</w:t>
      </w:r>
      <w:r>
        <w:rPr/>
        <w:t>名激励对象缴纳出资增加注册资本</w:t>
      </w:r>
      <w:r>
        <w:rPr>
          <w:rFonts w:ascii="宋体" w:hAnsi="宋体" w:cs="宋体" w:eastAsia="宋体" w:hint="default"/>
        </w:rPr>
        <w:t>5,589,480</w:t>
      </w:r>
      <w:r>
        <w:rPr/>
        <w:t>元，增加注册资本</w:t>
      </w:r>
      <w:r>
        <w:rPr>
          <w:rFonts w:ascii="宋体" w:hAnsi="宋体" w:cs="宋体" w:eastAsia="宋体" w:hint="default"/>
        </w:rPr>
        <w:t>5,589,480</w:t>
      </w:r>
      <w:r>
        <w:rPr/>
        <w:t>元。</w:t>
      </w:r>
    </w:p>
    <w:p>
      <w:pPr>
        <w:pStyle w:val="BodyText"/>
        <w:spacing w:line="319" w:lineRule="auto" w:before="139"/>
        <w:ind w:right="95" w:firstLine="360"/>
        <w:jc w:val="left"/>
      </w:pPr>
      <w:r>
        <w:rPr>
          <w:rFonts w:ascii="宋体" w:hAnsi="宋体" w:cs="宋体" w:eastAsia="宋体" w:hint="default"/>
          <w:spacing w:val="4"/>
        </w:rPr>
        <w:t>2015</w:t>
      </w:r>
      <w:r>
        <w:rPr>
          <w:spacing w:val="4"/>
        </w:rPr>
        <w:t>年</w:t>
      </w:r>
      <w:r>
        <w:rPr>
          <w:rFonts w:ascii="宋体" w:hAnsi="宋体" w:cs="宋体" w:eastAsia="宋体" w:hint="default"/>
          <w:spacing w:val="4"/>
        </w:rPr>
        <w:t>6</w:t>
      </w:r>
      <w:r>
        <w:rPr>
          <w:spacing w:val="4"/>
        </w:rPr>
        <w:t>月，根据公司</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9</w:t>
      </w:r>
      <w:r>
        <w:rPr>
          <w:spacing w:val="4"/>
        </w:rPr>
        <w:t>日召开的</w:t>
      </w:r>
      <w:r>
        <w:rPr>
          <w:rFonts w:ascii="宋体" w:hAnsi="宋体" w:cs="宋体" w:eastAsia="宋体" w:hint="default"/>
          <w:spacing w:val="4"/>
        </w:rPr>
        <w:t>2014</w:t>
      </w:r>
      <w:r>
        <w:rPr>
          <w:spacing w:val="4"/>
        </w:rPr>
        <w:t>年第三次临时股东大会决议，经中国证券监督管理委员会证监许可</w:t>
      </w:r>
      <w:r>
        <w:rPr/>
        <w:t> </w:t>
      </w:r>
      <w:r>
        <w:rPr>
          <w:rFonts w:ascii="宋体" w:hAnsi="宋体" w:cs="宋体" w:eastAsia="宋体" w:hint="default"/>
          <w:spacing w:val="-2"/>
        </w:rPr>
        <w:t>[2015]1010</w:t>
      </w:r>
      <w:r>
        <w:rPr>
          <w:spacing w:val="-2"/>
        </w:rPr>
        <w:t>号《关于核准东华软件股份公司向章云芳等发行股份购买资产并募集配套资金的批复》核准，根据</w:t>
      </w:r>
      <w:r>
        <w:rPr>
          <w:rFonts w:ascii="宋体" w:hAnsi="宋体" w:cs="宋体" w:eastAsia="宋体" w:hint="default"/>
          <w:spacing w:val="-2"/>
        </w:rPr>
        <w:t>2014</w:t>
      </w:r>
      <w:r>
        <w:rPr>
          <w:spacing w:val="-2"/>
        </w:rPr>
        <w:t>年度利润</w:t>
      </w:r>
      <w:r>
        <w:rPr>
          <w:spacing w:val="-57"/>
        </w:rPr>
        <w:t> </w:t>
      </w:r>
      <w:r>
        <w:rPr>
          <w:spacing w:val="-57"/>
        </w:rPr>
      </w:r>
      <w:r>
        <w:rPr/>
        <w:t>分配方案情况，公司定向增发人民币普通股（</w:t>
      </w:r>
      <w:r>
        <w:rPr>
          <w:rFonts w:ascii="宋体" w:hAnsi="宋体" w:cs="宋体" w:eastAsia="宋体" w:hint="default"/>
        </w:rPr>
        <w:t>A</w:t>
      </w:r>
      <w:r>
        <w:rPr>
          <w:rFonts w:ascii="宋体" w:hAnsi="宋体" w:cs="宋体" w:eastAsia="宋体" w:hint="default"/>
          <w:spacing w:val="-1"/>
        </w:rPr>
        <w:t> </w:t>
      </w:r>
      <w:r>
        <w:rPr/>
        <w:t>股）</w:t>
      </w:r>
      <w:r>
        <w:rPr>
          <w:rFonts w:ascii="宋体" w:hAnsi="宋体" w:cs="宋体" w:eastAsia="宋体" w:hint="default"/>
        </w:rPr>
        <w:t>30,139,931</w:t>
      </w:r>
      <w:r>
        <w:rPr/>
        <w:t>股，增加注册资本</w:t>
      </w:r>
      <w:r>
        <w:rPr>
          <w:rFonts w:ascii="宋体" w:hAnsi="宋体" w:cs="宋体" w:eastAsia="宋体" w:hint="default"/>
        </w:rPr>
        <w:t>30,139,931</w:t>
      </w:r>
      <w:r>
        <w:rPr/>
        <w:t>元；以及配套融资支付现金， </w:t>
      </w:r>
      <w:r>
        <w:rPr>
          <w:spacing w:val="-2"/>
        </w:rPr>
        <w:t>购买章云芳等所持有的深圳市至高通信技术发展有限公司</w:t>
      </w:r>
      <w:r>
        <w:rPr>
          <w:rFonts w:ascii="宋体" w:hAnsi="宋体" w:cs="宋体" w:eastAsia="宋体" w:hint="default"/>
          <w:spacing w:val="-2"/>
        </w:rPr>
        <w:t>100%</w:t>
      </w:r>
      <w:r>
        <w:rPr>
          <w:spacing w:val="-2"/>
        </w:rPr>
        <w:t>的股权，公司募集配套资金增加注册资本人民币</w:t>
      </w:r>
      <w:r>
        <w:rPr>
          <w:rFonts w:ascii="宋体" w:hAnsi="宋体" w:cs="宋体" w:eastAsia="宋体" w:hint="default"/>
          <w:spacing w:val="-2"/>
        </w:rPr>
        <w:t>6,894,174.00</w:t>
      </w:r>
      <w:r>
        <w:rPr>
          <w:rFonts w:ascii="宋体" w:hAnsi="宋体" w:cs="宋体" w:eastAsia="宋体" w:hint="default"/>
          <w:spacing w:val="-53"/>
        </w:rPr>
        <w:t> </w:t>
      </w:r>
      <w:r>
        <w:rPr>
          <w:rFonts w:ascii="宋体" w:hAnsi="宋体" w:cs="宋体" w:eastAsia="宋体" w:hint="default"/>
          <w:spacing w:val="-53"/>
        </w:rPr>
      </w:r>
      <w:r>
        <w:rPr/>
        <w:t>元。</w:t>
      </w:r>
    </w:p>
    <w:p>
      <w:pPr>
        <w:pStyle w:val="BodyText"/>
        <w:spacing w:line="240" w:lineRule="auto" w:before="137"/>
        <w:ind w:left="513" w:right="94"/>
        <w:jc w:val="left"/>
      </w:pPr>
      <w:r>
        <w:rPr>
          <w:rFonts w:ascii="宋体" w:hAnsi="宋体" w:cs="宋体" w:eastAsia="宋体" w:hint="default"/>
        </w:rPr>
        <w:t>2015</w:t>
      </w:r>
      <w:r>
        <w:rPr/>
        <w:t>年</w:t>
      </w:r>
      <w:r>
        <w:rPr>
          <w:rFonts w:ascii="宋体" w:hAnsi="宋体" w:cs="宋体" w:eastAsia="宋体" w:hint="default"/>
        </w:rPr>
        <w:t>9</w:t>
      </w:r>
      <w:r>
        <w:rPr/>
        <w:t>月，公司股权激励第三期行权的</w:t>
      </w:r>
      <w:r>
        <w:rPr>
          <w:rFonts w:ascii="宋体" w:hAnsi="宋体" w:cs="宋体" w:eastAsia="宋体" w:hint="default"/>
        </w:rPr>
        <w:t>2</w:t>
      </w:r>
      <w:r>
        <w:rPr/>
        <w:t>名激励对象缴纳出资增加注册资本</w:t>
      </w:r>
      <w:r>
        <w:rPr>
          <w:rFonts w:ascii="宋体" w:hAnsi="宋体" w:cs="宋体" w:eastAsia="宋体" w:hint="default"/>
        </w:rPr>
        <w:t>72,800.00</w:t>
      </w:r>
      <w:r>
        <w:rPr/>
        <w:t>元。</w:t>
      </w:r>
    </w:p>
    <w:p>
      <w:pPr>
        <w:spacing w:line="240" w:lineRule="auto" w:before="0"/>
        <w:rPr>
          <w:rFonts w:ascii="宋体" w:hAnsi="宋体" w:cs="宋体" w:eastAsia="宋体" w:hint="default"/>
          <w:sz w:val="15"/>
          <w:szCs w:val="15"/>
        </w:rPr>
      </w:pPr>
    </w:p>
    <w:p>
      <w:pPr>
        <w:pStyle w:val="BodyText"/>
        <w:spacing w:line="316" w:lineRule="auto"/>
        <w:ind w:right="194" w:firstLine="360"/>
        <w:jc w:val="both"/>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6</w:t>
      </w:r>
      <w:r>
        <w:rPr/>
        <w:t>月</w:t>
      </w:r>
      <w:r>
        <w:rPr>
          <w:rFonts w:ascii="宋体" w:hAnsi="宋体" w:cs="宋体" w:eastAsia="宋体" w:hint="default"/>
        </w:rPr>
        <w:t>2</w:t>
      </w:r>
      <w:r>
        <w:rPr/>
        <w:t>日，公司发行的可转换公司债券共计转股</w:t>
      </w:r>
      <w:r>
        <w:rPr>
          <w:rFonts w:ascii="宋体" w:hAnsi="宋体" w:cs="宋体" w:eastAsia="宋体" w:hint="default"/>
        </w:rPr>
        <w:t>6,995,967</w:t>
      </w:r>
      <w:r>
        <w:rPr/>
        <w:t>股。</w:t>
      </w:r>
      <w:r>
        <w:rPr>
          <w:rFonts w:ascii="宋体" w:hAnsi="宋体" w:cs="宋体" w:eastAsia="宋体" w:hint="default"/>
        </w:rPr>
        <w:t>2015</w:t>
      </w:r>
      <w:r>
        <w:rPr/>
        <w:t>年度经过上述变更后，公司注册资本 变更为</w:t>
      </w:r>
      <w:r>
        <w:rPr>
          <w:rFonts w:ascii="宋体" w:hAnsi="宋体" w:cs="宋体" w:eastAsia="宋体" w:hint="default"/>
        </w:rPr>
        <w:t>1,564,561,700</w:t>
      </w:r>
      <w:r>
        <w:rPr/>
        <w:t>元。</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4"/>
        <w:jc w:val="left"/>
      </w:pPr>
      <w:r>
        <w:rPr/>
        <w:t>公司所属的行业性质为软件和信息技术服务业。</w:t>
      </w:r>
    </w:p>
    <w:p>
      <w:pPr>
        <w:spacing w:line="240" w:lineRule="auto" w:before="1"/>
        <w:rPr>
          <w:rFonts w:ascii="宋体" w:hAnsi="宋体" w:cs="宋体" w:eastAsia="宋体" w:hint="default"/>
          <w:sz w:val="15"/>
          <w:szCs w:val="15"/>
        </w:rPr>
      </w:pPr>
    </w:p>
    <w:p>
      <w:pPr>
        <w:pStyle w:val="BodyText"/>
        <w:spacing w:line="316" w:lineRule="auto"/>
        <w:ind w:right="189" w:firstLine="360"/>
        <w:jc w:val="both"/>
      </w:pPr>
      <w:r>
        <w:rPr>
          <w:spacing w:val="-2"/>
        </w:rPr>
        <w:t>公司的经营范围包括：技术开发、技术咨询、技术服务、技术推广、技术转让；计算机系统服务；数据处理；基础软件</w:t>
      </w:r>
      <w:r>
        <w:rPr/>
        <w:t> </w:t>
      </w:r>
      <w:r>
        <w:rPr>
          <w:spacing w:val="-2"/>
        </w:rPr>
        <w:t>服务、应用软件服务、公共软件服务；销售计算机软、硬件及外围设备、通讯设备；承接工业控制与自动化系统工程、计算</w:t>
      </w:r>
      <w:r>
        <w:rPr>
          <w:spacing w:val="-73"/>
        </w:rPr>
        <w:t> </w:t>
      </w:r>
      <w:r>
        <w:rPr>
          <w:spacing w:val="-73"/>
        </w:rPr>
      </w:r>
      <w:r>
        <w:rPr/>
        <w:t>机通讯工程、智能楼宇及数据中心计算机系统工程；货物进出口、技术进出口、代理进出口。</w:t>
      </w:r>
    </w:p>
    <w:p>
      <w:pPr>
        <w:pStyle w:val="BodyText"/>
        <w:spacing w:line="432" w:lineRule="exact" w:before="3"/>
        <w:ind w:left="513" w:right="94"/>
        <w:jc w:val="left"/>
      </w:pPr>
      <w:r>
        <w:rPr/>
        <w:t>公司的主要产品为行业应用软件开发、计算机信息系统集成及相关服务业务等。 公司的母公司为北京东华诚信电脑科技发展有限公司，公司的实际控制人为薛向东先生及其家族。 本财务报表业经公司董事会于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日批准报出。 </w:t>
      </w:r>
      <w:r>
        <w:rPr>
          <w:spacing w:val="-2"/>
        </w:rPr>
        <w:t>本期纳入合并范围的子公司包括</w:t>
      </w:r>
      <w:r>
        <w:rPr>
          <w:rFonts w:ascii="宋体" w:hAnsi="宋体" w:cs="宋体" w:eastAsia="宋体" w:hint="default"/>
          <w:spacing w:val="-2"/>
        </w:rPr>
        <w:t>42</w:t>
      </w:r>
      <w:r>
        <w:rPr>
          <w:spacing w:val="-2"/>
        </w:rPr>
        <w:t>家，新增</w:t>
      </w:r>
      <w:r>
        <w:rPr>
          <w:rFonts w:ascii="宋体" w:hAnsi="宋体" w:cs="宋体" w:eastAsia="宋体" w:hint="default"/>
          <w:spacing w:val="-2"/>
        </w:rPr>
        <w:t>13</w:t>
      </w:r>
      <w:r>
        <w:rPr>
          <w:spacing w:val="-2"/>
        </w:rPr>
        <w:t>家子公司，包括合力东华（北京）科技有限公司、东华互联宜家数据服务</w:t>
      </w:r>
    </w:p>
    <w:p>
      <w:pPr>
        <w:pStyle w:val="BodyText"/>
        <w:spacing w:line="319" w:lineRule="auto" w:before="15"/>
        <w:ind w:right="94"/>
        <w:jc w:val="left"/>
      </w:pPr>
      <w:r>
        <w:rPr>
          <w:spacing w:val="-2"/>
        </w:rPr>
        <w:t>有限公司、东华网络股份公司、东华博育云有限公司、苏州东华软件科技有限公司、内蒙古东华软件有限公司、海南东华软</w:t>
      </w:r>
      <w:r>
        <w:rPr>
          <w:spacing w:val="-67"/>
        </w:rPr>
        <w:t> </w:t>
      </w:r>
      <w:r>
        <w:rPr>
          <w:spacing w:val="-67"/>
        </w:rPr>
      </w:r>
      <w:r>
        <w:rPr>
          <w:spacing w:val="-2"/>
        </w:rPr>
        <w:t>件有限公司、深圳至高通信技术发展有限公司、北京东华万兴软件有限公司、东华软件威海有限公司、东华软件（绵阳）有</w:t>
      </w:r>
      <w:r>
        <w:rPr>
          <w:spacing w:val="-70"/>
        </w:rPr>
        <w:t> </w:t>
      </w:r>
      <w:r>
        <w:rPr>
          <w:spacing w:val="-70"/>
        </w:rPr>
      </w:r>
      <w:r>
        <w:rPr/>
        <w:t>限公司、北京东华智中能源互联网科技有限公司、吉林省东华软件信息工程有限公司；新增</w:t>
      </w:r>
      <w:r>
        <w:rPr>
          <w:rFonts w:ascii="宋体" w:hAnsi="宋体" w:cs="宋体" w:eastAsia="宋体" w:hint="default"/>
        </w:rPr>
        <w:t>4</w:t>
      </w:r>
      <w:r>
        <w:rPr/>
        <w:t>家孙公司，包括北京之春信息</w:t>
      </w:r>
      <w:r>
        <w:rPr>
          <w:spacing w:val="-82"/>
        </w:rPr>
        <w:t> </w:t>
      </w:r>
      <w:r>
        <w:rPr/>
        <w:t>技术有限公司、深圳市至高信息技术有限公司、珠海市发思特软件技术有限公司、东华恵生活（北京）信息技术有限公司。</w:t>
      </w:r>
      <w:r>
        <w:rPr>
          <w:spacing w:val="-83"/>
        </w:rPr>
        <w:t> </w:t>
      </w:r>
      <w:r>
        <w:rPr>
          <w:spacing w:val="-83"/>
        </w:rPr>
      </w:r>
      <w:r>
        <w:rPr/>
        <w:t>具体见本附注“八、在其他主体中的权益”。</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宋体" w:hAnsi="宋体" w:cs="宋体" w:eastAsia="宋体" w:hint="default"/>
        </w:rPr>
        <w:t>1</w:t>
      </w:r>
      <w:r>
        <w:rPr/>
        <w:t>、编制基础</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89" w:firstLine="360"/>
        <w:jc w:val="both"/>
      </w:pPr>
      <w:r>
        <w:rPr>
          <w:spacing w:val="-2"/>
        </w:rPr>
        <w:t>公司以持续经营为基础，根据实际发生的交易和事项，按照财政部发布的《企业会计准则—基本准则》、</w:t>
      </w:r>
      <w:r>
        <w:rPr>
          <w:rFonts w:ascii="宋体" w:hAnsi="宋体" w:cs="宋体" w:eastAsia="宋体" w:hint="default"/>
          <w:spacing w:val="-2"/>
        </w:rPr>
        <w:t>41</w:t>
      </w:r>
      <w:r>
        <w:rPr>
          <w:spacing w:val="-2"/>
        </w:rPr>
        <w:t>项具体会计</w:t>
      </w:r>
      <w:r>
        <w:rPr/>
        <w:t> </w:t>
      </w:r>
      <w:r>
        <w:rPr>
          <w:spacing w:val="-2"/>
        </w:rPr>
        <w:t>准则、企业会计准则应用指南、企业会计准则解释及其他相关规定（以下简称“企业会计准则”）以及中国证券监督管理委</w:t>
      </w:r>
      <w:r>
        <w:rPr>
          <w:spacing w:val="-64"/>
        </w:rPr>
        <w:t> </w:t>
      </w:r>
      <w:r>
        <w:rPr>
          <w:spacing w:val="-64"/>
        </w:rPr>
      </w:r>
      <w:r>
        <w:rPr/>
        <w:t>员会《公开发行证券的公司信息披露编报规则第</w:t>
      </w:r>
      <w:r>
        <w:rPr>
          <w:rFonts w:ascii="宋体" w:hAnsi="宋体" w:cs="宋体" w:eastAsia="宋体" w:hint="default"/>
        </w:rPr>
        <w:t>15 </w:t>
      </w:r>
      <w:r>
        <w:rPr/>
        <w:t>号——财务报告的一般规定》</w:t>
      </w:r>
      <w:r>
        <w:rPr>
          <w:rFonts w:ascii="宋体" w:hAnsi="宋体" w:cs="宋体" w:eastAsia="宋体" w:hint="default"/>
        </w:rPr>
        <w:t>(2014</w:t>
      </w:r>
      <w:r>
        <w:rPr/>
        <w:t>年修订</w:t>
      </w:r>
      <w:r>
        <w:rPr>
          <w:rFonts w:ascii="宋体" w:hAnsi="宋体" w:cs="宋体" w:eastAsia="宋体" w:hint="default"/>
        </w:rPr>
        <w:t>)</w:t>
      </w:r>
      <w:r>
        <w:rPr/>
        <w:t>的披露规定编制财务报表。</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2</w:t>
      </w:r>
      <w:r>
        <w:rPr/>
        <w:t>、持续经营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94"/>
        <w:jc w:val="left"/>
      </w:pPr>
      <w:r>
        <w:rPr/>
        <w:t>公司自本报告期末起至少</w:t>
      </w:r>
      <w:r>
        <w:rPr>
          <w:rFonts w:ascii="宋体" w:hAnsi="宋体" w:cs="宋体" w:eastAsia="宋体" w:hint="default"/>
        </w:rPr>
        <w:t>12</w:t>
      </w:r>
      <w:r>
        <w:rPr/>
        <w:t>个月内具备持续经营能力。</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宋体" w:hAnsi="宋体" w:cs="宋体" w:eastAsia="宋体" w:hint="default"/>
        </w:rPr>
        <w:t>1</w:t>
      </w:r>
      <w:r>
        <w:rPr/>
        <w:t>、遵循企业会计准则的声明</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8" w:firstLine="420"/>
        <w:jc w:val="both"/>
      </w:pPr>
      <w:r>
        <w:rPr/>
        <w:t>本公司所编制的财务报表符合企业会计准则的要求，真实、完整地反映了报告期公司的财务状况、经营成果、现金流 量等有关信息。</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2</w:t>
      </w:r>
      <w:r>
        <w:rPr/>
        <w:t>、会计期间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73" w:right="94"/>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rFonts w:ascii="宋体" w:hAnsi="宋体" w:cs="宋体" w:eastAsia="宋体" w:hint="default"/>
        </w:rPr>
        <w:t>3</w:t>
      </w:r>
      <w:r>
        <w:rPr/>
        <w:t>、营业周期</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73" w:right="94"/>
        <w:jc w:val="left"/>
      </w:pPr>
      <w:r>
        <w:rPr/>
        <w:t>本公司以</w:t>
      </w:r>
      <w:r>
        <w:rPr>
          <w:rFonts w:ascii="宋体" w:hAnsi="宋体" w:cs="宋体" w:eastAsia="宋体" w:hint="default"/>
        </w:rPr>
        <w:t>12</w:t>
      </w:r>
      <w:r>
        <w:rPr/>
        <w:t>个月作为一个营业周期，并以营业周期作为资产和负债的流动性划分标准。</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宋体" w:hAnsi="宋体" w:cs="宋体" w:eastAsia="宋体" w:hint="default"/>
        </w:rPr>
        <w:t>4</w:t>
      </w:r>
      <w:r>
        <w:rPr/>
        <w:t>、记账本位币</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8" w:firstLine="420"/>
        <w:jc w:val="both"/>
      </w:pPr>
      <w:r>
        <w:rPr/>
        <w:t>本公司的记账本位币为人民币，编制财务报表采用的货币为人民币。本公司及子公司选定记账本位币的依据是主要业 务收支的计价和结算币种。</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5</w:t>
      </w:r>
      <w:r>
        <w:rPr/>
        <w:t>、</w:t>
      </w:r>
      <w:r>
        <w:rPr>
          <w:spacing w:val="-67"/>
        </w:rPr>
        <w:t> </w:t>
      </w:r>
      <w:r>
        <w:rPr/>
        <w:t>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4"/>
        <w:jc w:val="left"/>
        <w:rPr>
          <w:b w:val="0"/>
          <w:bCs w:val="0"/>
        </w:rPr>
      </w:pPr>
      <w:r>
        <w:rPr>
          <w:rFonts w:ascii="宋体" w:hAnsi="宋体" w:cs="宋体" w:eastAsia="宋体" w:hint="default"/>
        </w:rPr>
        <w:t>5.1</w:t>
      </w:r>
      <w:r>
        <w:rPr>
          <w:rFonts w:ascii="宋体" w:hAnsi="宋体" w:cs="宋体" w:eastAsia="宋体" w:hint="default"/>
          <w:spacing w:val="2"/>
        </w:rPr>
        <w:t> </w:t>
      </w:r>
      <w:r>
        <w:rPr/>
        <w:t>同一控制下企业合并</w:t>
      </w:r>
      <w:r>
        <w:rPr>
          <w:b w:val="0"/>
          <w:bCs w:val="0"/>
        </w:rPr>
      </w:r>
    </w:p>
    <w:p>
      <w:pPr>
        <w:pStyle w:val="BodyText"/>
        <w:spacing w:line="316" w:lineRule="auto" w:before="178"/>
        <w:ind w:right="192" w:firstLine="360"/>
        <w:jc w:val="both"/>
      </w:pPr>
      <w:r>
        <w:rPr>
          <w:spacing w:val="-2"/>
        </w:rPr>
        <w:t>参与合并的企业在合并前后均受同一方或相同的多方最终控制且该控制并非暂时性的，为同一控制下的企业合并。合并</w:t>
      </w:r>
      <w:r>
        <w:rPr/>
        <w:t> 日为合并方实际取得对被合并方控制权的日期。</w:t>
      </w:r>
    </w:p>
    <w:p>
      <w:pPr>
        <w:pStyle w:val="BodyText"/>
        <w:spacing w:line="316" w:lineRule="auto" w:before="139"/>
        <w:ind w:right="192" w:firstLine="360"/>
        <w:jc w:val="both"/>
      </w:pPr>
      <w:r>
        <w:rPr>
          <w:spacing w:val="-2"/>
        </w:rPr>
        <w:t>在企业合并中取得的资产和负债，按照合并日被合并方在最终控制方合并财务报表中的账面价值计量。被合并各方采用</w:t>
      </w:r>
      <w:r>
        <w:rPr/>
        <w:t> 的会计政策与本公司不一致的，合并方在合并日按照本公司会计政策进行调整，在此基础上按照调整后的账面价值确认。</w:t>
      </w:r>
    </w:p>
    <w:p>
      <w:pPr>
        <w:pStyle w:val="BodyText"/>
        <w:spacing w:line="316" w:lineRule="auto" w:before="139"/>
        <w:ind w:right="192"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39"/>
        <w:ind w:right="193"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432" w:lineRule="exact" w:before="3"/>
        <w:ind w:left="513" w:right="93"/>
        <w:jc w:val="left"/>
      </w:pPr>
      <w:r>
        <w:rPr/>
        <w:t>企业合并中发行权益性证券发生的手续费、佣金等，抵减权益性证券溢价收入，溢价收入不足冲减的，冲减留存收益。</w:t>
      </w:r>
      <w:r>
        <w:rPr>
          <w:spacing w:val="-86"/>
        </w:rPr>
        <w:t> </w:t>
      </w:r>
      <w:r>
        <w:rPr>
          <w:spacing w:val="-86"/>
        </w:rPr>
      </w:r>
      <w:r>
        <w:rPr>
          <w:spacing w:val="-2"/>
        </w:rPr>
        <w:t>通过多次交易分步实现的同一控制下企业合并，属于“一揽子交易”的，本公司将各项交易作为一项取得控制权的交易</w:t>
      </w:r>
    </w:p>
    <w:p>
      <w:pPr>
        <w:pStyle w:val="BodyText"/>
        <w:spacing w:line="240" w:lineRule="auto" w:before="15"/>
        <w:ind w:right="94"/>
        <w:jc w:val="left"/>
      </w:pPr>
      <w:r>
        <w:rPr/>
        <w:t>进行会计处理。不属于“一揽子交易”的，取得控制权日，按照下列步骤进行会计处理：</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t>（</w:t>
      </w:r>
      <w:r>
        <w:rPr>
          <w:rFonts w:ascii="宋体" w:hAnsi="宋体" w:cs="宋体" w:eastAsia="宋体"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19" w:lineRule="auto" w:before="139"/>
        <w:ind w:right="193" w:firstLine="360"/>
        <w:jc w:val="both"/>
      </w:pPr>
      <w:r>
        <w:rPr/>
        <w:t>（</w:t>
      </w:r>
      <w:r>
        <w:rPr>
          <w:rFonts w:ascii="宋体" w:hAnsi="宋体" w:cs="宋体" w:eastAsia="宋体"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16" w:lineRule="auto" w:before="137"/>
        <w:ind w:right="190" w:firstLine="360"/>
        <w:jc w:val="both"/>
      </w:pPr>
      <w:r>
        <w:rPr/>
        <w:t>（</w:t>
      </w:r>
      <w:r>
        <w:rPr>
          <w:rFonts w:ascii="宋体" w:hAnsi="宋体" w:cs="宋体" w:eastAsia="宋体"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3"/>
        </w:rPr>
        <w:t> </w:t>
      </w:r>
      <w:r>
        <w:rPr>
          <w:spacing w:val="-63"/>
        </w:rPr>
      </w:r>
      <w:r>
        <w:rPr/>
        <w:t>例结转，处置后的剩余股权改按金融工具确认和计量准则进行会计处理的，其他综合收益和其他所有者权益应全部结转。</w:t>
      </w:r>
    </w:p>
    <w:p>
      <w:pPr>
        <w:pStyle w:val="BodyText"/>
        <w:spacing w:line="240" w:lineRule="auto" w:before="139"/>
        <w:ind w:left="513" w:right="94"/>
        <w:jc w:val="left"/>
      </w:pPr>
      <w:r>
        <w:rPr/>
        <w:t>（</w:t>
      </w:r>
      <w:r>
        <w:rPr>
          <w:rFonts w:ascii="宋体" w:hAnsi="宋体" w:cs="宋体" w:eastAsia="宋体" w:hint="default"/>
        </w:rPr>
        <w:t>4</w:t>
      </w:r>
      <w:r>
        <w:rPr/>
        <w:t>）在合并财务报表中的会计处理见本附注四、（六）。</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rFonts w:ascii="宋体" w:hAnsi="宋体" w:cs="宋体" w:eastAsia="宋体" w:hint="default"/>
        </w:rPr>
        <w:t>5.2</w:t>
      </w:r>
      <w:r>
        <w:rPr/>
        <w:t>非同一控制下企业合并</w:t>
      </w:r>
      <w:r>
        <w:rPr>
          <w:b w:val="0"/>
          <w:bCs w:val="0"/>
        </w:rPr>
      </w:r>
    </w:p>
    <w:p>
      <w:pPr>
        <w:pStyle w:val="BodyText"/>
        <w:spacing w:line="432" w:lineRule="exact" w:before="42"/>
        <w:ind w:left="513" w:right="94"/>
        <w:jc w:val="left"/>
      </w:pPr>
      <w:r>
        <w:rPr/>
        <w:t>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240" w:lineRule="auto" w:before="16"/>
        <w:ind w:right="94"/>
        <w:jc w:val="left"/>
      </w:pPr>
      <w:r>
        <w:rPr/>
        <w:t>计入当期损益。</w:t>
      </w:r>
    </w:p>
    <w:p>
      <w:pPr>
        <w:pStyle w:val="BodyText"/>
        <w:spacing w:line="430" w:lineRule="atLeast" w:before="2"/>
        <w:ind w:left="513" w:right="94"/>
        <w:jc w:val="left"/>
      </w:pPr>
      <w:r>
        <w:rPr/>
        <w:t>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439" w:lineRule="auto" w:before="76"/>
        <w:ind w:left="513" w:right="94" w:hanging="361"/>
        <w:jc w:val="left"/>
      </w:pPr>
      <w:r>
        <w:rPr/>
        <w:t>得的被购买方可辨认净资产公允价值份额的差额，经复核后，计入当期损益。 </w:t>
      </w:r>
      <w:r>
        <w:rPr>
          <w:spacing w:val="-2"/>
        </w:rPr>
        <w:t>企业合并中取得的被购买方除无形资产外的其他各项资产（不仅限于被购买方原已确认的资产），其所带来的经济利益</w:t>
      </w:r>
    </w:p>
    <w:p>
      <w:pPr>
        <w:spacing w:after="0" w:line="43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pPr>
      <w:r>
        <w:rPr>
          <w:spacing w:val="-2"/>
        </w:rPr>
        <w:t>很可能流入本公司且公允价值能够可靠计量的，单独确认并按公允价值计量；公允价值能够可靠计量的无形资产，单独确认</w:t>
      </w:r>
      <w:r>
        <w:rPr>
          <w:spacing w:val="-63"/>
        </w:rPr>
        <w:t> </w:t>
      </w:r>
      <w:r>
        <w:rPr>
          <w:spacing w:val="-63"/>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4"/>
        </w:rPr>
        <w:t> </w:t>
      </w:r>
      <w:r>
        <w:rPr>
          <w:spacing w:val="-64"/>
        </w:rPr>
      </w:r>
      <w:r>
        <w:rPr/>
        <w:t>独确认为负债并按照公允价值计量。</w:t>
      </w:r>
    </w:p>
    <w:p>
      <w:pPr>
        <w:pStyle w:val="BodyText"/>
        <w:spacing w:line="316" w:lineRule="auto" w:before="137"/>
        <w:ind w:right="191" w:firstLine="360"/>
        <w:jc w:val="both"/>
      </w:pPr>
      <w:r>
        <w:rPr>
          <w:spacing w:val="-2"/>
        </w:rPr>
        <w:t>对合并中取得的被购买方资产进行初始确认时，对被购买方拥有的但在其财务报表中未确认的无形资产进行充分辨认和</w:t>
      </w:r>
      <w:r>
        <w:rPr/>
        <w:t> </w:t>
      </w:r>
      <w:r>
        <w:rPr>
          <w:spacing w:val="-2"/>
        </w:rPr>
        <w:t>合理判断，满足以下条件之一的，应确认为无形资产：（</w:t>
      </w:r>
      <w:r>
        <w:rPr>
          <w:rFonts w:ascii="宋体" w:hAnsi="宋体" w:cs="宋体" w:eastAsia="宋体" w:hint="default"/>
          <w:spacing w:val="-2"/>
        </w:rPr>
        <w:t>1</w:t>
      </w:r>
      <w:r>
        <w:rPr>
          <w:spacing w:val="-2"/>
        </w:rPr>
        <w:t>）源于合同性权利或其他法定权利；（</w:t>
      </w:r>
      <w:r>
        <w:rPr>
          <w:rFonts w:ascii="宋体" w:hAnsi="宋体" w:cs="宋体" w:eastAsia="宋体" w:hint="default"/>
          <w:spacing w:val="-2"/>
        </w:rPr>
        <w:t>2</w:t>
      </w:r>
      <w:r>
        <w:rPr>
          <w:spacing w:val="-2"/>
        </w:rPr>
        <w:t>）能够从被购买方中分离</w:t>
      </w:r>
      <w:r>
        <w:rPr>
          <w:spacing w:val="-67"/>
        </w:rPr>
        <w:t> </w:t>
      </w:r>
      <w:r>
        <w:rPr>
          <w:spacing w:val="-67"/>
        </w:rPr>
      </w:r>
      <w:r>
        <w:rPr/>
        <w:t>或者划分出来，并能单独或与相关合同、资产和负债一起，用于出售、转移、授予许可、租赁或交换。</w:t>
      </w:r>
    </w:p>
    <w:p>
      <w:pPr>
        <w:pStyle w:val="BodyText"/>
        <w:spacing w:line="316" w:lineRule="auto" w:before="139"/>
        <w:ind w:right="94" w:firstLine="360"/>
        <w:jc w:val="left"/>
      </w:pPr>
      <w:r>
        <w:rPr/>
        <w:t>购买方在企业合并中取得的被购买方的可抵扣暂时性差异，在购买日不符合递延所得税资产确认条件的，不予以确认。 </w:t>
      </w:r>
      <w:r>
        <w:rPr>
          <w:spacing w:val="-2"/>
        </w:rPr>
        <w:t>购买日后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9" w:lineRule="auto" w:before="139"/>
        <w:ind w:right="193" w:firstLine="360"/>
        <w:jc w:val="both"/>
      </w:pPr>
      <w:r>
        <w:rPr>
          <w:spacing w:val="-2"/>
        </w:rPr>
        <w:t>非同一控制下企业合并，购买方为企业合并发生的审计、法律服务、评估咨询等中介费用以及其他相关管理费用，于发</w:t>
      </w:r>
      <w:r>
        <w:rPr/>
        <w:t> </w:t>
      </w:r>
      <w:r>
        <w:rPr>
          <w:spacing w:val="-2"/>
        </w:rPr>
        <w:t>生时计入当期损益；购买方作为合并对价发行的权益性证券或债务性证券的交易费用，计入权益性证券或债务性证券的初始</w:t>
      </w:r>
      <w:r>
        <w:rPr>
          <w:spacing w:val="-64"/>
        </w:rPr>
        <w:t> </w:t>
      </w:r>
      <w:r>
        <w:rPr>
          <w:spacing w:val="-64"/>
        </w:rPr>
      </w:r>
      <w:r>
        <w:rPr/>
        <w:t>确认金额。</w:t>
      </w:r>
    </w:p>
    <w:p>
      <w:pPr>
        <w:pStyle w:val="BodyText"/>
        <w:spacing w:line="316" w:lineRule="auto" w:before="137"/>
        <w:ind w:right="189" w:firstLine="360"/>
        <w:jc w:val="both"/>
      </w:pPr>
      <w:r>
        <w:rPr>
          <w:spacing w:val="-2"/>
        </w:rPr>
        <w:t>购买方通过多次交易分步实现非同一控制下企业合并的，属于“一揽子交易”的，本公司将各项交易作为一项取得控制</w:t>
      </w:r>
      <w:r>
        <w:rPr/>
        <w:t> </w:t>
      </w:r>
      <w:r>
        <w:rPr>
          <w:spacing w:val="-2"/>
        </w:rPr>
        <w:t>权的交易进行会计处理。不属于“一揽子交易”的，在个别财务报表中，以购买日之前所持被购买方的股权投资的账面价值</w:t>
      </w:r>
      <w:r>
        <w:rPr>
          <w:spacing w:val="-64"/>
        </w:rPr>
        <w:t> </w:t>
      </w:r>
      <w:r>
        <w:rPr>
          <w:spacing w:val="-64"/>
        </w:rPr>
      </w:r>
      <w:r>
        <w:rPr>
          <w:spacing w:val="-2"/>
        </w:rPr>
        <w:t>与购买日新增投资成本之和，作为改按成本法核算的初始投资成本；购买日之前持有的被购买方的股权投资因采用权益法核</w:t>
      </w:r>
      <w:r>
        <w:rPr>
          <w:spacing w:val="-64"/>
        </w:rPr>
        <w:t> </w:t>
      </w:r>
      <w:r>
        <w:rPr>
          <w:spacing w:val="-64"/>
        </w:rPr>
      </w:r>
      <w:r>
        <w:rPr>
          <w:spacing w:val="-2"/>
        </w:rPr>
        <w:t>算而确认的其他综合收益，在处置该项投资时采用与被投资单位直接处置相关资产或负债相同的基础进行会计处理，因被投</w:t>
      </w:r>
      <w:r>
        <w:rPr>
          <w:spacing w:val="-64"/>
        </w:rPr>
        <w:t> </w:t>
      </w:r>
      <w:r>
        <w:rPr>
          <w:spacing w:val="-64"/>
        </w:rPr>
      </w:r>
      <w:r>
        <w:rPr>
          <w:spacing w:val="-2"/>
        </w:rPr>
        <w:t>资方除净损益、其他综合收益和利润分配以外的其他所有者权益变动而确认的所有者权益，在处置该项投资时转入处置期间</w:t>
      </w:r>
      <w:r>
        <w:rPr>
          <w:spacing w:val="-64"/>
        </w:rPr>
        <w:t> </w:t>
      </w:r>
      <w:r>
        <w:rPr>
          <w:spacing w:val="-64"/>
        </w:rPr>
      </w:r>
      <w:r>
        <w:rPr>
          <w:spacing w:val="-2"/>
        </w:rPr>
        <w:t>的当期损益。。其中，处置后的剩余股权根据长期股权投资准则采用成本法或权益法核算的，其他综合收益和其他所有者权</w:t>
      </w:r>
      <w:r>
        <w:rPr>
          <w:spacing w:val="-65"/>
        </w:rPr>
        <w:t> </w:t>
      </w:r>
      <w:r>
        <w:rPr>
          <w:spacing w:val="-65"/>
        </w:rPr>
      </w:r>
      <w:r>
        <w:rPr>
          <w:spacing w:val="-2"/>
        </w:rPr>
        <w:t>益应按比例结转，处置后的剩余股权改按金融工具确认和计量准则进行会计处理的，其他综合收益和其他所有者权益应全部</w:t>
      </w:r>
      <w:r>
        <w:rPr>
          <w:spacing w:val="-64"/>
        </w:rPr>
        <w:t> </w:t>
      </w:r>
      <w:r>
        <w:rPr>
          <w:spacing w:val="-64"/>
        </w:rPr>
      </w:r>
      <w:r>
        <w:rPr/>
        <w:t>结转。在合并财务报表中的会计处理见本附注四、（六）。</w:t>
      </w:r>
    </w:p>
    <w:p>
      <w:pPr>
        <w:pStyle w:val="BodyText"/>
        <w:spacing w:line="319" w:lineRule="auto" w:before="139"/>
        <w:ind w:right="192" w:firstLine="360"/>
        <w:jc w:val="both"/>
      </w:pPr>
      <w:r>
        <w:rPr>
          <w:spacing w:val="-2"/>
        </w:rPr>
        <w:t>购买日之前持有的股权投资，采用金融工具确认和计量准则进行会计处理的，将该股权投资的公允价值加上新增投资成</w:t>
      </w:r>
      <w:r>
        <w:rPr/>
        <w:t> </w:t>
      </w:r>
      <w:r>
        <w:rPr>
          <w:spacing w:val="-2"/>
        </w:rPr>
        <w:t>本之和，作为改按成本法核算的初始投资成本，原持有股权的公允价值与账面价值的差额与原计入其他综合收益的累计公允</w:t>
      </w:r>
      <w:r>
        <w:rPr>
          <w:spacing w:val="-64"/>
        </w:rPr>
        <w:t> </w:t>
      </w:r>
      <w:r>
        <w:rPr>
          <w:spacing w:val="-64"/>
        </w:rPr>
      </w:r>
      <w:r>
        <w:rPr/>
        <w:t>价值变动全部转入改按成本法核算的当期投资损益。</w:t>
      </w:r>
    </w:p>
    <w:p>
      <w:pPr>
        <w:pStyle w:val="Heading3"/>
        <w:spacing w:line="240" w:lineRule="auto" w:before="116"/>
        <w:ind w:right="0"/>
        <w:jc w:val="both"/>
        <w:rPr>
          <w:b w:val="0"/>
          <w:bCs w:val="0"/>
        </w:rPr>
      </w:pPr>
      <w:r>
        <w:rPr>
          <w:rFonts w:ascii="宋体" w:hAnsi="宋体" w:cs="宋体" w:eastAsia="宋体" w:hint="default"/>
        </w:rPr>
        <w:t>5.3</w:t>
      </w:r>
      <w:r>
        <w:rPr>
          <w:rFonts w:ascii="宋体" w:hAnsi="宋体" w:cs="宋体" w:eastAsia="宋体" w:hint="default"/>
          <w:spacing w:val="-63"/>
        </w:rPr>
        <w:t> </w:t>
      </w:r>
      <w:r>
        <w:rPr/>
        <w:t>将多次交易事项判断为一揽子交易的判断标准</w:t>
      </w:r>
      <w:r>
        <w:rPr>
          <w:b w:val="0"/>
          <w:bCs w:val="0"/>
        </w:rPr>
      </w:r>
    </w:p>
    <w:p>
      <w:pPr>
        <w:pStyle w:val="BodyText"/>
        <w:spacing w:line="240" w:lineRule="auto" w:before="178"/>
        <w:ind w:left="513" w:right="94"/>
        <w:jc w:val="left"/>
      </w:pPr>
      <w:r>
        <w:rPr/>
        <w:t>本公司将多次交易事项判断为一揽子交易的判断标准如下：</w:t>
      </w:r>
    </w:p>
    <w:p>
      <w:pPr>
        <w:spacing w:line="240" w:lineRule="auto" w:before="0"/>
        <w:rPr>
          <w:rFonts w:ascii="宋体" w:hAnsi="宋体" w:cs="宋体" w:eastAsia="宋体" w:hint="default"/>
          <w:sz w:val="15"/>
          <w:szCs w:val="15"/>
        </w:rPr>
      </w:pPr>
    </w:p>
    <w:p>
      <w:pPr>
        <w:pStyle w:val="BodyText"/>
        <w:spacing w:line="240" w:lineRule="auto"/>
        <w:ind w:left="513" w:right="94"/>
        <w:jc w:val="left"/>
      </w:pPr>
      <w:r>
        <w:rPr/>
        <w:t>（</w:t>
      </w:r>
      <w:r>
        <w:rPr>
          <w:rFonts w:ascii="宋体" w:hAnsi="宋体" w:cs="宋体" w:eastAsia="宋体" w:hint="default"/>
        </w:rPr>
        <w:t>1</w:t>
      </w:r>
      <w:r>
        <w:rPr/>
        <w:t>）这些交易是同时或者在考虑了彼此影响的情况下订立的；</w:t>
      </w:r>
    </w:p>
    <w:p>
      <w:pPr>
        <w:spacing w:line="240" w:lineRule="auto" w:before="0"/>
        <w:rPr>
          <w:rFonts w:ascii="宋体" w:hAnsi="宋体" w:cs="宋体" w:eastAsia="宋体" w:hint="default"/>
          <w:sz w:val="15"/>
          <w:szCs w:val="15"/>
        </w:rPr>
      </w:pPr>
    </w:p>
    <w:p>
      <w:pPr>
        <w:pStyle w:val="BodyText"/>
        <w:spacing w:line="240" w:lineRule="auto"/>
        <w:ind w:left="513" w:right="94"/>
        <w:jc w:val="left"/>
      </w:pPr>
      <w:r>
        <w:rPr/>
        <w:t>（</w:t>
      </w:r>
      <w:r>
        <w:rPr>
          <w:rFonts w:ascii="宋体" w:hAnsi="宋体" w:cs="宋体" w:eastAsia="宋体" w:hint="default"/>
        </w:rPr>
        <w:t>2</w:t>
      </w:r>
      <w:r>
        <w:rPr/>
        <w:t>）这些交易整体才能达成一项完整的商业结果；</w:t>
      </w:r>
    </w:p>
    <w:p>
      <w:pPr>
        <w:spacing w:line="240" w:lineRule="auto" w:before="0"/>
        <w:rPr>
          <w:rFonts w:ascii="宋体" w:hAnsi="宋体" w:cs="宋体" w:eastAsia="宋体" w:hint="default"/>
          <w:sz w:val="15"/>
          <w:szCs w:val="15"/>
        </w:rPr>
      </w:pPr>
    </w:p>
    <w:p>
      <w:pPr>
        <w:pStyle w:val="BodyText"/>
        <w:spacing w:line="240" w:lineRule="auto"/>
        <w:ind w:left="513" w:right="94"/>
        <w:jc w:val="left"/>
      </w:pPr>
      <w:r>
        <w:rPr/>
        <w:t>（</w:t>
      </w:r>
      <w:r>
        <w:rPr>
          <w:rFonts w:ascii="宋体" w:hAnsi="宋体" w:cs="宋体" w:eastAsia="宋体" w:hint="default"/>
        </w:rPr>
        <w:t>3</w:t>
      </w:r>
      <w:r>
        <w:rPr/>
        <w:t>）一项交易的发生取决于其他至少一项交易的发生；</w:t>
      </w:r>
    </w:p>
    <w:p>
      <w:pPr>
        <w:spacing w:line="240" w:lineRule="auto" w:before="0"/>
        <w:rPr>
          <w:rFonts w:ascii="宋体" w:hAnsi="宋体" w:cs="宋体" w:eastAsia="宋体" w:hint="default"/>
          <w:sz w:val="15"/>
          <w:szCs w:val="15"/>
        </w:rPr>
      </w:pPr>
    </w:p>
    <w:p>
      <w:pPr>
        <w:pStyle w:val="BodyText"/>
        <w:spacing w:line="240" w:lineRule="auto"/>
        <w:ind w:left="513" w:right="94"/>
        <w:jc w:val="left"/>
      </w:pPr>
      <w:r>
        <w:rPr/>
        <w:t>（</w:t>
      </w:r>
      <w:r>
        <w:rPr>
          <w:rFonts w:ascii="宋体" w:hAnsi="宋体" w:cs="宋体" w:eastAsia="宋体" w:hint="default"/>
        </w:rPr>
        <w:t>4</w:t>
      </w:r>
      <w:r>
        <w:rPr/>
        <w:t>）一项交易单独考虑时是不经济的，但是和其他交易一并考虑时是经济的。</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宋体" w:hAnsi="宋体" w:cs="宋体" w:eastAsia="宋体" w:hint="default"/>
        </w:rPr>
        <w:t>6</w:t>
      </w:r>
      <w:r>
        <w:rPr/>
        <w:t>、</w:t>
      </w:r>
      <w:r>
        <w:rPr>
          <w:spacing w:val="-62"/>
        </w:rPr>
        <w:t> </w:t>
      </w:r>
      <w:r>
        <w:rPr/>
        <w:t>合并财务报表的编制方法</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9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6" w:lineRule="auto" w:before="139"/>
        <w:ind w:right="190" w:firstLine="360"/>
        <w:jc w:val="both"/>
      </w:pPr>
      <w:r>
        <w:rPr>
          <w:spacing w:val="-5"/>
        </w:rPr>
        <w:t>被投资方的相关活动根据具体情况进行判断，通常包括商品或劳务的销售和购买、金融资产的管理、资产的购买和处置、</w:t>
      </w:r>
      <w:r>
        <w:rPr/>
        <w:t> 研究与开发活动以及融资活动等。</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292" w:firstLine="360"/>
        <w:jc w:val="both"/>
      </w:pPr>
      <w:r>
        <w:rPr>
          <w:spacing w:val="-2"/>
        </w:rPr>
        <w:t>在综合考虑被投资方的设立目的、被投资方的相关活动以及如何对相关活动作出决策、本公司享有的权利是否使其目前</w:t>
      </w:r>
      <w:r>
        <w:rPr/>
        <w:t> </w:t>
      </w:r>
      <w:r>
        <w:rPr>
          <w:spacing w:val="-2"/>
        </w:rPr>
        <w:t>有能力主导被投资方的相关活动、是否通过参与被投资方的相关活动而享有可变回报、是否有能力运用对被投资方的权力影</w:t>
      </w:r>
      <w:r>
        <w:rPr>
          <w:spacing w:val="-63"/>
        </w:rPr>
        <w:t> </w:t>
      </w:r>
      <w:r>
        <w:rPr>
          <w:spacing w:val="-63"/>
        </w:rPr>
      </w:r>
      <w:r>
        <w:rPr>
          <w:spacing w:val="-2"/>
        </w:rPr>
        <w:t>响其回报金额以及与其他方的关系等基础上对是否控制被投资方进行判断。一旦相关事实和情况的变化导致控制所涉及的相</w:t>
      </w:r>
      <w:r>
        <w:rPr>
          <w:spacing w:val="-64"/>
        </w:rPr>
        <w:t> </w:t>
      </w:r>
      <w:r>
        <w:rPr>
          <w:spacing w:val="-64"/>
        </w:rPr>
      </w:r>
      <w:r>
        <w:rPr/>
        <w:t>关要素发生变化的，将进行重新评估。</w:t>
      </w:r>
    </w:p>
    <w:p>
      <w:pPr>
        <w:pStyle w:val="BodyText"/>
        <w:spacing w:line="316" w:lineRule="auto" w:before="137"/>
        <w:ind w:right="292" w:firstLine="360"/>
        <w:jc w:val="both"/>
      </w:pPr>
      <w:r>
        <w:rPr>
          <w:spacing w:val="-2"/>
        </w:rPr>
        <w:t>在判断是否拥有对被投资方的权力时，仅考虑与被投资方相关的实质性权利，包括自身所享有的实质性权利以及其他方</w:t>
      </w:r>
      <w:r>
        <w:rPr/>
        <w:t> 所享有的实质性权利。</w:t>
      </w:r>
    </w:p>
    <w:p>
      <w:pPr>
        <w:pStyle w:val="BodyText"/>
        <w:spacing w:line="316" w:lineRule="auto" w:before="139"/>
        <w:ind w:right="29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6"/>
        </w:rPr>
        <w:t> </w:t>
      </w:r>
      <w:r>
        <w:rPr>
          <w:spacing w:val="-66"/>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3"/>
        </w:rPr>
        <w:t> </w:t>
      </w:r>
      <w:r>
        <w:rPr>
          <w:spacing w:val="-63"/>
        </w:rPr>
      </w:r>
      <w:r>
        <w:rPr/>
        <w:t>部交易表明相关资产发生减值损失的，全额确认该部分损失；站在企业集团角度对特殊交易事项予以调整。</w:t>
      </w:r>
    </w:p>
    <w:p>
      <w:pPr>
        <w:pStyle w:val="BodyText"/>
        <w:spacing w:line="319" w:lineRule="auto" w:before="139"/>
        <w:ind w:right="291" w:firstLine="360"/>
        <w:jc w:val="both"/>
      </w:pPr>
      <w:r>
        <w:rPr>
          <w:spacing w:val="-2"/>
        </w:rPr>
        <w:t>子公司所有者权益中不属于母公司的份额，作为少数股东权益，在合并资产负债表中所有者权益项目下以“少数股东权</w:t>
      </w:r>
      <w:r>
        <w:rPr/>
        <w:t> 益”项目列示。</w:t>
      </w:r>
    </w:p>
    <w:p>
      <w:pPr>
        <w:pStyle w:val="BodyText"/>
        <w:spacing w:line="316" w:lineRule="auto" w:before="137"/>
        <w:ind w:right="291" w:firstLine="360"/>
        <w:jc w:val="both"/>
      </w:pPr>
      <w:r>
        <w:rPr>
          <w:spacing w:val="-2"/>
        </w:rPr>
        <w:t>子公司当期净损益中属于少数股东权益的份额，在合并利润表中净利润项目下以“少数股东损益”项目列示。子公司当</w:t>
      </w:r>
      <w:r>
        <w:rPr/>
        <w:t> </w:t>
      </w:r>
      <w:r>
        <w:rPr>
          <w:spacing w:val="-2"/>
        </w:rPr>
        <w:t>期综合收益中属于少数股东权益的份额，在合并利润表中综合收益总额项目下以“归属于少数股东的综合收益总额”项目列</w:t>
      </w:r>
      <w:r>
        <w:rPr>
          <w:spacing w:val="-63"/>
        </w:rPr>
        <w:t> </w:t>
      </w:r>
      <w:r>
        <w:rPr>
          <w:spacing w:val="-63"/>
        </w:rPr>
      </w:r>
      <w:r>
        <w:rPr/>
        <w:t>示。</w:t>
      </w:r>
    </w:p>
    <w:p>
      <w:pPr>
        <w:pStyle w:val="BodyText"/>
        <w:spacing w:line="316" w:lineRule="auto" w:before="139"/>
        <w:ind w:right="292"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16" w:lineRule="auto" w:before="139"/>
        <w:ind w:right="0" w:firstLine="360"/>
        <w:jc w:val="left"/>
      </w:pPr>
      <w:r>
        <w:rPr/>
        <w:t>向子公司出售资产所发生的未实现内部交易损益，全额抵销“归属于母公司所有者的净利润”。子公司向母公司出售资 </w:t>
      </w:r>
      <w:r>
        <w:rPr>
          <w:spacing w:val="-2"/>
        </w:rPr>
        <w:t>产所发生的未实现内部交易损益，按照母公司对该子公司的分配比例在“归属于母公司所有者的净利润”和“少数股东损益”</w:t>
      </w:r>
      <w:r>
        <w:rPr>
          <w:spacing w:val="-61"/>
        </w:rPr>
        <w:t> </w:t>
      </w:r>
      <w:r>
        <w:rPr>
          <w:spacing w:val="-61"/>
        </w:rPr>
      </w:r>
      <w:r>
        <w:rPr/>
        <w:t>之间分配抵销。子公司之间出售资产所发生的未实现内部交易损益，按照母公司对出售方子公司的分配比例在“归属于母公</w:t>
      </w:r>
      <w:r>
        <w:rPr/>
        <w:t> 司所有者的净利润”和“少数股东损益”之间分配抵销。</w:t>
      </w:r>
    </w:p>
    <w:p>
      <w:pPr>
        <w:pStyle w:val="BodyText"/>
        <w:spacing w:line="319" w:lineRule="auto" w:before="139"/>
        <w:ind w:right="29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4"/>
        </w:rPr>
        <w:t> </w:t>
      </w:r>
      <w:r>
        <w:rPr>
          <w:spacing w:val="-64"/>
        </w:rPr>
      </w:r>
      <w:r>
        <w:rPr/>
        <w:t>较报表的相关项目进行调整，视同合并后的报告主体自最终控制方开始控制时点起一直存在。</w:t>
      </w:r>
    </w:p>
    <w:p>
      <w:pPr>
        <w:pStyle w:val="BodyText"/>
        <w:spacing w:line="316" w:lineRule="auto" w:before="137"/>
        <w:ind w:right="292"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139"/>
        <w:ind w:right="290"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139"/>
        <w:ind w:right="0" w:firstLine="360"/>
        <w:jc w:val="left"/>
      </w:pPr>
      <w:r>
        <w:rPr/>
        <w:t>母公司购买子公司少数股东拥有的子公司股权，在合并财务报表中，因购买少数股权新取得的长期股权投资与按照新增 </w:t>
      </w:r>
      <w:r>
        <w:rPr>
          <w:spacing w:val="-5"/>
        </w:rPr>
        <w:t>持股比例计算应享有子公司自购买日或合并日开始持续计算的净资产份额之间的差额，调整资本公积（资本溢价或股本溢价），</w:t>
      </w:r>
      <w:r>
        <w:rPr>
          <w:spacing w:val="-70"/>
        </w:rPr>
        <w:t> </w:t>
      </w:r>
      <w:r>
        <w:rPr>
          <w:spacing w:val="-70"/>
        </w:rPr>
      </w:r>
      <w:r>
        <w:rPr/>
        <w:t>资本公积不足冲减的，调整留存收益。</w:t>
      </w:r>
    </w:p>
    <w:p>
      <w:pPr>
        <w:pStyle w:val="BodyText"/>
        <w:spacing w:line="316" w:lineRule="auto" w:before="139"/>
        <w:ind w:right="289" w:firstLine="360"/>
        <w:jc w:val="both"/>
      </w:pPr>
      <w:r>
        <w:rPr>
          <w:spacing w:val="-2"/>
        </w:rPr>
        <w:t>通过多次交易分步实现的同一控制下企业合并，不属于“一揽子交易”的，取得控制权日，合并方在达到合并之前持有</w:t>
      </w:r>
      <w:r>
        <w:rPr/>
        <w:t> </w:t>
      </w:r>
      <w:r>
        <w:rPr>
          <w:spacing w:val="-2"/>
        </w:rPr>
        <w:t>的长期股权投资，在取得日与合并方与被合并方同处于同一方最终控制之日熟晚日与合并日之间已确认有关损益、其他综合</w:t>
      </w:r>
      <w:r>
        <w:rPr>
          <w:spacing w:val="-64"/>
        </w:rPr>
        <w:t> </w:t>
      </w:r>
      <w:r>
        <w:rPr>
          <w:spacing w:val="-64"/>
        </w:rPr>
      </w:r>
      <w:r>
        <w:rPr/>
        <w:t>收益和其他所有者权益变动，分别冲减比较报表期间的期初留存收益或当期损益。</w:t>
      </w:r>
    </w:p>
    <w:p>
      <w:pPr>
        <w:pStyle w:val="BodyText"/>
        <w:spacing w:line="316" w:lineRule="auto" w:before="139"/>
        <w:ind w:right="194" w:firstLine="360"/>
        <w:jc w:val="left"/>
      </w:pPr>
      <w:r>
        <w:rPr>
          <w:spacing w:val="-2"/>
        </w:rPr>
        <w:t>通过多次交易分步实现非同一控制下企业合并，不属于“一揽子交易”的，在合并财务报表中，对于购买日之前持有的</w:t>
      </w:r>
      <w:r>
        <w:rPr/>
        <w:t> </w:t>
      </w:r>
      <w:r>
        <w:rPr>
          <w:spacing w:val="-2"/>
        </w:rPr>
        <w:t>被购买方的股权，按照该股权在购买日的公允价值进行重新计量，公允价值与其账面价值的差额计入当期投资收益；购买日</w:t>
      </w:r>
      <w:r>
        <w:rPr>
          <w:spacing w:val="-62"/>
        </w:rPr>
        <w:t> </w:t>
      </w:r>
      <w:r>
        <w:rPr>
          <w:spacing w:val="-62"/>
        </w:rPr>
      </w:r>
      <w:r>
        <w:rPr/>
        <w:t>之前持有的被购买方的股权涉及权益法核算下的其他综合收益等的，与其相关的其他综合收益等转为购买日所属当期收益。</w:t>
      </w:r>
      <w:r>
        <w:rPr>
          <w:spacing w:val="-83"/>
        </w:rPr>
        <w:t> </w:t>
      </w:r>
      <w:r>
        <w:rPr>
          <w:spacing w:val="-83"/>
        </w:rPr>
      </w:r>
      <w:r>
        <w:rPr/>
        <w:t>由于被投资方重新计量设定收益计划净负债或资产变动而产生的其他综合收益除外。</w:t>
      </w:r>
    </w:p>
    <w:p>
      <w:pPr>
        <w:spacing w:after="0" w:line="316" w:lineRule="auto"/>
        <w:jc w:val="left"/>
        <w:sectPr>
          <w:footerReference w:type="default" r:id="rId38"/>
          <w:pgSz w:w="11910" w:h="16840"/>
          <w:pgMar w:footer="980" w:header="745" w:top="1060" w:bottom="1160" w:left="980" w:right="840"/>
          <w:pgNumType w:start="110"/>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316" w:lineRule="auto" w:before="137"/>
        <w:ind w:right="190"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6" w:lineRule="auto" w:before="139"/>
        <w:ind w:right="189"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2"/>
        </w:rPr>
        <w:t> </w:t>
      </w:r>
      <w:r>
        <w:rPr>
          <w:spacing w:val="-62"/>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139"/>
        <w:ind w:left="513" w:right="94"/>
        <w:jc w:val="left"/>
      </w:pPr>
      <w:r>
        <w:rPr/>
        <w:t>合并所有者权益变动表根据合并资产负债表和合并利润表编制。</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94" w:firstLine="360"/>
        <w:jc w:val="left"/>
      </w:pPr>
      <w:r>
        <w:rPr/>
        <w:t>合营安排指一项由两个或两个以上的参与方共同控制的安排。共同控制，是指按照相关约定对某项安排所共有的控制， </w:t>
      </w:r>
      <w:r>
        <w:rPr>
          <w:spacing w:val="-2"/>
        </w:rPr>
        <w:t>并且该安排的相关活动必须经过分享控制权的参与方一致同意后才能决策。在判断是否存在共同控制时，应该首先判断所有</w:t>
      </w:r>
      <w:r>
        <w:rPr>
          <w:spacing w:val="-64"/>
        </w:rPr>
        <w:t> </w:t>
      </w:r>
      <w:r>
        <w:rPr>
          <w:spacing w:val="-64"/>
        </w:rPr>
      </w:r>
      <w:r>
        <w:rPr>
          <w:spacing w:val="-2"/>
        </w:rPr>
        <w:t>参与方或参与方组合是否集体控制该安排，其次判断该安排相关活动的决策是否必须经过这些集体控制该安排的参与方一致</w:t>
      </w:r>
      <w:r>
        <w:rPr>
          <w:spacing w:val="-64"/>
        </w:rPr>
        <w:t> </w:t>
      </w:r>
      <w:r>
        <w:rPr>
          <w:spacing w:val="-64"/>
        </w:rPr>
      </w:r>
      <w:r>
        <w:rPr/>
        <w:t>同意。</w:t>
      </w:r>
    </w:p>
    <w:p>
      <w:pPr>
        <w:pStyle w:val="BodyText"/>
        <w:spacing w:line="432" w:lineRule="exact" w:before="3"/>
        <w:ind w:left="513" w:right="94"/>
        <w:jc w:val="left"/>
      </w:pPr>
      <w:r>
        <w:rPr/>
        <w:t>本公司根据在合营安排中享有的权利和承担的义务确定合营安排的分类。合营安排分为共同经营和合营企业。 </w:t>
      </w:r>
      <w:r>
        <w:rPr>
          <w:spacing w:val="-2"/>
        </w:rPr>
        <w:t>共同经营，是指合营方享有该安排相关资产且承担该安排相关负债的合营安排。本公司确认其与共同经营中利益份额相</w:t>
      </w:r>
    </w:p>
    <w:p>
      <w:pPr>
        <w:pStyle w:val="BodyText"/>
        <w:spacing w:line="240" w:lineRule="auto" w:before="15"/>
        <w:ind w:right="94"/>
        <w:jc w:val="left"/>
      </w:pPr>
      <w:r>
        <w:rPr/>
        <w:t>关的下列项目，并按照相关企业会计准则的规定进行会计处理：</w:t>
      </w:r>
    </w:p>
    <w:p>
      <w:pPr>
        <w:spacing w:line="240" w:lineRule="auto" w:before="0"/>
        <w:rPr>
          <w:rFonts w:ascii="宋体" w:hAnsi="宋体" w:cs="宋体" w:eastAsia="宋体" w:hint="default"/>
          <w:sz w:val="15"/>
          <w:szCs w:val="15"/>
        </w:rPr>
      </w:pPr>
    </w:p>
    <w:p>
      <w:pPr>
        <w:pStyle w:val="BodyText"/>
        <w:tabs>
          <w:tab w:pos="993" w:val="left" w:leader="none"/>
        </w:tabs>
        <w:spacing w:line="240" w:lineRule="auto"/>
        <w:ind w:left="573" w:right="94"/>
        <w:jc w:val="left"/>
      </w:pPr>
      <w:r>
        <w:rPr>
          <w:rFonts w:ascii="宋体" w:hAnsi="宋体" w:cs="宋体" w:eastAsia="宋体" w:hint="default"/>
        </w:rPr>
        <w:t>1.</w:t>
        <w:tab/>
      </w:r>
      <w:r>
        <w:rPr/>
        <w:t>确认单独所持有的资产，以及按其份额确认共同持有的资产；</w:t>
      </w:r>
    </w:p>
    <w:p>
      <w:pPr>
        <w:spacing w:line="240" w:lineRule="auto" w:before="1"/>
        <w:rPr>
          <w:rFonts w:ascii="宋体" w:hAnsi="宋体" w:cs="宋体" w:eastAsia="宋体" w:hint="default"/>
          <w:sz w:val="15"/>
          <w:szCs w:val="15"/>
        </w:rPr>
      </w:pPr>
    </w:p>
    <w:p>
      <w:pPr>
        <w:pStyle w:val="BodyText"/>
        <w:tabs>
          <w:tab w:pos="993" w:val="left" w:leader="none"/>
        </w:tabs>
        <w:spacing w:line="240" w:lineRule="auto"/>
        <w:ind w:left="573" w:right="94"/>
        <w:jc w:val="left"/>
      </w:pPr>
      <w:r>
        <w:rPr>
          <w:rFonts w:ascii="宋体" w:hAnsi="宋体" w:cs="宋体" w:eastAsia="宋体" w:hint="default"/>
        </w:rPr>
        <w:t>2.</w:t>
        <w:tab/>
      </w:r>
      <w:r>
        <w:rPr/>
        <w:t>确认单独所承担的负债，以及按其份额确认共同承担的负债；</w:t>
      </w:r>
    </w:p>
    <w:p>
      <w:pPr>
        <w:spacing w:line="240" w:lineRule="auto" w:before="0"/>
        <w:rPr>
          <w:rFonts w:ascii="宋体" w:hAnsi="宋体" w:cs="宋体" w:eastAsia="宋体" w:hint="default"/>
          <w:sz w:val="15"/>
          <w:szCs w:val="15"/>
        </w:rPr>
      </w:pPr>
    </w:p>
    <w:p>
      <w:pPr>
        <w:pStyle w:val="BodyText"/>
        <w:tabs>
          <w:tab w:pos="993" w:val="left" w:leader="none"/>
        </w:tabs>
        <w:spacing w:line="240" w:lineRule="auto"/>
        <w:ind w:left="573" w:right="94"/>
        <w:jc w:val="left"/>
      </w:pPr>
      <w:r>
        <w:rPr>
          <w:rFonts w:ascii="宋体" w:hAnsi="宋体" w:cs="宋体" w:eastAsia="宋体" w:hint="default"/>
        </w:rPr>
        <w:t>3.</w:t>
        <w:tab/>
      </w:r>
      <w:r>
        <w:rPr/>
        <w:t>确认出售其享有的共同经营产出份额所产生的收入；</w:t>
      </w:r>
    </w:p>
    <w:p>
      <w:pPr>
        <w:spacing w:line="240" w:lineRule="auto" w:before="0"/>
        <w:rPr>
          <w:rFonts w:ascii="宋体" w:hAnsi="宋体" w:cs="宋体" w:eastAsia="宋体" w:hint="default"/>
          <w:sz w:val="15"/>
          <w:szCs w:val="15"/>
        </w:rPr>
      </w:pPr>
    </w:p>
    <w:p>
      <w:pPr>
        <w:pStyle w:val="BodyText"/>
        <w:tabs>
          <w:tab w:pos="993" w:val="left" w:leader="none"/>
        </w:tabs>
        <w:spacing w:line="240" w:lineRule="auto"/>
        <w:ind w:left="573" w:right="94"/>
        <w:jc w:val="left"/>
      </w:pPr>
      <w:r>
        <w:rPr>
          <w:rFonts w:ascii="宋体" w:hAnsi="宋体" w:cs="宋体" w:eastAsia="宋体" w:hint="default"/>
        </w:rPr>
        <w:t>4.</w:t>
        <w:tab/>
      </w:r>
      <w:r>
        <w:rPr/>
        <w:t>按其份额确认共同经营因出售产出所产生的收入；</w:t>
      </w:r>
    </w:p>
    <w:p>
      <w:pPr>
        <w:spacing w:line="240" w:lineRule="auto" w:before="0"/>
        <w:rPr>
          <w:rFonts w:ascii="宋体" w:hAnsi="宋体" w:cs="宋体" w:eastAsia="宋体" w:hint="default"/>
          <w:sz w:val="15"/>
          <w:szCs w:val="15"/>
        </w:rPr>
      </w:pPr>
    </w:p>
    <w:p>
      <w:pPr>
        <w:pStyle w:val="BodyText"/>
        <w:tabs>
          <w:tab w:pos="993" w:val="left" w:leader="none"/>
        </w:tabs>
        <w:spacing w:line="240" w:lineRule="auto"/>
        <w:ind w:left="573" w:right="94"/>
        <w:jc w:val="left"/>
      </w:pPr>
      <w:r>
        <w:rPr>
          <w:rFonts w:ascii="宋体" w:hAnsi="宋体" w:cs="宋体" w:eastAsia="宋体" w:hint="default"/>
        </w:rPr>
        <w:t>5.</w:t>
        <w:tab/>
      </w:r>
      <w:r>
        <w:rPr/>
        <w:t>确认单独所发生的费用，以及按其份额确认共同经营发生的费用。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宋体" w:hAnsi="宋体" w:cs="宋体" w:eastAsia="宋体" w:hint="default"/>
        </w:rPr>
        <w:t>8</w:t>
      </w:r>
      <w:r>
        <w:rPr/>
        <w:t>、现金及现金等价物的确定标准</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89" w:firstLine="360"/>
        <w:jc w:val="both"/>
      </w:pPr>
      <w:r>
        <w:rPr>
          <w:spacing w:val="-2"/>
        </w:rPr>
        <w:t>在编制现金流量表时，将库存现金以及可以随时用于支付的存款确认为现金。现金等价物是指持有的期限短（一般是指</w:t>
      </w:r>
      <w:r>
        <w:rPr/>
        <w:t> 从购买日起三个月内到期）、流动性强、易于转换为已知金额现金及价值变动风险很小的投资。</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9</w:t>
      </w:r>
      <w:r>
        <w:rPr/>
        <w:t>、外币业务和外币报表折算</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）外币业务折算</w:t>
      </w:r>
      <w:r>
        <w:rPr>
          <w:b w:val="0"/>
          <w:bCs w:val="0"/>
        </w:rPr>
      </w:r>
    </w:p>
    <w:p>
      <w:pPr>
        <w:pStyle w:val="BodyText"/>
        <w:spacing w:line="432" w:lineRule="exact" w:before="42"/>
        <w:ind w:left="513" w:right="94"/>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w:t>
      </w:r>
    </w:p>
    <w:p>
      <w:pPr>
        <w:pStyle w:val="BodyText"/>
        <w:spacing w:line="316" w:lineRule="auto" w:before="15"/>
        <w:ind w:right="94"/>
        <w:jc w:val="left"/>
      </w:pPr>
      <w:r>
        <w:rPr/>
        <w:t>外币专门借款产生的汇兑差额按照借款费用资本化的原则处理外，均计入当期损益。以历史成本计量的外币非货币性项目，</w:t>
      </w:r>
      <w:r>
        <w:rPr>
          <w:spacing w:val="-83"/>
        </w:rPr>
        <w:t> </w:t>
      </w:r>
      <w:r>
        <w:rPr>
          <w:spacing w:val="-83"/>
        </w:rPr>
      </w:r>
      <w:r>
        <w:rPr>
          <w:spacing w:val="-2"/>
        </w:rPr>
        <w:t>仍采用交易发生日的即期汇率折算，不改变其记账本位币金额。以公允价值计量的外币非货币性项目，采用公允价值确定日</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的即期汇率折算，由此产生的汇兑差额计入当期损益或其他综合收益。</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t>（</w:t>
      </w:r>
      <w:r>
        <w:rPr>
          <w:rFonts w:ascii="宋体" w:hAnsi="宋体" w:cs="宋体" w:eastAsia="宋体" w:hint="default"/>
        </w:rPr>
        <w:t>2</w:t>
      </w:r>
      <w:r>
        <w:rPr/>
        <w:t>）外币报表折算</w:t>
      </w:r>
      <w:r>
        <w:rPr>
          <w:b w:val="0"/>
          <w:bCs w:val="0"/>
        </w:rPr>
      </w:r>
    </w:p>
    <w:p>
      <w:pPr>
        <w:pStyle w:val="BodyText"/>
        <w:spacing w:line="316" w:lineRule="auto" w:before="178"/>
        <w:ind w:right="188" w:firstLine="360"/>
        <w:jc w:val="both"/>
      </w:pPr>
      <w:r>
        <w:rPr>
          <w:spacing w:val="-2"/>
        </w:rPr>
        <w:t>资产负债表中的资产和负债项目，采用资产负债表日的即期汇率折算；所有者权益项目除“未分配利润”项目外，其他</w:t>
      </w:r>
      <w:r>
        <w:rPr/>
        <w:t> </w:t>
      </w:r>
      <w:r>
        <w:rPr>
          <w:spacing w:val="-2"/>
        </w:rPr>
        <w:t>项目采用发生时的即期汇率折算。利润表中的收入和费用项目，通常采用年平均汇率折算。按照上述折算产生的外币财务报</w:t>
      </w:r>
      <w:r>
        <w:rPr>
          <w:spacing w:val="-63"/>
        </w:rPr>
        <w:t> </w:t>
      </w:r>
      <w:r>
        <w:rPr>
          <w:spacing w:val="-63"/>
        </w:rPr>
      </w:r>
      <w:r>
        <w:rPr/>
        <w:t>表折算差额，在其他综合收益项目下单独列示“外币报表折算差额”项目。</w:t>
      </w:r>
    </w:p>
    <w:p>
      <w:pPr>
        <w:pStyle w:val="BodyText"/>
        <w:spacing w:line="316" w:lineRule="auto" w:before="139"/>
        <w:ind w:right="190" w:firstLine="360"/>
        <w:jc w:val="both"/>
      </w:pPr>
      <w:r>
        <w:rPr>
          <w:spacing w:val="-2"/>
        </w:rPr>
        <w:t>处置境外经营时，将资产负债表中其他综合收益项目下列示的、与该境外经营相关的外币财务报表折算差额，自其他综</w:t>
      </w:r>
      <w:r>
        <w:rPr/>
        <w:t> </w:t>
      </w: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10</w:t>
      </w:r>
      <w:r>
        <w:rPr/>
        <w:t>、金融工具</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94"/>
        <w:jc w:val="left"/>
      </w:pPr>
      <w:r>
        <w:rPr/>
        <w:t>金融工具包括金融资产、金融负债和权益工具。</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t>（</w:t>
      </w:r>
      <w:r>
        <w:rPr>
          <w:rFonts w:ascii="宋体" w:hAnsi="宋体" w:cs="宋体" w:eastAsia="宋体" w:hint="default"/>
        </w:rPr>
        <w:t>1</w:t>
      </w:r>
      <w:r>
        <w:rPr/>
        <w:t>）金融工具的分类</w:t>
      </w:r>
      <w:r>
        <w:rPr>
          <w:b w:val="0"/>
          <w:bCs w:val="0"/>
        </w:rPr>
      </w:r>
    </w:p>
    <w:p>
      <w:pPr>
        <w:pStyle w:val="BodyText"/>
        <w:spacing w:line="316" w:lineRule="auto" w:before="178"/>
        <w:ind w:right="94"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或金融负债，包括交易性金融资产或金融负债和直接指定为以公允价值计量且其变动计入当期损益的金融资产或金融负债；</w:t>
      </w:r>
      <w:r>
        <w:rPr>
          <w:spacing w:val="-83"/>
        </w:rPr>
        <w:t> </w:t>
      </w:r>
      <w:r>
        <w:rPr>
          <w:spacing w:val="-83"/>
        </w:rPr>
      </w:r>
      <w:r>
        <w:rPr/>
        <w:t>持有至到期投资；应收款项；可供出售金融资产；其他金融负债等。</w:t>
      </w:r>
    </w:p>
    <w:p>
      <w:pPr>
        <w:pStyle w:val="Heading3"/>
        <w:spacing w:line="240" w:lineRule="auto" w:before="118"/>
        <w:ind w:right="94"/>
        <w:jc w:val="left"/>
        <w:rPr>
          <w:b w:val="0"/>
          <w:bCs w:val="0"/>
        </w:rPr>
      </w:pPr>
      <w:r>
        <w:rPr/>
        <w:t>（</w:t>
      </w:r>
      <w:r>
        <w:rPr>
          <w:rFonts w:ascii="宋体" w:hAnsi="宋体" w:cs="宋体" w:eastAsia="宋体" w:hint="default"/>
        </w:rPr>
        <w:t>2</w:t>
      </w:r>
      <w:r>
        <w:rPr/>
        <w:t>）金融工具的确认依据和计量方法</w:t>
      </w:r>
      <w:r>
        <w:rPr>
          <w:b w:val="0"/>
          <w:bCs w:val="0"/>
        </w:rPr>
      </w:r>
    </w:p>
    <w:p>
      <w:pPr>
        <w:spacing w:line="432" w:lineRule="exact" w:before="42"/>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①</w:t>
      </w:r>
      <w:r>
        <w:rPr>
          <w:rFonts w:ascii="宋体" w:hAnsi="宋体" w:cs="宋体" w:eastAsia="宋体" w:hint="default"/>
          <w:b/>
          <w:bCs/>
          <w:spacing w:val="-1"/>
          <w:sz w:val="18"/>
          <w:szCs w:val="18"/>
        </w:rPr>
        <w:t> </w:t>
      </w:r>
      <w:r>
        <w:rPr>
          <w:rFonts w:ascii="宋体" w:hAnsi="宋体" w:cs="宋体" w:eastAsia="宋体" w:hint="default"/>
          <w:b/>
          <w:bCs/>
          <w:sz w:val="18"/>
          <w:szCs w:val="18"/>
        </w:rPr>
        <w:t>以公允价值计量且其变动计入当期损益的金融资产（金融负债）</w:t>
      </w:r>
      <w:r>
        <w:rPr>
          <w:rFonts w:ascii="宋体" w:hAnsi="宋体" w:cs="宋体" w:eastAsia="宋体" w:hint="default"/>
          <w:b/>
          <w:bCs/>
          <w:w w:val="99"/>
          <w:sz w:val="18"/>
          <w:szCs w:val="18"/>
        </w:rPr>
        <w:t> </w:t>
      </w:r>
      <w:r>
        <w:rPr>
          <w:rFonts w:ascii="宋体" w:hAnsi="宋体" w:cs="宋体" w:eastAsia="宋体" w:hint="default"/>
          <w:spacing w:val="-2"/>
          <w:sz w:val="18"/>
          <w:szCs w:val="18"/>
        </w:rPr>
        <w:t>取得时以公允价值（扣除已宣告但尚未发放的现金股利或已到付息期但尚未领取的债券利息）作为初始确认金额，相关</w:t>
      </w:r>
    </w:p>
    <w:p>
      <w:pPr>
        <w:pStyle w:val="BodyText"/>
        <w:spacing w:line="439" w:lineRule="auto" w:before="15"/>
        <w:ind w:left="513" w:right="189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39" w:lineRule="auto" w:before="47"/>
        <w:ind w:left="513" w:right="1353" w:hanging="361"/>
        <w:jc w:val="left"/>
      </w:pPr>
      <w:r>
        <w:rPr>
          <w:rFonts w:ascii="宋体" w:hAnsi="宋体" w:cs="宋体" w:eastAsia="宋体" w:hint="default"/>
          <w:b/>
          <w:bCs/>
        </w:rPr>
        <w:t>②</w:t>
      </w:r>
      <w:r>
        <w:rPr>
          <w:rFonts w:ascii="宋体" w:hAnsi="宋体" w:cs="宋体" w:eastAsia="宋体" w:hint="default"/>
          <w:b/>
          <w:bCs/>
          <w:spacing w:val="-1"/>
        </w:rPr>
        <w:t> </w:t>
      </w:r>
      <w:r>
        <w:rPr>
          <w:rFonts w:ascii="宋体" w:hAnsi="宋体" w:cs="宋体" w:eastAsia="宋体" w:hint="default"/>
          <w:b/>
          <w:bCs/>
        </w:rPr>
        <w:t>持有至到期投资</w:t>
      </w:r>
      <w:r>
        <w:rPr>
          <w:rFonts w:ascii="宋体" w:hAnsi="宋体" w:cs="宋体" w:eastAsia="宋体" w:hint="default"/>
          <w:b/>
          <w:bCs/>
          <w:w w:val="99"/>
        </w:rPr>
        <w:t> </w:t>
      </w:r>
      <w:r>
        <w:rPr/>
        <w:t>取得时按公允价值（扣除已到付息期但尚未领取的债券利息）和相关交易费用之和作为初始确认金额。</w:t>
      </w:r>
    </w:p>
    <w:p>
      <w:pPr>
        <w:pStyle w:val="BodyText"/>
        <w:spacing w:line="316" w:lineRule="auto" w:before="47"/>
        <w:ind w:right="190" w:firstLine="360"/>
        <w:jc w:val="both"/>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39"/>
        <w:ind w:left="513" w:right="94"/>
        <w:jc w:val="left"/>
      </w:pPr>
      <w:r>
        <w:rPr/>
        <w:t>处置时，将所取得价款与该投资账面价值之间的差额计入投资收益。</w:t>
      </w:r>
    </w:p>
    <w:p>
      <w:pPr>
        <w:spacing w:line="240" w:lineRule="auto" w:before="0"/>
        <w:rPr>
          <w:rFonts w:ascii="宋体" w:hAnsi="宋体" w:cs="宋体" w:eastAsia="宋体" w:hint="default"/>
          <w:sz w:val="15"/>
          <w:szCs w:val="15"/>
        </w:rPr>
      </w:pPr>
    </w:p>
    <w:p>
      <w:pPr>
        <w:pStyle w:val="Heading4"/>
        <w:spacing w:line="240" w:lineRule="auto"/>
        <w:ind w:left="152" w:right="94"/>
        <w:jc w:val="left"/>
        <w:rPr>
          <w:b w:val="0"/>
          <w:bCs w:val="0"/>
        </w:rPr>
      </w:pPr>
      <w:r>
        <w:rPr/>
        <w:t>③</w:t>
      </w:r>
      <w:r>
        <w:rPr>
          <w:spacing w:val="-2"/>
        </w:rPr>
        <w:t> </w:t>
      </w:r>
      <w:r>
        <w:rPr/>
        <w:t>应收款项</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95" w:firstLine="420"/>
        <w:jc w:val="both"/>
      </w:pPr>
      <w:r>
        <w:rPr/>
        <w:t>对外销售商品或提供劳务形成的应收债权，以及持有的其他企业的不包括在活跃市场上有报价的债务工具的债权，包 </w:t>
      </w:r>
      <w:r>
        <w:rPr>
          <w:spacing w:val="-5"/>
        </w:rPr>
        <w:t>括应收账款、其他应收款、应收票据、预付账款等，以向购货方应收的合同或协议价款作为初始确认金额；具有融资性质的，</w:t>
      </w:r>
      <w:r>
        <w:rPr>
          <w:spacing w:val="-80"/>
        </w:rPr>
        <w:t> </w:t>
      </w:r>
      <w:r>
        <w:rPr>
          <w:spacing w:val="-80"/>
        </w:rPr>
      </w:r>
      <w:r>
        <w:rPr/>
        <w:t>按其现值进行初始确认。</w:t>
      </w:r>
    </w:p>
    <w:p>
      <w:pPr>
        <w:pStyle w:val="BodyText"/>
        <w:spacing w:line="240" w:lineRule="auto" w:before="139"/>
        <w:ind w:left="573" w:right="94"/>
        <w:jc w:val="left"/>
      </w:pPr>
      <w:r>
        <w:rPr/>
        <w:t>收回或处置时，将取得的价款与该应收款项账面价值之间的差额计入当期损益。</w:t>
      </w:r>
    </w:p>
    <w:p>
      <w:pPr>
        <w:pStyle w:val="BodyText"/>
        <w:spacing w:line="430" w:lineRule="atLeast" w:before="2"/>
        <w:ind w:left="573" w:right="94" w:hanging="421"/>
        <w:jc w:val="left"/>
      </w:pPr>
      <w:r>
        <w:rPr>
          <w:rFonts w:ascii="宋体" w:hAnsi="宋体" w:cs="宋体" w:eastAsia="宋体" w:hint="default"/>
          <w:b/>
          <w:bCs/>
        </w:rPr>
        <w:t>④</w:t>
      </w:r>
      <w:r>
        <w:rPr>
          <w:rFonts w:ascii="宋体" w:hAnsi="宋体" w:cs="宋体" w:eastAsia="宋体" w:hint="default"/>
          <w:b/>
          <w:bCs/>
          <w:spacing w:val="-1"/>
        </w:rPr>
        <w:t> </w:t>
      </w:r>
      <w:r>
        <w:rPr>
          <w:rFonts w:ascii="宋体" w:hAnsi="宋体" w:cs="宋体" w:eastAsia="宋体" w:hint="default"/>
          <w:b/>
          <w:bCs/>
        </w:rPr>
        <w:t>可供出售金融资产</w:t>
      </w:r>
      <w:r>
        <w:rPr>
          <w:rFonts w:ascii="宋体" w:hAnsi="宋体" w:cs="宋体" w:eastAsia="宋体" w:hint="default"/>
          <w:b/>
          <w:bCs/>
          <w:w w:val="99"/>
        </w:rPr>
        <w:t> </w:t>
      </w:r>
      <w:r>
        <w:rPr/>
        <w:t>取得时按公允价值（扣除已宣告但尚未发放的现金股利或已到付息期但尚未领取的债券利息）和相关交易费用之和作</w:t>
      </w:r>
    </w:p>
    <w:p>
      <w:pPr>
        <w:pStyle w:val="BodyText"/>
        <w:spacing w:line="240" w:lineRule="auto" w:before="76"/>
        <w:ind w:right="94"/>
        <w:jc w:val="left"/>
      </w:pPr>
      <w:r>
        <w:rPr/>
        <w:t>为初始确认金额。</w:t>
      </w:r>
    </w:p>
    <w:p>
      <w:pPr>
        <w:spacing w:line="240" w:lineRule="auto" w:before="0"/>
        <w:rPr>
          <w:rFonts w:ascii="宋体" w:hAnsi="宋体" w:cs="宋体" w:eastAsia="宋体" w:hint="default"/>
          <w:sz w:val="15"/>
          <w:szCs w:val="15"/>
        </w:rPr>
      </w:pPr>
    </w:p>
    <w:p>
      <w:pPr>
        <w:pStyle w:val="BodyText"/>
        <w:spacing w:line="314" w:lineRule="auto"/>
        <w:ind w:right="190" w:firstLine="420"/>
        <w:jc w:val="both"/>
      </w:pPr>
      <w:r>
        <w:rPr/>
        <w:t>持有期间将取得的利息或现金股利确认为投资收益。期末以公允价值计量且将公允价值变动计入其他综合收益。对被 </w:t>
      </w:r>
      <w:r>
        <w:rPr>
          <w:spacing w:val="-2"/>
        </w:rPr>
        <w:t>投资单位不具有控制、共同控制或重大影响并且在活跃市场中没有报价、公允价值不能可靠计量的股权投资，作为可供出售</w:t>
      </w:r>
    </w:p>
    <w:p>
      <w:pPr>
        <w:spacing w:after="0" w:line="314"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金融资产列报，按成本进行后续计量。</w:t>
      </w:r>
    </w:p>
    <w:p>
      <w:pPr>
        <w:spacing w:line="240" w:lineRule="auto" w:before="1"/>
        <w:rPr>
          <w:rFonts w:ascii="宋体" w:hAnsi="宋体" w:cs="宋体" w:eastAsia="宋体" w:hint="default"/>
          <w:sz w:val="15"/>
          <w:szCs w:val="15"/>
        </w:rPr>
      </w:pPr>
    </w:p>
    <w:p>
      <w:pPr>
        <w:pStyle w:val="BodyText"/>
        <w:spacing w:line="316" w:lineRule="auto"/>
        <w:ind w:right="94" w:firstLine="420"/>
        <w:jc w:val="left"/>
      </w:pPr>
      <w:r>
        <w:rPr/>
        <w:t>处置时，将取得的价款与该金融资产账面价值之间的差额，计入投资损益；同时，将原其他综合收益的公允价值变动 累计额对应处置部分的金额转出，计入投资损益。</w:t>
      </w:r>
    </w:p>
    <w:p>
      <w:pPr>
        <w:pStyle w:val="Heading4"/>
        <w:spacing w:line="240" w:lineRule="auto" w:before="139"/>
        <w:ind w:left="152" w:right="94"/>
        <w:jc w:val="left"/>
        <w:rPr>
          <w:b w:val="0"/>
          <w:bCs w:val="0"/>
        </w:rPr>
      </w:pPr>
      <w:r>
        <w:rPr/>
        <w:t>⑤</w:t>
      </w:r>
      <w:r>
        <w:rPr>
          <w:spacing w:val="-1"/>
        </w:rPr>
        <w:t> </w:t>
      </w:r>
      <w:r>
        <w:rPr/>
        <w:t>其他金融负债</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73" w:right="94"/>
        <w:jc w:val="left"/>
      </w:pPr>
      <w:r>
        <w:rPr/>
        <w:t>按其公允价值和相关交易费用之和作为初始确认金额。采用摊余成本进行后续计量。</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t>（</w:t>
      </w:r>
      <w:r>
        <w:rPr>
          <w:rFonts w:ascii="宋体" w:hAnsi="宋体" w:cs="宋体" w:eastAsia="宋体" w:hint="default"/>
        </w:rPr>
        <w:t>3</w:t>
      </w:r>
      <w:r>
        <w:rPr/>
        <w:t>）</w:t>
      </w:r>
      <w:r>
        <w:rPr>
          <w:spacing w:val="2"/>
        </w:rPr>
        <w:t> </w:t>
      </w:r>
      <w:r>
        <w:rPr/>
        <w:t>金融资产转移的确认依据和计量方法</w:t>
      </w:r>
      <w:r>
        <w:rPr>
          <w:b w:val="0"/>
          <w:bCs w:val="0"/>
        </w:rPr>
      </w:r>
    </w:p>
    <w:p>
      <w:pPr>
        <w:pStyle w:val="BodyText"/>
        <w:spacing w:line="316" w:lineRule="auto" w:before="178"/>
        <w:ind w:right="94" w:firstLine="420"/>
        <w:jc w:val="left"/>
      </w:pPr>
      <w:r>
        <w:rPr/>
        <w:t>发生金融资产转移时，如已将金融资产所有权上几乎所有的风险和报酬转移给转入方，则终止确认该金融资产；如保 留了金融资产所有权上几乎所有的风险和报酬的，则不终止确认该金融资产。</w:t>
      </w:r>
    </w:p>
    <w:p>
      <w:pPr>
        <w:pStyle w:val="BodyText"/>
        <w:spacing w:line="316" w:lineRule="auto" w:before="139"/>
        <w:ind w:right="94"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39"/>
        <w:ind w:left="573" w:right="94"/>
        <w:jc w:val="left"/>
      </w:pPr>
      <w:r>
        <w:rPr/>
        <w:t>（</w:t>
      </w:r>
      <w:r>
        <w:rPr>
          <w:rFonts w:ascii="宋体" w:hAnsi="宋体" w:cs="宋体" w:eastAsia="宋体" w:hint="default"/>
        </w:rPr>
        <w:t>1</w:t>
      </w:r>
      <w:r>
        <w:rPr/>
        <w:t>）所转移金融资产的账面价值；</w:t>
      </w:r>
    </w:p>
    <w:p>
      <w:pPr>
        <w:spacing w:line="240" w:lineRule="auto" w:before="1"/>
        <w:rPr>
          <w:rFonts w:ascii="宋体" w:hAnsi="宋体" w:cs="宋体" w:eastAsia="宋体" w:hint="default"/>
          <w:sz w:val="15"/>
          <w:szCs w:val="15"/>
        </w:rPr>
      </w:pPr>
    </w:p>
    <w:p>
      <w:pPr>
        <w:pStyle w:val="BodyText"/>
        <w:spacing w:line="316" w:lineRule="auto"/>
        <w:ind w:right="176" w:firstLine="420"/>
        <w:jc w:val="left"/>
      </w:pPr>
      <w:r>
        <w:rPr>
          <w:spacing w:val="-1"/>
        </w:rPr>
        <w:t>（</w:t>
      </w:r>
      <w:r>
        <w:rPr>
          <w:rFonts w:ascii="宋体" w:hAnsi="宋体" w:cs="宋体" w:eastAsia="宋体" w:hint="default"/>
          <w:spacing w:val="-1"/>
        </w:rPr>
        <w:t>2</w:t>
      </w:r>
      <w:r>
        <w:rPr>
          <w:spacing w:val="-1"/>
        </w:rPr>
        <w:t>）因转移而收到的对价，与原直接计入所有者权益的公允价值变动累计额（涉及转移的金融资产为可供出售金融资</w:t>
      </w:r>
      <w:r>
        <w:rPr/>
        <w:t> 产的情形）之和。</w:t>
      </w:r>
    </w:p>
    <w:p>
      <w:pPr>
        <w:pStyle w:val="BodyText"/>
        <w:spacing w:line="316" w:lineRule="auto" w:before="139"/>
        <w:ind w:right="190" w:firstLine="420"/>
        <w:jc w:val="left"/>
      </w:pPr>
      <w:r>
        <w:rPr>
          <w:spacing w:val="-3"/>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39"/>
        <w:ind w:left="573" w:right="94"/>
        <w:jc w:val="left"/>
      </w:pPr>
      <w:r>
        <w:rPr/>
        <w:t>（</w:t>
      </w:r>
      <w:r>
        <w:rPr>
          <w:rFonts w:ascii="宋体" w:hAnsi="宋体" w:cs="宋体" w:eastAsia="宋体" w:hint="default"/>
        </w:rPr>
        <w:t>1</w:t>
      </w:r>
      <w:r>
        <w:rPr/>
        <w:t>）终止确认部分的账面价值；</w:t>
      </w:r>
    </w:p>
    <w:p>
      <w:pPr>
        <w:spacing w:line="240" w:lineRule="auto" w:before="0"/>
        <w:rPr>
          <w:rFonts w:ascii="宋体" w:hAnsi="宋体" w:cs="宋体" w:eastAsia="宋体" w:hint="default"/>
          <w:sz w:val="15"/>
          <w:szCs w:val="15"/>
        </w:rPr>
      </w:pPr>
    </w:p>
    <w:p>
      <w:pPr>
        <w:pStyle w:val="BodyText"/>
        <w:spacing w:line="316" w:lineRule="auto"/>
        <w:ind w:right="176" w:firstLine="420"/>
        <w:jc w:val="left"/>
      </w:pPr>
      <w:r>
        <w:rPr>
          <w:spacing w:val="-1"/>
        </w:rPr>
        <w:t>（</w:t>
      </w:r>
      <w:r>
        <w:rPr>
          <w:rFonts w:ascii="宋体" w:hAnsi="宋体" w:cs="宋体" w:eastAsia="宋体" w:hint="default"/>
          <w:spacing w:val="-1"/>
        </w:rPr>
        <w:t>2</w:t>
      </w:r>
      <w:r>
        <w:rPr>
          <w:spacing w:val="-1"/>
        </w:rPr>
        <w:t>）终止确认部分的对价，与原直接计入所有者权益的公允价值变动累计额中对应终止确认部分的金额（涉及转移的</w:t>
      </w:r>
      <w:r>
        <w:rPr/>
        <w:t> 金融资产为可供出售金融资产的情形）之和。</w:t>
      </w:r>
    </w:p>
    <w:p>
      <w:pPr>
        <w:pStyle w:val="BodyText"/>
        <w:spacing w:line="240" w:lineRule="auto" w:before="139"/>
        <w:ind w:left="573" w:right="94"/>
        <w:jc w:val="left"/>
      </w:pPr>
      <w:r>
        <w:rPr/>
        <w:t>金融资产转移不满足终止确认条件的，继续确认该金融资产，所收到的对价确认为一项金融负债。</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rFonts w:ascii="宋体" w:hAnsi="宋体" w:cs="宋体" w:eastAsia="宋体" w:hint="default"/>
        </w:rPr>
        <w:t>(4)</w:t>
      </w:r>
      <w:r>
        <w:rPr/>
        <w:t>金融负债终止确认条件</w:t>
      </w:r>
      <w:r>
        <w:rPr>
          <w:b w:val="0"/>
          <w:bCs w:val="0"/>
        </w:rPr>
      </w:r>
    </w:p>
    <w:p>
      <w:pPr>
        <w:pStyle w:val="BodyText"/>
        <w:spacing w:line="316" w:lineRule="auto" w:before="178"/>
        <w:ind w:right="94" w:firstLine="420"/>
        <w:jc w:val="left"/>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w:t>
      </w:r>
      <w:r>
        <w:rPr>
          <w:spacing w:val="-83"/>
        </w:rPr>
        <w:t> </w:t>
      </w:r>
      <w:r>
        <w:rPr>
          <w:spacing w:val="-83"/>
        </w:rPr>
      </w:r>
      <w:r>
        <w:rPr/>
        <w:t>并同时确认新金融负债。</w:t>
      </w:r>
    </w:p>
    <w:p>
      <w:pPr>
        <w:pStyle w:val="BodyText"/>
        <w:spacing w:line="316" w:lineRule="auto" w:before="139"/>
        <w:ind w:right="94"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39"/>
        <w:ind w:right="94"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39"/>
        <w:ind w:right="191" w:firstLine="420"/>
        <w:jc w:val="both"/>
      </w:pPr>
      <w:r>
        <w:rPr/>
        <w:t>若回购部分金融负债的，在回购日按照继续确认部分与终止确认部分的相对公允价值，将该金融负债整体的账面价值 </w:t>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p>
    <w:p>
      <w:pPr>
        <w:pStyle w:val="Heading3"/>
        <w:spacing w:line="240" w:lineRule="auto" w:before="118"/>
        <w:ind w:right="94"/>
        <w:jc w:val="left"/>
        <w:rPr>
          <w:b w:val="0"/>
          <w:bCs w:val="0"/>
        </w:rPr>
      </w:pPr>
      <w:r>
        <w:rPr>
          <w:rFonts w:ascii="宋体" w:hAnsi="宋体" w:cs="宋体" w:eastAsia="宋体" w:hint="default"/>
        </w:rPr>
        <w:t>(5)</w:t>
      </w:r>
      <w:r>
        <w:rPr/>
        <w:t>金融资产和金融负债公允价值的确定方法</w:t>
      </w:r>
      <w:r>
        <w:rPr>
          <w:b w:val="0"/>
          <w:bCs w:val="0"/>
        </w:rPr>
      </w:r>
    </w:p>
    <w:p>
      <w:pPr>
        <w:pStyle w:val="BodyText"/>
        <w:spacing w:line="240" w:lineRule="auto" w:before="178"/>
        <w:ind w:left="573" w:right="94"/>
        <w:jc w:val="left"/>
      </w:pPr>
      <w:r>
        <w:rPr/>
        <w:t>采用公允价值计量的金融资产和金融负债全部直接参考活跃市场中的报价。</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rFonts w:ascii="宋体" w:hAnsi="宋体" w:cs="宋体" w:eastAsia="宋体" w:hint="default"/>
        </w:rPr>
        <w:t>(6)</w:t>
      </w:r>
      <w:r>
        <w:rPr>
          <w:rFonts w:ascii="宋体" w:hAnsi="宋体" w:cs="宋体" w:eastAsia="宋体" w:hint="default"/>
          <w:spacing w:val="1"/>
        </w:rPr>
        <w:t> </w:t>
      </w:r>
      <w:r>
        <w:rPr/>
        <w:t>金融资产（不含应收款项）减值</w:t>
      </w:r>
      <w:r>
        <w:rPr>
          <w:b w:val="0"/>
          <w:bCs w:val="0"/>
        </w:rPr>
      </w:r>
    </w:p>
    <w:p>
      <w:pPr>
        <w:pStyle w:val="BodyText"/>
        <w:spacing w:line="316" w:lineRule="auto" w:before="178"/>
        <w:ind w:right="94" w:firstLine="420"/>
        <w:jc w:val="left"/>
      </w:pPr>
      <w:r>
        <w:rPr/>
        <w:t>除以公允价值计量且其变动计入当期损益的金融资产外，于资产负债表日对金融资产的账面价值进行检查，如果有客 观证据表明某项金融资产发生减值的，计提减值准备。</w:t>
      </w:r>
    </w:p>
    <w:p>
      <w:pPr>
        <w:pStyle w:val="Heading4"/>
        <w:tabs>
          <w:tab w:pos="573" w:val="left" w:leader="none"/>
        </w:tabs>
        <w:spacing w:line="240" w:lineRule="auto" w:before="138"/>
        <w:ind w:left="152" w:right="94"/>
        <w:jc w:val="left"/>
        <w:rPr>
          <w:b w:val="0"/>
          <w:bCs w:val="0"/>
        </w:rPr>
      </w:pPr>
      <w:r>
        <w:rPr>
          <w:rFonts w:ascii="宋体" w:hAnsi="宋体" w:cs="宋体" w:eastAsia="宋体" w:hint="default"/>
          <w:b w:val="0"/>
          <w:bCs w:val="0"/>
        </w:rPr>
        <w:t>①</w:t>
        <w:tab/>
      </w:r>
      <w:r>
        <w:rPr/>
        <w:t>可供出售金融资产的减值</w:t>
      </w:r>
      <w:r>
        <w:rPr>
          <w:b w:val="0"/>
          <w:bCs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319" w:lineRule="auto" w:before="44"/>
        <w:ind w:right="153" w:firstLine="420"/>
        <w:jc w:val="left"/>
      </w:pPr>
      <w:r>
        <w:rPr/>
        <w:t>期末如果可供出售金融资产的公允价值发生较大幅度下降，或在综合考虑各种相关因素后，预期这种下降趋势属于非 暂时性的，就认定其已发生减值，将原直接计入其他综合收益的公允价值下降形成的累计损失一并转出，确认减值损失。</w:t>
      </w:r>
    </w:p>
    <w:p>
      <w:pPr>
        <w:pStyle w:val="BodyText"/>
        <w:spacing w:line="439" w:lineRule="auto" w:before="137"/>
        <w:ind w:left="573" w:right="443"/>
        <w:jc w:val="left"/>
      </w:pPr>
      <w:r>
        <w:rPr/>
        <w:t>对于可供出售金融资产由于下列损失事项影响其预计未来现金流量减少</w:t>
      </w:r>
      <w:r>
        <w:rPr>
          <w:rFonts w:ascii="宋体" w:hAnsi="宋体" w:cs="宋体" w:eastAsia="宋体" w:hint="default"/>
        </w:rPr>
        <w:t>,</w:t>
      </w:r>
      <w:r>
        <w:rPr/>
        <w:t>并且能够可靠计量，将认定其发生减值： </w:t>
      </w:r>
      <w:r>
        <w:rPr>
          <w:rFonts w:ascii="宋体" w:hAnsi="宋体" w:cs="宋体" w:eastAsia="宋体" w:hint="default"/>
        </w:rPr>
        <w:t>1</w:t>
      </w:r>
      <w:r>
        <w:rPr/>
        <w:t>）</w:t>
      </w:r>
      <w:r>
        <w:rPr>
          <w:spacing w:val="59"/>
        </w:rPr>
        <w:t> </w:t>
      </w:r>
      <w:r>
        <w:rPr/>
        <w:t>债务人发生严重财务困难；</w:t>
      </w:r>
    </w:p>
    <w:p>
      <w:pPr>
        <w:pStyle w:val="BodyText"/>
        <w:spacing w:line="240" w:lineRule="auto" w:before="47"/>
        <w:ind w:left="573" w:right="153"/>
        <w:jc w:val="left"/>
      </w:pPr>
      <w:r>
        <w:rPr>
          <w:rFonts w:ascii="宋体" w:hAnsi="宋体" w:cs="宋体" w:eastAsia="宋体" w:hint="default"/>
        </w:rPr>
        <w:t>2</w:t>
      </w:r>
      <w:r>
        <w:rPr/>
        <w:t>）</w:t>
      </w:r>
      <w:r>
        <w:rPr>
          <w:spacing w:val="59"/>
        </w:rPr>
        <w:t> </w:t>
      </w:r>
      <w:r>
        <w:rPr/>
        <w:t>债务人违反了合同条款</w:t>
      </w:r>
      <w:r>
        <w:rPr>
          <w:rFonts w:ascii="宋体" w:hAnsi="宋体" w:cs="宋体" w:eastAsia="宋体" w:hint="default"/>
        </w:rPr>
        <w:t>,</w:t>
      </w:r>
      <w:r>
        <w:rPr/>
        <w:t>如偿付利息或本金发生违约或逾期；</w:t>
      </w:r>
    </w:p>
    <w:p>
      <w:pPr>
        <w:spacing w:line="240" w:lineRule="auto" w:before="0"/>
        <w:rPr>
          <w:rFonts w:ascii="宋体" w:hAnsi="宋体" w:cs="宋体" w:eastAsia="宋体" w:hint="default"/>
          <w:sz w:val="15"/>
          <w:szCs w:val="15"/>
        </w:rPr>
      </w:pPr>
    </w:p>
    <w:p>
      <w:pPr>
        <w:pStyle w:val="BodyText"/>
        <w:spacing w:line="240" w:lineRule="auto"/>
        <w:ind w:left="573" w:right="153"/>
        <w:jc w:val="left"/>
      </w:pPr>
      <w:r>
        <w:rPr>
          <w:rFonts w:ascii="宋体" w:hAnsi="宋体" w:cs="宋体" w:eastAsia="宋体" w:hint="default"/>
        </w:rPr>
        <w:t>3</w:t>
      </w:r>
      <w:r>
        <w:rPr/>
        <w:t>）</w:t>
      </w:r>
      <w:r>
        <w:rPr>
          <w:spacing w:val="60"/>
        </w:rPr>
        <w:t> </w:t>
      </w:r>
      <w:r>
        <w:rPr/>
        <w:t>本公司出于经济或法律等方面因素的考虑</w:t>
      </w:r>
      <w:r>
        <w:rPr>
          <w:rFonts w:ascii="宋体" w:hAnsi="宋体" w:cs="宋体" w:eastAsia="宋体" w:hint="default"/>
        </w:rPr>
        <w:t>,</w:t>
      </w:r>
      <w:r>
        <w:rPr/>
        <w:t>对发生财务困难的债务人做出让步；</w:t>
      </w:r>
    </w:p>
    <w:p>
      <w:pPr>
        <w:spacing w:line="240" w:lineRule="auto" w:before="0"/>
        <w:rPr>
          <w:rFonts w:ascii="宋体" w:hAnsi="宋体" w:cs="宋体" w:eastAsia="宋体" w:hint="default"/>
          <w:sz w:val="15"/>
          <w:szCs w:val="15"/>
        </w:rPr>
      </w:pPr>
    </w:p>
    <w:p>
      <w:pPr>
        <w:pStyle w:val="BodyText"/>
        <w:spacing w:line="240" w:lineRule="auto"/>
        <w:ind w:left="573" w:right="153"/>
        <w:jc w:val="left"/>
      </w:pPr>
      <w:r>
        <w:rPr>
          <w:rFonts w:ascii="宋体" w:hAnsi="宋体" w:cs="宋体" w:eastAsia="宋体" w:hint="default"/>
        </w:rPr>
        <w:t>4</w:t>
      </w:r>
      <w:r>
        <w:rPr/>
        <w:t>）</w:t>
      </w:r>
      <w:r>
        <w:rPr>
          <w:spacing w:val="59"/>
        </w:rPr>
        <w:t> </w:t>
      </w:r>
      <w:r>
        <w:rPr/>
        <w:t>债务人很可能倒闭或进行其他财务重组；</w:t>
      </w:r>
    </w:p>
    <w:p>
      <w:pPr>
        <w:spacing w:line="240" w:lineRule="auto" w:before="0"/>
        <w:rPr>
          <w:rFonts w:ascii="宋体" w:hAnsi="宋体" w:cs="宋体" w:eastAsia="宋体" w:hint="default"/>
          <w:sz w:val="15"/>
          <w:szCs w:val="15"/>
        </w:rPr>
      </w:pPr>
    </w:p>
    <w:p>
      <w:pPr>
        <w:pStyle w:val="BodyText"/>
        <w:spacing w:line="520" w:lineRule="auto"/>
        <w:ind w:left="930" w:right="153" w:hanging="358"/>
        <w:jc w:val="left"/>
      </w:pPr>
      <w:r>
        <w:rPr>
          <w:rFonts w:ascii="宋体" w:hAnsi="宋体" w:cs="宋体" w:eastAsia="宋体" w:hint="default"/>
        </w:rPr>
        <w:t>5</w:t>
      </w:r>
      <w:r>
        <w:rPr/>
        <w:t>）</w:t>
      </w:r>
      <w:r>
        <w:rPr>
          <w:spacing w:val="58"/>
        </w:rPr>
        <w:t> </w:t>
      </w:r>
      <w:r>
        <w:rPr/>
        <w:t>因发行方发生重大财务困难</w:t>
      </w:r>
      <w:r>
        <w:rPr>
          <w:rFonts w:ascii="宋体" w:hAnsi="宋体" w:cs="宋体" w:eastAsia="宋体" w:hint="default"/>
        </w:rPr>
        <w:t>,</w:t>
      </w:r>
      <w:r>
        <w:rPr/>
        <w:t>该金融资产无法在活跃市场继续交易； 权益工具发行方经营所处的技术、市场、经济或法律环境等发生重大不利变化，使权益工具投资人可能无法收回</w:t>
      </w:r>
    </w:p>
    <w:p>
      <w:pPr>
        <w:pStyle w:val="BodyText"/>
        <w:spacing w:line="240" w:lineRule="auto" w:before="22"/>
        <w:ind w:left="510" w:right="153"/>
        <w:jc w:val="left"/>
      </w:pPr>
      <w:r>
        <w:rPr/>
        <w:t>投资成本；</w:t>
      </w:r>
    </w:p>
    <w:p>
      <w:pPr>
        <w:pStyle w:val="BodyText"/>
        <w:spacing w:line="590" w:lineRule="atLeast"/>
        <w:ind w:left="930" w:right="153"/>
        <w:jc w:val="left"/>
      </w:pPr>
      <w:r>
        <w:rPr/>
        <w:t>权益工具投资的公允价值发生严重或非暂时性下跌。 认定其已发生减值，将原直接计入所有者权益的公允价值下降形成的累计损失一并转出，确认减值损失。对于已</w:t>
      </w:r>
    </w:p>
    <w:p>
      <w:pPr>
        <w:spacing w:line="240" w:lineRule="auto" w:before="10"/>
        <w:rPr>
          <w:rFonts w:ascii="宋体" w:hAnsi="宋体" w:cs="宋体" w:eastAsia="宋体" w:hint="default"/>
          <w:sz w:val="17"/>
          <w:szCs w:val="17"/>
        </w:rPr>
      </w:pPr>
    </w:p>
    <w:p>
      <w:pPr>
        <w:pStyle w:val="BodyText"/>
        <w:spacing w:line="477" w:lineRule="auto"/>
        <w:ind w:left="510" w:right="149"/>
        <w:jc w:val="left"/>
      </w:pPr>
      <w:r>
        <w:rPr>
          <w:spacing w:val="-2"/>
        </w:rPr>
        <w:t>确认减值损失的可供出售债务工具，在随后的会计期间公允价值已上升且客观上与确认原减值损失确认后发生的事项有</w:t>
      </w:r>
      <w:r>
        <w:rPr>
          <w:spacing w:val="-66"/>
        </w:rPr>
        <w:t> </w:t>
      </w:r>
      <w:r>
        <w:rPr>
          <w:spacing w:val="-66"/>
        </w:rPr>
      </w:r>
      <w:r>
        <w:rPr/>
        <w:t>关的，原确认的减值损失予以转回，计入当期损益。可供出售权益工具投资发生的减值损失，不得通过损益转回。</w:t>
      </w:r>
    </w:p>
    <w:p>
      <w:pPr>
        <w:tabs>
          <w:tab w:pos="573" w:val="left" w:leader="none"/>
        </w:tabs>
        <w:spacing w:line="439" w:lineRule="auto" w:before="95"/>
        <w:ind w:left="573" w:right="3791" w:hanging="421"/>
        <w:jc w:val="left"/>
        <w:rPr>
          <w:rFonts w:ascii="宋体" w:hAnsi="宋体" w:cs="宋体" w:eastAsia="宋体" w:hint="default"/>
          <w:sz w:val="18"/>
          <w:szCs w:val="18"/>
        </w:rPr>
      </w:pPr>
      <w:r>
        <w:rPr>
          <w:rFonts w:ascii="宋体" w:hAnsi="宋体" w:cs="宋体" w:eastAsia="宋体" w:hint="default"/>
          <w:sz w:val="18"/>
          <w:szCs w:val="18"/>
        </w:rPr>
        <w:t>②</w:t>
        <w:tab/>
      </w:r>
      <w:r>
        <w:rPr>
          <w:rFonts w:ascii="宋体" w:hAnsi="宋体" w:cs="宋体" w:eastAsia="宋体" w:hint="default"/>
          <w:b/>
          <w:bCs/>
          <w:sz w:val="18"/>
          <w:szCs w:val="18"/>
        </w:rPr>
        <w:t>持有至到期投资的减值准备</w:t>
      </w:r>
      <w:r>
        <w:rPr>
          <w:rFonts w:ascii="宋体" w:hAnsi="宋体" w:cs="宋体" w:eastAsia="宋体" w:hint="default"/>
          <w:b/>
          <w:bCs/>
          <w:w w:val="99"/>
          <w:sz w:val="18"/>
          <w:szCs w:val="18"/>
        </w:rPr>
        <w:t> </w:t>
      </w:r>
      <w:r>
        <w:rPr>
          <w:rFonts w:ascii="宋体" w:hAnsi="宋体" w:cs="宋体" w:eastAsia="宋体" w:hint="default"/>
          <w:sz w:val="18"/>
          <w:szCs w:val="18"/>
        </w:rPr>
        <w:t>持有至到期投资减值损失的计量比照应收款项减值损失计量方法处理。</w:t>
      </w:r>
    </w:p>
    <w:p>
      <w:pPr>
        <w:spacing w:line="240" w:lineRule="auto" w:before="10"/>
        <w:rPr>
          <w:rFonts w:ascii="宋体" w:hAnsi="宋体" w:cs="宋体" w:eastAsia="宋体" w:hint="default"/>
          <w:sz w:val="15"/>
          <w:szCs w:val="15"/>
        </w:rPr>
      </w:pPr>
    </w:p>
    <w:p>
      <w:pPr>
        <w:pStyle w:val="Heading3"/>
        <w:spacing w:line="240" w:lineRule="auto"/>
        <w:ind w:right="153"/>
        <w:jc w:val="left"/>
        <w:rPr>
          <w:b w:val="0"/>
          <w:bCs w:val="0"/>
        </w:rPr>
      </w:pPr>
      <w:r>
        <w:rPr>
          <w:rFonts w:ascii="宋体" w:hAnsi="宋体" w:cs="宋体" w:eastAsia="宋体" w:hint="default"/>
        </w:rPr>
        <w:t>11</w:t>
      </w:r>
      <w:r>
        <w:rPr/>
        <w:t>、应收款项</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835"/>
        <w:gridCol w:w="5665"/>
      </w:tblGrid>
      <w:tr>
        <w:trPr>
          <w:trHeight w:val="715"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45"/>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万元以上（包括</w:t>
            </w:r>
            <w:r>
              <w:rPr>
                <w:rFonts w:ascii="宋体" w:hAnsi="宋体" w:cs="宋体" w:eastAsia="宋体" w:hint="default"/>
                <w:spacing w:val="-47"/>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宋体" w:hAnsi="宋体" w:cs="宋体" w:eastAsia="宋体" w:hint="default"/>
                <w:spacing w:val="-2"/>
                <w:sz w:val="18"/>
                <w:szCs w:val="18"/>
              </w:rPr>
              <w:t>5</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元以上（包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括</w:t>
            </w:r>
            <w:r>
              <w:rPr>
                <w:rFonts w:ascii="宋体" w:hAnsi="宋体" w:cs="宋体" w:eastAsia="宋体" w:hint="default"/>
                <w:spacing w:val="-45"/>
                <w:sz w:val="18"/>
                <w:szCs w:val="18"/>
              </w:rPr>
              <w:t> </w:t>
            </w:r>
            <w:r>
              <w:rPr>
                <w:rFonts w:ascii="宋体" w:hAnsi="宋体" w:cs="宋体" w:eastAsia="宋体" w:hint="default"/>
                <w:spacing w:val="1"/>
                <w:sz w:val="18"/>
                <w:szCs w:val="18"/>
              </w:rPr>
              <w:t>5</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5"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单独进行减值测试，如有客观证据表明其已发生减值，按预计未来现金 流量现值低于其账面价值的差额计提坏账准备，计入当期损益。单独测 试未发生减值的应收款项，将其归入相应组合计提坏账准备。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53"/>
        <w:jc w:val="left"/>
      </w:pPr>
      <w:r>
        <w:rPr/>
        <w:t>组合中，采用账龄分析法计提坏账准备的：</w:t>
      </w:r>
    </w:p>
    <w:p>
      <w:pPr>
        <w:pStyle w:val="BodyText"/>
        <w:spacing w:line="240" w:lineRule="auto" w:before="115"/>
        <w:ind w:right="15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153"/>
        <w:jc w:val="left"/>
      </w:pPr>
      <w:r>
        <w:rPr/>
        <w:t>组合中，采用余额百分比法计提坏账准备的：</w:t>
      </w:r>
    </w:p>
    <w:p>
      <w:pPr>
        <w:pStyle w:val="BodyText"/>
        <w:spacing w:line="360" w:lineRule="auto" w:before="115"/>
        <w:ind w:right="6534"/>
        <w:jc w:val="left"/>
      </w:pPr>
      <w:r>
        <w:rPr/>
        <w:t>□ 适用 √</w:t>
      </w:r>
      <w:r>
        <w:rPr>
          <w:spacing w:val="3"/>
        </w:rPr>
        <w:t> </w:t>
      </w:r>
      <w:r>
        <w:rPr/>
        <w:t>不适用</w:t>
      </w:r>
      <w:r>
        <w:rPr/>
        <w:t> 组合中，采用其他方法计提坏账准备的：</w:t>
      </w:r>
    </w:p>
    <w:p>
      <w:pPr>
        <w:pStyle w:val="BodyText"/>
        <w:spacing w:line="240" w:lineRule="auto" w:before="25"/>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证据表明其发生了减值的应收款项，按账龄分析法计提的坏 账准备不能反映实际情况，本公司单独进行减值测试。</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宋体" w:hAnsi="宋体" w:cs="宋体" w:eastAsia="宋体" w:hint="default"/>
          <w:spacing w:val="2"/>
        </w:rPr>
        <w:t>12</w:t>
      </w:r>
      <w:r>
        <w:rPr>
          <w:spacing w:val="2"/>
        </w:rPr>
        <w:t>、存货</w:t>
      </w:r>
      <w:r>
        <w:rPr>
          <w:b w:val="0"/>
          <w:bCs w:val="0"/>
          <w:spacing w:val="2"/>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）存货的分类</w:t>
      </w:r>
      <w:r>
        <w:rPr>
          <w:b w:val="0"/>
          <w:bCs w:val="0"/>
        </w:rPr>
      </w:r>
    </w:p>
    <w:p>
      <w:pPr>
        <w:pStyle w:val="BodyText"/>
        <w:spacing w:line="240" w:lineRule="auto" w:before="178"/>
        <w:ind w:left="933" w:right="153"/>
        <w:jc w:val="left"/>
      </w:pPr>
      <w:r>
        <w:rPr/>
        <w:t>存货分类为：原材料、库存商品、在产品、委托加工物资、发出商品及低值易耗品等。</w:t>
      </w:r>
    </w:p>
    <w:p>
      <w:pPr>
        <w:spacing w:line="240" w:lineRule="auto" w:before="6"/>
        <w:rPr>
          <w:rFonts w:ascii="宋体" w:hAnsi="宋体" w:cs="宋体" w:eastAsia="宋体" w:hint="default"/>
          <w:sz w:val="13"/>
          <w:szCs w:val="13"/>
        </w:rPr>
      </w:pPr>
    </w:p>
    <w:p>
      <w:pPr>
        <w:pStyle w:val="Heading3"/>
        <w:spacing w:line="240" w:lineRule="auto"/>
        <w:ind w:right="153"/>
        <w:jc w:val="left"/>
        <w:rPr>
          <w:b w:val="0"/>
          <w:bCs w:val="0"/>
        </w:rPr>
      </w:pPr>
      <w:r>
        <w:rPr/>
        <w:t>（</w:t>
      </w:r>
      <w:r>
        <w:rPr>
          <w:rFonts w:ascii="宋体" w:hAnsi="宋体" w:cs="宋体" w:eastAsia="宋体" w:hint="default"/>
        </w:rPr>
        <w:t>2</w:t>
      </w:r>
      <w:r>
        <w:rPr/>
        <w:t>）发出存货的计价方法</w:t>
      </w:r>
      <w:r>
        <w:rPr>
          <w:b w:val="0"/>
          <w:bCs w:val="0"/>
        </w:rPr>
      </w:r>
    </w:p>
    <w:p>
      <w:pPr>
        <w:pStyle w:val="BodyText"/>
        <w:spacing w:line="240" w:lineRule="auto" w:before="178"/>
        <w:ind w:left="933" w:right="153"/>
        <w:jc w:val="left"/>
      </w:pPr>
      <w:r>
        <w:rPr/>
        <w:t>存货发出时按个别认定法计价。</w:t>
      </w:r>
    </w:p>
    <w:p>
      <w:pPr>
        <w:spacing w:line="240" w:lineRule="auto" w:before="6"/>
        <w:rPr>
          <w:rFonts w:ascii="宋体" w:hAnsi="宋体" w:cs="宋体" w:eastAsia="宋体" w:hint="default"/>
          <w:sz w:val="13"/>
          <w:szCs w:val="13"/>
        </w:rPr>
      </w:pPr>
    </w:p>
    <w:p>
      <w:pPr>
        <w:pStyle w:val="Heading3"/>
        <w:spacing w:line="240" w:lineRule="auto"/>
        <w:ind w:right="153"/>
        <w:jc w:val="left"/>
        <w:rPr>
          <w:b w:val="0"/>
          <w:bCs w:val="0"/>
        </w:rPr>
      </w:pPr>
      <w:r>
        <w:rPr/>
        <w:t>（</w:t>
      </w:r>
      <w:r>
        <w:rPr>
          <w:rFonts w:ascii="宋体" w:hAnsi="宋体" w:cs="宋体" w:eastAsia="宋体"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930" w:right="153"/>
        <w:jc w:val="left"/>
      </w:pPr>
      <w:r>
        <w:rPr/>
        <w:t>期末对存货进行全面清查后，按存货的成本与可变现净值孰低提取或调整存货跌价准备。</w:t>
      </w:r>
    </w:p>
    <w:p>
      <w:pPr>
        <w:spacing w:line="240" w:lineRule="auto" w:before="12"/>
        <w:rPr>
          <w:rFonts w:ascii="宋体" w:hAnsi="宋体" w:cs="宋体" w:eastAsia="宋体" w:hint="default"/>
          <w:sz w:val="26"/>
          <w:szCs w:val="26"/>
        </w:rPr>
      </w:pPr>
    </w:p>
    <w:p>
      <w:pPr>
        <w:pStyle w:val="BodyText"/>
        <w:spacing w:line="477" w:lineRule="auto"/>
        <w:ind w:left="510" w:right="150" w:firstLine="420"/>
        <w:jc w:val="both"/>
      </w:pPr>
      <w:r>
        <w:rPr/>
        <w:t>产成品、库存商品和用于出售的材料等直接用于出售的商品存货，在正常生产经营过程中，以该存货的估计售价 </w:t>
      </w:r>
      <w:r>
        <w:rPr>
          <w:spacing w:val="-2"/>
        </w:rPr>
        <w:t>减去估计的销售费用和相关税费后的金额，确定其可变现净值；需要经过加工的材料存货，在正常生产经营过程中，以</w:t>
      </w:r>
      <w:r>
        <w:rPr>
          <w:spacing w:val="-66"/>
        </w:rPr>
        <w:t> </w:t>
      </w:r>
      <w:r>
        <w:rPr>
          <w:spacing w:val="-66"/>
        </w:rPr>
      </w:r>
      <w:r>
        <w:rPr>
          <w:spacing w:val="-2"/>
        </w:rPr>
        <w:t>所生产的产成品的估计售价减去至完工时估计将要发生的成本、估计的销售费用和相关税费后的金额，确定其可变现净</w:t>
      </w:r>
      <w:r>
        <w:rPr>
          <w:spacing w:val="-64"/>
        </w:rPr>
        <w:t> </w:t>
      </w:r>
      <w:r>
        <w:rPr>
          <w:spacing w:val="-64"/>
        </w:rPr>
      </w:r>
      <w:r>
        <w:rPr>
          <w:spacing w:val="-2"/>
        </w:rPr>
        <w:t>值；为执行销售合同或者劳务合同而持有的存货，其可变现净值以合同价格为基础计算，若持有存货的数量多于销售合</w:t>
      </w:r>
      <w:r>
        <w:rPr>
          <w:spacing w:val="-67"/>
        </w:rPr>
        <w:t> </w:t>
      </w:r>
      <w:r>
        <w:rPr>
          <w:spacing w:val="-67"/>
        </w:rPr>
      </w:r>
      <w:r>
        <w:rPr/>
        <w:t>同订购数量的，超出部分的存货的可变现净值以一般销售价格为基础计算。</w:t>
      </w:r>
    </w:p>
    <w:p>
      <w:pPr>
        <w:spacing w:line="240" w:lineRule="auto" w:before="4"/>
        <w:rPr>
          <w:rFonts w:ascii="宋体" w:hAnsi="宋体" w:cs="宋体" w:eastAsia="宋体" w:hint="default"/>
          <w:sz w:val="13"/>
          <w:szCs w:val="13"/>
        </w:rPr>
      </w:pPr>
    </w:p>
    <w:p>
      <w:pPr>
        <w:pStyle w:val="BodyText"/>
        <w:spacing w:line="477" w:lineRule="auto"/>
        <w:ind w:left="510" w:right="152" w:firstLine="420"/>
        <w:jc w:val="both"/>
      </w:pPr>
      <w:r>
        <w:rPr>
          <w:spacing w:val="-3"/>
        </w:rPr>
        <w:t>期末按照单个存货项目计提存货跌价准备；但对于数量繁多、单价较低的存货，按照存货类别计提存货跌价准备；</w:t>
      </w:r>
      <w:r>
        <w:rPr/>
        <w:t> </w:t>
      </w:r>
      <w:r>
        <w:rPr>
          <w:spacing w:val="-2"/>
        </w:rPr>
        <w:t>与在同一地区生产和销售的产品系列相关、具有相同或类似最终用途或目的，且难以与其他项目分开计量的存货，则合</w:t>
      </w:r>
      <w:r>
        <w:rPr>
          <w:spacing w:val="-67"/>
        </w:rPr>
        <w:t> </w:t>
      </w:r>
      <w:r>
        <w:rPr>
          <w:spacing w:val="-67"/>
        </w:rPr>
      </w:r>
      <w:r>
        <w:rPr/>
        <w:t>并计提存货跌价准备。</w:t>
      </w:r>
    </w:p>
    <w:p>
      <w:pPr>
        <w:spacing w:after="0" w:line="477"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0" w:right="94" w:firstLine="420"/>
        <w:jc w:val="left"/>
      </w:pPr>
      <w:r>
        <w:rPr/>
        <w:t>以前减记存货价值的影响因素已经消失的，减记的金额予以恢复，并在原已计提的存货跌价准备金额内转回，转 回的金额计入当期损益。</w:t>
      </w:r>
    </w:p>
    <w:p>
      <w:pPr>
        <w:pStyle w:val="Heading3"/>
        <w:spacing w:line="240" w:lineRule="auto" w:before="74"/>
        <w:ind w:right="94"/>
        <w:jc w:val="left"/>
        <w:rPr>
          <w:b w:val="0"/>
          <w:bCs w:val="0"/>
        </w:rPr>
      </w:pPr>
      <w:r>
        <w:rPr/>
        <w:t>（</w:t>
      </w:r>
      <w:r>
        <w:rPr>
          <w:rFonts w:ascii="宋体" w:hAnsi="宋体" w:cs="宋体" w:eastAsia="宋体" w:hint="default"/>
        </w:rPr>
        <w:t>4</w:t>
      </w:r>
      <w:r>
        <w:rPr/>
        <w:t>）存货的盘存制度</w:t>
      </w:r>
      <w:r>
        <w:rPr>
          <w:b w:val="0"/>
          <w:bCs w:val="0"/>
        </w:rPr>
      </w:r>
    </w:p>
    <w:p>
      <w:pPr>
        <w:pStyle w:val="BodyText"/>
        <w:spacing w:line="240" w:lineRule="auto" w:before="178"/>
        <w:ind w:left="933" w:right="94"/>
        <w:jc w:val="left"/>
      </w:pPr>
      <w:r>
        <w:rPr/>
        <w:t>采用永续盘存制。</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t>（</w:t>
      </w:r>
      <w:r>
        <w:rPr>
          <w:rFonts w:ascii="宋体" w:hAnsi="宋体" w:cs="宋体" w:eastAsia="宋体" w:hint="default"/>
        </w:rPr>
        <w:t>5</w:t>
      </w:r>
      <w:r>
        <w:rPr/>
        <w:t>）低值易耗品的摊销方法</w:t>
      </w:r>
      <w:r>
        <w:rPr>
          <w:b w:val="0"/>
          <w:bCs w:val="0"/>
        </w:rPr>
      </w:r>
    </w:p>
    <w:p>
      <w:pPr>
        <w:pStyle w:val="BodyText"/>
        <w:spacing w:line="240" w:lineRule="auto" w:before="178"/>
        <w:ind w:left="573" w:right="94"/>
        <w:jc w:val="left"/>
      </w:pPr>
      <w:r>
        <w:rPr/>
        <w:t>低值易耗品采用一次转销法。</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宋体" w:hAnsi="宋体" w:cs="宋体" w:eastAsia="宋体" w:hint="default"/>
        </w:rPr>
        <w:t>13</w:t>
      </w:r>
      <w:r>
        <w:rPr/>
        <w:t>、划分为持有待售资产</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left="510" w:right="96" w:firstLine="420"/>
        <w:jc w:val="left"/>
      </w:pPr>
      <w:r>
        <w:rPr/>
        <w:t>同时满足下列条件的企业组成部分（或非流动资产，下同）确认为持有待售：该组成部分必须在其当前状况下仅 根据出售此类组成部分的惯常条款即可立即出售；企业已经就处置该组成部分作出决议，如按规定需得到股东批准的，</w:t>
      </w:r>
      <w:r>
        <w:rPr>
          <w:spacing w:val="-83"/>
        </w:rPr>
        <w:t> </w:t>
      </w:r>
      <w:r>
        <w:rPr>
          <w:spacing w:val="-83"/>
        </w:rPr>
      </w:r>
      <w:r>
        <w:rPr/>
        <w:t>已经取得股东大会或相应权力机构的批准；企业已经与受让方签订了不可撤销的转让协议；该项转让将在一年内完成。</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13</w:t>
      </w:r>
      <w:r>
        <w:rPr/>
        <w:t>、长期股权投资</w:t>
      </w:r>
      <w:r>
        <w:rPr>
          <w:b w:val="0"/>
          <w:bCs w:val="0"/>
        </w:rPr>
      </w:r>
    </w:p>
    <w:p>
      <w:pPr>
        <w:spacing w:line="240" w:lineRule="auto" w:before="10"/>
        <w:rPr>
          <w:rFonts w:ascii="宋体" w:hAnsi="宋体" w:cs="宋体" w:eastAsia="宋体" w:hint="default"/>
          <w:b/>
          <w:bCs/>
          <w:sz w:val="25"/>
          <w:szCs w:val="25"/>
        </w:rPr>
      </w:pPr>
    </w:p>
    <w:p>
      <w:pPr>
        <w:pStyle w:val="Heading3"/>
        <w:spacing w:line="376" w:lineRule="auto"/>
        <w:ind w:left="566" w:right="6124" w:hanging="414"/>
        <w:jc w:val="left"/>
        <w:rPr>
          <w:b w:val="0"/>
          <w:bCs w:val="0"/>
        </w:rPr>
      </w:pPr>
      <w:r>
        <w:rPr/>
        <w:t>（</w:t>
      </w:r>
      <w:r>
        <w:rPr>
          <w:rFonts w:ascii="宋体" w:hAnsi="宋体" w:cs="宋体" w:eastAsia="宋体" w:hint="default"/>
        </w:rPr>
        <w:t>1</w:t>
      </w:r>
      <w:r>
        <w:rPr/>
        <w:t>）长期股权投资的分类及其判断依据</w:t>
      </w:r>
      <w:r>
        <w:rPr>
          <w:w w:val="100"/>
        </w:rPr>
        <w:t> </w:t>
      </w:r>
      <w:r>
        <w:rPr>
          <w:rFonts w:ascii="宋体" w:hAnsi="宋体" w:cs="宋体" w:eastAsia="宋体" w:hint="default"/>
        </w:rPr>
        <w:t>1</w:t>
      </w:r>
      <w:r>
        <w:rPr/>
        <w:t>）长期股权投资的分类</w:t>
      </w:r>
      <w:r>
        <w:rPr>
          <w:b w:val="0"/>
          <w:bCs w:val="0"/>
        </w:rPr>
      </w:r>
    </w:p>
    <w:p>
      <w:pPr>
        <w:pStyle w:val="BodyText"/>
        <w:spacing w:line="316" w:lineRule="auto" w:before="58"/>
        <w:ind w:left="513" w:right="94" w:firstLine="420"/>
        <w:jc w:val="left"/>
      </w:pPr>
      <w:r>
        <w:rPr/>
        <w:t>长期股权投资分为三类，即是指投资方对被投资单位实施控制、重大影响的权益性投资，以及对其合营企业的权 益性投资。</w:t>
      </w:r>
    </w:p>
    <w:p>
      <w:pPr>
        <w:pStyle w:val="Heading3"/>
        <w:spacing w:line="240" w:lineRule="auto" w:before="118"/>
        <w:ind w:left="513" w:right="94"/>
        <w:jc w:val="left"/>
        <w:rPr>
          <w:b w:val="0"/>
          <w:bCs w:val="0"/>
        </w:rPr>
      </w:pPr>
      <w:r>
        <w:rPr>
          <w:rFonts w:ascii="宋体" w:hAnsi="宋体" w:cs="宋体" w:eastAsia="宋体" w:hint="default"/>
        </w:rPr>
        <w:t>2</w:t>
      </w:r>
      <w:r>
        <w:rPr/>
        <w:t>）</w:t>
      </w:r>
      <w:r>
        <w:rPr>
          <w:spacing w:val="-64"/>
        </w:rPr>
        <w:t> </w:t>
      </w:r>
      <w:r>
        <w:rPr/>
        <w:t>长期股权投资类别的判断依据</w:t>
      </w:r>
      <w:r>
        <w:rPr>
          <w:b w:val="0"/>
          <w:bCs w:val="0"/>
        </w:rPr>
      </w:r>
    </w:p>
    <w:p>
      <w:pPr>
        <w:pStyle w:val="BodyText"/>
        <w:spacing w:line="240" w:lineRule="auto" w:before="178"/>
        <w:ind w:left="933" w:right="94"/>
        <w:jc w:val="left"/>
      </w:pPr>
      <w:r>
        <w:rPr/>
        <w:t>①确定对被投资单位控制的依据详见本附注四、（六）；</w:t>
      </w:r>
    </w:p>
    <w:p>
      <w:pPr>
        <w:pStyle w:val="BodyText"/>
        <w:spacing w:line="430" w:lineRule="atLeast" w:before="2"/>
        <w:ind w:left="933" w:right="94"/>
        <w:jc w:val="left"/>
      </w:pPr>
      <w:r>
        <w:rPr/>
        <w:t>②确定对被投资单位具有重大影响的依据： 重大影响，是指对一个企业的财务和经营决策有参与决策的权力，但并不能够控制或者与其他方一起共同控制这</w:t>
      </w:r>
    </w:p>
    <w:p>
      <w:pPr>
        <w:pStyle w:val="BodyText"/>
        <w:spacing w:line="240" w:lineRule="auto" w:before="76"/>
        <w:ind w:left="513" w:right="94"/>
        <w:jc w:val="left"/>
      </w:pPr>
      <w:r>
        <w:rPr/>
        <w:t>些政策的制定。</w:t>
      </w:r>
    </w:p>
    <w:p>
      <w:pPr>
        <w:pStyle w:val="BodyText"/>
        <w:spacing w:line="430" w:lineRule="atLeast" w:before="2"/>
        <w:ind w:left="933" w:right="94"/>
        <w:jc w:val="left"/>
      </w:pPr>
      <w:r>
        <w:rPr/>
        <w:t>公司通常通过以下一种或几种情形判断是否对被投资单位具有重大影响： 在被投资单位的董事会或类似权力机构中派有代表。在这种情况下，由于在被投资单位的董事会或类似权力机构</w:t>
      </w:r>
    </w:p>
    <w:p>
      <w:pPr>
        <w:pStyle w:val="BodyText"/>
        <w:spacing w:line="316" w:lineRule="auto" w:before="76"/>
        <w:ind w:left="513" w:right="94"/>
        <w:jc w:val="left"/>
      </w:pPr>
      <w:r>
        <w:rPr>
          <w:spacing w:val="-2"/>
        </w:rPr>
        <w:t>中派有代表，并相应享有实质性的参与决策权，投资方可以通过该代表参与被投资单位财务和经营政策的制定，达到对</w:t>
      </w:r>
      <w:r>
        <w:rPr>
          <w:spacing w:val="-67"/>
        </w:rPr>
        <w:t> </w:t>
      </w:r>
      <w:r>
        <w:rPr>
          <w:spacing w:val="-67"/>
        </w:rPr>
      </w:r>
      <w:r>
        <w:rPr/>
        <w:t>被投资单位施加重大影响。</w:t>
      </w:r>
    </w:p>
    <w:p>
      <w:pPr>
        <w:pStyle w:val="BodyText"/>
        <w:spacing w:line="316" w:lineRule="auto" w:before="139"/>
        <w:ind w:left="513" w:right="94" w:firstLine="420"/>
        <w:jc w:val="left"/>
      </w:pPr>
      <w:r>
        <w:rPr/>
        <w:t>参与被投资单位财务和经营政策制定过程。这种情况下，在制定政策过程中可以为其自身利益提出建议和意见， 从而可以对被投资单位施加重大影响。</w:t>
      </w:r>
    </w:p>
    <w:p>
      <w:pPr>
        <w:pStyle w:val="BodyText"/>
        <w:spacing w:line="319" w:lineRule="auto" w:before="139"/>
        <w:ind w:left="513" w:right="94" w:firstLine="420"/>
        <w:jc w:val="left"/>
      </w:pPr>
      <w:r>
        <w:rPr/>
        <w:t>与被投资单位之间发生重要交易。有关的交易因对被投资单位的日常经营具有重要性，进而一定程度上可以影响 到被投资单位的生产经营决策。</w:t>
      </w:r>
    </w:p>
    <w:p>
      <w:pPr>
        <w:pStyle w:val="BodyText"/>
        <w:spacing w:line="316" w:lineRule="auto" w:before="137"/>
        <w:ind w:left="513" w:right="94" w:firstLine="420"/>
        <w:jc w:val="left"/>
      </w:pPr>
      <w:r>
        <w:rPr/>
        <w:t>向被投资单位派出管理人员。在这种情况下，管理人员有权力主导被投资单位的相关活动，从而能够对被投资单 位施加重大影响。</w:t>
      </w:r>
    </w:p>
    <w:p>
      <w:pPr>
        <w:pStyle w:val="BodyText"/>
        <w:spacing w:line="316" w:lineRule="auto" w:before="139"/>
        <w:ind w:left="513" w:right="94" w:firstLine="420"/>
        <w:jc w:val="left"/>
      </w:pPr>
      <w:r>
        <w:rPr/>
        <w:t>向被投资单位提供关键技术资料。因被投资单位的生产经营需要依赖投资方的技术或技术资料，表明投资方对被 投资单位具有重大影响。</w:t>
      </w:r>
    </w:p>
    <w:p>
      <w:pPr>
        <w:pStyle w:val="BodyText"/>
        <w:spacing w:line="240" w:lineRule="auto" w:before="138"/>
        <w:ind w:left="933" w:right="94"/>
        <w:jc w:val="left"/>
      </w:pPr>
      <w:r>
        <w:rPr/>
        <w:t>公司在判断是否对被投资方具有重大影响时，不限于是否存在上述一种或多种情形，还需要综合考虑所有事实和</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441" w:lineRule="auto" w:before="44"/>
        <w:ind w:left="933" w:right="3413" w:hanging="420"/>
        <w:jc w:val="left"/>
      </w:pPr>
      <w:r>
        <w:rPr/>
        <w:t>情况来做出综合的判断。 投资方对被投资单位具有重大影响的权益性投资，即对联营企业投资。</w:t>
      </w:r>
    </w:p>
    <w:p>
      <w:pPr>
        <w:pStyle w:val="BodyText"/>
        <w:spacing w:line="439" w:lineRule="auto" w:before="45"/>
        <w:ind w:left="933" w:right="3233"/>
        <w:jc w:val="left"/>
      </w:pPr>
      <w:r>
        <w:rPr/>
        <w:t>③确定被投资单位是否为合营企业的依据： 本公司的合营企业是指本公司仅对合营安排的净资产享有权利。 合营安排的定义、分类以及共同控制的判断标准详见本附注四、（七）。</w:t>
      </w:r>
    </w:p>
    <w:p>
      <w:pPr>
        <w:pStyle w:val="Heading3"/>
        <w:spacing w:line="376" w:lineRule="auto" w:before="26"/>
        <w:ind w:left="933" w:right="5951" w:hanging="781"/>
        <w:jc w:val="left"/>
        <w:rPr>
          <w:b w:val="0"/>
          <w:bCs w:val="0"/>
        </w:rPr>
      </w:pPr>
      <w:r>
        <w:rPr/>
        <w:t>（</w:t>
      </w:r>
      <w:r>
        <w:rPr>
          <w:rFonts w:ascii="宋体" w:hAnsi="宋体" w:cs="宋体" w:eastAsia="宋体" w:hint="default"/>
        </w:rPr>
        <w:t>2</w:t>
      </w:r>
      <w:r>
        <w:rPr/>
        <w:t>）</w:t>
      </w:r>
      <w:r>
        <w:rPr>
          <w:spacing w:val="85"/>
        </w:rPr>
        <w:t> </w:t>
      </w:r>
      <w:r>
        <w:rPr/>
        <w:t>长期股权投资初始成本的确定</w:t>
      </w:r>
      <w:r>
        <w:rPr>
          <w:w w:val="100"/>
        </w:rPr>
        <w:t> </w:t>
      </w:r>
      <w:r>
        <w:rPr>
          <w:rFonts w:ascii="宋体" w:hAnsi="宋体" w:cs="宋体" w:eastAsia="宋体" w:hint="default"/>
          <w:spacing w:val="-1"/>
        </w:rPr>
        <w:t>1</w:t>
      </w:r>
      <w:r>
        <w:rPr>
          <w:spacing w:val="-1"/>
        </w:rPr>
        <w:t>）企业合并形成的长期股权投资</w:t>
      </w:r>
      <w:r>
        <w:rPr>
          <w:b w:val="0"/>
          <w:bCs w:val="0"/>
          <w:spacing w:val="-1"/>
        </w:rPr>
      </w:r>
    </w:p>
    <w:p>
      <w:pPr>
        <w:pStyle w:val="BodyText"/>
        <w:spacing w:line="319" w:lineRule="auto" w:before="58"/>
        <w:ind w:left="513" w:right="150" w:firstLine="420"/>
        <w:jc w:val="both"/>
      </w:pPr>
      <w:r>
        <w:rPr/>
        <w:t>同一控制下的企业合并：公司以支付现金、转让非现金资产或承担债务方式以及以发行权益性证券作为合并对价 </w:t>
      </w:r>
      <w:r>
        <w:rPr>
          <w:spacing w:val="-2"/>
        </w:rPr>
        <w:t>的，在合并日按照取得被合并方所有者权益在最终控制方合并财务报表中的账面价值的份额作为长期股权投资的初始投</w:t>
      </w:r>
      <w:r>
        <w:rPr>
          <w:spacing w:val="-68"/>
        </w:rPr>
        <w:t> </w:t>
      </w:r>
      <w:r>
        <w:rPr>
          <w:spacing w:val="-68"/>
        </w:rPr>
      </w:r>
      <w:r>
        <w:rPr>
          <w:spacing w:val="-5"/>
        </w:rPr>
        <w:t>资成本。长期股权投资初始投资成本与支付合并对价之间的差额，调整资本公积（资本溢价或股本溢价）；资本公积（资</w:t>
      </w:r>
      <w:r>
        <w:rPr/>
        <w:t> </w:t>
      </w:r>
      <w:r>
        <w:rPr>
          <w:spacing w:val="-2"/>
        </w:rPr>
        <w:t>本溢价或股本溢价）不足冲减的，调整留存收益。合并方以发行权益性证券作为合并对价的，按照发行股份的面值总额</w:t>
      </w:r>
      <w:r>
        <w:rPr>
          <w:spacing w:val="-70"/>
        </w:rPr>
        <w:t> </w:t>
      </w:r>
      <w:r>
        <w:rPr>
          <w:spacing w:val="-70"/>
        </w:rPr>
      </w:r>
      <w:r>
        <w:rPr>
          <w:spacing w:val="-2"/>
        </w:rPr>
        <w:t>作为股本，长期股权投资初始投资成本与所发行股份面值总额之间的差额，调整资本公（资本溢价或股本溢价）；资本</w:t>
      </w:r>
      <w:r>
        <w:rPr>
          <w:spacing w:val="-70"/>
        </w:rPr>
        <w:t> </w:t>
      </w:r>
      <w:r>
        <w:rPr>
          <w:spacing w:val="-70"/>
        </w:rPr>
      </w:r>
      <w:r>
        <w:rPr/>
        <w:t>公积（资本溢价或股本溢价）不足冲减的，调整留存收益。</w:t>
      </w:r>
    </w:p>
    <w:p>
      <w:pPr>
        <w:pStyle w:val="BodyText"/>
        <w:spacing w:line="316" w:lineRule="auto" w:before="137"/>
        <w:ind w:left="513" w:right="152" w:firstLine="420"/>
        <w:jc w:val="both"/>
      </w:pPr>
      <w:r>
        <w:rPr/>
        <w:t>非同一控制下的企业合并：公司按照购买日确定的合并成本作为长期股权投资的初始投资成本。合并成本为购买 </w:t>
      </w:r>
      <w:r>
        <w:rPr>
          <w:spacing w:val="-2"/>
        </w:rPr>
        <w:t>日购买方为取得对被购买方的控制权而付出的资产、发生或承担的负债以及发行的权益性证券的公允价值。购买方作为</w:t>
      </w:r>
      <w:r>
        <w:rPr>
          <w:spacing w:val="-68"/>
        </w:rPr>
        <w:t> </w:t>
      </w:r>
      <w:r>
        <w:rPr>
          <w:spacing w:val="-68"/>
        </w:rPr>
      </w:r>
      <w:r>
        <w:rPr>
          <w:spacing w:val="-2"/>
        </w:rPr>
        <w:t>合并对价发行的权益性证券或债务性证券的交易费用，计入权益性证券或债务性证券的初始确认金额。通过多次交易分</w:t>
      </w:r>
      <w:r>
        <w:rPr>
          <w:spacing w:val="-68"/>
        </w:rPr>
        <w:t> </w:t>
      </w:r>
      <w:r>
        <w:rPr>
          <w:spacing w:val="-68"/>
        </w:rPr>
      </w:r>
      <w:r>
        <w:rPr>
          <w:spacing w:val="-2"/>
        </w:rPr>
        <w:t>步实现的非同一控制下企业合并，以购买日之前所持被购买方的股权投资的账面价值与购买日新增投资成本之和，作为</w:t>
      </w:r>
      <w:r>
        <w:rPr>
          <w:spacing w:val="-68"/>
        </w:rPr>
        <w:t> </w:t>
      </w:r>
      <w:r>
        <w:rPr>
          <w:spacing w:val="-68"/>
        </w:rPr>
      </w:r>
      <w:r>
        <w:rPr>
          <w:spacing w:val="-2"/>
        </w:rPr>
        <w:t>该项投资的初始投资成本。本公司将合并协议约定的或有对价作为企业合并转移对价的一部分，按照其在购买日的公允</w:t>
      </w:r>
      <w:r>
        <w:rPr>
          <w:spacing w:val="-68"/>
        </w:rPr>
        <w:t> </w:t>
      </w:r>
      <w:r>
        <w:rPr>
          <w:spacing w:val="-68"/>
        </w:rPr>
      </w:r>
      <w:r>
        <w:rPr/>
        <w:t>价值计入企业合并成本。</w:t>
      </w:r>
    </w:p>
    <w:p>
      <w:pPr>
        <w:pStyle w:val="BodyText"/>
        <w:spacing w:line="316" w:lineRule="auto" w:before="139"/>
        <w:ind w:left="513" w:right="160" w:firstLine="420"/>
        <w:jc w:val="both"/>
      </w:pPr>
      <w:r>
        <w:rPr/>
        <w:t>合并方或购买方为企业合并而发生的审计、法律服务、评估咨询等中介费用以及其他相关管理费用于发生时计入 当期损益。</w:t>
      </w:r>
    </w:p>
    <w:p>
      <w:pPr>
        <w:pStyle w:val="Heading3"/>
        <w:spacing w:line="240" w:lineRule="auto" w:before="118"/>
        <w:ind w:left="573" w:right="0"/>
        <w:jc w:val="both"/>
        <w:rPr>
          <w:b w:val="0"/>
          <w:bCs w:val="0"/>
        </w:rPr>
      </w:pPr>
      <w:r>
        <w:rPr>
          <w:rFonts w:ascii="宋体" w:hAnsi="宋体" w:cs="宋体" w:eastAsia="宋体" w:hint="default"/>
        </w:rPr>
        <w:t>2</w:t>
      </w:r>
      <w:r>
        <w:rPr/>
        <w:t>）</w:t>
      </w:r>
      <w:r>
        <w:rPr>
          <w:spacing w:val="-64"/>
        </w:rPr>
        <w:t> </w:t>
      </w:r>
      <w:r>
        <w:rPr/>
        <w:t>其他方式取得的长期股权投资</w:t>
      </w:r>
      <w:r>
        <w:rPr>
          <w:b w:val="0"/>
          <w:bCs w:val="0"/>
        </w:rPr>
      </w:r>
    </w:p>
    <w:p>
      <w:pPr>
        <w:pStyle w:val="BodyText"/>
        <w:spacing w:line="316" w:lineRule="auto" w:before="178"/>
        <w:ind w:left="513" w:right="160" w:firstLine="420"/>
        <w:jc w:val="both"/>
      </w:pPr>
      <w:r>
        <w:rPr/>
        <w:t>以支付现金方式取得的长期股权投资，按照实际支付的购买价款作为初始投资成本。初始投资成本包括与取得长 期股权投资直接相关的费用、税金及其他必要支出。</w:t>
      </w:r>
    </w:p>
    <w:p>
      <w:pPr>
        <w:pStyle w:val="BodyText"/>
        <w:spacing w:line="432" w:lineRule="exact" w:before="3"/>
        <w:ind w:left="933" w:right="153"/>
        <w:jc w:val="left"/>
      </w:pPr>
      <w:r>
        <w:rPr/>
        <w:t>以发行权益性证券取得的长期股权投资，按照发行权益性证券的公允价值作为初始投资成本。 在非货币性资产交换具备商业实质和换入资产或换出资产的公允价值能够可靠计量的前提下，非货币性资产交换</w:t>
      </w:r>
    </w:p>
    <w:p>
      <w:pPr>
        <w:pStyle w:val="BodyText"/>
        <w:spacing w:line="316" w:lineRule="auto" w:before="15"/>
        <w:ind w:left="513" w:right="152"/>
        <w:jc w:val="both"/>
      </w:pPr>
      <w:r>
        <w:rPr>
          <w:spacing w:val="-2"/>
        </w:rPr>
        <w:t>换入的长期股权投资以换出资产的公允价值为基础确定其初始投资成本，除非有确凿证据表明换入资产的公允价值更加</w:t>
      </w:r>
      <w:r>
        <w:rPr>
          <w:spacing w:val="-68"/>
        </w:rPr>
        <w:t> </w:t>
      </w:r>
      <w:r>
        <w:rPr>
          <w:spacing w:val="-68"/>
        </w:rPr>
      </w:r>
      <w:r>
        <w:rPr>
          <w:spacing w:val="-2"/>
        </w:rPr>
        <w:t>可靠；不满足上述前提的非货币性资产交换，以换出资产的账面价值和应支付的相关税费作为换入长期股权投资的初始</w:t>
      </w:r>
      <w:r>
        <w:rPr>
          <w:spacing w:val="-68"/>
        </w:rPr>
        <w:t> </w:t>
      </w:r>
      <w:r>
        <w:rPr>
          <w:spacing w:val="-68"/>
        </w:rPr>
      </w:r>
      <w:r>
        <w:rPr/>
        <w:t>投资成本。</w:t>
      </w:r>
    </w:p>
    <w:p>
      <w:pPr>
        <w:pStyle w:val="BodyText"/>
        <w:spacing w:line="240" w:lineRule="auto" w:before="139"/>
        <w:ind w:left="933" w:right="153"/>
        <w:jc w:val="left"/>
      </w:pPr>
      <w:r>
        <w:rPr/>
        <w:t>通过债务重组取得的长期股权投资，其初始投资成本按照公允价值为基础确定。</w:t>
      </w:r>
    </w:p>
    <w:p>
      <w:pPr>
        <w:spacing w:line="240" w:lineRule="auto" w:before="6"/>
        <w:rPr>
          <w:rFonts w:ascii="宋体" w:hAnsi="宋体" w:cs="宋体" w:eastAsia="宋体" w:hint="default"/>
          <w:sz w:val="13"/>
          <w:szCs w:val="13"/>
        </w:rPr>
      </w:pPr>
    </w:p>
    <w:p>
      <w:pPr>
        <w:pStyle w:val="Heading3"/>
        <w:spacing w:line="240" w:lineRule="auto"/>
        <w:ind w:left="573" w:right="0"/>
        <w:jc w:val="both"/>
        <w:rPr>
          <w:b w:val="0"/>
          <w:bCs w:val="0"/>
        </w:rPr>
      </w:pPr>
      <w:r>
        <w:rPr>
          <w:rFonts w:ascii="宋体" w:hAnsi="宋体" w:cs="宋体" w:eastAsia="宋体" w:hint="default"/>
        </w:rPr>
        <w:t>3</w:t>
      </w:r>
      <w:r>
        <w:rPr/>
        <w:t>）</w:t>
      </w:r>
      <w:r>
        <w:rPr>
          <w:spacing w:val="-62"/>
        </w:rPr>
        <w:t> </w:t>
      </w:r>
      <w:r>
        <w:rPr/>
        <w:t>长期股权投资的后续计量及损益确认方法</w:t>
      </w:r>
      <w:r>
        <w:rPr>
          <w:b w:val="0"/>
          <w:bCs w:val="0"/>
        </w:rPr>
      </w:r>
    </w:p>
    <w:p>
      <w:pPr>
        <w:pStyle w:val="BodyText"/>
        <w:spacing w:line="432" w:lineRule="exact" w:before="43"/>
        <w:ind w:left="933" w:right="153"/>
        <w:jc w:val="left"/>
      </w:pPr>
      <w:r>
        <w:rPr/>
        <w:t>本公司能够对被投资单位实施控制的长期股权投资采用成本法核算。 采用成本法核算的长期股权投资按照初始投资成本计价。追加或收回投资调整长期股权投资的成本。被投资单位</w:t>
      </w:r>
    </w:p>
    <w:p>
      <w:pPr>
        <w:pStyle w:val="BodyText"/>
        <w:spacing w:line="240" w:lineRule="auto" w:before="15"/>
        <w:ind w:left="513" w:right="0"/>
        <w:jc w:val="both"/>
      </w:pPr>
      <w:r>
        <w:rPr/>
        <w:t>宣告分派的现金股利或利润，确认为当期投资收益。</w:t>
      </w:r>
    </w:p>
    <w:p>
      <w:pPr>
        <w:spacing w:line="240" w:lineRule="auto" w:before="0"/>
        <w:rPr>
          <w:rFonts w:ascii="宋体" w:hAnsi="宋体" w:cs="宋体" w:eastAsia="宋体" w:hint="default"/>
          <w:sz w:val="15"/>
          <w:szCs w:val="15"/>
        </w:rPr>
      </w:pPr>
    </w:p>
    <w:p>
      <w:pPr>
        <w:pStyle w:val="BodyText"/>
        <w:spacing w:line="316" w:lineRule="auto"/>
        <w:ind w:left="513" w:right="152" w:firstLine="420"/>
        <w:jc w:val="both"/>
      </w:pPr>
      <w:r>
        <w:rPr/>
        <w:t>对合营企业和联营企业的长期股权投资，采用权益法核算。初始投资成本大于投资时应享有被投资单位可辨认净 </w:t>
      </w:r>
      <w:r>
        <w:rPr>
          <w:spacing w:val="-2"/>
        </w:rPr>
        <w:t>资产公允价值份额的差额，不调整长期股权投资的初始投资成本；初始投资成本小于投资时应享有被投资单位可辨认净</w:t>
      </w:r>
      <w:r>
        <w:rPr>
          <w:spacing w:val="-68"/>
        </w:rPr>
        <w:t> </w:t>
      </w:r>
      <w:r>
        <w:rPr>
          <w:spacing w:val="-68"/>
        </w:rPr>
      </w:r>
      <w:r>
        <w:rPr/>
        <w:t>资产公允价值份额的差额，计入当期损益，同时调整长期股权投资的成本。</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13" w:right="150" w:firstLine="420"/>
        <w:jc w:val="both"/>
      </w:pPr>
      <w:r>
        <w:rPr/>
        <w:t>本公司取得长期股权投资后，按照应享有或应分担的被投资单位实现的净损益和其他综合收益的份额，分别确认 </w:t>
      </w:r>
      <w:r>
        <w:rPr>
          <w:spacing w:val="-2"/>
        </w:rPr>
        <w:t>投资收益和其他综合收益，同时调整长期股权投资的账面价值；本公司按照被投资单位宣告分派的利润或现金股利计算</w:t>
      </w:r>
      <w:r>
        <w:rPr>
          <w:spacing w:val="-69"/>
        </w:rPr>
        <w:t> </w:t>
      </w:r>
      <w:r>
        <w:rPr>
          <w:spacing w:val="-69"/>
        </w:rPr>
      </w:r>
      <w:r>
        <w:rPr>
          <w:spacing w:val="-2"/>
        </w:rPr>
        <w:t>应享有的部分，相应减少长期股权投资的账面价值；本公司对于被投资单位除净损益、其他综合收益和利润分配以外所</w:t>
      </w:r>
      <w:r>
        <w:rPr>
          <w:spacing w:val="-67"/>
        </w:rPr>
        <w:t> </w:t>
      </w:r>
      <w:r>
        <w:rPr>
          <w:spacing w:val="-67"/>
        </w:rPr>
      </w:r>
      <w:r>
        <w:rPr/>
        <w:t>有者权益的其他变动，调整长期股权投资的账面价值并计入所有者权益。</w:t>
      </w:r>
    </w:p>
    <w:p>
      <w:pPr>
        <w:pStyle w:val="BodyText"/>
        <w:spacing w:line="316" w:lineRule="auto" w:before="137"/>
        <w:ind w:left="513" w:right="160" w:firstLine="420"/>
        <w:jc w:val="both"/>
      </w:pPr>
      <w:r>
        <w:rPr/>
        <w:t>本公司在确认应享有被投资单位净损益的份额时，以取得投资时被投资单位可辨认净资产的公允价值为基础，对 被投资单位的净利润进行调整后确认。</w:t>
      </w:r>
    </w:p>
    <w:p>
      <w:pPr>
        <w:pStyle w:val="BodyText"/>
        <w:spacing w:line="316" w:lineRule="auto" w:before="139"/>
        <w:ind w:left="513" w:right="160" w:firstLine="420"/>
        <w:jc w:val="both"/>
      </w:pPr>
      <w:r>
        <w:rPr/>
        <w:t>被投资单位采用的会计政策及会计期间与本公司不一致的，按照本公司的会计政策及会计期间对被投资单位的财 务报表进行调整，并据以确认投资收益和其他综合收益等。</w:t>
      </w:r>
    </w:p>
    <w:p>
      <w:pPr>
        <w:pStyle w:val="BodyText"/>
        <w:spacing w:line="316" w:lineRule="auto" w:before="139"/>
        <w:ind w:left="513" w:right="160" w:firstLine="420"/>
        <w:jc w:val="both"/>
      </w:pPr>
      <w:r>
        <w:rPr/>
        <w:t>本公司确认被投资单位发生的净亏损，以长期股权投资的账面价值以及其他实质上构成对被投资单位净投资的长 期权益减记至零为限，本公司负有承担额外损失义务的除外。</w:t>
      </w:r>
    </w:p>
    <w:p>
      <w:pPr>
        <w:pStyle w:val="BodyText"/>
        <w:spacing w:line="432" w:lineRule="exact" w:before="3"/>
        <w:ind w:left="933" w:right="153"/>
        <w:jc w:val="left"/>
      </w:pPr>
      <w:r>
        <w:rPr/>
        <w:t>被投资单位以后实现净利润的，本公司在其收益分享额弥补未确认的亏损分担额后，恢复确认收益分享额。 本公司计算确认应享有或应分担被投资单位的净损益时，与联营企业、合营企业之间发生的未实现内部交易损益</w:t>
      </w:r>
    </w:p>
    <w:p>
      <w:pPr>
        <w:pStyle w:val="BodyText"/>
        <w:spacing w:line="240" w:lineRule="auto" w:before="15"/>
        <w:ind w:left="513" w:right="153"/>
        <w:jc w:val="left"/>
      </w:pPr>
      <w:r>
        <w:rPr/>
        <w:t>按照应享有的比例计算归属于本公司的部分，予以抵销，在此基础上确认投资收益。</w:t>
      </w:r>
    </w:p>
    <w:p>
      <w:pPr>
        <w:spacing w:line="240" w:lineRule="auto" w:before="0"/>
        <w:rPr>
          <w:rFonts w:ascii="宋体" w:hAnsi="宋体" w:cs="宋体" w:eastAsia="宋体" w:hint="default"/>
          <w:sz w:val="15"/>
          <w:szCs w:val="15"/>
        </w:rPr>
      </w:pPr>
    </w:p>
    <w:p>
      <w:pPr>
        <w:pStyle w:val="BodyText"/>
        <w:spacing w:line="316" w:lineRule="auto"/>
        <w:ind w:left="513" w:right="149" w:firstLine="420"/>
        <w:jc w:val="both"/>
      </w:pPr>
      <w:r>
        <w:rPr>
          <w:spacing w:val="-1"/>
        </w:rPr>
        <w:t>本公司与被投资单位发生的未实现内部交易损失，按照《企业会计准则第</w:t>
      </w:r>
      <w:r>
        <w:rPr>
          <w:rFonts w:ascii="宋体" w:hAnsi="宋体" w:cs="宋体" w:eastAsia="宋体" w:hint="default"/>
          <w:spacing w:val="-1"/>
        </w:rPr>
        <w:t>8</w:t>
      </w:r>
      <w:r>
        <w:rPr>
          <w:spacing w:val="-1"/>
        </w:rPr>
        <w:t>号——资产减值》等的有关规定属于资</w:t>
      </w:r>
      <w:r>
        <w:rPr/>
        <w:t> 产减值损失的，全额确认交易损失。</w:t>
      </w:r>
    </w:p>
    <w:p>
      <w:pPr>
        <w:pStyle w:val="BodyText"/>
        <w:spacing w:line="316" w:lineRule="auto" w:before="139"/>
        <w:ind w:left="513" w:right="150" w:firstLine="420"/>
        <w:jc w:val="both"/>
      </w:pPr>
      <w:r>
        <w:rPr/>
        <w:t>本公司因追加投资等原因能够对被投资单位施加重大影响或实施共同控制但不构成控制的，按照《企业会计准则 </w:t>
      </w:r>
      <w:r>
        <w:rPr>
          <w:spacing w:val="-2"/>
        </w:rPr>
        <w:t>第</w:t>
      </w:r>
      <w:r>
        <w:rPr>
          <w:rFonts w:ascii="宋体" w:hAnsi="宋体" w:cs="宋体" w:eastAsia="宋体" w:hint="default"/>
          <w:spacing w:val="-2"/>
        </w:rPr>
        <w:t>22</w:t>
      </w:r>
      <w:r>
        <w:rPr>
          <w:spacing w:val="-2"/>
        </w:rPr>
        <w:t>号——金融工具确认和计量》确定的原持有的股权投资的公允价值加上新增投资成本之和，作为改按权益法核算的</w:t>
      </w:r>
      <w:r>
        <w:rPr>
          <w:spacing w:val="-68"/>
        </w:rPr>
        <w:t> </w:t>
      </w:r>
      <w:r>
        <w:rPr>
          <w:spacing w:val="-68"/>
        </w:rPr>
      </w:r>
      <w:r>
        <w:rPr>
          <w:spacing w:val="-2"/>
        </w:rPr>
        <w:t>初始投资成本。原持有的股权投资分类为可供出售金融资产的，其公允价值与账面价值之间的差额，以及原计入其他综</w:t>
      </w:r>
      <w:r>
        <w:rPr>
          <w:spacing w:val="-67"/>
        </w:rPr>
        <w:t> </w:t>
      </w:r>
      <w:r>
        <w:rPr>
          <w:spacing w:val="-67"/>
        </w:rPr>
      </w:r>
      <w:r>
        <w:rPr/>
        <w:t>合收益的累计公允价值变动转入改按权益法核算的当期损益。</w:t>
      </w:r>
    </w:p>
    <w:p>
      <w:pPr>
        <w:pStyle w:val="BodyText"/>
        <w:spacing w:line="319" w:lineRule="auto" w:before="139"/>
        <w:ind w:left="513" w:right="152" w:firstLine="420"/>
        <w:jc w:val="both"/>
      </w:pPr>
      <w:r>
        <w:rPr/>
        <w:t>本公司因处置部分股权投资等原因丧失了对被投资单位的共同控制或重大影响的，处置后的剩余股权改按《企业 </w:t>
      </w:r>
      <w:r>
        <w:rPr>
          <w:spacing w:val="-2"/>
        </w:rPr>
        <w:t>会计准则第</w:t>
      </w:r>
      <w:r>
        <w:rPr>
          <w:rFonts w:ascii="宋体" w:hAnsi="宋体" w:cs="宋体" w:eastAsia="宋体" w:hint="default"/>
          <w:spacing w:val="-2"/>
        </w:rPr>
        <w:t>22</w:t>
      </w:r>
      <w:r>
        <w:rPr>
          <w:spacing w:val="-2"/>
        </w:rPr>
        <w:t>号——金融工具确认和计量》核算，其在丧失共同控制或重大影响之日的公允价值与账面价值之间的差额</w:t>
      </w:r>
      <w:r>
        <w:rPr>
          <w:spacing w:val="-68"/>
        </w:rPr>
        <w:t> </w:t>
      </w:r>
      <w:r>
        <w:rPr>
          <w:spacing w:val="-68"/>
        </w:rPr>
      </w:r>
      <w:r>
        <w:rPr>
          <w:spacing w:val="-2"/>
        </w:rPr>
        <w:t>计入当期损益。原股权投资因采用权益法核算而确认的其他综合收益，在终止采用权益法核算时采用与被投资单位直接</w:t>
      </w:r>
      <w:r>
        <w:rPr>
          <w:spacing w:val="-68"/>
        </w:rPr>
        <w:t> </w:t>
      </w:r>
      <w:r>
        <w:rPr>
          <w:spacing w:val="-68"/>
        </w:rPr>
      </w:r>
      <w:r>
        <w:rPr/>
        <w:t>处置相关资产或负债相同的基础进行会计处理。</w:t>
      </w:r>
    </w:p>
    <w:p>
      <w:pPr>
        <w:pStyle w:val="BodyText"/>
        <w:spacing w:line="316" w:lineRule="auto" w:before="137"/>
        <w:ind w:left="513" w:right="148" w:firstLine="420"/>
        <w:jc w:val="both"/>
      </w:pPr>
      <w:r>
        <w:rPr/>
        <w:t>本公司因处置部分权益性投资等原因丧失了对被投资单位的控制的，在编制个别财务报表时，处置后的剩余股权 </w:t>
      </w:r>
      <w:r>
        <w:rPr>
          <w:spacing w:val="-2"/>
        </w:rPr>
        <w:t>能够对被投资单位实施共同控制或施加重大影响的，改按权益法核算，并对该剩余股权视同自取得时即采用权益法核算</w:t>
      </w:r>
      <w:r>
        <w:rPr>
          <w:spacing w:val="-67"/>
        </w:rPr>
        <w:t> </w:t>
      </w:r>
      <w:r>
        <w:rPr>
          <w:spacing w:val="-67"/>
        </w:rPr>
      </w:r>
      <w:r>
        <w:rPr>
          <w:spacing w:val="-2"/>
        </w:rPr>
        <w:t>进行调整；处置后的剩余股权不能对被投资单位实施共同控制或施加重大影响的，改按《企业会计准则第</w:t>
      </w:r>
      <w:r>
        <w:rPr>
          <w:rFonts w:ascii="宋体" w:hAnsi="宋体" w:cs="宋体" w:eastAsia="宋体" w:hint="default"/>
          <w:spacing w:val="-2"/>
        </w:rPr>
        <w:t>22</w:t>
      </w:r>
      <w:r>
        <w:rPr>
          <w:spacing w:val="-2"/>
        </w:rPr>
        <w:t>号——金融</w:t>
      </w:r>
      <w:r>
        <w:rPr>
          <w:spacing w:val="-65"/>
        </w:rPr>
        <w:t> </w:t>
      </w:r>
      <w:r>
        <w:rPr/>
        <w:t>工具确认和计量》的有关规定进行会计处理。</w:t>
      </w:r>
    </w:p>
    <w:p>
      <w:pPr>
        <w:pStyle w:val="BodyText"/>
        <w:spacing w:line="316" w:lineRule="auto" w:before="139"/>
        <w:ind w:left="513" w:right="152" w:firstLine="420"/>
        <w:jc w:val="both"/>
      </w:pPr>
      <w:r>
        <w:rPr/>
        <w:t>处置长期股权投资，其账面价值与实际取得价款之间的差额，计入当期损益。采用权益法核算的长期股权投资， </w:t>
      </w:r>
      <w:r>
        <w:rPr>
          <w:spacing w:val="-2"/>
        </w:rPr>
        <w:t>在处置该项投资时，采用与被投资单位直接处置相关资产或负债相同的基础，按相应比例对原计入其他综合收益的部分</w:t>
      </w:r>
      <w:r>
        <w:rPr>
          <w:spacing w:val="-68"/>
        </w:rPr>
        <w:t> </w:t>
      </w:r>
      <w:r>
        <w:rPr>
          <w:spacing w:val="-68"/>
        </w:rPr>
      </w:r>
      <w:r>
        <w:rPr/>
        <w:t>进行会计处理。</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15</w:t>
      </w:r>
      <w:r>
        <w:rPr/>
        <w:t>、投资性房地产</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513" w:right="7613"/>
        <w:jc w:val="left"/>
      </w:pPr>
      <w:r>
        <w:rPr/>
        <w:t>投资性房地产计量模式 成本法计量 折旧或摊销方法</w:t>
      </w:r>
    </w:p>
    <w:p>
      <w:pPr>
        <w:pStyle w:val="BodyText"/>
        <w:spacing w:line="316" w:lineRule="auto" w:before="108"/>
        <w:ind w:right="149" w:firstLine="360"/>
        <w:jc w:val="left"/>
      </w:pPr>
      <w:r>
        <w:rPr>
          <w:spacing w:val="-2"/>
        </w:rPr>
        <w:t>对按照成本模式计量的投资性房地产－出租用建筑物采用与本公司固定资产相同的折旧政策，出租用土地使用权采用与</w:t>
      </w:r>
      <w:r>
        <w:rPr/>
        <w:t> 本公司与无形资产相同的摊销政策。</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宋体" w:hAnsi="宋体" w:cs="宋体" w:eastAsia="宋体" w:hint="default"/>
        </w:rPr>
        <w:t>16</w:t>
      </w:r>
      <w:r>
        <w:rPr/>
        <w:t>、固定资产</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）确认条件</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88" w:firstLine="360"/>
        <w:jc w:val="both"/>
      </w:pPr>
      <w:r>
        <w:rPr>
          <w:spacing w:val="-2"/>
        </w:rPr>
        <w:t>固定资产指为生产商品、提供劳务、出租或经营管理而持有，并且使用寿命超过一个会计年度的有形资产。固定资产分</w:t>
      </w:r>
      <w:r>
        <w:rPr/>
        <w:t> </w:t>
      </w:r>
      <w:r>
        <w:rPr>
          <w:spacing w:val="-4"/>
        </w:rPr>
        <w:t>类为：房屋及建筑物、机器设备、电子设备、运输设备、其他设备。固定资产在同时满足下列条件时予以确认：（</w:t>
      </w:r>
      <w:r>
        <w:rPr>
          <w:rFonts w:ascii="宋体" w:hAnsi="宋体" w:cs="宋体" w:eastAsia="宋体" w:hint="default"/>
          <w:spacing w:val="-4"/>
        </w:rPr>
        <w:t>1</w:t>
      </w:r>
      <w:r>
        <w:rPr>
          <w:spacing w:val="-4"/>
        </w:rPr>
        <w:t>）与该固</w:t>
      </w:r>
      <w:r>
        <w:rPr>
          <w:spacing w:val="-42"/>
        </w:rPr>
        <w:t> </w:t>
      </w:r>
      <w:r>
        <w:rPr>
          <w:spacing w:val="-42"/>
        </w:rPr>
      </w:r>
      <w:r>
        <w:rPr>
          <w:spacing w:val="-3"/>
        </w:rPr>
        <w:t>定资产有关的经济利益很可能流入企业；（</w:t>
      </w:r>
      <w:r>
        <w:rPr>
          <w:rFonts w:ascii="宋体" w:hAnsi="宋体" w:cs="宋体" w:eastAsia="宋体" w:hint="default"/>
          <w:spacing w:val="-3"/>
        </w:rPr>
        <w:t>2</w:t>
      </w:r>
      <w:r>
        <w:rPr>
          <w:spacing w:val="-3"/>
        </w:rPr>
        <w:t>）该固定资产的成本能够可靠地计量。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bl>
    <w:p>
      <w:pPr>
        <w:pStyle w:val="BodyText"/>
        <w:spacing w:line="314" w:lineRule="auto" w:before="49"/>
        <w:ind w:right="94"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line="240" w:lineRule="auto" w:before="12"/>
        <w:rPr>
          <w:rFonts w:ascii="宋体" w:hAnsi="宋体" w:cs="宋体" w:eastAsia="宋体" w:hint="default"/>
          <w:sz w:val="22"/>
          <w:szCs w:val="22"/>
        </w:rPr>
      </w:pPr>
    </w:p>
    <w:p>
      <w:pPr>
        <w:pStyle w:val="Heading3"/>
        <w:spacing w:line="240" w:lineRule="auto"/>
        <w:ind w:right="94"/>
        <w:jc w:val="left"/>
        <w:rPr>
          <w:b w:val="0"/>
          <w:bCs w:val="0"/>
        </w:rPr>
      </w:pPr>
      <w:r>
        <w:rPr/>
        <w:t>（</w:t>
      </w: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94" w:firstLine="360"/>
        <w:jc w:val="left"/>
      </w:pPr>
      <w:r>
        <w:rPr>
          <w:spacing w:val="-4"/>
        </w:rPr>
        <w:t>公司与租赁方所签订的租赁协议条款中规定了下列条件之一的，确认为融资租入资产：（</w:t>
      </w:r>
      <w:r>
        <w:rPr>
          <w:rFonts w:ascii="宋体" w:hAnsi="宋体" w:cs="宋体" w:eastAsia="宋体" w:hint="default"/>
          <w:spacing w:val="-4"/>
        </w:rPr>
        <w:t>1</w:t>
      </w:r>
      <w:r>
        <w:rPr>
          <w:spacing w:val="-4"/>
        </w:rPr>
        <w:t>）租赁期满后租赁资产的所有</w:t>
      </w:r>
      <w:r>
        <w:rPr/>
        <w:t> </w:t>
      </w:r>
      <w:r>
        <w:rPr>
          <w:spacing w:val="-5"/>
        </w:rPr>
        <w:t>权归属于本公司；（</w:t>
      </w:r>
      <w:r>
        <w:rPr>
          <w:rFonts w:ascii="宋体" w:hAnsi="宋体" w:cs="宋体" w:eastAsia="宋体" w:hint="default"/>
          <w:spacing w:val="-5"/>
        </w:rPr>
        <w:t>2</w:t>
      </w:r>
      <w:r>
        <w:rPr>
          <w:spacing w:val="-5"/>
        </w:rPr>
        <w:t>）公司具有购买资产的选择权，购买价款远低于行使选择权时该资产的公允价值；（</w:t>
      </w:r>
      <w:r>
        <w:rPr>
          <w:rFonts w:ascii="宋体" w:hAnsi="宋体" w:cs="宋体" w:eastAsia="宋体" w:hint="default"/>
          <w:spacing w:val="-5"/>
        </w:rPr>
        <w:t>3</w:t>
      </w:r>
      <w:r>
        <w:rPr>
          <w:spacing w:val="-5"/>
        </w:rPr>
        <w:t>）租赁期占所租赁</w:t>
      </w:r>
      <w:r>
        <w:rPr>
          <w:spacing w:val="-75"/>
        </w:rPr>
        <w:t> </w:t>
      </w:r>
      <w:r>
        <w:rPr>
          <w:spacing w:val="-75"/>
        </w:rPr>
      </w:r>
      <w:r>
        <w:rPr>
          <w:spacing w:val="-2"/>
        </w:rPr>
        <w:t>资产使用寿命的大部分；（</w:t>
      </w:r>
      <w:r>
        <w:rPr>
          <w:rFonts w:ascii="宋体" w:hAnsi="宋体" w:cs="宋体" w:eastAsia="宋体" w:hint="default"/>
          <w:spacing w:val="-2"/>
        </w:rPr>
        <w:t>4</w:t>
      </w:r>
      <w:r>
        <w:rPr>
          <w:spacing w:val="-2"/>
        </w:rPr>
        <w:t>）租赁开始日的最低租赁付款额现值，与该资产的公允价值不存在较大的差异。在承租开始日，</w:t>
      </w:r>
      <w:r>
        <w:rPr>
          <w:spacing w:val="-67"/>
        </w:rPr>
        <w:t> </w:t>
      </w:r>
      <w:r>
        <w:rPr>
          <w:spacing w:val="-67"/>
        </w:rPr>
      </w:r>
      <w:r>
        <w:rPr>
          <w:spacing w:val="-2"/>
        </w:rPr>
        <w:t>将租赁资产公允价值与最低租赁付款额现值两者中较低者作为租入资产的入账价值，将最低租赁付款额作为长期应付款的入</w:t>
      </w:r>
      <w:r>
        <w:rPr>
          <w:spacing w:val="-64"/>
        </w:rPr>
        <w:t> </w:t>
      </w:r>
      <w:r>
        <w:rPr>
          <w:spacing w:val="-64"/>
        </w:rPr>
      </w:r>
      <w:r>
        <w:rPr>
          <w:spacing w:val="-5"/>
        </w:rPr>
        <w:t>账价值，其差额作为未确认的融资费。融资租赁方式租入的固定资产，能合理确定租赁期届满时将会取得租赁资产所有权的，</w:t>
      </w:r>
      <w:r>
        <w:rPr>
          <w:spacing w:val="-75"/>
        </w:rPr>
        <w:t> </w:t>
      </w:r>
      <w:r>
        <w:rPr>
          <w:spacing w:val="-75"/>
        </w:rPr>
      </w:r>
      <w:r>
        <w:rPr>
          <w:spacing w:val="-2"/>
        </w:rPr>
        <w:t>在租赁资产尚可使用年限内计提折旧；无法合理确定租赁期届满时能够取得租赁资产所有权的，在租赁期与租赁资产尚可使</w:t>
      </w:r>
      <w:r>
        <w:rPr>
          <w:spacing w:val="-64"/>
        </w:rPr>
        <w:t> </w:t>
      </w:r>
      <w:r>
        <w:rPr>
          <w:spacing w:val="-64"/>
        </w:rPr>
      </w:r>
      <w:r>
        <w:rPr/>
        <w:t>用年限两者中较短的期间内计提折旧。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17</w:t>
      </w:r>
      <w:r>
        <w:rPr/>
        <w:t>、在建工程</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513" w:right="94"/>
        <w:jc w:val="left"/>
      </w:pPr>
      <w:r>
        <w:rPr/>
        <w:t>在建工程以立项项目分类核算。 </w:t>
      </w:r>
      <w:r>
        <w:rPr>
          <w:spacing w:val="-2"/>
        </w:rPr>
        <w:t>在建工程项目按建造该项资产达到预定可使用状态前所发生的全部支出，作为固定资产的入账价值。所建造的固定资产</w:t>
      </w:r>
    </w:p>
    <w:p>
      <w:pPr>
        <w:pStyle w:val="BodyText"/>
        <w:spacing w:line="224" w:lineRule="exact"/>
        <w:ind w:right="0"/>
        <w:jc w:val="left"/>
      </w:pPr>
      <w:r>
        <w:rPr/>
        <w:t>在建工程已达到预定可使用状态，但尚未办理竣工决算的，自达到预定可使用状态之日起，根据工程预算、造价或者工程实</w:t>
      </w:r>
    </w:p>
    <w:p>
      <w:pPr>
        <w:pStyle w:val="BodyText"/>
        <w:spacing w:line="316" w:lineRule="auto" w:before="76"/>
        <w:ind w:right="94"/>
        <w:jc w:val="left"/>
      </w:pP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18</w:t>
      </w:r>
      <w:r>
        <w:rPr/>
        <w:t>、借款费用</w:t>
      </w:r>
      <w:r>
        <w:rPr>
          <w:b w:val="0"/>
          <w:bCs w:val="0"/>
        </w:rPr>
      </w:r>
    </w:p>
    <w:p>
      <w:pPr>
        <w:spacing w:line="240" w:lineRule="auto" w:before="12"/>
        <w:rPr>
          <w:rFonts w:ascii="宋体" w:hAnsi="宋体" w:cs="宋体" w:eastAsia="宋体" w:hint="default"/>
          <w:b/>
          <w:bCs/>
          <w:sz w:val="25"/>
          <w:szCs w:val="25"/>
        </w:rPr>
      </w:pPr>
    </w:p>
    <w:p>
      <w:pPr>
        <w:pStyle w:val="BodyText"/>
        <w:spacing w:line="417" w:lineRule="auto"/>
        <w:ind w:left="513" w:right="94" w:hanging="361"/>
        <w:jc w:val="left"/>
      </w:pPr>
      <w:r>
        <w:rPr>
          <w:rFonts w:ascii="宋体" w:hAnsi="宋体" w:cs="宋体" w:eastAsia="宋体" w:hint="default"/>
          <w:b/>
          <w:bCs/>
          <w:sz w:val="21"/>
          <w:szCs w:val="21"/>
        </w:rPr>
        <w:t>(1)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spacing w:after="0" w:line="417"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204"/>
        <w:jc w:val="left"/>
      </w:pPr>
      <w:r>
        <w:rPr/>
        <w:t>借款费用，在发生时根据其发生额确认为费用，计入当期损益。</w:t>
      </w:r>
    </w:p>
    <w:p>
      <w:pPr>
        <w:spacing w:line="240" w:lineRule="auto" w:before="1"/>
        <w:rPr>
          <w:rFonts w:ascii="宋体" w:hAnsi="宋体" w:cs="宋体" w:eastAsia="宋体" w:hint="default"/>
          <w:sz w:val="15"/>
          <w:szCs w:val="15"/>
        </w:rPr>
      </w:pPr>
    </w:p>
    <w:p>
      <w:pPr>
        <w:pStyle w:val="BodyText"/>
        <w:spacing w:line="316" w:lineRule="auto"/>
        <w:ind w:right="0" w:firstLine="360"/>
        <w:jc w:val="left"/>
      </w:pPr>
      <w:r>
        <w:rPr>
          <w:spacing w:val="-2"/>
        </w:rPr>
        <w:t>符合资本化条件的资产，是指需要经过相当长时间的购建或者生产活动才能达到预定可使用或者可销售状态的固定资产、</w:t>
      </w:r>
      <w:r>
        <w:rPr/>
        <w:t> 投资性房地产和存货等资产。</w:t>
      </w:r>
    </w:p>
    <w:p>
      <w:pPr>
        <w:pStyle w:val="BodyText"/>
        <w:spacing w:line="240" w:lineRule="auto" w:before="139"/>
        <w:ind w:left="513" w:right="204"/>
        <w:jc w:val="left"/>
      </w:pPr>
      <w:r>
        <w:rPr/>
        <w:t>借款费用同时满足下列条件时开始资本化：</w:t>
      </w:r>
    </w:p>
    <w:p>
      <w:pPr>
        <w:spacing w:line="240" w:lineRule="auto" w:before="0"/>
        <w:rPr>
          <w:rFonts w:ascii="宋体" w:hAnsi="宋体" w:cs="宋体" w:eastAsia="宋体" w:hint="default"/>
          <w:sz w:val="15"/>
          <w:szCs w:val="15"/>
        </w:rPr>
      </w:pPr>
    </w:p>
    <w:p>
      <w:pPr>
        <w:pStyle w:val="BodyText"/>
        <w:spacing w:line="316" w:lineRule="auto"/>
        <w:ind w:right="204"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39"/>
        <w:ind w:left="513" w:right="204"/>
        <w:jc w:val="left"/>
      </w:pPr>
      <w:r>
        <w:rPr/>
        <w:t>②借款费用已经发生；</w:t>
      </w:r>
    </w:p>
    <w:p>
      <w:pPr>
        <w:spacing w:line="240" w:lineRule="auto" w:before="0"/>
        <w:rPr>
          <w:rFonts w:ascii="宋体" w:hAnsi="宋体" w:cs="宋体" w:eastAsia="宋体" w:hint="default"/>
          <w:sz w:val="15"/>
          <w:szCs w:val="15"/>
        </w:rPr>
      </w:pPr>
    </w:p>
    <w:p>
      <w:pPr>
        <w:pStyle w:val="BodyText"/>
        <w:spacing w:line="240" w:lineRule="auto"/>
        <w:ind w:left="513" w:right="204"/>
        <w:jc w:val="left"/>
      </w:pPr>
      <w:r>
        <w:rPr/>
        <w:t>③为使资产达到预定可使用或者可销售状态所必要的购建或者生产活动已经开始。</w:t>
      </w:r>
    </w:p>
    <w:p>
      <w:pPr>
        <w:spacing w:line="240" w:lineRule="auto" w:before="6"/>
        <w:rPr>
          <w:rFonts w:ascii="宋体" w:hAnsi="宋体" w:cs="宋体" w:eastAsia="宋体" w:hint="default"/>
          <w:sz w:val="13"/>
          <w:szCs w:val="13"/>
        </w:rPr>
      </w:pPr>
    </w:p>
    <w:p>
      <w:pPr>
        <w:pStyle w:val="BodyText"/>
        <w:spacing w:line="417" w:lineRule="auto"/>
        <w:ind w:left="513" w:right="733" w:hanging="361"/>
        <w:jc w:val="left"/>
      </w:pPr>
      <w:r>
        <w:rPr>
          <w:rFonts w:ascii="宋体" w:hAnsi="宋体" w:cs="宋体" w:eastAsia="宋体" w:hint="default"/>
          <w:b/>
          <w:bCs/>
          <w:sz w:val="21"/>
          <w:szCs w:val="21"/>
        </w:rPr>
        <w:t>(2) </w:t>
      </w:r>
      <w:r>
        <w:rPr>
          <w:rFonts w:ascii="宋体" w:hAnsi="宋体" w:cs="宋体" w:eastAsia="宋体" w:hint="default"/>
          <w:b/>
          <w:bCs/>
          <w:sz w:val="21"/>
          <w:szCs w:val="21"/>
        </w:rPr>
        <w:t>借款费用资本化期间</w:t>
      </w:r>
      <w:r>
        <w:rPr>
          <w:rFonts w:ascii="宋体" w:hAnsi="宋体" w:cs="宋体" w:eastAsia="宋体" w:hint="default"/>
          <w:b/>
          <w:bCs/>
          <w:spacing w:val="-104"/>
          <w:sz w:val="21"/>
          <w:szCs w:val="21"/>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BodyText"/>
        <w:spacing w:line="240" w:lineRule="auto" w:before="63"/>
        <w:ind w:left="513" w:right="204"/>
        <w:jc w:val="left"/>
      </w:pPr>
      <w:r>
        <w:rPr/>
        <w:t>当购建或者生产符合资本化条件的资产中部分项目分别完工且可单独使用时，该部分资产借款费用停止资本化。</w:t>
      </w:r>
    </w:p>
    <w:p>
      <w:pPr>
        <w:spacing w:line="240" w:lineRule="auto" w:before="0"/>
        <w:rPr>
          <w:rFonts w:ascii="宋体" w:hAnsi="宋体" w:cs="宋体" w:eastAsia="宋体" w:hint="default"/>
          <w:sz w:val="15"/>
          <w:szCs w:val="15"/>
        </w:rPr>
      </w:pPr>
    </w:p>
    <w:p>
      <w:pPr>
        <w:pStyle w:val="BodyText"/>
        <w:spacing w:line="316" w:lineRule="auto"/>
        <w:ind w:right="204" w:firstLine="360"/>
        <w:jc w:val="left"/>
      </w:pPr>
      <w:r>
        <w:rPr>
          <w:spacing w:val="-2"/>
        </w:rPr>
        <w:t>购建或者生产的资产的各部分分别完工，但必须等到整体完工后才可使用或可对外销售的，在该资产整体完工时停止借</w:t>
      </w:r>
      <w:r>
        <w:rPr/>
        <w:t> 款费用资本化。</w:t>
      </w:r>
    </w:p>
    <w:p>
      <w:pPr>
        <w:pStyle w:val="Heading3"/>
        <w:spacing w:line="240" w:lineRule="auto" w:before="118"/>
        <w:ind w:right="204"/>
        <w:jc w:val="left"/>
        <w:rPr>
          <w:b w:val="0"/>
          <w:bCs w:val="0"/>
        </w:rPr>
      </w:pPr>
      <w:r>
        <w:rPr>
          <w:rFonts w:ascii="宋体" w:hAnsi="宋体" w:cs="宋体" w:eastAsia="宋体" w:hint="default"/>
        </w:rPr>
        <w:t>(3) </w:t>
      </w:r>
      <w:r>
        <w:rPr/>
        <w:t>借款费用暂停资本化期间</w:t>
      </w:r>
      <w:r>
        <w:rPr>
          <w:b w:val="0"/>
          <w:bCs w:val="0"/>
        </w:rPr>
      </w:r>
    </w:p>
    <w:p>
      <w:pPr>
        <w:pStyle w:val="BodyText"/>
        <w:spacing w:line="316" w:lineRule="auto" w:before="178"/>
        <w:ind w:right="194" w:firstLine="420"/>
        <w:jc w:val="left"/>
      </w:pP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Heading3"/>
        <w:spacing w:line="240" w:lineRule="auto" w:before="39"/>
        <w:ind w:right="204"/>
        <w:jc w:val="left"/>
        <w:rPr>
          <w:b w:val="0"/>
          <w:bCs w:val="0"/>
        </w:rPr>
      </w:pPr>
      <w:r>
        <w:rPr>
          <w:rFonts w:ascii="宋体" w:hAnsi="宋体" w:cs="宋体" w:eastAsia="宋体" w:hint="default"/>
        </w:rPr>
        <w:t>(4)</w:t>
      </w:r>
      <w:r>
        <w:rPr>
          <w:rFonts w:ascii="宋体" w:hAnsi="宋体" w:cs="宋体" w:eastAsia="宋体" w:hint="default"/>
          <w:spacing w:val="1"/>
        </w:rPr>
        <w:t> </w:t>
      </w:r>
      <w:r>
        <w:rPr/>
        <w:t>借款费用资本化金额的计算方法</w:t>
      </w:r>
      <w:r>
        <w:rPr>
          <w:b w:val="0"/>
          <w:bCs w:val="0"/>
        </w:rPr>
      </w:r>
    </w:p>
    <w:p>
      <w:pPr>
        <w:pStyle w:val="BodyText"/>
        <w:spacing w:line="319" w:lineRule="auto" w:before="178"/>
        <w:ind w:right="194" w:firstLine="360"/>
        <w:jc w:val="left"/>
      </w:pPr>
      <w:r>
        <w:rPr>
          <w:spacing w:val="-2"/>
        </w:rPr>
        <w:t>对于为购建或者生产符合资本化条件的资产而借入的专门借款，以专门借款当期实际发生的借款费用及其辅助费，减去</w:t>
      </w:r>
      <w:r>
        <w:rPr/>
        <w:t> 尚未动用的借款资金存入银行取得的利息收入或进行暂时性投资取得的投资收益后的金额，来确定借款费用的资本化金额。</w:t>
      </w:r>
    </w:p>
    <w:p>
      <w:pPr>
        <w:pStyle w:val="BodyText"/>
        <w:spacing w:line="316" w:lineRule="auto" w:before="137"/>
        <w:ind w:right="292"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139"/>
        <w:ind w:left="513" w:right="204"/>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3"/>
        <w:spacing w:line="240" w:lineRule="auto" w:before="120"/>
        <w:ind w:right="204"/>
        <w:jc w:val="left"/>
        <w:rPr>
          <w:b w:val="0"/>
          <w:bCs w:val="0"/>
        </w:rPr>
      </w:pPr>
      <w:r>
        <w:rPr>
          <w:rFonts w:ascii="宋体" w:hAnsi="宋体" w:cs="宋体" w:eastAsia="宋体" w:hint="default"/>
        </w:rPr>
        <w:t>19</w:t>
      </w:r>
      <w:r>
        <w:rPr/>
        <w:t>、生物资产</w:t>
      </w:r>
      <w:r>
        <w:rPr>
          <w:b w:val="0"/>
          <w:bCs w:val="0"/>
        </w:rPr>
      </w:r>
    </w:p>
    <w:p>
      <w:pPr>
        <w:spacing w:line="240" w:lineRule="auto" w:before="5"/>
        <w:rPr>
          <w:rFonts w:ascii="宋体" w:hAnsi="宋体" w:cs="宋体" w:eastAsia="宋体" w:hint="default"/>
          <w:b/>
          <w:bCs/>
          <w:sz w:val="27"/>
          <w:szCs w:val="27"/>
        </w:rPr>
      </w:pPr>
    </w:p>
    <w:p>
      <w:pPr>
        <w:spacing w:line="578" w:lineRule="auto" w:before="0"/>
        <w:ind w:left="152" w:right="8648"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02"/>
        <w:ind w:right="204"/>
        <w:jc w:val="left"/>
        <w:rPr>
          <w:b w:val="0"/>
          <w:bCs w:val="0"/>
        </w:rPr>
      </w:pPr>
      <w:r>
        <w:rPr>
          <w:rFonts w:ascii="宋体" w:hAnsi="宋体" w:cs="宋体" w:eastAsia="宋体" w:hint="default"/>
        </w:rPr>
        <w:t>21</w:t>
      </w:r>
      <w:r>
        <w:rPr/>
        <w:t>、无形资产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204"/>
        <w:jc w:val="left"/>
        <w:rPr>
          <w:b w:val="0"/>
          <w:bCs w:val="0"/>
        </w:rPr>
      </w:pPr>
      <w:r>
        <w:rPr/>
        <w:t>（</w:t>
      </w:r>
      <w:r>
        <w:rPr>
          <w:rFonts w:ascii="宋体" w:hAnsi="宋体" w:cs="宋体" w:eastAsia="宋体" w:hint="default"/>
        </w:rPr>
        <w:t>1</w:t>
      </w:r>
      <w:r>
        <w:rPr/>
        <w:t>）计价方法、使用寿命、减值测试</w:t>
      </w:r>
      <w:r>
        <w:rPr>
          <w:b w:val="0"/>
          <w:bCs w:val="0"/>
        </w:rPr>
      </w:r>
    </w:p>
    <w:p>
      <w:pPr>
        <w:pStyle w:val="Heading4"/>
        <w:spacing w:line="240" w:lineRule="auto" w:before="98"/>
        <w:ind w:left="152" w:right="204"/>
        <w:jc w:val="left"/>
        <w:rPr>
          <w:b w:val="0"/>
          <w:bCs w:val="0"/>
        </w:rPr>
      </w:pPr>
      <w:r>
        <w:rPr/>
        <w:t>①无形资产的计价方法</w:t>
      </w:r>
      <w:r>
        <w:rPr>
          <w:b w:val="0"/>
          <w:bCs w:val="0"/>
        </w:rPr>
      </w:r>
    </w:p>
    <w:p>
      <w:pPr>
        <w:spacing w:after="0" w:line="240" w:lineRule="auto"/>
        <w:jc w:val="left"/>
        <w:sectPr>
          <w:footerReference w:type="default" r:id="rId39"/>
          <w:pgSz w:w="11910" w:h="16840"/>
          <w:pgMar w:footer="980" w:header="745" w:top="1060" w:bottom="1160" w:left="980" w:right="840"/>
          <w:pgNumType w:start="120"/>
        </w:sectPr>
      </w:pPr>
    </w:p>
    <w:p>
      <w:pPr>
        <w:spacing w:line="240" w:lineRule="auto" w:before="9"/>
        <w:rPr>
          <w:rFonts w:ascii="宋体" w:hAnsi="宋体" w:cs="宋体" w:eastAsia="宋体" w:hint="default"/>
          <w:b/>
          <w:bCs/>
          <w:sz w:val="25"/>
          <w:szCs w:val="25"/>
        </w:rPr>
      </w:pPr>
    </w:p>
    <w:p>
      <w:pPr>
        <w:pStyle w:val="Heading4"/>
        <w:spacing w:line="240" w:lineRule="auto" w:before="44"/>
        <w:ind w:left="335" w:right="153"/>
        <w:jc w:val="left"/>
        <w:rPr>
          <w:b w:val="0"/>
          <w:bCs w:val="0"/>
        </w:rPr>
      </w:pPr>
      <w:r>
        <w:rPr>
          <w:rFonts w:ascii="宋体" w:hAnsi="宋体" w:cs="宋体" w:eastAsia="宋体" w:hint="default"/>
        </w:rPr>
        <w:t>1</w:t>
      </w:r>
      <w:r>
        <w:rPr/>
        <w:t>）取得无形资产时按成本进行初始计量</w:t>
      </w:r>
      <w:r>
        <w:rPr>
          <w:b w:val="0"/>
          <w:bCs w:val="0"/>
        </w:rPr>
      </w:r>
    </w:p>
    <w:p>
      <w:pPr>
        <w:spacing w:line="240" w:lineRule="auto" w:before="3"/>
        <w:rPr>
          <w:rFonts w:ascii="宋体" w:hAnsi="宋体" w:cs="宋体" w:eastAsia="宋体" w:hint="default"/>
          <w:b/>
          <w:bCs/>
          <w:sz w:val="15"/>
          <w:szCs w:val="15"/>
        </w:rPr>
      </w:pPr>
    </w:p>
    <w:p>
      <w:pPr>
        <w:pStyle w:val="BodyText"/>
        <w:spacing w:line="314" w:lineRule="auto"/>
        <w:ind w:right="150"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316" w:lineRule="auto" w:before="140"/>
        <w:ind w:right="15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6" w:lineRule="auto" w:before="139"/>
        <w:ind w:right="152"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39"/>
        <w:ind w:right="152"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9" w:lineRule="auto" w:before="139"/>
        <w:ind w:right="154"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439" w:lineRule="auto" w:before="137"/>
        <w:ind w:left="513" w:right="6173" w:hanging="179"/>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）后续计量</w:t>
      </w:r>
      <w:r>
        <w:rPr>
          <w:rFonts w:ascii="宋体" w:hAnsi="宋体" w:cs="宋体" w:eastAsia="宋体" w:hint="default"/>
          <w:b/>
          <w:bCs/>
          <w:w w:val="99"/>
          <w:sz w:val="18"/>
          <w:szCs w:val="18"/>
        </w:rPr>
        <w:t> </w:t>
      </w:r>
      <w:r>
        <w:rPr>
          <w:rFonts w:ascii="宋体" w:hAnsi="宋体" w:cs="宋体" w:eastAsia="宋体" w:hint="default"/>
          <w:sz w:val="18"/>
          <w:szCs w:val="18"/>
        </w:rPr>
        <w:t>在取得无形资产时分析判断其使用寿命。</w:t>
      </w:r>
    </w:p>
    <w:p>
      <w:pPr>
        <w:pStyle w:val="BodyText"/>
        <w:spacing w:line="316" w:lineRule="auto" w:before="47"/>
        <w:ind w:right="15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4"/>
        <w:spacing w:line="240" w:lineRule="auto"/>
        <w:ind w:left="152" w:right="153"/>
        <w:jc w:val="left"/>
        <w:rPr>
          <w:b w:val="0"/>
          <w:bCs w:val="0"/>
        </w:rPr>
      </w:pPr>
      <w:r>
        <w:rPr/>
        <w:t>②使用寿命有限的无形资产的使用寿命估计情况</w:t>
      </w:r>
      <w:r>
        <w:rPr>
          <w:b w:val="0"/>
          <w:bCs w:val="0"/>
        </w:rPr>
      </w:r>
    </w:p>
    <w:p>
      <w:pPr>
        <w:spacing w:line="240" w:lineRule="auto" w:before="5"/>
        <w:rPr>
          <w:rFonts w:ascii="宋体" w:hAnsi="宋体" w:cs="宋体" w:eastAsia="宋体"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1460"/>
        <w:gridCol w:w="2101"/>
        <w:gridCol w:w="5185"/>
      </w:tblGrid>
      <w:tr>
        <w:trPr>
          <w:trHeight w:val="335" w:hRule="exact"/>
        </w:trPr>
        <w:tc>
          <w:tcPr>
            <w:tcW w:w="1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1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671"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宋体" w:hAnsi="宋体" w:cs="宋体" w:eastAsia="宋体" w:hint="default"/>
                <w:sz w:val="18"/>
                <w:szCs w:val="18"/>
              </w:rPr>
            </w:pPr>
            <w:r>
              <w:rPr>
                <w:rFonts w:ascii="宋体" w:hAnsi="宋体" w:cs="宋体" w:eastAsia="宋体" w:hint="default"/>
                <w:sz w:val="18"/>
                <w:szCs w:val="18"/>
              </w:rPr>
              <w:t>土地使用权的有效期</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1"/>
              <w:ind w:left="4"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直线法摊销。</w:t>
            </w:r>
          </w:p>
        </w:tc>
      </w:tr>
      <w:tr>
        <w:trPr>
          <w:trHeight w:val="660"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直线法摊销。</w:t>
            </w:r>
          </w:p>
        </w:tc>
      </w:tr>
      <w:tr>
        <w:trPr>
          <w:trHeight w:val="65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直线法摊销。</w:t>
            </w:r>
          </w:p>
        </w:tc>
      </w:tr>
      <w:tr>
        <w:trPr>
          <w:trHeight w:val="660"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直线法摊销。</w:t>
            </w:r>
          </w:p>
        </w:tc>
      </w:tr>
      <w:tr>
        <w:trPr>
          <w:trHeight w:val="65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直线法摊销。</w:t>
            </w:r>
          </w:p>
        </w:tc>
      </w:tr>
      <w:tr>
        <w:trPr>
          <w:trHeight w:val="660"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直线法摊销。</w:t>
            </w:r>
          </w:p>
        </w:tc>
      </w:tr>
    </w:tbl>
    <w:p>
      <w:pPr>
        <w:pStyle w:val="BodyText"/>
        <w:spacing w:line="360" w:lineRule="auto" w:before="49"/>
        <w:ind w:right="4014"/>
        <w:jc w:val="left"/>
      </w:pPr>
      <w:r>
        <w:rPr/>
        <w:t>每期末，对使用寿命有限的无形资产的使用寿命及摊销方法进行复核。 经复核，本年期末无形资产的使用寿命及摊销方法与以前估计未有不同。</w:t>
      </w:r>
    </w:p>
    <w:p>
      <w:pPr>
        <w:pStyle w:val="BodyText"/>
        <w:spacing w:line="360" w:lineRule="auto" w:before="25"/>
        <w:ind w:left="157" w:right="4999" w:firstLine="177"/>
        <w:jc w:val="left"/>
      </w:pPr>
      <w:r>
        <w:rPr>
          <w:rFonts w:ascii="宋体" w:hAnsi="宋体" w:cs="宋体" w:eastAsia="宋体" w:hint="default"/>
        </w:rPr>
        <w:t>1</w:t>
      </w:r>
      <w:r>
        <w:rPr/>
        <w:t>）使用寿命不确定的无形资产的判断依据 截至资产负债表日</w:t>
      </w:r>
      <w:r>
        <w:rPr>
          <w:rFonts w:ascii="宋体" w:hAnsi="宋体" w:cs="宋体" w:eastAsia="宋体" w:hint="default"/>
        </w:rPr>
        <w:t>,</w:t>
      </w:r>
      <w:r>
        <w:rPr/>
        <w:t>本公司没有使用寿命不确定的无形资产。</w:t>
      </w:r>
    </w:p>
    <w:p>
      <w:pPr>
        <w:pStyle w:val="BodyText"/>
        <w:spacing w:line="357" w:lineRule="auto" w:before="27"/>
        <w:ind w:right="6082" w:firstLine="182"/>
        <w:jc w:val="left"/>
      </w:pPr>
      <w:r>
        <w:rPr>
          <w:rFonts w:ascii="宋体" w:hAnsi="宋体" w:cs="宋体" w:eastAsia="宋体" w:hint="default"/>
        </w:rPr>
        <w:t>2</w:t>
      </w:r>
      <w:r>
        <w:rPr/>
        <w:t>）使用寿命不确定的无形资产使用寿命复核 不适用。</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宋体" w:hAnsi="宋体" w:cs="宋体" w:eastAsia="宋体" w:hint="default"/>
        </w:rPr>
        <w:t>2</w:t>
      </w:r>
      <w:r>
        <w:rPr/>
        <w:t>）内部研究开发支出会计政策</w:t>
      </w:r>
      <w:r>
        <w:rPr>
          <w:b w:val="0"/>
          <w:bCs w:val="0"/>
        </w:rPr>
      </w:r>
    </w:p>
    <w:p>
      <w:pPr>
        <w:spacing w:line="439" w:lineRule="auto" w:before="99"/>
        <w:ind w:left="513" w:right="1713" w:hanging="361"/>
        <w:jc w:val="left"/>
        <w:rPr>
          <w:rFonts w:ascii="宋体" w:hAnsi="宋体" w:cs="宋体" w:eastAsia="宋体" w:hint="default"/>
          <w:sz w:val="18"/>
          <w:szCs w:val="18"/>
        </w:rPr>
      </w:pPr>
      <w:r>
        <w:rPr>
          <w:rFonts w:ascii="宋体" w:hAnsi="宋体" w:cs="宋体" w:eastAsia="宋体" w:hint="default"/>
          <w:b/>
          <w:bCs/>
          <w:sz w:val="18"/>
          <w:szCs w:val="18"/>
        </w:rPr>
        <w:t>①划分内部研究开发项目的研究阶段和开发阶段具体标准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内部研究开发项目的支出分为研究阶段支出和开发阶段支出。 研究阶段：为获取并理解新的科学或技术知识等而进行的独创性的有计划调查、研究活动的阶段。</w:t>
      </w:r>
    </w:p>
    <w:p>
      <w:pPr>
        <w:pStyle w:val="BodyText"/>
        <w:spacing w:line="316" w:lineRule="auto" w:before="47"/>
        <w:ind w:right="190" w:firstLine="360"/>
        <w:jc w:val="both"/>
      </w:pPr>
      <w:r>
        <w:rPr>
          <w:spacing w:val="-2"/>
        </w:rPr>
        <w:t>开发阶段：在进行商业性生产或使用前，将研究成果或其他知识应用于某项计划或设计，以生产出新的或具有实质性改</w:t>
      </w:r>
      <w:r>
        <w:rPr/>
        <w:t> 进的材料、装置、产品等活动的阶段。</w:t>
      </w:r>
    </w:p>
    <w:p>
      <w:pPr>
        <w:spacing w:line="439" w:lineRule="auto" w:before="139"/>
        <w:ind w:left="513" w:right="3513" w:hanging="361"/>
        <w:jc w:val="left"/>
        <w:rPr>
          <w:rFonts w:ascii="宋体" w:hAnsi="宋体" w:cs="宋体" w:eastAsia="宋体" w:hint="default"/>
          <w:sz w:val="18"/>
          <w:szCs w:val="18"/>
        </w:rPr>
      </w:pPr>
      <w:r>
        <w:rPr>
          <w:rFonts w:ascii="宋体" w:hAnsi="宋体" w:cs="宋体" w:eastAsia="宋体" w:hint="default"/>
          <w:b/>
          <w:bCs/>
          <w:sz w:val="18"/>
          <w:szCs w:val="18"/>
        </w:rPr>
        <w:t>②开发阶段支出符合资本化的具体标准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 </w:t>
      </w:r>
      <w:r>
        <w:rPr>
          <w:rFonts w:ascii="宋体" w:hAnsi="宋体" w:cs="宋体" w:eastAsia="宋体" w:hint="default"/>
          <w:sz w:val="18"/>
          <w:szCs w:val="18"/>
        </w:rPr>
        <w:t>1</w:t>
      </w:r>
      <w:r>
        <w:rPr>
          <w:rFonts w:ascii="宋体" w:hAnsi="宋体" w:cs="宋体" w:eastAsia="宋体" w:hint="default"/>
          <w:sz w:val="18"/>
          <w:szCs w:val="18"/>
        </w:rPr>
        <w:t>）完成该无形资产以使其能够使用或出售在技术上具有可行性；</w:t>
      </w:r>
    </w:p>
    <w:p>
      <w:pPr>
        <w:pStyle w:val="BodyText"/>
        <w:spacing w:line="240" w:lineRule="auto" w:before="47"/>
        <w:ind w:left="513" w:right="94"/>
        <w:jc w:val="left"/>
      </w:pPr>
      <w:r>
        <w:rPr>
          <w:rFonts w:ascii="宋体" w:hAnsi="宋体" w:cs="宋体" w:eastAsia="宋体" w:hint="default"/>
        </w:rPr>
        <w:t>2</w:t>
      </w:r>
      <w:r>
        <w:rPr/>
        <w:t>）具有完成该无形资产并使用或出售的意图；</w:t>
      </w:r>
    </w:p>
    <w:p>
      <w:pPr>
        <w:spacing w:line="240" w:lineRule="auto" w:before="1"/>
        <w:rPr>
          <w:rFonts w:ascii="宋体" w:hAnsi="宋体" w:cs="宋体" w:eastAsia="宋体" w:hint="default"/>
          <w:sz w:val="15"/>
          <w:szCs w:val="15"/>
        </w:rPr>
      </w:pPr>
    </w:p>
    <w:p>
      <w:pPr>
        <w:pStyle w:val="BodyText"/>
        <w:spacing w:line="316" w:lineRule="auto"/>
        <w:ind w:right="199" w:firstLine="360"/>
        <w:jc w:val="both"/>
      </w:pPr>
      <w:r>
        <w:rPr>
          <w:rFonts w:ascii="宋体" w:hAnsi="宋体" w:cs="宋体" w:eastAsia="宋体" w:hint="default"/>
        </w:rPr>
        <w:t>3</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139"/>
        <w:ind w:left="513" w:right="94"/>
        <w:jc w:val="left"/>
      </w:pPr>
      <w:r>
        <w:rPr>
          <w:rFonts w:ascii="宋体" w:hAnsi="宋体" w:cs="宋体" w:eastAsia="宋体" w:hint="default"/>
        </w:rPr>
        <w:t>4</w:t>
      </w:r>
      <w:r>
        <w:rPr/>
        <w:t>）有足够的技术、财务资源和其他资源支持，以完成该无形资产的开发，并有能力使用或出售该无形资产；</w:t>
      </w:r>
    </w:p>
    <w:p>
      <w:pPr>
        <w:spacing w:line="240" w:lineRule="auto" w:before="0"/>
        <w:rPr>
          <w:rFonts w:ascii="宋体" w:hAnsi="宋体" w:cs="宋体" w:eastAsia="宋体" w:hint="default"/>
          <w:sz w:val="15"/>
          <w:szCs w:val="15"/>
        </w:rPr>
      </w:pPr>
    </w:p>
    <w:p>
      <w:pPr>
        <w:pStyle w:val="BodyText"/>
        <w:spacing w:line="439" w:lineRule="auto"/>
        <w:ind w:left="513" w:right="813"/>
        <w:jc w:val="left"/>
      </w:pP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15"/>
          <w:szCs w:val="15"/>
        </w:rPr>
      </w:pPr>
    </w:p>
    <w:p>
      <w:pPr>
        <w:pStyle w:val="Heading3"/>
        <w:spacing w:line="240" w:lineRule="auto"/>
        <w:ind w:right="94"/>
        <w:jc w:val="left"/>
        <w:rPr>
          <w:b w:val="0"/>
          <w:bCs w:val="0"/>
        </w:rPr>
      </w:pPr>
      <w:r>
        <w:rPr>
          <w:rFonts w:ascii="宋体" w:hAnsi="宋体" w:cs="宋体" w:eastAsia="宋体" w:hint="default"/>
        </w:rPr>
        <w:t>22</w:t>
      </w:r>
      <w:r>
        <w:rPr/>
        <w:t>、长期资产减值</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89" w:firstLine="360"/>
        <w:jc w:val="both"/>
      </w:pPr>
      <w:r>
        <w:rPr>
          <w:spacing w:val="-2"/>
        </w:rPr>
        <w:t>在每个资产负债表日判断长期股权投资、采用成本模式计量的投资性房地产、固定资产、在建工程、使用寿命确定的无</w:t>
      </w:r>
      <w:r>
        <w:rPr/>
        <w:t> </w:t>
      </w:r>
      <w:r>
        <w:rPr>
          <w:spacing w:val="-2"/>
        </w:rPr>
        <w:t>形资产等是否存在减值迹象，对存在减值迹象的，估计其可收回金额，可收回金额低于其账面价值的，将资产的账面价值减</w:t>
      </w:r>
      <w:r>
        <w:rPr>
          <w:spacing w:val="-64"/>
        </w:rPr>
        <w:t> </w:t>
      </w:r>
      <w:r>
        <w:rPr>
          <w:spacing w:val="-64"/>
        </w:rPr>
      </w:r>
      <w:r>
        <w:rPr/>
        <w:t>记至可收回金额，减记的金额确认相应的减值损失，计入当期损益，同时计提相应的减值准备。</w:t>
      </w:r>
    </w:p>
    <w:p>
      <w:pPr>
        <w:pStyle w:val="BodyText"/>
        <w:spacing w:line="316" w:lineRule="auto" w:before="139"/>
        <w:ind w:right="19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316" w:lineRule="auto" w:before="139"/>
        <w:ind w:right="190" w:firstLine="360"/>
        <w:jc w:val="both"/>
      </w:pPr>
      <w:r>
        <w:rPr>
          <w:spacing w:val="-2"/>
        </w:rPr>
        <w:t>资产减值损失确认后，减值资产的折旧或者摊销费用在未来期间做相应调整，使资产在剩余寿命内，系统地分摊调整后</w:t>
      </w:r>
      <w:r>
        <w:rPr/>
        <w:t> 的资产账面价值。</w:t>
      </w:r>
    </w:p>
    <w:p>
      <w:pPr>
        <w:pStyle w:val="BodyText"/>
        <w:spacing w:line="432" w:lineRule="exact" w:before="3"/>
        <w:ind w:left="513" w:right="94"/>
        <w:jc w:val="left"/>
      </w:pPr>
      <w:r>
        <w:rPr/>
        <w:t>对于使用寿命不确定的无形资产、尚未达到使用状态的无形资以及合并所形成的商誉每年年度终了进行减值测试。 </w:t>
      </w:r>
      <w:r>
        <w:rPr>
          <w:spacing w:val="-2"/>
        </w:rPr>
        <w:t>关于商誉减值测试，对于因企业合并形成的商誉的账面价值，自购买日起按照合理的方法分摊至相关的资产组；难以分</w:t>
      </w:r>
    </w:p>
    <w:p>
      <w:pPr>
        <w:pStyle w:val="BodyText"/>
        <w:spacing w:line="316" w:lineRule="auto" w:before="15"/>
        <w:ind w:right="94"/>
        <w:jc w:val="left"/>
      </w:pPr>
      <w:r>
        <w:rPr>
          <w:spacing w:val="-2"/>
        </w:rPr>
        <w:t>摊至相关的资产组的，将其分摊至相关的资产组组合。在将商誉的账面价值分摊至相关的资产组或者资产组组合时，按照各</w:t>
      </w:r>
      <w:r>
        <w:rPr>
          <w:spacing w:val="-63"/>
        </w:rPr>
        <w:t> </w:t>
      </w:r>
      <w:r>
        <w:rPr>
          <w:spacing w:val="-63"/>
        </w:rPr>
      </w:r>
      <w:r>
        <w:rPr/>
        <w:t>资产组或者资产组组合的公允价值占相关资产组或者资产组组合公允价值总额的比例进行分摊。公允价值难以可靠计量的，</w:t>
      </w:r>
      <w:r>
        <w:rPr>
          <w:spacing w:val="-86"/>
        </w:rPr>
        <w:t> </w:t>
      </w:r>
      <w:r>
        <w:rPr>
          <w:spacing w:val="-86"/>
        </w:rPr>
      </w:r>
      <w:r>
        <w:rPr/>
        <w:t>按照各资产组或者资产组组合的账面价值占相关资产组或者资产组组合账面价值总额的比例进行分摊。</w:t>
      </w:r>
    </w:p>
    <w:p>
      <w:pPr>
        <w:pStyle w:val="BodyText"/>
        <w:spacing w:line="316" w:lineRule="auto" w:before="139"/>
        <w:ind w:right="94"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r>
        <w:rPr>
          <w:spacing w:val="-76"/>
        </w:rPr>
        <w:t> </w:t>
      </w:r>
      <w:r>
        <w:rPr>
          <w:spacing w:val="-76"/>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宋体" w:hAnsi="宋体" w:cs="宋体" w:eastAsia="宋体" w:hint="default"/>
        </w:rPr>
        <w:t>23</w:t>
      </w:r>
      <w:r>
        <w:rPr/>
        <w:t>、长期待摊费用</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3" w:firstLine="360"/>
        <w:jc w:val="both"/>
      </w:pPr>
      <w:r>
        <w:rPr/>
        <w:t>对于已经发生但应由本期和以后各期负担的分摊期限在</w:t>
      </w:r>
      <w:r>
        <w:rPr>
          <w:rFonts w:ascii="宋体" w:hAnsi="宋体" w:cs="宋体" w:eastAsia="宋体" w:hint="default"/>
        </w:rPr>
        <w:t>1</w:t>
      </w:r>
      <w:r>
        <w:rPr/>
        <w:t>年以上的各项费用，包括经营租入固定资产改良支出，作为长 </w:t>
      </w:r>
      <w:r>
        <w:rPr>
          <w:spacing w:val="-2"/>
        </w:rPr>
        <w:t>期待摊费用按预计受益年限分期摊销。如果长期待摊费用项目不能使以后会计期间受益的，则将其尚未摊销的摊余价值全部</w:t>
      </w:r>
      <w:r>
        <w:rPr>
          <w:spacing w:val="-64"/>
        </w:rPr>
        <w:t> </w:t>
      </w:r>
      <w:r>
        <w:rPr>
          <w:spacing w:val="-64"/>
        </w:rPr>
      </w:r>
      <w:r>
        <w:rPr/>
        <w:t>转入当期损益。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24</w:t>
      </w:r>
      <w:r>
        <w:rPr/>
        <w:t>、职工薪酬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53"/>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宋体" w:hAnsi="宋体" w:cs="宋体" w:eastAsia="宋体" w:hint="default"/>
        </w:rPr>
        <w:t>2</w:t>
      </w:r>
      <w:r>
        <w:rPr/>
        <w:t>）离职后福利的会计处理方法</w:t>
      </w:r>
      <w:r>
        <w:rPr>
          <w:b w:val="0"/>
          <w:bCs w:val="0"/>
        </w:rPr>
      </w:r>
    </w:p>
    <w:p>
      <w:pPr>
        <w:pStyle w:val="BodyText"/>
        <w:spacing w:line="430" w:lineRule="atLeast" w:before="164"/>
        <w:ind w:left="513" w:right="149"/>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316" w:lineRule="auto" w:before="76"/>
        <w:ind w:right="152"/>
        <w:jc w:val="both"/>
      </w:pP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139"/>
        <w:ind w:right="251"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319" w:lineRule="auto" w:before="139"/>
        <w:ind w:right="151"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5"/>
        </w:rPr>
        <w:t> </w:t>
      </w:r>
      <w:r>
        <w:rPr>
          <w:spacing w:val="-65"/>
        </w:rPr>
      </w:r>
      <w:r>
        <w:rPr/>
        <w:t>值。</w:t>
      </w:r>
    </w:p>
    <w:p>
      <w:pPr>
        <w:pStyle w:val="BodyText"/>
        <w:spacing w:line="316" w:lineRule="auto" w:before="137"/>
        <w:ind w:right="15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432" w:lineRule="exact" w:before="3"/>
        <w:ind w:left="513" w:right="149"/>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40" w:lineRule="auto" w:before="15"/>
        <w:ind w:right="0"/>
        <w:jc w:val="both"/>
      </w:pPr>
      <w:r>
        <w:rPr/>
        <w:t>的差。</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53"/>
        <w:jc w:val="left"/>
      </w:pPr>
      <w:r>
        <w:rPr/>
        <w:t>在下列两者孰早日确认辞退福利产生的职工薪酬负债，并计入当期损益：</w:t>
      </w:r>
    </w:p>
    <w:p>
      <w:pPr>
        <w:spacing w:line="240" w:lineRule="auto" w:before="1"/>
        <w:rPr>
          <w:rFonts w:ascii="宋体" w:hAnsi="宋体" w:cs="宋体" w:eastAsia="宋体" w:hint="default"/>
          <w:sz w:val="15"/>
          <w:szCs w:val="15"/>
        </w:rPr>
      </w:pPr>
    </w:p>
    <w:p>
      <w:pPr>
        <w:pStyle w:val="BodyText"/>
        <w:spacing w:line="240" w:lineRule="auto"/>
        <w:ind w:left="513" w:right="153"/>
        <w:jc w:val="left"/>
      </w:pPr>
      <w:r>
        <w:rPr/>
        <w:t>①企业不能单方面撤回因解除劳动关系计划或裁减建议所提供的辞退福利时；</w:t>
      </w:r>
    </w:p>
    <w:p>
      <w:pPr>
        <w:pStyle w:val="BodyText"/>
        <w:spacing w:line="430" w:lineRule="atLeast" w:before="2"/>
        <w:ind w:left="513" w:right="149"/>
        <w:jc w:val="left"/>
      </w:pPr>
      <w:r>
        <w:rPr/>
        <w:t>②企业确认与涉及支付辞退福利的重组相关的成本或费用时。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76"/>
        <w:ind w:right="0"/>
        <w:jc w:val="both"/>
      </w:pPr>
      <w:r>
        <w:rPr/>
        <w:t>告期结束后十二个月内不能完全支付的，适用其他长期职工福利的有关规定。</w:t>
      </w:r>
    </w:p>
    <w:p>
      <w:pPr>
        <w:spacing w:after="0" w:line="24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4</w:t>
      </w:r>
      <w:r>
        <w:rPr/>
        <w:t>）其他长期职工福利的会计处理方法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1" w:firstLine="360"/>
        <w:jc w:val="both"/>
      </w:pPr>
      <w:r>
        <w:rPr/>
        <w:t>其他长期职工福利，符合设定提存计划条件的，根据上述</w:t>
      </w:r>
      <w:r>
        <w:rPr>
          <w:rFonts w:ascii="宋体" w:hAnsi="宋体" w:cs="宋体" w:eastAsia="宋体"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5"/>
        </w:rPr>
        <w:t> </w:t>
      </w:r>
      <w:r>
        <w:rPr>
          <w:spacing w:val="-65"/>
        </w:rPr>
      </w:r>
      <w:r>
        <w:rPr/>
        <w:t>产的利息净额、重新计量其他长期职工福利净负债或净资产所产生的变动的总净额计入当期损益或相关资产成本。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25</w:t>
      </w:r>
      <w:r>
        <w:rPr/>
        <w:t>、预计负债</w:t>
      </w:r>
      <w:r>
        <w:rPr>
          <w:b w:val="0"/>
          <w:bCs w:val="0"/>
        </w:rPr>
      </w:r>
    </w:p>
    <w:p>
      <w:pPr>
        <w:spacing w:line="240" w:lineRule="auto" w:before="5"/>
        <w:rPr>
          <w:rFonts w:ascii="宋体" w:hAnsi="宋体" w:cs="宋体" w:eastAsia="宋体" w:hint="default"/>
          <w:b/>
          <w:bCs/>
          <w:sz w:val="27"/>
          <w:szCs w:val="27"/>
        </w:rPr>
      </w:pPr>
    </w:p>
    <w:p>
      <w:pPr>
        <w:pStyle w:val="BodyText"/>
        <w:spacing w:line="316" w:lineRule="auto"/>
        <w:ind w:right="154" w:firstLine="360"/>
        <w:jc w:val="both"/>
      </w:pPr>
      <w:r>
        <w:rPr>
          <w:spacing w:val="-2"/>
        </w:rPr>
        <w:t>涉及诉讼、债务担保、亏损合同、重组事项时，如该等事项很可能需要未来以交付资产或提供劳务、其金额能够可靠计</w:t>
      </w:r>
      <w:r>
        <w:rPr/>
        <w:t> 量的，确认为预计负债。</w:t>
      </w:r>
    </w:p>
    <w:p>
      <w:pPr>
        <w:pStyle w:val="BodyText"/>
        <w:spacing w:line="316" w:lineRule="auto" w:before="139"/>
        <w:ind w:right="15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139"/>
        <w:ind w:left="513" w:right="153"/>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26</w:t>
      </w:r>
      <w:r>
        <w:rPr/>
        <w:t>、股份支付</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股份支付的种类及会计处理</w:t>
      </w:r>
      <w:r>
        <w:rPr>
          <w:b w:val="0"/>
          <w:bCs w:val="0"/>
        </w:rPr>
      </w:r>
    </w:p>
    <w:p>
      <w:pPr>
        <w:pStyle w:val="BodyText"/>
        <w:spacing w:line="316" w:lineRule="auto" w:before="178"/>
        <w:ind w:right="158" w:firstLine="420"/>
        <w:jc w:val="both"/>
      </w:pPr>
      <w:r>
        <w:rPr/>
        <w:t>股份支付是公司为了获取职工提供服务而授予权益工具或者承担以权益工具为基础确定的负债的交易。股份支付分为 以权益结算的股份支付和以现金结算的股份支付。</w:t>
      </w:r>
    </w:p>
    <w:p>
      <w:pPr>
        <w:pStyle w:val="BodyText"/>
        <w:spacing w:line="432" w:lineRule="exact" w:before="3"/>
        <w:ind w:left="573" w:right="153" w:hanging="421"/>
        <w:jc w:val="left"/>
      </w:pPr>
      <w:r>
        <w:rPr>
          <w:rFonts w:ascii="宋体" w:hAnsi="宋体" w:cs="宋体" w:eastAsia="宋体" w:hint="default"/>
          <w:b/>
          <w:bCs/>
        </w:rPr>
        <w:t>①以权益结算的股份支付</w:t>
      </w:r>
      <w:r>
        <w:rPr>
          <w:rFonts w:ascii="宋体" w:hAnsi="宋体" w:cs="宋体" w:eastAsia="宋体" w:hint="default"/>
          <w:b/>
          <w:bCs/>
          <w:w w:val="99"/>
        </w:rPr>
        <w:t> </w:t>
      </w:r>
      <w:r>
        <w:rPr/>
        <w:t>股票期权计划为用以换取职工提供服务的权益结算的股份支付，以授予职工的权益工具在授予日的公允价值计量。在</w:t>
      </w:r>
    </w:p>
    <w:p>
      <w:pPr>
        <w:pStyle w:val="BodyText"/>
        <w:spacing w:line="316" w:lineRule="auto" w:before="15"/>
        <w:ind w:right="149"/>
        <w:jc w:val="left"/>
      </w:pPr>
      <w:r>
        <w:rPr>
          <w:spacing w:val="-2"/>
        </w:rPr>
        <w:t>完成等待期内的服务或达到规定业绩条件才可行权，在等待期内以对可行权权益工具数量的最佳估计为基础，按照权益工具</w:t>
      </w:r>
      <w:r>
        <w:rPr>
          <w:spacing w:val="-64"/>
        </w:rPr>
        <w:t> </w:t>
      </w:r>
      <w:r>
        <w:rPr>
          <w:spacing w:val="-64"/>
        </w:rPr>
      </w:r>
      <w:r>
        <w:rPr/>
        <w:t>授予日的公允价值，将当期取得的服务计入相关成本或费用，相应增加资本公积。</w:t>
      </w:r>
    </w:p>
    <w:p>
      <w:pPr>
        <w:pStyle w:val="BodyText"/>
        <w:spacing w:line="432" w:lineRule="exact" w:before="4"/>
        <w:ind w:left="573" w:right="153" w:hanging="421"/>
        <w:jc w:val="left"/>
      </w:pPr>
      <w:r>
        <w:rPr>
          <w:rFonts w:ascii="宋体" w:hAnsi="宋体" w:cs="宋体" w:eastAsia="宋体" w:hint="default"/>
          <w:b/>
          <w:bCs/>
        </w:rPr>
        <w:t>②以现金结算的股份支付</w:t>
      </w:r>
      <w:r>
        <w:rPr>
          <w:rFonts w:ascii="宋体" w:hAnsi="宋体" w:cs="宋体" w:eastAsia="宋体" w:hint="default"/>
          <w:b/>
          <w:bCs/>
          <w:w w:val="99"/>
        </w:rPr>
        <w:t> </w:t>
      </w:r>
      <w:r>
        <w:rPr/>
        <w:t>股票增值权计划为以现金结算的股份支付，按照公司承担的以本公司股份数量为基础确定的负债的公允价值计量。该</w:t>
      </w:r>
    </w:p>
    <w:p>
      <w:pPr>
        <w:pStyle w:val="BodyText"/>
        <w:spacing w:line="316" w:lineRule="auto" w:before="15"/>
        <w:ind w:right="151"/>
        <w:jc w:val="both"/>
      </w:pPr>
      <w:r>
        <w:rPr>
          <w:spacing w:val="-2"/>
        </w:rPr>
        <w:t>以现金结算的股份支付须完成等待期内的服务或达到规定业绩条件以后才可行权，在等待期的每个资产负债表日以对可行权</w:t>
      </w:r>
      <w:r>
        <w:rPr>
          <w:spacing w:val="-63"/>
        </w:rPr>
        <w:t> </w:t>
      </w:r>
      <w:r>
        <w:rPr>
          <w:spacing w:val="-63"/>
        </w:rPr>
      </w:r>
      <w:r>
        <w:rPr>
          <w:spacing w:val="-2"/>
        </w:rPr>
        <w:t>情况的最佳估计为基础，按照公司承担负债的公允价值金额，将当期取得的服务计入成本或费用，相应增加负债。在相关负</w:t>
      </w:r>
      <w:r>
        <w:rPr>
          <w:spacing w:val="-64"/>
        </w:rPr>
        <w:t> </w:t>
      </w:r>
      <w:r>
        <w:rPr>
          <w:spacing w:val="-64"/>
        </w:rPr>
      </w:r>
      <w:r>
        <w:rPr/>
        <w:t>债结算前的每个资产负债表日以及结算日，对负债的公允价值重新计量，其变动计入当期损益。</w:t>
      </w:r>
    </w:p>
    <w:p>
      <w:pPr>
        <w:pStyle w:val="Heading3"/>
        <w:spacing w:line="240" w:lineRule="auto" w:before="118"/>
        <w:ind w:right="153"/>
        <w:jc w:val="left"/>
        <w:rPr>
          <w:b w:val="0"/>
          <w:bCs w:val="0"/>
        </w:rPr>
      </w:pPr>
      <w:r>
        <w:rPr/>
        <w:t>（</w:t>
      </w:r>
      <w:r>
        <w:rPr>
          <w:rFonts w:ascii="宋体" w:hAnsi="宋体" w:cs="宋体" w:eastAsia="宋体" w:hint="default"/>
        </w:rPr>
        <w:t>2</w:t>
      </w:r>
      <w:r>
        <w:rPr/>
        <w:t>）权益工具公允价值的确定方法</w:t>
      </w:r>
      <w:r>
        <w:rPr>
          <w:b w:val="0"/>
          <w:bCs w:val="0"/>
        </w:rPr>
      </w:r>
    </w:p>
    <w:p>
      <w:pPr>
        <w:pStyle w:val="BodyText"/>
        <w:spacing w:line="316" w:lineRule="auto" w:before="178"/>
        <w:ind w:right="158" w:firstLine="420"/>
        <w:jc w:val="both"/>
      </w:pPr>
      <w:r>
        <w:rPr/>
        <w:t>对于授予职工的股份，其公允价值按公司股份的市场价格计量，同时考虑授予股份所依据的条款和条件（不包括市场 条件之外的可行权条件）进行调整。</w:t>
      </w:r>
    </w:p>
    <w:p>
      <w:pPr>
        <w:pStyle w:val="BodyText"/>
        <w:spacing w:line="240" w:lineRule="auto" w:before="139"/>
        <w:ind w:left="573" w:right="153"/>
        <w:jc w:val="left"/>
      </w:pPr>
      <w:r>
        <w:rPr/>
        <w:t>对于授予职工的股票期权，通过期权定价模型估计所授予的期权的公允价值。</w:t>
      </w:r>
    </w:p>
    <w:p>
      <w:pPr>
        <w:spacing w:line="240" w:lineRule="auto" w:before="6"/>
        <w:rPr>
          <w:rFonts w:ascii="宋体" w:hAnsi="宋体" w:cs="宋体" w:eastAsia="宋体" w:hint="default"/>
          <w:sz w:val="13"/>
          <w:szCs w:val="13"/>
        </w:rPr>
      </w:pPr>
    </w:p>
    <w:p>
      <w:pPr>
        <w:pStyle w:val="Heading3"/>
        <w:spacing w:line="240" w:lineRule="auto"/>
        <w:ind w:right="153"/>
        <w:jc w:val="left"/>
        <w:rPr>
          <w:b w:val="0"/>
          <w:bCs w:val="0"/>
        </w:rPr>
      </w:pPr>
      <w:r>
        <w:rPr/>
        <w:t>（</w:t>
      </w:r>
      <w:r>
        <w:rPr>
          <w:rFonts w:ascii="宋体" w:hAnsi="宋体" w:cs="宋体" w:eastAsia="宋体" w:hint="default"/>
        </w:rPr>
        <w:t>3</w:t>
      </w:r>
      <w:r>
        <w:rPr/>
        <w:t>）确认可行权权益工具最佳估计的依据</w:t>
      </w:r>
      <w:r>
        <w:rPr>
          <w:b w:val="0"/>
          <w:bCs w:val="0"/>
        </w:rPr>
      </w:r>
    </w:p>
    <w:p>
      <w:pPr>
        <w:pStyle w:val="BodyText"/>
        <w:spacing w:line="316" w:lineRule="auto" w:before="178"/>
        <w:ind w:right="157" w:firstLine="420"/>
        <w:jc w:val="both"/>
      </w:pPr>
      <w:r>
        <w:rPr/>
        <w:t>在等待期内每个资产负债表日，根据最新取得的可行权职工人数变动等后续信息做出最佳估计，修正预计可行权的权 益工具数量。</w:t>
      </w:r>
    </w:p>
    <w:p>
      <w:pPr>
        <w:pStyle w:val="Heading3"/>
        <w:spacing w:line="240" w:lineRule="auto" w:before="118"/>
        <w:ind w:right="153"/>
        <w:jc w:val="left"/>
        <w:rPr>
          <w:b w:val="0"/>
          <w:bCs w:val="0"/>
        </w:rPr>
      </w:pPr>
      <w:r>
        <w:rPr/>
        <w:t>（</w:t>
      </w:r>
      <w:r>
        <w:rPr>
          <w:rFonts w:ascii="宋体" w:hAnsi="宋体" w:cs="宋体" w:eastAsia="宋体" w:hint="default"/>
        </w:rPr>
        <w:t>4</w:t>
      </w:r>
      <w:r>
        <w:rPr/>
        <w:t>）修改和终止股份支付计划的处理</w:t>
      </w:r>
      <w:r>
        <w:rPr>
          <w:b w:val="0"/>
          <w:bCs w:val="0"/>
        </w:rPr>
      </w:r>
    </w:p>
    <w:p>
      <w:pPr>
        <w:pStyle w:val="BodyText"/>
        <w:spacing w:line="316" w:lineRule="auto" w:before="178"/>
        <w:ind w:right="152" w:firstLine="360"/>
        <w:jc w:val="both"/>
      </w:pPr>
      <w:r>
        <w:rPr>
          <w:spacing w:val="-2"/>
        </w:rPr>
        <w:t>如果股份支付计划的修改增加了所授予的权益工具的公允价值，应按照权益工具公允价值的增加相应地确认取得服务的</w:t>
      </w:r>
      <w:r>
        <w:rPr/>
        <w:t> 增加。</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94"/>
        <w:jc w:val="left"/>
      </w:pPr>
      <w:r>
        <w:rPr/>
        <w:t>如果股份支付计划的修改增加了所授予的权益工具的数量</w:t>
      </w:r>
      <w:r>
        <w:rPr>
          <w:spacing w:val="-82"/>
        </w:rPr>
        <w:t>，</w:t>
      </w:r>
      <w:r>
        <w:rPr/>
        <w:t>应将增加的权益工具的公允价值相应地确认为取得服务的增</w:t>
      </w:r>
    </w:p>
    <w:p>
      <w:pPr>
        <w:pStyle w:val="BodyText"/>
        <w:spacing w:line="240" w:lineRule="auto" w:before="77"/>
        <w:ind w:right="94"/>
        <w:jc w:val="left"/>
      </w:pPr>
      <w:r>
        <w:rPr/>
        <w:t>加。</w:t>
      </w:r>
    </w:p>
    <w:p>
      <w:pPr>
        <w:spacing w:line="240" w:lineRule="auto" w:before="8"/>
        <w:rPr>
          <w:rFonts w:ascii="宋体" w:hAnsi="宋体" w:cs="宋体" w:eastAsia="宋体" w:hint="default"/>
          <w:sz w:val="11"/>
          <w:szCs w:val="11"/>
        </w:rPr>
      </w:pPr>
    </w:p>
    <w:p>
      <w:pPr>
        <w:pStyle w:val="BodyText"/>
        <w:spacing w:line="316" w:lineRule="auto" w:before="44"/>
        <w:ind w:right="194" w:firstLine="360"/>
        <w:jc w:val="both"/>
      </w:pPr>
      <w:r>
        <w:rPr>
          <w:spacing w:val="-2"/>
        </w:rPr>
        <w:t>如果按照有利于职工的方式修改可行权条件，如缩短等待期、变更或取消业绩条件（而非市场条件），公司在处理可行</w:t>
      </w:r>
      <w:r>
        <w:rPr/>
        <w:t> 权条件时，考虑修改后的可行权条件。</w:t>
      </w:r>
    </w:p>
    <w:p>
      <w:pPr>
        <w:pStyle w:val="BodyText"/>
        <w:spacing w:line="316" w:lineRule="auto" w:before="139"/>
        <w:ind w:right="192" w:firstLine="360"/>
        <w:jc w:val="both"/>
      </w:pPr>
      <w:r>
        <w:rPr>
          <w:spacing w:val="-2"/>
        </w:rPr>
        <w:t>如果以减少股份支付公允价值总额的方式或其他不利于职工的方式修改条款和条件，仍应继续对取得的服务进行会计处</w:t>
      </w:r>
      <w:r>
        <w:rPr/>
        <w:t> 理，如同该变更从未发生，除非取消了部分或全部已授予的权益工具。</w:t>
      </w:r>
    </w:p>
    <w:p>
      <w:pPr>
        <w:pStyle w:val="BodyText"/>
        <w:spacing w:line="316" w:lineRule="auto" w:before="139"/>
        <w:ind w:right="190" w:firstLine="360"/>
        <w:jc w:val="both"/>
      </w:pPr>
      <w:r>
        <w:rPr>
          <w:spacing w:val="-2"/>
        </w:rPr>
        <w:t>在等待期内如果取消了授予的权益工具，对取消所授予的权益性工具作为加速行权处理，剩余等待期内应确认的金额立</w:t>
      </w:r>
      <w:r>
        <w:rPr/>
        <w:t> </w:t>
      </w:r>
      <w:r>
        <w:rPr>
          <w:spacing w:val="-2"/>
        </w:rPr>
        <w:t>即计入当期损益，同时确认资本公积。职工或其他方能够选择满足非可行权条件但在等待期内未满足的，将其作为授予权益</w:t>
      </w:r>
      <w:r>
        <w:rPr>
          <w:spacing w:val="-63"/>
        </w:rPr>
        <w:t> </w:t>
      </w:r>
      <w:r>
        <w:rPr>
          <w:spacing w:val="-63"/>
        </w:rPr>
      </w:r>
      <w:r>
        <w:rPr/>
        <w:t>工具的取消处理。</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27</w:t>
      </w:r>
      <w:r>
        <w:rPr/>
        <w:t>、优先股、永续债等其他金融工具</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05" w:firstLine="360"/>
        <w:jc w:val="both"/>
      </w:pPr>
      <w:r>
        <w:rPr/>
        <w:t>公司发行的优先股或永续债根据所发行金融工具的合同条款及其所反映的经济实质，结合金融负债和权益工具的定义， 在初始确认时将其分类为金融负债或权益工具。</w:t>
      </w:r>
    </w:p>
    <w:p>
      <w:pPr>
        <w:pStyle w:val="BodyText"/>
        <w:spacing w:line="316" w:lineRule="auto" w:before="139"/>
        <w:ind w:right="106" w:firstLine="360"/>
        <w:jc w:val="both"/>
      </w:pPr>
      <w:r>
        <w:rPr/>
        <w:t>优先股或永续债属于金融负债的，相关利息、股利（或股息）、利得或损失，以及赎回或再融资产生的利得或损失等， 计入当期损益。</w:t>
      </w:r>
    </w:p>
    <w:p>
      <w:pPr>
        <w:pStyle w:val="BodyText"/>
        <w:spacing w:line="316" w:lineRule="auto" w:before="139"/>
        <w:ind w:right="193" w:firstLine="360"/>
        <w:jc w:val="both"/>
      </w:pPr>
      <w:r>
        <w:rPr>
          <w:spacing w:val="-2"/>
        </w:rPr>
        <w:t>优先股或永续债属于权益工具的，其发行（含再融资）、回购、出售或注销时，作为权益的变动处理。对权益工具持有</w:t>
      </w:r>
      <w:r>
        <w:rPr/>
        <w:t> 方的分配应作利润分配处理，发放的股票股利不影响所有者权益总额。</w:t>
      </w:r>
    </w:p>
    <w:p>
      <w:pPr>
        <w:pStyle w:val="BodyText"/>
        <w:spacing w:line="316" w:lineRule="auto" w:before="139"/>
        <w:ind w:right="192" w:firstLine="360"/>
        <w:jc w:val="both"/>
      </w:pPr>
      <w:r>
        <w:rPr>
          <w:spacing w:val="-2"/>
        </w:rPr>
        <w:t>与权益性交易相关的交易费用从权益中扣减。交易费用，是指可直接归属于购买、发行或处置优先股或永续债的增量费</w:t>
      </w:r>
      <w:r>
        <w:rPr/>
        <w:t> 用。增量费用，是指企业不购买、发行或处置金融工具就不会发生的费用。</w:t>
      </w:r>
    </w:p>
    <w:p>
      <w:pPr>
        <w:pStyle w:val="BodyText"/>
        <w:spacing w:line="316" w:lineRule="auto" w:before="139"/>
        <w:ind w:right="193" w:firstLine="360"/>
        <w:jc w:val="both"/>
      </w:pPr>
      <w:r>
        <w:rPr>
          <w:spacing w:val="-2"/>
        </w:rPr>
        <w:t>发行或取得自身权益工具时发生的交易费用（例如登记费，承销费，法律、会计、评估及其他专业服务费用，印刷成本</w:t>
      </w:r>
      <w:r>
        <w:rPr/>
        <w:t> 和印花税等），可直接归属于权益性交易的，从权益中扣减。终止的未完成权益性交易所发生的交易费用计入当期损益。</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28</w:t>
      </w:r>
      <w:r>
        <w:rPr/>
        <w:t>、收入</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）销售商品收入的确认</w:t>
      </w:r>
      <w:r>
        <w:rPr>
          <w:b w:val="0"/>
          <w:bCs w:val="0"/>
        </w:rPr>
      </w:r>
    </w:p>
    <w:p>
      <w:pPr>
        <w:pStyle w:val="BodyText"/>
        <w:spacing w:line="316" w:lineRule="auto" w:before="178"/>
        <w:ind w:right="190" w:firstLine="420"/>
        <w:jc w:val="both"/>
      </w:pPr>
      <w:r>
        <w:rPr/>
        <w:t>公司已将商品所有权上的主要风险和报酬转移给购买方；既没有保留与所有权相联系的继续管理权，也没有对已售出 </w:t>
      </w:r>
      <w:r>
        <w:rPr>
          <w:spacing w:val="-2"/>
        </w:rPr>
        <w:t>的商品实施有效控制；收入的金额能够可靠地计量；相关的经济利益很可能流入企业；相关的已发生或将发生的成本能够可</w:t>
      </w:r>
      <w:r>
        <w:rPr>
          <w:spacing w:val="-63"/>
        </w:rPr>
        <w:t> </w:t>
      </w:r>
      <w:r>
        <w:rPr>
          <w:spacing w:val="-63"/>
        </w:rPr>
      </w:r>
      <w:r>
        <w:rPr/>
        <w:t>靠地计量时，确认商品销售收入实现。</w:t>
      </w:r>
    </w:p>
    <w:p>
      <w:pPr>
        <w:pStyle w:val="Heading3"/>
        <w:spacing w:line="240" w:lineRule="auto" w:before="118"/>
        <w:ind w:right="94"/>
        <w:jc w:val="left"/>
        <w:rPr>
          <w:b w:val="0"/>
          <w:bCs w:val="0"/>
        </w:rPr>
      </w:pPr>
      <w:r>
        <w:rPr/>
        <w:t>（</w:t>
      </w:r>
      <w:r>
        <w:rPr>
          <w:rFonts w:ascii="宋体" w:hAnsi="宋体" w:cs="宋体" w:eastAsia="宋体" w:hint="default"/>
        </w:rPr>
        <w:t>2</w:t>
      </w:r>
      <w:r>
        <w:rPr/>
        <w:t>）提供劳务收入的确认</w:t>
      </w:r>
      <w:r>
        <w:rPr>
          <w:b w:val="0"/>
          <w:bCs w:val="0"/>
        </w:rPr>
      </w:r>
    </w:p>
    <w:p>
      <w:pPr>
        <w:pStyle w:val="BodyText"/>
        <w:spacing w:line="316" w:lineRule="auto" w:before="178"/>
        <w:ind w:right="198" w:firstLine="420"/>
        <w:jc w:val="both"/>
      </w:pPr>
      <w:r>
        <w:rPr/>
        <w:t>在资产负债表日提供劳务交易的结果能够可靠估计的，采用完工百分比法确认提供劳务收入。提供劳务交易的完工进 度，依据已完工作的测量确定。</w:t>
      </w:r>
    </w:p>
    <w:p>
      <w:pPr>
        <w:pStyle w:val="BodyText"/>
        <w:spacing w:line="240" w:lineRule="auto" w:before="59"/>
        <w:ind w:left="573" w:right="94"/>
        <w:jc w:val="left"/>
      </w:pPr>
      <w:r>
        <w:rPr/>
        <w:t>在资产负债表日提供劳务交易结果不能够可靠估计的，分别下列情况处理：</w:t>
      </w:r>
    </w:p>
    <w:p>
      <w:pPr>
        <w:pStyle w:val="BodyText"/>
        <w:spacing w:line="240" w:lineRule="auto" w:before="115"/>
        <w:ind w:right="94"/>
        <w:jc w:val="left"/>
      </w:pPr>
      <w:r>
        <w:rPr/>
        <w:t>①已发生的劳务成本预计能够得到补偿，应按已经发生的劳务成本金额确认提供劳务收入，并按相同金额结转劳务成本。</w:t>
      </w:r>
    </w:p>
    <w:p>
      <w:pPr>
        <w:pStyle w:val="BodyText"/>
        <w:spacing w:line="240" w:lineRule="auto" w:before="118"/>
        <w:ind w:right="94"/>
        <w:jc w:val="left"/>
      </w:pPr>
      <w:r>
        <w:rPr/>
        <w:t>②已经发生的劳务成本预计不能够得到补偿的，将已经发生的劳务成本计入当期损益，不确认提供劳务收入。</w:t>
      </w:r>
    </w:p>
    <w:p>
      <w:pPr>
        <w:spacing w:line="240" w:lineRule="auto" w:before="8"/>
        <w:rPr>
          <w:rFonts w:ascii="宋体" w:hAnsi="宋体" w:cs="宋体" w:eastAsia="宋体" w:hint="default"/>
          <w:sz w:val="13"/>
          <w:szCs w:val="13"/>
        </w:rPr>
      </w:pPr>
    </w:p>
    <w:p>
      <w:pPr>
        <w:pStyle w:val="Heading3"/>
        <w:spacing w:line="240" w:lineRule="auto"/>
        <w:ind w:right="94"/>
        <w:jc w:val="left"/>
        <w:rPr>
          <w:b w:val="0"/>
          <w:bCs w:val="0"/>
        </w:rPr>
      </w:pPr>
      <w:r>
        <w:rPr/>
        <w:t>（</w:t>
      </w:r>
      <w:r>
        <w:rPr>
          <w:rFonts w:ascii="宋体" w:hAnsi="宋体" w:cs="宋体" w:eastAsia="宋体" w:hint="default"/>
        </w:rPr>
        <w:t>3</w:t>
      </w:r>
      <w:r>
        <w:rPr/>
        <w:t>）让渡资产使用权收入的确认</w:t>
      </w:r>
      <w:r>
        <w:rPr>
          <w:b w:val="0"/>
          <w:bCs w:val="0"/>
        </w:rPr>
      </w:r>
    </w:p>
    <w:p>
      <w:pPr>
        <w:pStyle w:val="BodyText"/>
        <w:spacing w:line="240" w:lineRule="auto" w:before="175"/>
        <w:ind w:left="573" w:right="94"/>
        <w:jc w:val="left"/>
      </w:pPr>
      <w:r>
        <w:rPr>
          <w:spacing w:val="-3"/>
        </w:rPr>
        <w:t>与交易相关的经济利益很可能流入企业，收入的金额能够可靠地计量时。分别下列情况确定让渡资产使用权收入金额：</w:t>
      </w:r>
    </w:p>
    <w:p>
      <w:pPr>
        <w:pStyle w:val="BodyText"/>
        <w:spacing w:line="240" w:lineRule="auto" w:before="117"/>
        <w:ind w:right="94"/>
        <w:jc w:val="left"/>
      </w:pPr>
      <w:r>
        <w:rPr/>
        <w:t>①利息收入金额，按照他人使用本企业货币资金的时间和实际利率计算确定。</w:t>
      </w:r>
    </w:p>
    <w:p>
      <w:pPr>
        <w:pStyle w:val="BodyText"/>
        <w:spacing w:line="240" w:lineRule="auto" w:before="114"/>
        <w:ind w:right="94"/>
        <w:jc w:val="left"/>
      </w:pPr>
      <w:r>
        <w:rPr/>
        <w:t>②使用费收入金额，按照有关合同或协议约定的收费时间和方法计算确定。</w:t>
      </w:r>
    </w:p>
    <w:p>
      <w:pPr>
        <w:spacing w:after="0" w:line="240" w:lineRule="auto"/>
        <w:jc w:val="left"/>
        <w:sectPr>
          <w:pgSz w:w="11910" w:h="16840"/>
          <w:pgMar w:header="745" w:footer="980" w:top="1060" w:bottom="1160" w:left="980" w:right="940"/>
        </w:sectPr>
      </w:pPr>
    </w:p>
    <w:p>
      <w:pPr>
        <w:spacing w:line="240" w:lineRule="auto" w:before="12"/>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宋体" w:hAnsi="宋体" w:cs="宋体" w:eastAsia="宋体" w:hint="default"/>
        </w:rPr>
        <w:t>4</w:t>
      </w:r>
      <w:r>
        <w:rPr/>
        <w:t>）建造合同收入的确认</w:t>
      </w:r>
      <w:r>
        <w:rPr>
          <w:b w:val="0"/>
          <w:bCs w:val="0"/>
        </w:rPr>
      </w:r>
    </w:p>
    <w:p>
      <w:pPr>
        <w:spacing w:line="360" w:lineRule="auto" w:before="176"/>
        <w:ind w:left="573" w:right="94" w:hanging="421"/>
        <w:jc w:val="left"/>
        <w:rPr>
          <w:rFonts w:ascii="宋体" w:hAnsi="宋体" w:cs="宋体" w:eastAsia="宋体" w:hint="default"/>
          <w:sz w:val="18"/>
          <w:szCs w:val="18"/>
        </w:rPr>
      </w:pPr>
      <w:r>
        <w:rPr>
          <w:rFonts w:ascii="宋体" w:hAnsi="宋体" w:cs="宋体" w:eastAsia="宋体" w:hint="default"/>
          <w:b/>
          <w:bCs/>
          <w:sz w:val="18"/>
          <w:szCs w:val="18"/>
        </w:rPr>
        <w:t>①建造合同的结果能够可靠估计</w:t>
      </w:r>
      <w:r>
        <w:rPr>
          <w:rFonts w:ascii="宋体" w:hAnsi="宋体" w:cs="宋体" w:eastAsia="宋体" w:hint="default"/>
          <w:b/>
          <w:bCs/>
          <w:w w:val="99"/>
          <w:sz w:val="18"/>
          <w:szCs w:val="18"/>
        </w:rPr>
        <w:t> </w:t>
      </w:r>
      <w:r>
        <w:rPr>
          <w:rFonts w:ascii="宋体" w:hAnsi="宋体" w:cs="宋体" w:eastAsia="宋体" w:hint="default"/>
          <w:sz w:val="18"/>
          <w:szCs w:val="18"/>
        </w:rPr>
        <w:t>在资产负债表日，建造合同的结果能够可靠估计的，根据完工百分比法确认合同收入和费用。完工百分比法，是指根</w:t>
      </w:r>
    </w:p>
    <w:p>
      <w:pPr>
        <w:pStyle w:val="BodyText"/>
        <w:spacing w:line="222" w:lineRule="exact"/>
        <w:ind w:right="94"/>
        <w:jc w:val="left"/>
      </w:pPr>
      <w:r>
        <w:rPr/>
        <w:t>据合同完工进度确认收入与费用的方法。采用累计已经完成的合同工作量占合同预计总工作量的比例确定。</w:t>
      </w:r>
    </w:p>
    <w:p>
      <w:pPr>
        <w:pStyle w:val="BodyText"/>
        <w:spacing w:line="357" w:lineRule="auto" w:before="115"/>
        <w:ind w:left="515" w:right="4411" w:firstLine="57"/>
        <w:jc w:val="left"/>
      </w:pPr>
      <w:r>
        <w:rPr/>
        <w:t>固定造价合同的结果能够可靠估计确定依据为： </w:t>
      </w:r>
      <w:r>
        <w:rPr>
          <w:rFonts w:ascii="宋体" w:hAnsi="宋体" w:cs="宋体" w:eastAsia="宋体" w:hint="default"/>
        </w:rPr>
        <w:t>a.</w:t>
      </w:r>
      <w:r>
        <w:rPr/>
        <w:t>合同总收入能够可靠地计量； </w:t>
      </w:r>
      <w:r>
        <w:rPr>
          <w:rFonts w:ascii="宋体" w:hAnsi="宋体" w:cs="宋体" w:eastAsia="宋体" w:hint="default"/>
        </w:rPr>
        <w:t>b.</w:t>
      </w:r>
      <w:r>
        <w:rPr/>
        <w:t>与合同相关的经济利益很可能流入本公司； </w:t>
      </w:r>
      <w:r>
        <w:rPr>
          <w:rFonts w:ascii="宋体" w:hAnsi="宋体" w:cs="宋体" w:eastAsia="宋体" w:hint="default"/>
        </w:rPr>
        <w:t>c.</w:t>
      </w:r>
      <w:r>
        <w:rPr/>
        <w:t>实际发生的合同成本能够清楚地区分和可靠地计量； </w:t>
      </w:r>
      <w:r>
        <w:rPr>
          <w:rFonts w:ascii="宋体" w:hAnsi="宋体" w:cs="宋体" w:eastAsia="宋体" w:hint="default"/>
        </w:rPr>
        <w:t>d.</w:t>
      </w:r>
      <w:r>
        <w:rPr/>
        <w:t>合同完工进度和为完成合同尚需发生的成本能够可靠地确定。 成本加成合同的结果能够可靠估计，确定依据为： </w:t>
      </w:r>
      <w:r>
        <w:rPr>
          <w:rFonts w:ascii="宋体" w:hAnsi="宋体" w:cs="宋体" w:eastAsia="宋体" w:hint="default"/>
        </w:rPr>
        <w:t>a.</w:t>
      </w:r>
      <w:r>
        <w:rPr/>
        <w:t>与合同相关的经济利益很可能流入本公司； </w:t>
      </w:r>
      <w:r>
        <w:rPr>
          <w:rFonts w:ascii="宋体" w:hAnsi="宋体" w:cs="宋体" w:eastAsia="宋体" w:hint="default"/>
        </w:rPr>
        <w:t>b.</w:t>
      </w:r>
      <w:r>
        <w:rPr/>
        <w:t>实际发生的合同成本能够清楚地区分和可靠地计量。</w:t>
      </w:r>
    </w:p>
    <w:p>
      <w:pPr>
        <w:spacing w:line="357" w:lineRule="auto" w:before="29"/>
        <w:ind w:left="573" w:right="5073" w:hanging="421"/>
        <w:jc w:val="left"/>
        <w:rPr>
          <w:rFonts w:ascii="宋体" w:hAnsi="宋体" w:cs="宋体" w:eastAsia="宋体" w:hint="default"/>
          <w:sz w:val="18"/>
          <w:szCs w:val="18"/>
        </w:rPr>
      </w:pPr>
      <w:r>
        <w:rPr>
          <w:rFonts w:ascii="宋体" w:hAnsi="宋体" w:cs="宋体" w:eastAsia="宋体" w:hint="default"/>
          <w:b/>
          <w:bCs/>
          <w:sz w:val="18"/>
          <w:szCs w:val="18"/>
        </w:rPr>
        <w:t>②建造合同的结果不能可靠估计</w:t>
      </w:r>
      <w:r>
        <w:rPr>
          <w:rFonts w:ascii="宋体" w:hAnsi="宋体" w:cs="宋体" w:eastAsia="宋体" w:hint="default"/>
          <w:b/>
          <w:bCs/>
          <w:w w:val="99"/>
          <w:sz w:val="18"/>
          <w:szCs w:val="18"/>
        </w:rPr>
        <w:t> </w:t>
      </w:r>
      <w:r>
        <w:rPr>
          <w:rFonts w:ascii="宋体" w:hAnsi="宋体" w:cs="宋体" w:eastAsia="宋体" w:hint="default"/>
          <w:sz w:val="18"/>
          <w:szCs w:val="18"/>
        </w:rPr>
        <w:t>建造合同的结果不能可靠估计的，分别情况进行处理：</w:t>
      </w:r>
    </w:p>
    <w:p>
      <w:pPr>
        <w:pStyle w:val="BodyText"/>
        <w:spacing w:line="360" w:lineRule="auto" w:before="29"/>
        <w:ind w:left="515" w:right="91"/>
        <w:jc w:val="left"/>
      </w:pPr>
      <w:r>
        <w:rPr>
          <w:rFonts w:ascii="宋体" w:hAnsi="宋体" w:cs="宋体" w:eastAsia="宋体" w:hint="default"/>
        </w:rPr>
        <w:t>a.</w:t>
      </w:r>
      <w:r>
        <w:rPr/>
        <w:t>合同成本能够收回的，合同收入根据能够收回的实际合同成本予以确认，合同成本在其发生的当期确认为合同费用； </w:t>
      </w:r>
      <w:r>
        <w:rPr>
          <w:rFonts w:ascii="宋体" w:hAnsi="宋体" w:cs="宋体" w:eastAsia="宋体" w:hint="default"/>
        </w:rPr>
        <w:t>b.</w:t>
      </w:r>
      <w:r>
        <w:rPr/>
        <w:t>合同成本不可能收回的，在发生时立即确认为合同费用，不确认合同收入。</w:t>
      </w:r>
    </w:p>
    <w:p>
      <w:pPr>
        <w:pStyle w:val="Heading3"/>
        <w:spacing w:line="240" w:lineRule="auto" w:before="86"/>
        <w:ind w:left="364" w:right="94"/>
        <w:jc w:val="left"/>
        <w:rPr>
          <w:b w:val="0"/>
          <w:bCs w:val="0"/>
        </w:rPr>
      </w:pPr>
      <w:r>
        <w:rPr>
          <w:rFonts w:ascii="宋体" w:hAnsi="宋体" w:cs="宋体" w:eastAsia="宋体" w:hint="default"/>
        </w:rPr>
        <w:t>(5)</w:t>
      </w:r>
      <w:r>
        <w:rPr/>
        <w:t>公司收入确认的具体方式</w:t>
      </w:r>
      <w:r>
        <w:rPr>
          <w:b w:val="0"/>
          <w:bCs w:val="0"/>
        </w:rPr>
      </w:r>
    </w:p>
    <w:p>
      <w:pPr>
        <w:pStyle w:val="BodyText"/>
        <w:spacing w:line="240" w:lineRule="auto" w:before="178"/>
        <w:ind w:left="513" w:right="94"/>
        <w:jc w:val="left"/>
      </w:pPr>
      <w:r>
        <w:rPr/>
        <w:t>①系统集成：按照合同约定以产品交付购货方并经对方验收合格后确认收入；</w:t>
      </w:r>
    </w:p>
    <w:p>
      <w:pPr>
        <w:spacing w:line="240" w:lineRule="auto" w:before="0"/>
        <w:rPr>
          <w:rFonts w:ascii="宋体" w:hAnsi="宋体" w:cs="宋体" w:eastAsia="宋体" w:hint="default"/>
          <w:sz w:val="15"/>
          <w:szCs w:val="15"/>
        </w:rPr>
      </w:pPr>
    </w:p>
    <w:p>
      <w:pPr>
        <w:pStyle w:val="BodyText"/>
        <w:spacing w:line="240" w:lineRule="auto"/>
        <w:ind w:left="513" w:right="94"/>
        <w:jc w:val="left"/>
      </w:pPr>
      <w:r>
        <w:rPr/>
        <w:t>②外购商品：以商品交付购货方并经对方验收合格后确认收入；</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spacing w:val="-2"/>
        </w:rPr>
        <w:t>③自行研制开发的软件成品：需安装调试的按合同约定在项目实施完成并经对方验收合格后确认收入，不需要安装的以</w:t>
      </w:r>
      <w:r>
        <w:rPr/>
        <w:t> 产品交付并经购货方验收后确认收入；</w:t>
      </w:r>
    </w:p>
    <w:p>
      <w:pPr>
        <w:pStyle w:val="BodyText"/>
        <w:spacing w:line="240" w:lineRule="auto" w:before="139"/>
        <w:ind w:left="513" w:right="94"/>
        <w:jc w:val="left"/>
      </w:pPr>
      <w:r>
        <w:rPr/>
        <w:t>④定制软件产品：按合同约定在项目实施完成并经对方验收后确认收入。</w:t>
      </w:r>
    </w:p>
    <w:p>
      <w:pPr>
        <w:spacing w:line="240" w:lineRule="auto" w:before="0"/>
        <w:rPr>
          <w:rFonts w:ascii="宋体" w:hAnsi="宋体" w:cs="宋体" w:eastAsia="宋体" w:hint="default"/>
          <w:sz w:val="15"/>
          <w:szCs w:val="15"/>
        </w:rPr>
      </w:pPr>
    </w:p>
    <w:p>
      <w:pPr>
        <w:pStyle w:val="BodyText"/>
        <w:spacing w:line="316" w:lineRule="auto"/>
        <w:ind w:right="94" w:firstLine="360"/>
        <w:jc w:val="left"/>
      </w:pPr>
      <w:r>
        <w:rPr>
          <w:spacing w:val="-2"/>
        </w:rPr>
        <w:t>⑤风电机组振动监测诊断系统：对于客户自行安装的设备，客户确认收到货物，检验合格并出具验收报告后，公司确认</w:t>
      </w:r>
      <w:r>
        <w:rPr/>
        <w:t> 收入；对于需要公司安装调试的设备，经公司安装调试，客户验收合格并出具项目验收报告后，公司确认收入。</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29</w:t>
      </w:r>
      <w:r>
        <w:rPr/>
        <w:t>、政府补助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7"/>
          <w:szCs w:val="27"/>
        </w:rPr>
      </w:pPr>
    </w:p>
    <w:p>
      <w:pPr>
        <w:pStyle w:val="BodyText"/>
        <w:spacing w:line="439" w:lineRule="auto"/>
        <w:ind w:left="513" w:right="1893"/>
        <w:jc w:val="left"/>
      </w:pPr>
      <w:r>
        <w:rPr/>
        <w:t>公司取得的、用于购建或以其他方式形成长期资产的政府补助属于与资产相关的政府补助。 与资产相关的政府补助，确认为递延收益，并在相关资产使用寿命内平均分配，计入当期损益。</w:t>
      </w:r>
    </w:p>
    <w:p>
      <w:pPr>
        <w:spacing w:line="240" w:lineRule="auto" w:before="10"/>
        <w:rPr>
          <w:rFonts w:ascii="宋体" w:hAnsi="宋体" w:cs="宋体" w:eastAsia="宋体" w:hint="default"/>
          <w:sz w:val="15"/>
          <w:szCs w:val="15"/>
        </w:rPr>
      </w:pPr>
    </w:p>
    <w:p>
      <w:pPr>
        <w:pStyle w:val="Heading3"/>
        <w:spacing w:line="240" w:lineRule="auto"/>
        <w:ind w:right="94"/>
        <w:jc w:val="left"/>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94"/>
        <w:jc w:val="left"/>
      </w:pPr>
      <w:r>
        <w:rPr/>
        <w:t>除与资产相关的政府补助之外的政府补助为与收益相关的政府补助。与收益相关的政府补助，分别下列情况处理：</w:t>
      </w:r>
    </w:p>
    <w:p>
      <w:pPr>
        <w:pStyle w:val="BodyText"/>
        <w:spacing w:line="240" w:lineRule="auto" w:before="76"/>
        <w:ind w:left="513" w:right="94"/>
        <w:jc w:val="left"/>
      </w:pPr>
      <w:r>
        <w:rPr/>
        <w:t>（</w:t>
      </w:r>
      <w:r>
        <w:rPr>
          <w:rFonts w:ascii="宋体" w:hAnsi="宋体" w:cs="宋体" w:eastAsia="宋体" w:hint="default"/>
        </w:rPr>
        <w:t>1</w:t>
      </w:r>
      <w:r>
        <w:rPr/>
        <w:t>）用于补偿公司以后期间的相关费用或损失的，确认为递延收益，并在确认相关费用的期间，计入当期损益。</w:t>
      </w:r>
    </w:p>
    <w:p>
      <w:pPr>
        <w:pStyle w:val="BodyText"/>
        <w:spacing w:line="316" w:lineRule="auto" w:before="76"/>
        <w:ind w:left="513" w:right="94"/>
        <w:jc w:val="left"/>
      </w:pPr>
      <w:r>
        <w:rPr/>
        <w:t>（</w:t>
      </w:r>
      <w:r>
        <w:rPr>
          <w:rFonts w:ascii="宋体" w:hAnsi="宋体" w:cs="宋体" w:eastAsia="宋体" w:hint="default"/>
        </w:rPr>
        <w:t>2</w:t>
      </w:r>
      <w:r>
        <w:rPr/>
        <w:t>）用于补偿公司已发生的相关费用或损失的，直接计入当期损益。 </w:t>
      </w:r>
      <w:r>
        <w:rPr>
          <w:spacing w:val="-2"/>
        </w:rPr>
        <w:t>政府补助在实际收到款项时按照到账的实际金额确认和计量。只有存在确凿证据表明该项补助是按照固定的定额标准拨</w:t>
      </w:r>
    </w:p>
    <w:p>
      <w:pPr>
        <w:pStyle w:val="BodyText"/>
        <w:spacing w:line="316" w:lineRule="auto" w:before="18"/>
        <w:ind w:right="94"/>
        <w:jc w:val="left"/>
      </w:pPr>
      <w:r>
        <w:rPr>
          <w:spacing w:val="-2"/>
        </w:rPr>
        <w:t>付的以及有确凿证据表明能够符合财政扶持政策规定的相关条件且预计能够收到财政扶持资金时，可以按应收金额予以确认</w:t>
      </w:r>
      <w:r>
        <w:rPr>
          <w:spacing w:val="-64"/>
        </w:rPr>
        <w:t> </w:t>
      </w:r>
      <w:r>
        <w:rPr>
          <w:spacing w:val="-64"/>
        </w:rPr>
      </w:r>
      <w:r>
        <w:rPr/>
        <w:t>和计量。</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1" w:firstLine="360"/>
        <w:jc w:val="both"/>
      </w:pPr>
      <w:r>
        <w:rPr>
          <w:spacing w:val="-2"/>
        </w:rPr>
        <w:t>对于某些资产、负债项目的账面价值与其计税基础之间的差额，以及未作为资产和负债确认但按照税法规定可以确定其</w:t>
      </w:r>
      <w:r>
        <w:rPr/>
        <w:t> </w:t>
      </w:r>
      <w:r>
        <w:rPr>
          <w:spacing w:val="-2"/>
        </w:rPr>
        <w:t>计税基础的项目的账面价值与计税基础之间的差额产生的暂时性差异，采用资产负债表债务法确认递延所得税资产及递延所</w:t>
      </w:r>
      <w:r>
        <w:rPr>
          <w:spacing w:val="-63"/>
        </w:rPr>
        <w:t> </w:t>
      </w:r>
      <w:r>
        <w:rPr>
          <w:spacing w:val="-63"/>
        </w:rPr>
      </w:r>
      <w:r>
        <w:rPr/>
        <w:t>得税负债。</w:t>
      </w:r>
    </w:p>
    <w:p>
      <w:pPr>
        <w:pStyle w:val="BodyText"/>
        <w:spacing w:line="316" w:lineRule="auto" w:before="19"/>
        <w:ind w:right="192" w:firstLine="360"/>
        <w:jc w:val="both"/>
      </w:pPr>
      <w:r>
        <w:rPr>
          <w:spacing w:val="-2"/>
        </w:rPr>
        <w:t>一般情况下所有暂时性差异均确认相关的递延所得税。但对于可抵扣暂时性差异，以很可能取得用来抵扣可抵扣暂时性</w:t>
      </w:r>
      <w:r>
        <w:rPr/>
        <w:t> </w:t>
      </w:r>
      <w:r>
        <w:rPr>
          <w:spacing w:val="-2"/>
        </w:rPr>
        <w:t>差异的应纳税所得额为限，确认相关的递延所得税资产。此外，与商誉的初始确认相关的，以及与既不是企业合并、发生时</w:t>
      </w:r>
      <w:r>
        <w:rPr>
          <w:spacing w:val="-67"/>
        </w:rPr>
        <w:t> </w:t>
      </w:r>
      <w:r>
        <w:rPr>
          <w:spacing w:val="-67"/>
        </w:rPr>
      </w:r>
      <w:r>
        <w:rPr>
          <w:spacing w:val="-2"/>
        </w:rPr>
        <w:t>也不影响会计利润和应纳税所得额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的交易中产生的资产或负债的初始确认有关的暂时性差异，不予确认有关</w:t>
      </w:r>
      <w:r>
        <w:rPr>
          <w:spacing w:val="-63"/>
        </w:rPr>
        <w:t> </w:t>
      </w:r>
      <w:r>
        <w:rPr>
          <w:spacing w:val="-63"/>
        </w:rPr>
      </w:r>
      <w:r>
        <w:rPr/>
        <w:t>的递延所得税资产或负债。</w:t>
      </w:r>
    </w:p>
    <w:p>
      <w:pPr>
        <w:pStyle w:val="BodyText"/>
        <w:spacing w:line="319" w:lineRule="auto" w:before="19"/>
        <w:ind w:right="94" w:firstLine="451"/>
        <w:jc w:val="left"/>
      </w:pPr>
      <w:r>
        <w:rPr/>
        <w:t>对于能够结转以后年度的可抵扣亏损及税款抵减，以很可能获得用来抵扣可抵扣亏损和税款抵减的未来应纳税所得额 为限，确认相应的递延所得税资产。 </w:t>
      </w:r>
      <w:r>
        <w:rPr>
          <w:spacing w:val="-2"/>
        </w:rPr>
        <w:t>确认与子公司、联营企业及合营企业投资相关的应纳税暂时性差异产生的递延所得税负债，除非本公司能够控制暂时性差异</w:t>
      </w:r>
      <w:r>
        <w:rPr>
          <w:spacing w:val="-64"/>
        </w:rPr>
        <w:t> </w:t>
      </w:r>
      <w:r>
        <w:rPr>
          <w:spacing w:val="-64"/>
        </w:rPr>
      </w:r>
      <w:r>
        <w:rPr>
          <w:spacing w:val="-2"/>
        </w:rPr>
        <w:t>转回的时间，而且该暂时性差异在可预见的未来很可能不会转回。对于与子公司、联营企业及合营企业投资相关的可抵扣暂</w:t>
      </w:r>
      <w:r>
        <w:rPr>
          <w:spacing w:val="-66"/>
        </w:rPr>
        <w:t> </w:t>
      </w:r>
      <w:r>
        <w:rPr>
          <w:spacing w:val="-66"/>
        </w:rPr>
      </w:r>
      <w:r>
        <w:rPr>
          <w:spacing w:val="-4"/>
        </w:rPr>
        <w:t>时性差异，只有当暂时性差异在可预见的未来很可能转回，且未来很可能获得用来抵扣可抵扣暂时性差异的应纳税所得额时，</w:t>
      </w:r>
      <w:r>
        <w:rPr>
          <w:spacing w:val="-44"/>
        </w:rPr>
        <w:t> </w:t>
      </w:r>
      <w:r>
        <w:rPr>
          <w:spacing w:val="-44"/>
        </w:rPr>
      </w:r>
      <w:r>
        <w:rPr>
          <w:spacing w:val="-2"/>
        </w:rPr>
        <w:t>才确认递延所得税资产。资产负债表日，对于递延所得税资产和递延所得税负债，根据税法规定，按照预期收回相关资产或</w:t>
      </w:r>
      <w:r>
        <w:rPr>
          <w:spacing w:val="-65"/>
        </w:rPr>
        <w:t> </w:t>
      </w:r>
      <w:r>
        <w:rPr>
          <w:spacing w:val="-65"/>
        </w:rPr>
      </w:r>
      <w:r>
        <w:rPr/>
        <w:t>清偿相关负债期间的适用税率计量。</w:t>
      </w:r>
    </w:p>
    <w:p>
      <w:pPr>
        <w:pStyle w:val="BodyText"/>
        <w:spacing w:line="316" w:lineRule="auto" w:before="17"/>
        <w:ind w:right="94" w:firstLine="360"/>
        <w:jc w:val="left"/>
      </w:pPr>
      <w:r>
        <w:rPr>
          <w:spacing w:val="-2"/>
        </w:rPr>
        <w:t>除与直接计入其他综合收益或股东权益的交易和事项相关的当期所得税和递延所得税计入其他综合收益或股东权益，以</w:t>
      </w:r>
      <w:r>
        <w:rPr/>
        <w:t> 及企业合并产生的递延所得税调整商誉的账面价值外，其余当期所得税和递延所得税费用或收益计入当期损益。 </w:t>
      </w:r>
      <w:r>
        <w:rPr>
          <w:spacing w:val="-2"/>
        </w:rPr>
        <w:t>资产负债表日，对递延所得税资产的账面价值进行复核，如果未来很可能无法获得足够的应纳税所得额用以抵扣递延所得税</w:t>
      </w:r>
      <w:r>
        <w:rPr>
          <w:spacing w:val="-64"/>
        </w:rPr>
        <w:t> </w:t>
      </w:r>
      <w:r>
        <w:rPr>
          <w:spacing w:val="-64"/>
        </w:rPr>
      </w:r>
      <w:r>
        <w:rPr/>
        <w:t>资产的利益，则减记递延所得税资产的账面价值。在很可能获得足够的应纳税所得额时，减记的金额予以转回。</w:t>
      </w:r>
    </w:p>
    <w:p>
      <w:pPr>
        <w:pStyle w:val="BodyText"/>
        <w:spacing w:line="316" w:lineRule="auto" w:before="19"/>
        <w:ind w:right="192" w:firstLine="360"/>
        <w:jc w:val="both"/>
      </w:pPr>
      <w:r>
        <w:rPr>
          <w:spacing w:val="-2"/>
        </w:rPr>
        <w:t>当拥有以净额结算的法定权利，且意图以净额结算或取得资产、清偿负债同时进行时，本公司当期所得税资产及当期所</w:t>
      </w:r>
      <w:r>
        <w:rPr/>
        <w:t> 得税负债以抵销后的净额列报。</w:t>
      </w:r>
    </w:p>
    <w:p>
      <w:pPr>
        <w:pStyle w:val="BodyText"/>
        <w:spacing w:line="319" w:lineRule="auto" w:before="19"/>
        <w:ind w:right="19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31</w:t>
      </w:r>
      <w:r>
        <w:rPr/>
        <w:t>、租赁</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93" w:firstLine="360"/>
        <w:jc w:val="both"/>
      </w:pPr>
      <w:r>
        <w:rPr>
          <w:spacing w:val="-2"/>
        </w:rPr>
        <w:t>①租入资产所支付的租赁费，在不扣除免租期的整个租赁期内，按直线法进行分摊，计入当期费用。支付的与租赁交易</w:t>
      </w:r>
      <w:r>
        <w:rPr/>
        <w:t> 相关的初始直接费用，计入当期费用。</w:t>
      </w:r>
    </w:p>
    <w:p>
      <w:pPr>
        <w:pStyle w:val="BodyText"/>
        <w:spacing w:line="316" w:lineRule="auto" w:before="139"/>
        <w:ind w:right="192" w:firstLine="360"/>
        <w:jc w:val="both"/>
      </w:pPr>
      <w:r>
        <w:rPr>
          <w:spacing w:val="-2"/>
        </w:rPr>
        <w:t>资产出租方承担了应由承担的与租赁相关的费用时，将该部分费用从租金总额中扣除，按扣除后的租金费用在租赁期内</w:t>
      </w:r>
      <w:r>
        <w:rPr/>
        <w:t> 分摊，计入当期费用。</w:t>
      </w:r>
    </w:p>
    <w:p>
      <w:pPr>
        <w:pStyle w:val="BodyText"/>
        <w:spacing w:line="319" w:lineRule="auto" w:before="139"/>
        <w:ind w:right="191" w:firstLine="360"/>
        <w:jc w:val="both"/>
      </w:pPr>
      <w:r>
        <w:rPr>
          <w:spacing w:val="-2"/>
        </w:rPr>
        <w:t>②出租资产所收取的租赁费，在不扣除免租期的整个租赁期内，按直线法进行分摊，确认为租赁收入。支付的与租赁交</w:t>
      </w:r>
      <w:r>
        <w:rPr/>
        <w:t> </w:t>
      </w:r>
      <w:r>
        <w:rPr>
          <w:spacing w:val="-2"/>
        </w:rPr>
        <w:t>易相关的初始直接费用，计入当期费用；如金额较大的，则予以资本化，在整个租赁期间内按照与租赁收入确认相同的基础</w:t>
      </w:r>
      <w:r>
        <w:rPr>
          <w:spacing w:val="-64"/>
        </w:rPr>
        <w:t> </w:t>
      </w:r>
      <w:r>
        <w:rPr>
          <w:spacing w:val="-64"/>
        </w:rPr>
      </w:r>
      <w:r>
        <w:rPr/>
        <w:t>分期计入当期收益。</w:t>
      </w:r>
    </w:p>
    <w:p>
      <w:pPr>
        <w:pStyle w:val="BodyText"/>
        <w:spacing w:line="316" w:lineRule="auto" w:before="137"/>
        <w:ind w:right="192" w:firstLine="360"/>
        <w:jc w:val="both"/>
      </w:pPr>
      <w:r>
        <w:rPr>
          <w:spacing w:val="-2"/>
        </w:rPr>
        <w:t>承担了应由承租方承担的与租赁相关的费用时，将该部分费用从租金收入总额中扣除，按扣除后的租金费用在租赁期内</w:t>
      </w:r>
      <w:r>
        <w:rPr/>
        <w:t> 分配。</w:t>
      </w:r>
    </w:p>
    <w:p>
      <w:pPr>
        <w:spacing w:after="0" w:line="316"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94" w:firstLine="360"/>
        <w:jc w:val="left"/>
      </w:pPr>
      <w:r>
        <w:rPr>
          <w:spacing w:val="-2"/>
        </w:rPr>
        <w:t>①融资租入资产：公司在承租开始日，将租赁资产公允价值与最低租赁付款额现值两者中较低者作为租入资产的入账价</w:t>
      </w:r>
      <w:r>
        <w:rPr/>
        <w:t> 值，将最低租赁付款额作为长期应付款的入账价值，其差额作为未确认的融资费用。</w:t>
      </w:r>
    </w:p>
    <w:p>
      <w:pPr>
        <w:pStyle w:val="BodyText"/>
        <w:spacing w:line="316" w:lineRule="auto" w:before="139"/>
        <w:ind w:right="94" w:firstLine="360"/>
        <w:jc w:val="left"/>
      </w:pPr>
      <w:r>
        <w:rPr>
          <w:spacing w:val="-2"/>
        </w:rPr>
        <w:t>采用实际利率法对未确认的融资费用，在资产租赁期间内摊销，计入财务费用。公司发生的初始直接费用，计入租入资</w:t>
      </w:r>
      <w:r>
        <w:rPr/>
        <w:t> 产价值。</w:t>
      </w:r>
    </w:p>
    <w:p>
      <w:pPr>
        <w:pStyle w:val="BodyText"/>
        <w:spacing w:line="316" w:lineRule="auto" w:before="139"/>
        <w:ind w:right="94"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2"/>
        </w:rPr>
        <w:t> </w:t>
      </w:r>
      <w:r>
        <w:rPr>
          <w:spacing w:val="-42"/>
        </w:rPr>
      </w:r>
      <w:r>
        <w:rPr/>
        <w:t>并减少租赁期内确认的收益金额。</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宋体" w:hAnsi="宋体" w:cs="宋体" w:eastAsia="宋体" w:hint="default"/>
        </w:rPr>
        <w:t>32</w:t>
      </w:r>
      <w:r>
        <w:rPr/>
        <w:t>、其他重要的会计政策和会计估计</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）终止经营</w:t>
      </w:r>
      <w:r>
        <w:rPr>
          <w:b w:val="0"/>
          <w:bCs w:val="0"/>
        </w:rPr>
      </w:r>
    </w:p>
    <w:p>
      <w:pPr>
        <w:spacing w:line="240" w:lineRule="auto" w:before="11"/>
        <w:rPr>
          <w:rFonts w:ascii="宋体" w:hAnsi="宋体" w:cs="宋体" w:eastAsia="宋体" w:hint="default"/>
          <w:b/>
          <w:bCs/>
          <w:sz w:val="13"/>
          <w:szCs w:val="13"/>
        </w:rPr>
      </w:pPr>
    </w:p>
    <w:p>
      <w:pPr>
        <w:pStyle w:val="BodyText"/>
        <w:spacing w:line="314" w:lineRule="auto"/>
        <w:ind w:right="94" w:firstLine="360"/>
        <w:jc w:val="left"/>
      </w:pPr>
      <w:r>
        <w:rPr>
          <w:spacing w:val="-2"/>
        </w:rPr>
        <w:t>终止经营，是指满足下列条件之一的已被企业处置或被企业划归为持有待售的、在经营和编制财务报表时能够单独区分</w:t>
      </w:r>
      <w:r>
        <w:rPr/>
        <w:t> 的组成部分：</w:t>
      </w:r>
    </w:p>
    <w:p>
      <w:pPr>
        <w:pStyle w:val="BodyText"/>
        <w:spacing w:line="439" w:lineRule="auto" w:before="140"/>
        <w:ind w:left="513" w:right="2523"/>
        <w:jc w:val="left"/>
      </w:pPr>
      <w:r>
        <w:rPr>
          <w:rFonts w:ascii="宋体" w:hAnsi="宋体" w:cs="宋体" w:eastAsia="宋体" w:hint="default"/>
        </w:rPr>
        <w:t>a</w:t>
      </w:r>
      <w:r>
        <w:rPr/>
        <w:t>、该组成部分代表一项独立的主要业务或一个主要经营地区； </w:t>
      </w:r>
      <w:r>
        <w:rPr>
          <w:rFonts w:ascii="宋体" w:hAnsi="宋体" w:cs="宋体" w:eastAsia="宋体" w:hint="default"/>
        </w:rPr>
        <w:t>b</w:t>
      </w:r>
      <w:r>
        <w:rPr/>
        <w:t>、该组成部分是拟对一项独立的主要业务或一个主要经营地区进行处置计划的一部分； </w:t>
      </w:r>
      <w:r>
        <w:rPr>
          <w:rFonts w:ascii="宋体" w:hAnsi="宋体" w:cs="宋体" w:eastAsia="宋体" w:hint="default"/>
        </w:rPr>
        <w:t>c</w:t>
      </w:r>
      <w:r>
        <w:rPr/>
        <w:t>、该组成部分是仅仅为了再出售而取得的子公司。 符合持有待售的资产的会计处理见审计报告附注五、（十三）。</w:t>
      </w:r>
    </w:p>
    <w:p>
      <w:pPr>
        <w:pStyle w:val="Heading3"/>
        <w:spacing w:line="240" w:lineRule="auto" w:before="26"/>
        <w:ind w:right="94"/>
        <w:jc w:val="left"/>
        <w:rPr>
          <w:b w:val="0"/>
          <w:bCs w:val="0"/>
        </w:rPr>
      </w:pPr>
      <w:r>
        <w:rPr/>
        <w:t>（</w:t>
      </w:r>
      <w:r>
        <w:rPr>
          <w:rFonts w:ascii="宋体" w:hAnsi="宋体" w:cs="宋体" w:eastAsia="宋体" w:hint="default"/>
        </w:rPr>
        <w:t>2</w:t>
      </w:r>
      <w:r>
        <w:rPr/>
        <w:t>）附回购条件的资产转让</w:t>
      </w:r>
      <w:r>
        <w:rPr>
          <w:b w:val="0"/>
          <w:bCs w:val="0"/>
        </w:rPr>
      </w:r>
    </w:p>
    <w:p>
      <w:pPr>
        <w:spacing w:line="240" w:lineRule="auto" w:before="10"/>
        <w:rPr>
          <w:rFonts w:ascii="宋体" w:hAnsi="宋体" w:cs="宋体" w:eastAsia="宋体" w:hint="default"/>
          <w:b/>
          <w:bCs/>
          <w:sz w:val="13"/>
          <w:szCs w:val="13"/>
        </w:rPr>
      </w:pPr>
    </w:p>
    <w:p>
      <w:pPr>
        <w:pStyle w:val="BodyText"/>
        <w:spacing w:line="316" w:lineRule="auto"/>
        <w:ind w:right="192" w:firstLine="360"/>
        <w:jc w:val="both"/>
      </w:pPr>
      <w:r>
        <w:rPr>
          <w:spacing w:val="-2"/>
        </w:rPr>
        <w:t>销售产品或转让其他资产时，与购买方签订了所销售的产品或转让资产回购协议，根据协议条款判断销售商品是否满足</w:t>
      </w:r>
      <w:r>
        <w:rPr/>
        <w:t> </w:t>
      </w:r>
      <w:r>
        <w:rPr>
          <w:spacing w:val="-2"/>
        </w:rPr>
        <w:t>收入确认条件。如售后回购属于融资交易，则在交付产品或资产时，不确认销售收入。回购价款大于销售价款的差额，在回</w:t>
      </w:r>
      <w:r>
        <w:rPr>
          <w:spacing w:val="-67"/>
        </w:rPr>
        <w:t> </w:t>
      </w:r>
      <w:r>
        <w:rPr>
          <w:spacing w:val="-67"/>
        </w:rPr>
      </w:r>
      <w:r>
        <w:rPr/>
        <w:t>购期间按期计提利息，计入财务费用。</w:t>
      </w:r>
    </w:p>
    <w:p>
      <w:pPr>
        <w:pStyle w:val="Heading3"/>
        <w:spacing w:line="240" w:lineRule="auto" w:before="118"/>
        <w:ind w:right="94"/>
        <w:jc w:val="left"/>
        <w:rPr>
          <w:b w:val="0"/>
          <w:bCs w:val="0"/>
        </w:rPr>
      </w:pPr>
      <w:r>
        <w:rPr/>
        <w:t>（</w:t>
      </w:r>
      <w:r>
        <w:rPr>
          <w:rFonts w:ascii="宋体" w:hAnsi="宋体" w:cs="宋体" w:eastAsia="宋体" w:hint="default"/>
        </w:rPr>
        <w:t>3</w:t>
      </w:r>
      <w:r>
        <w:rPr/>
        <w:t>）股份回购</w:t>
      </w:r>
      <w:r>
        <w:rPr>
          <w:b w:val="0"/>
          <w:bCs w:val="0"/>
        </w:rPr>
      </w:r>
    </w:p>
    <w:p>
      <w:pPr>
        <w:pStyle w:val="BodyText"/>
        <w:spacing w:line="430" w:lineRule="exact" w:before="46"/>
        <w:ind w:left="513" w:right="94"/>
        <w:jc w:val="left"/>
      </w:pPr>
      <w:r>
        <w:rPr/>
        <w:t>为减少注册资本或奖励本公司职工等原因而收购本公司股份时，按实际支付的金额记入库存股。 </w:t>
      </w:r>
      <w:r>
        <w:rPr>
          <w:spacing w:val="-2"/>
        </w:rPr>
        <w:t>根据以权益结算的股份支付协议将收购的股份奖励给本公司职工时，按奖励库存股账面余额与职工所支付现金及授予权</w:t>
      </w:r>
    </w:p>
    <w:p>
      <w:pPr>
        <w:pStyle w:val="BodyText"/>
        <w:spacing w:line="240" w:lineRule="auto" w:before="15"/>
        <w:ind w:right="94"/>
        <w:jc w:val="left"/>
      </w:pPr>
      <w:r>
        <w:rPr/>
        <w:t>益工具时确认的资本公积之间的差额，计入资本公积（股本溢价）。</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注销库存股时，按所注销库存股面值总额注销股本，按所注销库存股的账面余额，冲减库存股，按其差额冲减资本公积</w:t>
      </w:r>
    </w:p>
    <w:p>
      <w:pPr>
        <w:pStyle w:val="BodyText"/>
        <w:spacing w:line="240" w:lineRule="auto" w:before="76"/>
        <w:ind w:right="94"/>
        <w:jc w:val="left"/>
      </w:pPr>
      <w:r>
        <w:rPr/>
        <w:t>（股本溢价），股本溢价不足冲减的，调整留存收益。</w:t>
      </w:r>
    </w:p>
    <w:p>
      <w:pPr>
        <w:spacing w:line="240" w:lineRule="auto" w:before="6"/>
        <w:rPr>
          <w:rFonts w:ascii="宋体" w:hAnsi="宋体" w:cs="宋体" w:eastAsia="宋体" w:hint="default"/>
          <w:sz w:val="13"/>
          <w:szCs w:val="13"/>
        </w:rPr>
      </w:pPr>
    </w:p>
    <w:p>
      <w:pPr>
        <w:pStyle w:val="Heading3"/>
        <w:spacing w:line="240" w:lineRule="auto"/>
        <w:ind w:right="94"/>
        <w:jc w:val="left"/>
        <w:rPr>
          <w:b w:val="0"/>
          <w:bCs w:val="0"/>
        </w:rPr>
      </w:pPr>
      <w:r>
        <w:rPr/>
        <w:t>（</w:t>
      </w:r>
      <w:r>
        <w:rPr>
          <w:rFonts w:ascii="宋体" w:hAnsi="宋体" w:cs="宋体" w:eastAsia="宋体" w:hint="default"/>
        </w:rPr>
        <w:t>4</w:t>
      </w:r>
      <w:r>
        <w:rPr/>
        <w:t>）持有待售的非流动资产及处置组</w:t>
      </w:r>
      <w:r>
        <w:rPr>
          <w:b w:val="0"/>
          <w:bCs w:val="0"/>
        </w:rPr>
      </w:r>
    </w:p>
    <w:p>
      <w:pPr>
        <w:pStyle w:val="BodyText"/>
        <w:spacing w:line="357" w:lineRule="auto" w:before="98"/>
        <w:ind w:left="513" w:right="3513" w:hanging="361"/>
        <w:jc w:val="left"/>
      </w:pPr>
      <w:r>
        <w:rPr>
          <w:rFonts w:ascii="宋体" w:hAnsi="宋体" w:cs="宋体" w:eastAsia="宋体" w:hint="default"/>
        </w:rPr>
        <w:t>a</w:t>
      </w:r>
      <w:r>
        <w:rPr/>
        <w:t>、持有待售的非流动资产及处置组标准 将同时符合下列条件的非流动资产确认为持有待售的非流动资产及处置组： </w:t>
      </w:r>
      <w:r>
        <w:rPr>
          <w:rFonts w:ascii="宋体" w:hAnsi="宋体" w:cs="宋体" w:eastAsia="宋体" w:hint="default"/>
        </w:rPr>
        <w:t>i</w:t>
      </w:r>
      <w:r>
        <w:rPr/>
        <w:t>、公司已就该资产出售事项作出决议； </w:t>
      </w:r>
      <w:r>
        <w:rPr>
          <w:rFonts w:ascii="宋体" w:hAnsi="宋体" w:cs="宋体" w:eastAsia="宋体" w:hint="default"/>
        </w:rPr>
        <w:t>ii</w:t>
      </w:r>
      <w:r>
        <w:rPr/>
        <w:t>、公司已与对方签订了不可撤消的转让协议； </w:t>
      </w:r>
      <w:r>
        <w:rPr>
          <w:rFonts w:ascii="宋体" w:hAnsi="宋体" w:cs="宋体" w:eastAsia="宋体" w:hint="default"/>
        </w:rPr>
        <w:t>iii</w:t>
      </w:r>
      <w:r>
        <w:rPr/>
        <w:t>、该资产转让将在一年内完成。</w:t>
      </w:r>
    </w:p>
    <w:p>
      <w:pPr>
        <w:pStyle w:val="BodyText"/>
        <w:spacing w:line="360" w:lineRule="auto" w:before="29"/>
        <w:ind w:left="513" w:right="270" w:hanging="361"/>
        <w:jc w:val="left"/>
      </w:pPr>
      <w:r>
        <w:rPr>
          <w:rFonts w:ascii="宋体" w:hAnsi="宋体" w:cs="宋体" w:eastAsia="宋体" w:hint="default"/>
        </w:rPr>
        <w:t>b</w:t>
      </w:r>
      <w:r>
        <w:rPr/>
        <w:t>、持有待售的非流动资产及处置组的会计处理方法 符合持有待售条件的非流动资产被划分为持有待售的非流动资产及被划分为持有待售的处置组中的资产</w:t>
      </w:r>
      <w:r>
        <w:rPr>
          <w:spacing w:val="3"/>
        </w:rPr>
        <w:t> </w:t>
      </w:r>
      <w:r>
        <w:rPr>
          <w:rFonts w:ascii="宋体" w:hAnsi="宋体" w:cs="宋体" w:eastAsia="宋体" w:hint="default"/>
        </w:rPr>
        <w:t>(</w:t>
      </w:r>
      <w:r>
        <w:rPr/>
        <w:t>不包括金融</w:t>
      </w:r>
    </w:p>
    <w:p>
      <w:pPr>
        <w:pStyle w:val="BodyText"/>
        <w:spacing w:line="222" w:lineRule="exact"/>
        <w:ind w:right="94"/>
        <w:jc w:val="left"/>
      </w:pPr>
      <w:r>
        <w:rPr/>
        <w:t>资产及递延所得税资产</w:t>
      </w:r>
      <w:r>
        <w:rPr>
          <w:rFonts w:ascii="宋体" w:hAnsi="宋体" w:cs="宋体" w:eastAsia="宋体" w:hint="default"/>
        </w:rPr>
        <w:t>)</w:t>
      </w:r>
      <w:r>
        <w:rPr/>
        <w:t>，不计提折旧或进行摊销，以账面价值与公允价值减去处置费用孰低的金额列示。公允价值减去处</w:t>
      </w:r>
    </w:p>
    <w:p>
      <w:pPr>
        <w:spacing w:after="0" w:line="222" w:lineRule="exact"/>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置费用低于原账面价值的金额，确认为资产减值损失。</w:t>
      </w:r>
    </w:p>
    <w:p>
      <w:pPr>
        <w:pStyle w:val="Heading3"/>
        <w:spacing w:line="240" w:lineRule="auto" w:before="97"/>
        <w:ind w:right="94"/>
        <w:jc w:val="left"/>
        <w:rPr>
          <w:b w:val="0"/>
          <w:bCs w:val="0"/>
        </w:rPr>
      </w:pPr>
      <w:r>
        <w:rPr>
          <w:rFonts w:ascii="宋体" w:hAnsi="宋体" w:cs="宋体" w:eastAsia="宋体" w:hint="default"/>
        </w:rPr>
        <w:t>(5</w:t>
      </w:r>
      <w:r>
        <w:rPr/>
        <w:t>）关联方</w:t>
      </w:r>
      <w:r>
        <w:rPr>
          <w:b w:val="0"/>
          <w:bCs w:val="0"/>
        </w:rPr>
      </w:r>
    </w:p>
    <w:p>
      <w:pPr>
        <w:pStyle w:val="BodyText"/>
        <w:spacing w:line="338" w:lineRule="auto" w:before="98"/>
        <w:ind w:right="94" w:firstLine="360"/>
        <w:jc w:val="left"/>
      </w:pPr>
      <w:r>
        <w:rPr/>
        <w:t>一方控制、共同控制另一方或对另一方施加重大影响，以及两方或两方以上同受一方控制、共同控制的，构成关联方。 关联方可为个人或企业。仅仅同受国家控制而不存在其他关联方关系的企业，不构成的关联方。 本公司关联方包括但不限于：</w:t>
      </w:r>
    </w:p>
    <w:p>
      <w:pPr>
        <w:pStyle w:val="BodyText"/>
        <w:spacing w:line="357" w:lineRule="auto" w:before="43"/>
        <w:ind w:left="513" w:right="8463"/>
        <w:jc w:val="left"/>
      </w:pPr>
      <w:r>
        <w:rPr>
          <w:rFonts w:ascii="宋体" w:hAnsi="宋体" w:cs="宋体" w:eastAsia="宋体" w:hint="default"/>
        </w:rPr>
        <w:t>a</w:t>
      </w:r>
      <w:r>
        <w:rPr/>
        <w:t>、母公司； </w:t>
      </w:r>
      <w:r>
        <w:rPr>
          <w:rFonts w:ascii="宋体" w:hAnsi="宋体" w:cs="宋体" w:eastAsia="宋体" w:hint="default"/>
        </w:rPr>
        <w:t>b</w:t>
      </w:r>
      <w:r>
        <w:rPr/>
        <w:t>、子公司；</w:t>
      </w:r>
    </w:p>
    <w:p>
      <w:pPr>
        <w:pStyle w:val="BodyText"/>
        <w:spacing w:line="360" w:lineRule="auto" w:before="29"/>
        <w:ind w:left="513" w:right="6303"/>
        <w:jc w:val="left"/>
      </w:pPr>
      <w:r>
        <w:rPr>
          <w:rFonts w:ascii="宋体" w:hAnsi="宋体" w:cs="宋体" w:eastAsia="宋体" w:hint="default"/>
        </w:rPr>
        <w:t>c</w:t>
      </w:r>
      <w:r>
        <w:rPr/>
        <w:t>、受同一母公司控制的其他企业； </w:t>
      </w:r>
      <w:r>
        <w:rPr>
          <w:rFonts w:ascii="宋体" w:hAnsi="宋体" w:cs="宋体" w:eastAsia="宋体" w:hint="default"/>
        </w:rPr>
        <w:t>d</w:t>
      </w:r>
      <w:r>
        <w:rPr/>
        <w:t>、实施共同控制的投资方； </w:t>
      </w:r>
      <w:r>
        <w:rPr>
          <w:rFonts w:ascii="宋体" w:hAnsi="宋体" w:cs="宋体" w:eastAsia="宋体" w:hint="default"/>
        </w:rPr>
        <w:t>e</w:t>
      </w:r>
      <w:r>
        <w:rPr/>
        <w:t>、施加重大影响的投资方； </w:t>
      </w:r>
      <w:r>
        <w:rPr>
          <w:rFonts w:ascii="宋体" w:hAnsi="宋体" w:cs="宋体" w:eastAsia="宋体" w:hint="default"/>
        </w:rPr>
        <w:t>f</w:t>
      </w:r>
      <w:r>
        <w:rPr/>
        <w:t>、合营企业，包括合营企业的子公司； </w:t>
      </w:r>
      <w:r>
        <w:rPr>
          <w:rFonts w:ascii="宋体" w:hAnsi="宋体" w:cs="宋体" w:eastAsia="宋体" w:hint="default"/>
        </w:rPr>
        <w:t>g</w:t>
      </w:r>
      <w:r>
        <w:rPr/>
        <w:t>、联营企业，包括联营企业的子公司；</w:t>
      </w:r>
    </w:p>
    <w:p>
      <w:pPr>
        <w:pStyle w:val="BodyText"/>
        <w:spacing w:line="360" w:lineRule="auto" w:before="25"/>
        <w:ind w:left="513" w:right="1083"/>
        <w:jc w:val="left"/>
      </w:pPr>
      <w:r>
        <w:rPr>
          <w:rFonts w:ascii="宋体" w:hAnsi="宋体" w:cs="宋体" w:eastAsia="宋体" w:hint="default"/>
        </w:rPr>
        <w:t>h</w:t>
      </w:r>
      <w:r>
        <w:rPr/>
        <w:t>、主要投资者个人及与其关系密切的家庭成员；北京荣之联科技股份有限公司 </w:t>
      </w:r>
      <w:r>
        <w:rPr>
          <w:rFonts w:ascii="宋体" w:hAnsi="宋体" w:cs="宋体" w:eastAsia="宋体" w:hint="default"/>
        </w:rPr>
        <w:t>2014 </w:t>
      </w:r>
      <w:r>
        <w:rPr/>
        <w:t>年年度报告全文 </w:t>
      </w:r>
      <w:r>
        <w:rPr>
          <w:rFonts w:ascii="宋体" w:hAnsi="宋体" w:cs="宋体" w:eastAsia="宋体" w:hint="default"/>
        </w:rPr>
        <w:t>110 i</w:t>
      </w:r>
      <w:r>
        <w:rPr/>
        <w:t>、本公司或其母公司的关键管理人员及与其关系密切的家庭成员； </w:t>
      </w:r>
      <w:r>
        <w:rPr>
          <w:rFonts w:ascii="宋体" w:hAnsi="宋体" w:cs="宋体" w:eastAsia="宋体" w:hint="default"/>
        </w:rPr>
        <w:t>j</w:t>
      </w:r>
      <w:r>
        <w:rPr/>
        <w:t>、本公司主要投资者个人、关键管理人员或与其关系密切的家庭成员控制、共同控制的其他企业。</w:t>
      </w:r>
    </w:p>
    <w:p>
      <w:pPr>
        <w:pStyle w:val="BodyText"/>
        <w:spacing w:line="316" w:lineRule="auto" w:before="25"/>
        <w:ind w:right="94"/>
        <w:jc w:val="left"/>
      </w:pPr>
      <w:r>
        <w:rPr>
          <w:spacing w:val="-2"/>
        </w:rPr>
        <w:t>除上述按照企业会计准则的有关要求被确定为本公司的关联方以外，根据证监会颁布的《上市公司信息披露管理办法》的要</w:t>
      </w:r>
      <w:r>
        <w:rPr>
          <w:spacing w:val="-66"/>
        </w:rPr>
        <w:t> </w:t>
      </w:r>
      <w:r>
        <w:rPr>
          <w:spacing w:val="-66"/>
        </w:rPr>
      </w:r>
      <w:r>
        <w:rPr/>
        <w:t>求，以下企业或个人 </w:t>
      </w:r>
      <w:r>
        <w:rPr>
          <w:rFonts w:ascii="宋体" w:hAnsi="宋体" w:cs="宋体" w:eastAsia="宋体" w:hint="default"/>
        </w:rPr>
        <w:t>(</w:t>
      </w:r>
      <w:r>
        <w:rPr/>
        <w:t>包括但不限于</w:t>
      </w:r>
      <w:r>
        <w:rPr>
          <w:rFonts w:ascii="宋体" w:hAnsi="宋体" w:cs="宋体" w:eastAsia="宋体" w:hint="default"/>
        </w:rPr>
        <w:t>)</w:t>
      </w:r>
      <w:r>
        <w:rPr>
          <w:rFonts w:ascii="宋体" w:hAnsi="宋体" w:cs="宋体" w:eastAsia="宋体" w:hint="default"/>
          <w:spacing w:val="-2"/>
        </w:rPr>
        <w:t> </w:t>
      </w:r>
      <w:r>
        <w:rPr/>
        <w:t>也属于本公司的关联方：</w:t>
      </w:r>
    </w:p>
    <w:p>
      <w:pPr>
        <w:pStyle w:val="BodyText"/>
        <w:spacing w:line="240" w:lineRule="auto" w:before="59"/>
        <w:ind w:left="513" w:right="94"/>
        <w:jc w:val="left"/>
      </w:pPr>
      <w:r>
        <w:rPr>
          <w:rFonts w:ascii="宋体" w:hAnsi="宋体" w:cs="宋体" w:eastAsia="宋体" w:hint="default"/>
        </w:rPr>
        <w:t>k</w:t>
      </w:r>
      <w:r>
        <w:rPr/>
        <w:t>、持有本公司</w:t>
      </w:r>
      <w:r>
        <w:rPr>
          <w:rFonts w:ascii="宋体" w:hAnsi="宋体" w:cs="宋体" w:eastAsia="宋体" w:hint="default"/>
        </w:rPr>
        <w:t>5%</w:t>
      </w:r>
      <w:r>
        <w:rPr>
          <w:rFonts w:ascii="宋体" w:hAnsi="宋体" w:cs="宋体" w:eastAsia="宋体" w:hint="default"/>
          <w:spacing w:val="-2"/>
        </w:rPr>
        <w:t> </w:t>
      </w:r>
      <w:r>
        <w:rPr/>
        <w:t>以上股份的企业或者一致行动人；</w:t>
      </w:r>
    </w:p>
    <w:p>
      <w:pPr>
        <w:pStyle w:val="BodyText"/>
        <w:spacing w:line="357" w:lineRule="auto" w:before="117"/>
        <w:ind w:left="513" w:right="92"/>
        <w:jc w:val="left"/>
      </w:pPr>
      <w:r>
        <w:rPr>
          <w:rFonts w:ascii="宋体" w:hAnsi="宋体" w:cs="宋体" w:eastAsia="宋体" w:hint="default"/>
          <w:spacing w:val="-6"/>
        </w:rPr>
        <w:t>l</w:t>
      </w:r>
      <w:r>
        <w:rPr>
          <w:spacing w:val="-6"/>
        </w:rPr>
        <w:t>、直接或者间接持有本公司</w:t>
      </w:r>
      <w:r>
        <w:rPr>
          <w:rFonts w:ascii="宋体" w:hAnsi="宋体" w:cs="宋体" w:eastAsia="宋体" w:hint="default"/>
          <w:spacing w:val="-6"/>
        </w:rPr>
        <w:t>5%</w:t>
      </w:r>
      <w:r>
        <w:rPr>
          <w:rFonts w:ascii="宋体" w:hAnsi="宋体" w:cs="宋体" w:eastAsia="宋体" w:hint="default"/>
          <w:spacing w:val="28"/>
        </w:rPr>
        <w:t> </w:t>
      </w:r>
      <w:r>
        <w:rPr>
          <w:spacing w:val="-3"/>
        </w:rPr>
        <w:t>以上股份的个人及与其关系密切的家庭成员，上市公司监事及与其关系密切的家庭成员；</w:t>
      </w:r>
      <w:r>
        <w:rPr>
          <w:spacing w:val="-88"/>
        </w:rPr>
        <w:t> </w:t>
      </w:r>
      <w:r>
        <w:rPr>
          <w:spacing w:val="-88"/>
        </w:rPr>
      </w:r>
      <w:r>
        <w:rPr>
          <w:rFonts w:ascii="宋体" w:hAnsi="宋体" w:cs="宋体" w:eastAsia="宋体" w:hint="default"/>
        </w:rPr>
        <w:t>m</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1</w:t>
      </w:r>
      <w:r>
        <w:rPr/>
        <w:t>、</w:t>
      </w:r>
      <w:r>
        <w:rPr>
          <w:rFonts w:ascii="宋体" w:hAnsi="宋体" w:cs="宋体" w:eastAsia="宋体" w:hint="default"/>
        </w:rPr>
        <w:t>3</w:t>
      </w:r>
      <w:r>
        <w:rPr/>
        <w:t>和</w:t>
      </w:r>
      <w:r>
        <w:rPr>
          <w:rFonts w:ascii="宋体" w:hAnsi="宋体" w:cs="宋体" w:eastAsia="宋体" w:hint="default"/>
        </w:rPr>
        <w:t>11</w:t>
      </w:r>
      <w:r>
        <w:rPr/>
        <w:t>项情形之一的企业； </w:t>
      </w:r>
      <w:r>
        <w:rPr>
          <w:rFonts w:ascii="宋体" w:hAnsi="宋体" w:cs="宋体" w:eastAsia="宋体" w:hint="default"/>
        </w:rPr>
        <w:t>n</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9</w:t>
      </w:r>
      <w:r>
        <w:rPr/>
        <w:t>、</w:t>
      </w:r>
      <w:r>
        <w:rPr>
          <w:rFonts w:ascii="宋体" w:hAnsi="宋体" w:cs="宋体" w:eastAsia="宋体" w:hint="default"/>
        </w:rPr>
        <w:t>12</w:t>
      </w:r>
      <w:r>
        <w:rPr/>
        <w:t>项情形之一的个人； 由上述第</w:t>
      </w:r>
      <w:r>
        <w:rPr>
          <w:rFonts w:ascii="宋体" w:hAnsi="宋体" w:cs="宋体" w:eastAsia="宋体" w:hint="default"/>
        </w:rPr>
        <w:t>9</w:t>
      </w:r>
      <w:r>
        <w:rPr/>
        <w:t>、</w:t>
      </w:r>
      <w:r>
        <w:rPr>
          <w:rFonts w:ascii="宋体" w:hAnsi="宋体" w:cs="宋体" w:eastAsia="宋体" w:hint="default"/>
        </w:rPr>
        <w:t>12</w:t>
      </w:r>
      <w:r>
        <w:rPr/>
        <w:t>和</w:t>
      </w:r>
      <w:r>
        <w:rPr>
          <w:rFonts w:ascii="宋体" w:hAnsi="宋体" w:cs="宋体" w:eastAsia="宋体" w:hint="default"/>
        </w:rPr>
        <w:t>14</w:t>
      </w:r>
      <w:r>
        <w:rPr/>
        <w:t>项直接或者间接控制的、或者担任董事、高级管理人员的，除本公司及其控股子公司以外的企业。</w:t>
      </w:r>
    </w:p>
    <w:p>
      <w:pPr>
        <w:spacing w:line="240" w:lineRule="auto" w:before="4"/>
        <w:rPr>
          <w:rFonts w:ascii="宋体" w:hAnsi="宋体" w:cs="宋体" w:eastAsia="宋体" w:hint="default"/>
          <w:sz w:val="20"/>
          <w:szCs w:val="20"/>
        </w:rPr>
      </w:pPr>
    </w:p>
    <w:p>
      <w:pPr>
        <w:pStyle w:val="Heading3"/>
        <w:spacing w:line="240" w:lineRule="auto"/>
        <w:ind w:right="94"/>
        <w:jc w:val="left"/>
        <w:rPr>
          <w:b w:val="0"/>
          <w:bCs w:val="0"/>
        </w:rPr>
      </w:pPr>
      <w:r>
        <w:rPr>
          <w:rFonts w:ascii="宋体" w:hAnsi="宋体" w:cs="宋体" w:eastAsia="宋体" w:hint="default"/>
        </w:rPr>
        <w:t>33</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94"/>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501" w:lineRule="auto" w:before="120"/>
        <w:ind w:left="152" w:right="8026" w:firstLine="0"/>
        <w:jc w:val="left"/>
        <w:rPr>
          <w:rFonts w:ascii="宋体" w:hAnsi="宋体" w:cs="宋体" w:eastAsia="宋体" w:hint="default"/>
          <w:sz w:val="21"/>
          <w:szCs w:val="21"/>
        </w:rPr>
      </w:pPr>
      <w:r>
        <w:rPr/>
        <w:pict>
          <v:group style="position:absolute;margin-left:418.51001pt;margin-top:125.449677pt;width:116.45pt;height:27pt;mso-position-horizontal-relative:page;mso-position-vertical-relative:paragraph;z-index:-1059016" coordorigin="8370,2509" coordsize="2329,540">
            <v:group style="position:absolute;left:8382;top:2521;width:2;height:394" coordorigin="8382,2521" coordsize="2,394">
              <v:shape style="position:absolute;left:8382;top:2521;width:2;height:394" coordorigin="8382,2521" coordsize="0,394" path="m8382,2521l8382,2915e" filled="false" stroked="true" strokeweight="1.2pt" strokecolor="#ffffff">
                <v:path arrowok="t"/>
              </v:shape>
            </v:group>
            <v:group style="position:absolute;left:8370;top:2915;width:2329;height:135" coordorigin="8370,2915" coordsize="2329,135">
              <v:shape style="position:absolute;left:8370;top:2915;width:2329;height:135" coordorigin="8370,2915" coordsize="2329,135" path="m8370,3049l10699,3049,10699,2915,8370,2915,8370,3049xe" filled="true" fillcolor="#ffffff" stroked="false">
                <v:path arrowok="t"/>
                <v:fill type="solid"/>
              </v:shape>
            </v:group>
            <v:group style="position:absolute;left:8394;top:2521;width:2283;height:394" coordorigin="8394,2521" coordsize="2283,394">
              <v:shape style="position:absolute;left:8394;top:2521;width:2283;height:394" coordorigin="8394,2521" coordsize="2283,394" path="m8394,2915l10677,2915,10677,2521,8394,2521,8394,2915xe" filled="true" fillcolor="#ffffff" stroked="false">
                <v:path arrowok="t"/>
                <v:fill type="solid"/>
              </v:shape>
            </v:group>
            <w10:wrap type="none"/>
          </v:group>
        </w:pict>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3191"/>
        <w:gridCol w:w="4042"/>
        <w:gridCol w:w="233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42"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2" w:type="dxa"/>
            <w:vMerge w:val="restart"/>
            <w:tcBorders>
              <w:top w:val="single" w:sz="4" w:space="0" w:color="000000"/>
              <w:left w:val="single" w:sz="12" w:space="0" w:color="D2D2D2"/>
              <w:right w:val="single" w:sz="4" w:space="0" w:color="000000"/>
            </w:tcBorders>
          </w:tcPr>
          <w:p>
            <w:pPr>
              <w:pStyle w:val="TableParagraph"/>
              <w:spacing w:line="314" w:lineRule="auto" w:before="51"/>
              <w:ind w:left="13" w:right="46"/>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 </w:t>
            </w:r>
            <w:r>
              <w:rPr>
                <w:rFonts w:ascii="宋体" w:hAnsi="宋体" w:cs="宋体" w:eastAsia="宋体" w:hint="default"/>
                <w:spacing w:val="-3"/>
                <w:sz w:val="18"/>
                <w:szCs w:val="18"/>
              </w:rPr>
              <w:t>计算销项税额，在扣除当期允许抵扣的进项税额后</w:t>
            </w:r>
          </w:p>
        </w:tc>
        <w:tc>
          <w:tcPr>
            <w:tcW w:w="2338" w:type="dxa"/>
            <w:tcBorders>
              <w:top w:val="single" w:sz="4" w:space="0" w:color="000000"/>
              <w:left w:val="single" w:sz="4" w:space="0" w:color="000000"/>
              <w:bottom w:val="nil" w:sz="6" w:space="0" w:color="auto"/>
              <w:right w:val="single" w:sz="4" w:space="0" w:color="000000"/>
            </w:tcBorders>
          </w:tcPr>
          <w:p>
            <w:pPr/>
          </w:p>
        </w:tc>
      </w:tr>
      <w:tr>
        <w:trPr>
          <w:trHeight w:val="53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042" w:type="dxa"/>
            <w:vMerge/>
            <w:tcBorders>
              <w:left w:val="single" w:sz="12" w:space="0" w:color="D2D2D2"/>
              <w:bottom w:val="single" w:sz="4" w:space="0" w:color="000000"/>
              <w:right w:val="single" w:sz="4" w:space="0" w:color="000000"/>
            </w:tcBorders>
          </w:tcPr>
          <w:p>
            <w:pPr/>
          </w:p>
        </w:tc>
        <w:tc>
          <w:tcPr>
            <w:tcW w:w="2338" w:type="dxa"/>
            <w:tcBorders>
              <w:top w:val="nil" w:sz="6" w:space="0" w:color="auto"/>
              <w:left w:val="single" w:sz="4" w:space="0" w:color="000000"/>
              <w:bottom w:val="single" w:sz="4" w:space="0" w:color="000000"/>
              <w:right w:val="single" w:sz="4" w:space="0" w:color="000000"/>
            </w:tcBorders>
          </w:tcPr>
          <w:p>
            <w:pPr>
              <w:pStyle w:val="TableParagraph"/>
              <w:spacing w:line="205" w:lineRule="exact" w:before="49"/>
              <w:ind w:left="24"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05" w:lineRule="exact"/>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r>
        <w:rPr/>
        <w:pict>
          <v:shape style="position:absolute;margin-left:313.369995pt;margin-top:262.465973pt;width:221.6pt;height:39.050pt;mso-position-horizontal-relative:page;mso-position-vertical-relative:page;z-index:-105896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北京联银通科技有限公司、</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91"/>
        <w:gridCol w:w="4042"/>
        <w:gridCol w:w="2338"/>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差额部分为应交增值税</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租赁收入、其他收入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实缴增值税、营业税</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母公司的应纳税所得额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弱电工程收入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实缴增值税、营业税</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实缴增值税、营业税</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3"/>
                <w:sz w:val="18"/>
                <w:szCs w:val="18"/>
              </w:rPr>
              <w:t>公司所属子公司</w:t>
            </w:r>
            <w:r>
              <w:rPr>
                <w:rFonts w:ascii="宋体" w:hAnsi="宋体" w:cs="宋体" w:eastAsia="宋体" w:hint="default"/>
                <w:spacing w:val="-3"/>
                <w:sz w:val="18"/>
                <w:szCs w:val="18"/>
              </w:rPr>
              <w:t>-</w:t>
            </w:r>
            <w:r>
              <w:rPr>
                <w:rFonts w:ascii="宋体" w:hAnsi="宋体" w:cs="宋体" w:eastAsia="宋体" w:hint="default"/>
                <w:spacing w:val="-3"/>
                <w:sz w:val="18"/>
                <w:szCs w:val="18"/>
              </w:rPr>
              <w:t>东华软件工程有限公司、西安东华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软件有限公司、天津东华博雅软件有限公司的应纳 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12.5%</w:t>
            </w:r>
          </w:p>
        </w:tc>
      </w:tr>
      <w:tr>
        <w:trPr>
          <w:trHeight w:val="196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公司所属子公司</w:t>
            </w:r>
            <w:r>
              <w:rPr>
                <w:rFonts w:ascii="宋体" w:hAnsi="宋体" w:cs="宋体" w:eastAsia="宋体" w:hint="default"/>
                <w:spacing w:val="-3"/>
                <w:sz w:val="18"/>
                <w:szCs w:val="18"/>
              </w:rPr>
              <w:t>-</w:t>
            </w:r>
            <w:r>
              <w:rPr>
                <w:rFonts w:ascii="宋体" w:hAnsi="宋体" w:cs="宋体" w:eastAsia="宋体" w:hint="default"/>
                <w:spacing w:val="-3"/>
                <w:sz w:val="18"/>
                <w:szCs w:val="18"/>
              </w:rPr>
              <w:t>泰安东华合创软件有限公司、北京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东华合创科技有限公司、 北京神州新桥科技有限公司、北京威锐达测控系统 有限公司、深圳至高通信技术发展有限公司；公司 </w:t>
            </w:r>
            <w:r>
              <w:rPr>
                <w:rFonts w:ascii="宋体" w:hAnsi="宋体" w:cs="宋体" w:eastAsia="宋体" w:hint="default"/>
                <w:spacing w:val="-3"/>
                <w:sz w:val="18"/>
                <w:szCs w:val="18"/>
              </w:rPr>
              <w:t>所属孙公司</w:t>
            </w:r>
            <w:r>
              <w:rPr>
                <w:rFonts w:ascii="宋体" w:hAnsi="宋体" w:cs="宋体" w:eastAsia="宋体" w:hint="default"/>
                <w:spacing w:val="-3"/>
                <w:sz w:val="18"/>
                <w:szCs w:val="18"/>
              </w:rPr>
              <w:t>-</w:t>
            </w:r>
            <w:r>
              <w:rPr>
                <w:rFonts w:ascii="宋体" w:hAnsi="宋体" w:cs="宋体" w:eastAsia="宋体" w:hint="default"/>
                <w:spacing w:val="-3"/>
                <w:sz w:val="18"/>
                <w:szCs w:val="18"/>
              </w:rPr>
              <w:t>深圳市至高信息技术有限公司、珠海市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发思特软件技术有限公司的应纳税所得额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116.45pt;height:39.050pt;mso-position-horizontal-relative:char;mso-position-vertical-relative:line" coordorigin="0,0" coordsize="2329,781">
                  <v:group style="position:absolute;left:0;top:0;width:2329;height:781" coordorigin="0,0" coordsize="2329,781">
                    <v:shape style="position:absolute;left:0;top:0;width:2329;height:781" coordorigin="0,0" coordsize="2329,781" path="m0,780l2328,780,2328,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sz w:val="18"/>
              </w:rPr>
              <w:t>15%</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5"/>
              <w:jc w:val="left"/>
              <w:rPr>
                <w:rFonts w:ascii="宋体" w:hAnsi="宋体" w:cs="宋体" w:eastAsia="宋体" w:hint="default"/>
                <w:sz w:val="18"/>
                <w:szCs w:val="18"/>
              </w:rPr>
            </w:pPr>
            <w:r>
              <w:rPr>
                <w:rFonts w:ascii="宋体" w:hAnsi="宋体" w:cs="宋体" w:eastAsia="宋体" w:hint="default"/>
                <w:sz w:val="18"/>
                <w:szCs w:val="18"/>
              </w:rPr>
              <w:t>公司所属孙公司</w:t>
            </w:r>
            <w:r>
              <w:rPr>
                <w:rFonts w:ascii="宋体" w:hAnsi="宋体" w:cs="宋体" w:eastAsia="宋体" w:hint="default"/>
                <w:sz w:val="18"/>
                <w:szCs w:val="18"/>
              </w:rPr>
              <w:t>-</w:t>
            </w:r>
            <w:r>
              <w:rPr>
                <w:rFonts w:ascii="宋体" w:hAnsi="宋体" w:cs="宋体" w:eastAsia="宋体" w:hint="default"/>
                <w:sz w:val="18"/>
                <w:szCs w:val="18"/>
              </w:rPr>
              <w:t>西安锐益达风电技术有限公司的 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12.5%</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5"/>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宋体" w:hAnsi="宋体" w:cs="宋体" w:eastAsia="宋体" w:hint="default"/>
                <w:sz w:val="18"/>
                <w:szCs w:val="18"/>
              </w:rPr>
              <w:t>-</w:t>
            </w:r>
            <w:r>
              <w:rPr>
                <w:rFonts w:ascii="宋体" w:hAnsi="宋体" w:cs="宋体" w:eastAsia="宋体" w:hint="default"/>
                <w:sz w:val="18"/>
                <w:szCs w:val="18"/>
              </w:rPr>
              <w:t>北京东华合创香港有限公司的应 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除上述公司外的其余公司的应纳税所得额</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25%</w:t>
            </w:r>
          </w:p>
        </w:tc>
      </w:tr>
    </w:tbl>
    <w:p>
      <w:pPr>
        <w:pStyle w:val="BodyText"/>
        <w:spacing w:line="240" w:lineRule="auto" w:before="49"/>
        <w:ind w:right="153"/>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2</w:t>
      </w:r>
      <w:r>
        <w:rPr/>
        <w:t>、税收优惠</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153"/>
        <w:jc w:val="left"/>
      </w:pPr>
      <w:r>
        <w:rPr>
          <w:rFonts w:ascii="宋体" w:hAnsi="宋体" w:cs="宋体" w:eastAsia="宋体" w:hint="default"/>
        </w:rPr>
        <w:t>(1)</w:t>
      </w:r>
      <w:r>
        <w:rPr/>
        <w:t>增值税</w:t>
      </w:r>
    </w:p>
    <w:p>
      <w:pPr>
        <w:pStyle w:val="BodyText"/>
        <w:spacing w:line="316" w:lineRule="auto" w:before="76"/>
        <w:ind w:right="159" w:firstLine="360"/>
        <w:jc w:val="both"/>
      </w:pPr>
      <w:r>
        <w:rPr/>
        <w:t>①根据财税</w:t>
      </w:r>
      <w:r>
        <w:rPr>
          <w:rFonts w:ascii="宋体" w:hAnsi="宋体" w:cs="宋体" w:eastAsia="宋体" w:hint="default"/>
        </w:rPr>
        <w:t>[2013]106</w:t>
      </w:r>
      <w:r>
        <w:rPr/>
        <w:t>号文件《营业税改征增值税试点过渡政策的规定》，试点纳税人提供技术转让、技术开发和与之 相关的技术咨询、技术服务免征增值税。公司及所属子公司从事上述业务取得的收入免征增值税。</w:t>
      </w:r>
    </w:p>
    <w:p>
      <w:pPr>
        <w:pStyle w:val="BodyText"/>
        <w:spacing w:line="319" w:lineRule="auto" w:before="19"/>
        <w:ind w:right="150" w:firstLine="360"/>
        <w:jc w:val="both"/>
      </w:pPr>
      <w:r>
        <w:rPr/>
        <w:t>②依据国务院下发的《国务院关于印发进一步鼓励软件产业和集成电路产业发展若干政策的通知》（国发</w:t>
      </w:r>
      <w:r>
        <w:rPr>
          <w:rFonts w:ascii="宋体" w:hAnsi="宋体" w:cs="宋体" w:eastAsia="宋体" w:hint="default"/>
        </w:rPr>
        <w:t>[2011]4</w:t>
      </w:r>
      <w:r>
        <w:rPr/>
        <w:t>号）</w:t>
      </w:r>
      <w:r>
        <w:rPr>
          <w:spacing w:val="-3"/>
        </w:rPr>
        <w:t> 的规定，以及财政部、国家税务总局联合下发的《财政部、国家税务总局关于软件产品增值税政策的通知》（财税</w:t>
      </w:r>
      <w:r>
        <w:rPr>
          <w:rFonts w:ascii="宋体" w:hAnsi="宋体" w:cs="宋体" w:eastAsia="宋体" w:hint="default"/>
          <w:spacing w:val="-3"/>
        </w:rPr>
        <w:t>[2011]100</w:t>
      </w:r>
      <w:r>
        <w:rPr>
          <w:rFonts w:ascii="宋体" w:hAnsi="宋体" w:cs="宋体" w:eastAsia="宋体" w:hint="default"/>
          <w:spacing w:val="-86"/>
        </w:rPr>
        <w:t> </w:t>
      </w:r>
      <w:r>
        <w:rPr>
          <w:rFonts w:ascii="宋体" w:hAnsi="宋体" w:cs="宋体" w:eastAsia="宋体" w:hint="default"/>
          <w:spacing w:val="-86"/>
        </w:rPr>
      </w:r>
      <w:r>
        <w:rPr/>
        <w:t>号）的规定，自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日起，公司及公司的所属子公司</w:t>
      </w:r>
      <w:r>
        <w:rPr>
          <w:rFonts w:ascii="宋体" w:hAnsi="宋体" w:cs="宋体" w:eastAsia="宋体" w:hint="default"/>
        </w:rPr>
        <w:t>-</w:t>
      </w:r>
      <w:r>
        <w:rPr/>
        <w:t>北京东华合创科技有限公司、东华软件工程有限公司、泰安东 </w:t>
      </w:r>
      <w:r>
        <w:rPr>
          <w:spacing w:val="-2"/>
        </w:rPr>
        <w:t>华合创软件有限公司、北京东华信息技术有限公司、西安东华软件有限公司、北京联银通科技有限公司、北京东华厚盾软件</w:t>
      </w:r>
      <w:r>
        <w:rPr>
          <w:spacing w:val="-65"/>
        </w:rPr>
        <w:t> </w:t>
      </w:r>
      <w:r>
        <w:rPr>
          <w:spacing w:val="-65"/>
        </w:rPr>
      </w:r>
      <w:r>
        <w:rPr/>
        <w:t>有限公司、东华合创软件有限公司、深圳至高通信技术发展有限公司，公司所属孙子公司</w:t>
      </w:r>
      <w:r>
        <w:rPr>
          <w:rFonts w:ascii="宋体" w:hAnsi="宋体" w:cs="宋体" w:eastAsia="宋体" w:hint="default"/>
        </w:rPr>
        <w:t>-</w:t>
      </w:r>
      <w:r>
        <w:rPr/>
        <w:t>西安锐益达风电技术有限公司、 珠海市发思特软件技术有限公司等公司销售自行开发生产的软件产品，按</w:t>
      </w:r>
      <w:r>
        <w:rPr>
          <w:rFonts w:ascii="宋体" w:hAnsi="宋体" w:cs="宋体" w:eastAsia="宋体" w:hint="default"/>
        </w:rPr>
        <w:t>17%</w:t>
      </w:r>
      <w:r>
        <w:rPr/>
        <w:t>的法定税率征收增值税后，享受增值税实际税 负超过</w:t>
      </w:r>
      <w:r>
        <w:rPr>
          <w:rFonts w:ascii="宋体" w:hAnsi="宋体" w:cs="宋体" w:eastAsia="宋体" w:hint="default"/>
        </w:rPr>
        <w:t>3%</w:t>
      </w:r>
      <w:r>
        <w:rPr/>
        <w:t>的部分实行即征即退的优惠政策。</w:t>
      </w:r>
    </w:p>
    <w:p>
      <w:pPr>
        <w:pStyle w:val="BodyText"/>
        <w:spacing w:line="240" w:lineRule="auto" w:before="17"/>
        <w:ind w:left="84" w:right="8188"/>
        <w:jc w:val="center"/>
      </w:pPr>
      <w:r>
        <w:rPr>
          <w:rFonts w:ascii="宋体" w:hAnsi="宋体" w:cs="宋体" w:eastAsia="宋体" w:hint="default"/>
        </w:rPr>
        <w:t>(2)</w:t>
      </w:r>
      <w:r>
        <w:rPr/>
        <w:t>企业所得税</w:t>
      </w:r>
    </w:p>
    <w:p>
      <w:pPr>
        <w:pStyle w:val="BodyText"/>
        <w:spacing w:line="316" w:lineRule="auto" w:before="76"/>
        <w:ind w:right="151" w:firstLine="360"/>
        <w:jc w:val="both"/>
      </w:pPr>
      <w:r>
        <w:rPr>
          <w:spacing w:val="-2"/>
        </w:rPr>
        <w:t>①公司通过了</w:t>
      </w:r>
      <w:r>
        <w:rPr>
          <w:rFonts w:ascii="宋体" w:hAnsi="宋体" w:cs="宋体" w:eastAsia="宋体" w:hint="default"/>
          <w:spacing w:val="-2"/>
        </w:rPr>
        <w:t>2014</w:t>
      </w:r>
      <w:r>
        <w:rPr>
          <w:spacing w:val="-2"/>
        </w:rPr>
        <w:t>年高新技术企业复审，并收到北京市科学技术委员会、北京市财政局、北京市国家税务局、北京市地</w:t>
      </w:r>
      <w:r>
        <w:rPr/>
        <w:t> 方税务局联合下发的高新技术企业证书，证书编号：</w:t>
      </w:r>
      <w:r>
        <w:rPr>
          <w:rFonts w:ascii="宋体" w:hAnsi="宋体" w:cs="宋体" w:eastAsia="宋体" w:hint="default"/>
        </w:rPr>
        <w:t>GF201411002855</w:t>
      </w:r>
      <w:r>
        <w:rPr>
          <w:rFonts w:ascii="宋体" w:hAnsi="宋体" w:cs="宋体" w:eastAsia="宋体" w:hint="default"/>
          <w:spacing w:val="-3"/>
        </w:rPr>
        <w:t> </w:t>
      </w:r>
      <w:r>
        <w:rPr/>
        <w:t>，有效期三年。根据相关规定，通过高新技术企业复 </w:t>
      </w:r>
      <w:r>
        <w:rPr>
          <w:spacing w:val="-2"/>
        </w:rPr>
        <w:t>审后，自</w:t>
      </w:r>
      <w:r>
        <w:rPr>
          <w:rFonts w:ascii="宋体" w:hAnsi="宋体" w:cs="宋体" w:eastAsia="宋体" w:hint="default"/>
          <w:spacing w:val="-2"/>
        </w:rPr>
        <w:t>2014</w:t>
      </w:r>
      <w:r>
        <w:rPr>
          <w:spacing w:val="-2"/>
        </w:rPr>
        <w:t>年起，连续三年继续享受国家关于高新技术企业的相关优惠政策。另外，公司已经进行</w:t>
      </w:r>
      <w:r>
        <w:rPr>
          <w:rFonts w:ascii="宋体" w:hAnsi="宋体" w:cs="宋体" w:eastAsia="宋体" w:hint="default"/>
          <w:spacing w:val="-2"/>
        </w:rPr>
        <w:t>2015</w:t>
      </w:r>
      <w:r>
        <w:rPr>
          <w:spacing w:val="-2"/>
        </w:rPr>
        <w:t>年度国家规划布局</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78"/>
        <w:jc w:val="left"/>
      </w:pPr>
      <w:r>
        <w:rPr>
          <w:spacing w:val="-6"/>
        </w:rPr>
        <w:t>内重点软件企业企业所得税优惠事项备案，根据《财政部、国家税务总局关于企业所得税若干优惠政策的通知》（财税</w:t>
      </w:r>
      <w:r>
        <w:rPr>
          <w:rFonts w:ascii="宋体" w:hAnsi="宋体" w:cs="宋体" w:eastAsia="宋体" w:hint="default"/>
          <w:spacing w:val="-6"/>
        </w:rPr>
        <w:t>[2008]1</w:t>
      </w:r>
      <w:r>
        <w:rPr>
          <w:rFonts w:ascii="宋体" w:hAnsi="宋体" w:cs="宋体" w:eastAsia="宋体" w:hint="default"/>
        </w:rPr>
        <w:t> </w:t>
      </w:r>
      <w:r>
        <w:rPr/>
        <w:t>号）的规定，公司</w:t>
      </w:r>
      <w:r>
        <w:rPr>
          <w:rFonts w:ascii="宋体" w:hAnsi="宋体" w:cs="宋体" w:eastAsia="宋体" w:hint="default"/>
        </w:rPr>
        <w:t>2015</w:t>
      </w:r>
      <w:r>
        <w:rPr/>
        <w:t>年度减按</w:t>
      </w:r>
      <w:r>
        <w:rPr>
          <w:rFonts w:ascii="宋体" w:hAnsi="宋体" w:cs="宋体" w:eastAsia="宋体" w:hint="default"/>
        </w:rPr>
        <w:t>10%</w:t>
      </w:r>
      <w:r>
        <w:rPr/>
        <w:t>的税率缴纳企业所得税。</w:t>
      </w:r>
    </w:p>
    <w:p>
      <w:pPr>
        <w:pStyle w:val="BodyText"/>
        <w:spacing w:line="316" w:lineRule="auto" w:before="17"/>
        <w:ind w:right="105" w:firstLine="360"/>
        <w:jc w:val="both"/>
      </w:pPr>
      <w:r>
        <w:rPr/>
        <w:t>②公司所属子公司</w:t>
      </w:r>
      <w:r>
        <w:rPr>
          <w:rFonts w:ascii="宋体" w:hAnsi="宋体" w:cs="宋体" w:eastAsia="宋体" w:hint="default"/>
        </w:rPr>
        <w:t>-</w:t>
      </w:r>
      <w:r>
        <w:rPr/>
        <w:t>东华软件工程有限公司于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24</w:t>
      </w:r>
      <w:r>
        <w:rPr/>
        <w:t>日被认定为软件企业，根据《财政部、国家税务总局关于企 业所得税若干优惠政策的通知》（财税〔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号）的规定，我国境内新办软件生产企业经认定后，自获利年度起，第一 年和第二年免征企业所得税，第三年至第五年减半征收企业所得税。东华软件工程有限公司</w:t>
      </w:r>
      <w:r>
        <w:rPr>
          <w:rFonts w:ascii="宋体" w:hAnsi="宋体" w:cs="宋体" w:eastAsia="宋体" w:hint="default"/>
        </w:rPr>
        <w:t>2015</w:t>
      </w:r>
      <w:r>
        <w:rPr/>
        <w:t>年度减半征收企业所得税。</w:t>
      </w:r>
    </w:p>
    <w:p>
      <w:pPr>
        <w:pStyle w:val="BodyText"/>
        <w:spacing w:line="316" w:lineRule="auto" w:before="19"/>
        <w:ind w:right="188" w:firstLine="360"/>
        <w:jc w:val="both"/>
      </w:pPr>
      <w:r>
        <w:rPr/>
        <w:t>③公司所属子公司</w:t>
      </w:r>
      <w:r>
        <w:rPr>
          <w:rFonts w:ascii="宋体" w:hAnsi="宋体" w:cs="宋体" w:eastAsia="宋体" w:hint="default"/>
        </w:rPr>
        <w:t>-</w:t>
      </w:r>
      <w:r>
        <w:rPr/>
        <w:t>泰安东华合创软件有限公司</w:t>
      </w:r>
      <w:r>
        <w:rPr>
          <w:rFonts w:ascii="宋体" w:hAnsi="宋体" w:cs="宋体" w:eastAsia="宋体" w:hint="default"/>
        </w:rPr>
        <w:t>2013</w:t>
      </w:r>
      <w:r>
        <w:rPr/>
        <w:t>年被认定为高新技术企业，并收到山东省科学技术厅、山东省财政 </w:t>
      </w:r>
      <w:r>
        <w:rPr>
          <w:spacing w:val="-2"/>
        </w:rPr>
        <w:t>厅、山东省国家税务局、山东省地方税务局联合下发的高新技术企业证书，证书编号：</w:t>
      </w:r>
      <w:r>
        <w:rPr>
          <w:rFonts w:ascii="宋体" w:hAnsi="宋体" w:cs="宋体" w:eastAsia="宋体" w:hint="default"/>
          <w:spacing w:val="-2"/>
        </w:rPr>
        <w:t>GR201337000487</w:t>
      </w:r>
      <w:r>
        <w:rPr>
          <w:spacing w:val="-2"/>
        </w:rPr>
        <w:t>，有效期三年。根据</w:t>
      </w:r>
      <w:r>
        <w:rPr>
          <w:spacing w:val="-57"/>
        </w:rPr>
        <w:t> </w:t>
      </w:r>
      <w:r>
        <w:rPr>
          <w:spacing w:val="-57"/>
        </w:rPr>
      </w:r>
      <w:r>
        <w:rPr>
          <w:spacing w:val="-3"/>
        </w:rPr>
        <w:t>相关规定，通过高新技术企业认定后，自</w:t>
      </w:r>
      <w:r>
        <w:rPr>
          <w:rFonts w:ascii="宋体" w:hAnsi="宋体" w:cs="宋体" w:eastAsia="宋体" w:hint="default"/>
          <w:spacing w:val="-3"/>
        </w:rPr>
        <w:t>2013</w:t>
      </w:r>
      <w:r>
        <w:rPr>
          <w:spacing w:val="-3"/>
        </w:rPr>
        <w:t>年起，连续三年享受国家关于高新技术企业的相关优惠政策，企业所得税按</w:t>
      </w:r>
      <w:r>
        <w:rPr>
          <w:rFonts w:ascii="宋体" w:hAnsi="宋体" w:cs="宋体" w:eastAsia="宋体" w:hint="default"/>
          <w:spacing w:val="-3"/>
        </w:rPr>
        <w:t>15%</w:t>
      </w:r>
      <w:r>
        <w:rPr>
          <w:rFonts w:ascii="宋体" w:hAnsi="宋体" w:cs="宋体" w:eastAsia="宋体" w:hint="default"/>
          <w:spacing w:val="1"/>
        </w:rPr>
        <w:t> </w:t>
      </w:r>
      <w:r>
        <w:rPr/>
        <w:t>的税率征收。</w:t>
      </w:r>
    </w:p>
    <w:p>
      <w:pPr>
        <w:pStyle w:val="BodyText"/>
        <w:spacing w:line="316" w:lineRule="auto" w:before="19"/>
        <w:ind w:right="194" w:firstLine="360"/>
        <w:jc w:val="both"/>
      </w:pPr>
      <w:r>
        <w:rPr/>
        <w:t>④公司所属子公司</w:t>
      </w:r>
      <w:r>
        <w:rPr>
          <w:rFonts w:ascii="宋体" w:hAnsi="宋体" w:cs="宋体" w:eastAsia="宋体" w:hint="default"/>
        </w:rPr>
        <w:t>-</w:t>
      </w:r>
      <w:r>
        <w:rPr/>
        <w:t>北京东华合创科技有限公司通过了</w:t>
      </w:r>
      <w:r>
        <w:rPr>
          <w:rFonts w:ascii="宋体" w:hAnsi="宋体" w:cs="宋体" w:eastAsia="宋体" w:hint="default"/>
        </w:rPr>
        <w:t>2014</w:t>
      </w:r>
      <w:r>
        <w:rPr/>
        <w:t>年高新技术企业复审，并收到北京市科学技术委员会、北京 市财政局、北京市国家税务局、北京市地方税务局联合下发的高新技术企业证书，证书编号：</w:t>
      </w:r>
      <w:r>
        <w:rPr>
          <w:rFonts w:ascii="宋体" w:hAnsi="宋体" w:cs="宋体" w:eastAsia="宋体" w:hint="default"/>
        </w:rPr>
        <w:t>GF201411003110</w:t>
      </w:r>
      <w:r>
        <w:rPr>
          <w:rFonts w:ascii="宋体" w:hAnsi="宋体" w:cs="宋体" w:eastAsia="宋体" w:hint="default"/>
          <w:spacing w:val="-2"/>
        </w:rPr>
        <w:t> </w:t>
      </w:r>
      <w:r>
        <w:rPr/>
        <w:t>，有效期三 </w:t>
      </w:r>
      <w:r>
        <w:rPr>
          <w:spacing w:val="-2"/>
        </w:rPr>
        <w:t>年。根据相关规定，通过高新技术企业复审后，自</w:t>
      </w:r>
      <w:r>
        <w:rPr>
          <w:rFonts w:ascii="宋体" w:hAnsi="宋体" w:cs="宋体" w:eastAsia="宋体" w:hint="default"/>
          <w:spacing w:val="-2"/>
        </w:rPr>
        <w:t>2014</w:t>
      </w:r>
      <w:r>
        <w:rPr>
          <w:spacing w:val="-2"/>
        </w:rPr>
        <w:t>年起，连续三年继续享受国家关于高新技术企业的相关优惠政策，企</w:t>
      </w:r>
      <w:r>
        <w:rPr>
          <w:spacing w:val="-65"/>
        </w:rPr>
        <w:t> </w:t>
      </w:r>
      <w:r>
        <w:rPr>
          <w:spacing w:val="-65"/>
        </w:rPr>
      </w:r>
      <w:r>
        <w:rPr/>
        <w:t>业所得税按</w:t>
      </w:r>
      <w:r>
        <w:rPr>
          <w:rFonts w:ascii="宋体" w:hAnsi="宋体" w:cs="宋体" w:eastAsia="宋体" w:hint="default"/>
        </w:rPr>
        <w:t>15%</w:t>
      </w:r>
      <w:r>
        <w:rPr/>
        <w:t>的税率征收。</w:t>
      </w:r>
    </w:p>
    <w:p>
      <w:pPr>
        <w:pStyle w:val="BodyText"/>
        <w:spacing w:line="316" w:lineRule="auto" w:before="19"/>
        <w:ind w:right="189" w:firstLine="360"/>
        <w:jc w:val="both"/>
      </w:pPr>
      <w:r>
        <w:rPr/>
        <w:t>⑤公司所属子公司</w:t>
      </w:r>
      <w:r>
        <w:rPr>
          <w:rFonts w:ascii="宋体" w:hAnsi="宋体" w:cs="宋体" w:eastAsia="宋体" w:hint="default"/>
        </w:rPr>
        <w:t>-</w:t>
      </w:r>
      <w:r>
        <w:rPr/>
        <w:t>北京联银通科技有限公司通过了</w:t>
      </w:r>
      <w:r>
        <w:rPr>
          <w:rFonts w:ascii="宋体" w:hAnsi="宋体" w:cs="宋体" w:eastAsia="宋体" w:hint="default"/>
        </w:rPr>
        <w:t>2014</w:t>
      </w:r>
      <w:r>
        <w:rPr/>
        <w:t>年高新技术企业复审，并收到北京市科学技术委员会、北京市 </w:t>
      </w:r>
      <w:r>
        <w:rPr>
          <w:spacing w:val="-3"/>
        </w:rPr>
        <w:t>财政局、北京市国家税务局、北京市地方税务局联合下发的高新技术企业证书，证书编号：</w:t>
      </w:r>
      <w:r>
        <w:rPr>
          <w:rFonts w:ascii="宋体" w:hAnsi="宋体" w:cs="宋体" w:eastAsia="宋体" w:hint="default"/>
          <w:spacing w:val="-3"/>
        </w:rPr>
        <w:t>GF201411000781</w:t>
      </w:r>
      <w:r>
        <w:rPr>
          <w:rFonts w:ascii="宋体" w:hAnsi="宋体" w:cs="宋体" w:eastAsia="宋体" w:hint="default"/>
          <w:spacing w:val="15"/>
        </w:rPr>
        <w:t> </w:t>
      </w:r>
      <w:r>
        <w:rPr>
          <w:spacing w:val="-5"/>
        </w:rPr>
        <w:t>，有效期三年。</w:t>
      </w:r>
      <w:r>
        <w:rPr>
          <w:spacing w:val="-88"/>
        </w:rPr>
        <w:t> </w:t>
      </w:r>
      <w:r>
        <w:rPr>
          <w:spacing w:val="-88"/>
        </w:rPr>
      </w:r>
      <w:r>
        <w:rPr>
          <w:spacing w:val="-2"/>
        </w:rPr>
        <w:t>根据相关规定，通过高新技术企业复审后，自</w:t>
      </w:r>
      <w:r>
        <w:rPr>
          <w:rFonts w:ascii="宋体" w:hAnsi="宋体" w:cs="宋体" w:eastAsia="宋体" w:hint="default"/>
          <w:spacing w:val="-2"/>
        </w:rPr>
        <w:t>2014</w:t>
      </w:r>
      <w:r>
        <w:rPr>
          <w:spacing w:val="-2"/>
        </w:rPr>
        <w:t>年起，连续三年继续享受国家关于高新技术企业的相关优惠政策，企业所</w:t>
      </w:r>
      <w:r>
        <w:rPr>
          <w:spacing w:val="-60"/>
        </w:rPr>
        <w:t> </w:t>
      </w:r>
      <w:r>
        <w:rPr>
          <w:spacing w:val="-60"/>
        </w:rPr>
      </w:r>
      <w:r>
        <w:rPr/>
        <w:t>得税按</w:t>
      </w:r>
      <w:r>
        <w:rPr>
          <w:rFonts w:ascii="宋体" w:hAnsi="宋体" w:cs="宋体" w:eastAsia="宋体" w:hint="default"/>
        </w:rPr>
        <w:t>15%</w:t>
      </w:r>
      <w:r>
        <w:rPr/>
        <w:t>的税率征收。</w:t>
      </w:r>
    </w:p>
    <w:p>
      <w:pPr>
        <w:pStyle w:val="BodyText"/>
        <w:spacing w:line="316" w:lineRule="auto" w:before="19"/>
        <w:ind w:right="189" w:firstLine="360"/>
        <w:jc w:val="both"/>
      </w:pPr>
      <w:r>
        <w:rPr/>
        <w:t>⑥公司所属子公司</w:t>
      </w:r>
      <w:r>
        <w:rPr>
          <w:rFonts w:ascii="宋体" w:hAnsi="宋体" w:cs="宋体" w:eastAsia="宋体" w:hint="default"/>
        </w:rPr>
        <w:t>-</w:t>
      </w:r>
      <w:r>
        <w:rPr/>
        <w:t>北京神州新桥科技有限公司通过了</w:t>
      </w:r>
      <w:r>
        <w:rPr>
          <w:rFonts w:ascii="宋体" w:hAnsi="宋体" w:cs="宋体" w:eastAsia="宋体" w:hint="default"/>
        </w:rPr>
        <w:t>2014</w:t>
      </w:r>
      <w:r>
        <w:rPr/>
        <w:t>年高新技术企业复审，并收到北京市科学技术委员会、北京 </w:t>
      </w:r>
      <w:r>
        <w:rPr>
          <w:spacing w:val="-5"/>
        </w:rPr>
        <w:t>市财政局、北京市国家税务局、北京市地方税务局联合下发的高新技术企业证书，证书编号：</w:t>
      </w:r>
      <w:r>
        <w:rPr>
          <w:rFonts w:ascii="宋体" w:hAnsi="宋体" w:cs="宋体" w:eastAsia="宋体" w:hint="default"/>
          <w:spacing w:val="-5"/>
        </w:rPr>
        <w:t>GF201411002570</w:t>
      </w:r>
      <w:r>
        <w:rPr>
          <w:spacing w:val="-5"/>
        </w:rPr>
        <w:t>，有效期三年。</w:t>
      </w:r>
      <w:r>
        <w:rPr>
          <w:spacing w:val="-49"/>
        </w:rPr>
        <w:t> </w:t>
      </w:r>
      <w:r>
        <w:rPr>
          <w:spacing w:val="-49"/>
        </w:rPr>
      </w:r>
      <w:r>
        <w:rPr>
          <w:spacing w:val="-2"/>
        </w:rPr>
        <w:t>根据相关规定，通过高新技术企业复审后，自</w:t>
      </w:r>
      <w:r>
        <w:rPr>
          <w:rFonts w:ascii="宋体" w:hAnsi="宋体" w:cs="宋体" w:eastAsia="宋体" w:hint="default"/>
          <w:spacing w:val="-2"/>
        </w:rPr>
        <w:t>2014</w:t>
      </w:r>
      <w:r>
        <w:rPr>
          <w:spacing w:val="-2"/>
        </w:rPr>
        <w:t>年起，连续三年继续享受国家关于高新技术企业的相关优惠政策，企业所</w:t>
      </w:r>
      <w:r>
        <w:rPr>
          <w:spacing w:val="-60"/>
        </w:rPr>
        <w:t> </w:t>
      </w:r>
      <w:r>
        <w:rPr>
          <w:spacing w:val="-60"/>
        </w:rPr>
      </w:r>
      <w:r>
        <w:rPr/>
        <w:t>得税按</w:t>
      </w:r>
      <w:r>
        <w:rPr>
          <w:rFonts w:ascii="宋体" w:hAnsi="宋体" w:cs="宋体" w:eastAsia="宋体" w:hint="default"/>
        </w:rPr>
        <w:t>15%</w:t>
      </w:r>
      <w:r>
        <w:rPr/>
        <w:t>的税率征收。</w:t>
      </w:r>
    </w:p>
    <w:p>
      <w:pPr>
        <w:pStyle w:val="BodyText"/>
        <w:spacing w:line="316" w:lineRule="auto" w:before="19"/>
        <w:ind w:right="193" w:firstLine="360"/>
        <w:jc w:val="both"/>
      </w:pPr>
      <w:r>
        <w:rPr/>
        <w:t>⑦公司所属子公司</w:t>
      </w:r>
      <w:r>
        <w:rPr>
          <w:rFonts w:ascii="宋体" w:hAnsi="宋体" w:cs="宋体" w:eastAsia="宋体" w:hint="default"/>
        </w:rPr>
        <w:t>-</w:t>
      </w:r>
      <w:r>
        <w:rPr/>
        <w:t>北京威锐达测控系统有限公司通过了</w:t>
      </w:r>
      <w:r>
        <w:rPr>
          <w:rFonts w:ascii="宋体" w:hAnsi="宋体" w:cs="宋体" w:eastAsia="宋体" w:hint="default"/>
        </w:rPr>
        <w:t>2014</w:t>
      </w:r>
      <w:r>
        <w:rPr/>
        <w:t>年高新技术企业认证，并收到北京市科学技术委员会、北 </w:t>
      </w:r>
      <w:r>
        <w:rPr>
          <w:spacing w:val="-2"/>
        </w:rPr>
        <w:t>京市财政局、北京市国家税务局、北京市地方税务局联合下发的高新技术企业证书，证书编号：</w:t>
      </w:r>
      <w:r>
        <w:rPr>
          <w:rFonts w:ascii="宋体" w:hAnsi="宋体" w:cs="宋体" w:eastAsia="宋体" w:hint="default"/>
          <w:spacing w:val="-2"/>
        </w:rPr>
        <w:t>GR201411002284</w:t>
      </w:r>
      <w:r>
        <w:rPr>
          <w:spacing w:val="-2"/>
        </w:rPr>
        <w:t>，有效期三</w:t>
      </w:r>
      <w:r>
        <w:rPr>
          <w:spacing w:val="-57"/>
        </w:rPr>
        <w:t> </w:t>
      </w:r>
      <w:r>
        <w:rPr>
          <w:spacing w:val="-57"/>
        </w:rPr>
      </w:r>
      <w:r>
        <w:rPr>
          <w:spacing w:val="-2"/>
        </w:rPr>
        <w:t>年。根据相关规定，通过高新技术企业复审后，自</w:t>
      </w:r>
      <w:r>
        <w:rPr>
          <w:rFonts w:ascii="宋体" w:hAnsi="宋体" w:cs="宋体" w:eastAsia="宋体" w:hint="default"/>
          <w:spacing w:val="-2"/>
        </w:rPr>
        <w:t>2014</w:t>
      </w:r>
      <w:r>
        <w:rPr>
          <w:spacing w:val="-2"/>
        </w:rPr>
        <w:t>年起，连续三年享受国家关于高新技术企业的相关优惠政策，企业所</w:t>
      </w:r>
      <w:r>
        <w:rPr>
          <w:spacing w:val="-65"/>
        </w:rPr>
        <w:t> </w:t>
      </w:r>
      <w:r>
        <w:rPr>
          <w:spacing w:val="-65"/>
        </w:rPr>
      </w:r>
      <w:r>
        <w:rPr/>
        <w:t>得税按</w:t>
      </w:r>
      <w:r>
        <w:rPr>
          <w:rFonts w:ascii="宋体" w:hAnsi="宋体" w:cs="宋体" w:eastAsia="宋体" w:hint="default"/>
        </w:rPr>
        <w:t>15%</w:t>
      </w:r>
      <w:r>
        <w:rPr/>
        <w:t>的税率征收。</w:t>
      </w:r>
    </w:p>
    <w:p>
      <w:pPr>
        <w:pStyle w:val="BodyText"/>
        <w:spacing w:line="316" w:lineRule="auto" w:before="19"/>
        <w:ind w:right="189" w:firstLine="360"/>
        <w:jc w:val="both"/>
      </w:pPr>
      <w:r>
        <w:rPr>
          <w:spacing w:val="-2"/>
        </w:rPr>
        <w:t>⑧公司所属子公司</w:t>
      </w:r>
      <w:r>
        <w:rPr>
          <w:rFonts w:ascii="宋体" w:hAnsi="宋体" w:cs="宋体" w:eastAsia="宋体" w:hint="default"/>
          <w:spacing w:val="-2"/>
        </w:rPr>
        <w:t>-</w:t>
      </w:r>
      <w:r>
        <w:rPr>
          <w:spacing w:val="-2"/>
        </w:rPr>
        <w:t>西安东华软件有限公司于</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日被认定为软件企业，根据《财政部、国家税务总局关于企业</w:t>
      </w:r>
      <w:r>
        <w:rPr/>
        <w:t> 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号）的规定，我国境内新办软件生产企业经认定后，自获利年度起，第一年 和第二年免征企业所得税，第三年至第五年减半征收企业所得税。西安东华软件有限公司</w:t>
      </w:r>
      <w:r>
        <w:rPr>
          <w:rFonts w:ascii="宋体" w:hAnsi="宋体" w:cs="宋体" w:eastAsia="宋体" w:hint="default"/>
        </w:rPr>
        <w:t>2015</w:t>
      </w:r>
      <w:r>
        <w:rPr/>
        <w:t>年度减半征收企业所得税。</w:t>
      </w:r>
    </w:p>
    <w:p>
      <w:pPr>
        <w:pStyle w:val="BodyText"/>
        <w:spacing w:line="316" w:lineRule="auto" w:before="19"/>
        <w:ind w:right="94" w:firstLine="360"/>
        <w:jc w:val="left"/>
      </w:pPr>
      <w:r>
        <w:rPr/>
        <w:t>⑨公司所属子公司</w:t>
      </w:r>
      <w:r>
        <w:rPr>
          <w:rFonts w:ascii="宋体" w:hAnsi="宋体" w:cs="宋体" w:eastAsia="宋体" w:hint="default"/>
        </w:rPr>
        <w:t>-</w:t>
      </w:r>
      <w:r>
        <w:rPr/>
        <w:t>天津东华博雅软件有限公司于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30</w:t>
      </w:r>
      <w:r>
        <w:rPr/>
        <w:t>日经天津市滨海高新技术产业开发区国家税务局审核批 </w:t>
      </w:r>
      <w:r>
        <w:rPr>
          <w:spacing w:val="-2"/>
        </w:rPr>
        <w:t>准，享受新办软件企业</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日免征企业所得税，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日企业所得税减半征</w:t>
      </w:r>
      <w:r>
        <w:rPr>
          <w:spacing w:val="-47"/>
        </w:rPr>
        <w:t> </w:t>
      </w:r>
      <w:r>
        <w:rPr/>
        <w:t>收的优惠政策。</w:t>
      </w:r>
    </w:p>
    <w:p>
      <w:pPr>
        <w:pStyle w:val="BodyText"/>
        <w:spacing w:line="316" w:lineRule="auto" w:before="19"/>
        <w:ind w:right="190" w:firstLine="360"/>
        <w:jc w:val="both"/>
      </w:pPr>
      <w:r>
        <w:rPr/>
        <w:t>⑩公司所属孙公司</w:t>
      </w:r>
      <w:r>
        <w:rPr>
          <w:rFonts w:ascii="宋体" w:hAnsi="宋体" w:cs="宋体" w:eastAsia="宋体" w:hint="default"/>
        </w:rPr>
        <w:t>-</w:t>
      </w:r>
      <w:r>
        <w:rPr/>
        <w:t>西安锐益达风电技术有限公司于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6</w:t>
      </w:r>
      <w:r>
        <w:rPr/>
        <w:t>日被认定为软件企业，根据《财政部、国家税务总局关 于企业所得税若干优惠政策的通知》（财税〔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 </w:t>
      </w:r>
      <w:r>
        <w:rPr>
          <w:spacing w:val="-5"/>
        </w:rPr>
        <w:t>第一年和第二年免征企业所得税，第三年至第五年减半征收企业所得税。根据西安高新技术产业开发区国家税务局下发的《企</w:t>
      </w:r>
      <w:r>
        <w:rPr>
          <w:spacing w:val="-76"/>
        </w:rPr>
        <w:t> </w:t>
      </w:r>
      <w:r>
        <w:rPr>
          <w:spacing w:val="-76"/>
        </w:rPr>
      </w:r>
      <w:r>
        <w:rPr/>
        <w:t>业所得税优惠政策备案通知书》（西高国税备字</w:t>
      </w:r>
      <w:r>
        <w:rPr>
          <w:rFonts w:ascii="宋体" w:hAnsi="宋体" w:cs="宋体" w:eastAsia="宋体" w:hint="default"/>
        </w:rPr>
        <w:t>[2014]012</w:t>
      </w:r>
      <w:r>
        <w:rPr/>
        <w:t>号），西安锐益达风电技术有限公司</w:t>
      </w:r>
      <w:r>
        <w:rPr>
          <w:rFonts w:ascii="宋体" w:hAnsi="宋体" w:cs="宋体" w:eastAsia="宋体" w:hint="default"/>
        </w:rPr>
        <w:t>2015</w:t>
      </w:r>
      <w:r>
        <w:rPr/>
        <w:t>年度减半征收企业所得 税。</w:t>
      </w:r>
    </w:p>
    <w:p>
      <w:pPr>
        <w:pStyle w:val="BodyText"/>
        <w:spacing w:line="319" w:lineRule="auto" w:before="19"/>
        <w:ind w:right="192" w:firstLine="360"/>
        <w:jc w:val="both"/>
      </w:pPr>
      <w:r>
        <w:rPr/>
        <w:t>（</w:t>
      </w:r>
      <w:r>
        <w:rPr>
          <w:rFonts w:ascii="宋体" w:hAnsi="宋体" w:cs="宋体" w:eastAsia="宋体" w:hint="default"/>
        </w:rPr>
        <w:t>11</w:t>
      </w:r>
      <w:r>
        <w:rPr/>
        <w:t>）公司所属子公司</w:t>
      </w:r>
      <w:r>
        <w:rPr>
          <w:rFonts w:ascii="宋体" w:hAnsi="宋体" w:cs="宋体" w:eastAsia="宋体" w:hint="default"/>
        </w:rPr>
        <w:t>-</w:t>
      </w:r>
      <w:r>
        <w:rPr/>
        <w:t>深圳至高通信技术发展有限公司通过了</w:t>
      </w:r>
      <w:r>
        <w:rPr>
          <w:rFonts w:ascii="宋体" w:hAnsi="宋体" w:cs="宋体" w:eastAsia="宋体" w:hint="default"/>
        </w:rPr>
        <w:t>2015</w:t>
      </w:r>
      <w:r>
        <w:rPr/>
        <w:t>年高新技术企业认证，并收到深圳市科技创新委员 </w:t>
      </w:r>
      <w:r>
        <w:rPr>
          <w:spacing w:val="-8"/>
        </w:rPr>
        <w:t>会、深圳市财政局委员会、深圳市国家税务局、深圳市地方税务局联合颁发的高新技术企业证书，证书编号：</w:t>
      </w:r>
      <w:r>
        <w:rPr>
          <w:rFonts w:ascii="宋体" w:hAnsi="宋体" w:cs="宋体" w:eastAsia="宋体" w:hint="default"/>
          <w:spacing w:val="-8"/>
        </w:rPr>
        <w:t>GR201544201284</w:t>
      </w:r>
      <w:r>
        <w:rPr>
          <w:spacing w:val="-8"/>
        </w:rPr>
        <w:t>，</w:t>
      </w:r>
      <w:r>
        <w:rPr>
          <w:spacing w:val="-35"/>
        </w:rPr>
        <w:t> </w:t>
      </w:r>
      <w:r>
        <w:rPr>
          <w:spacing w:val="-5"/>
        </w:rPr>
        <w:t>有效期三年。根据相关规定，通过高新技术企业复审后，自</w:t>
      </w:r>
      <w:r>
        <w:rPr>
          <w:rFonts w:ascii="宋体" w:hAnsi="宋体" w:cs="宋体" w:eastAsia="宋体" w:hint="default"/>
          <w:spacing w:val="-5"/>
        </w:rPr>
        <w:t>2015</w:t>
      </w:r>
      <w:r>
        <w:rPr>
          <w:spacing w:val="-5"/>
        </w:rPr>
        <w:t>年起，连续三年享受国家关于高新技术企业的相关优惠政策，</w:t>
      </w:r>
      <w:r>
        <w:rPr>
          <w:spacing w:val="-69"/>
        </w:rPr>
        <w:t> </w:t>
      </w:r>
      <w:r>
        <w:rPr>
          <w:spacing w:val="-69"/>
        </w:rPr>
      </w:r>
      <w:r>
        <w:rPr/>
        <w:t>企业所得税按</w:t>
      </w:r>
      <w:r>
        <w:rPr>
          <w:rFonts w:ascii="宋体" w:hAnsi="宋体" w:cs="宋体" w:eastAsia="宋体" w:hint="default"/>
        </w:rPr>
        <w:t>15%</w:t>
      </w:r>
      <w:r>
        <w:rPr/>
        <w:t>的税率征收。</w:t>
      </w:r>
    </w:p>
    <w:p>
      <w:pPr>
        <w:pStyle w:val="BodyText"/>
        <w:spacing w:line="316" w:lineRule="auto" w:before="17"/>
        <w:ind w:right="189" w:firstLine="343"/>
        <w:jc w:val="both"/>
      </w:pPr>
      <w:r>
        <w:rPr>
          <w:spacing w:val="-2"/>
        </w:rPr>
        <w:t>（</w:t>
      </w:r>
      <w:r>
        <w:rPr>
          <w:rFonts w:ascii="宋体" w:hAnsi="宋体" w:cs="宋体" w:eastAsia="宋体" w:hint="default"/>
          <w:spacing w:val="-2"/>
        </w:rPr>
        <w:t>12</w:t>
      </w:r>
      <w:r>
        <w:rPr>
          <w:spacing w:val="-2"/>
        </w:rPr>
        <w:t>）依据财政部、国家税务总局下发的《财政部、国家税务总局关于广东横琴新区福建平潭综合实验区深圳前海深港</w:t>
      </w:r>
      <w:r>
        <w:rPr/>
        <w:t> </w:t>
      </w:r>
      <w:r>
        <w:rPr>
          <w:spacing w:val="-2"/>
        </w:rPr>
        <w:t>现代服务业合作区企业所得税优惠政策及优惠目录的通知》（财税</w:t>
      </w:r>
      <w:r>
        <w:rPr>
          <w:rFonts w:ascii="宋体" w:hAnsi="宋体" w:cs="宋体" w:eastAsia="宋体" w:hint="default"/>
          <w:spacing w:val="-2"/>
        </w:rPr>
        <w:t>[2014]26</w:t>
      </w:r>
      <w:r>
        <w:rPr>
          <w:spacing w:val="-2"/>
        </w:rPr>
        <w:t>号）的规定，对设在横琴新区、平潭综合实验区</w:t>
      </w:r>
      <w:r>
        <w:rPr>
          <w:spacing w:val="-59"/>
        </w:rPr>
        <w:t> </w:t>
      </w:r>
      <w:r>
        <w:rPr>
          <w:spacing w:val="-59"/>
        </w:rPr>
      </w:r>
      <w:r>
        <w:rPr/>
        <w:t>和前海深港现代服务业合作区的鼓励类产业企业减按</w:t>
      </w:r>
      <w:r>
        <w:rPr>
          <w:spacing w:val="14"/>
        </w:rPr>
        <w:t> </w:t>
      </w:r>
      <w:r>
        <w:rPr>
          <w:rFonts w:ascii="宋体" w:hAnsi="宋体" w:cs="宋体" w:eastAsia="宋体" w:hint="default"/>
          <w:spacing w:val="-3"/>
        </w:rPr>
        <w:t>15</w:t>
      </w:r>
      <w:r>
        <w:rPr>
          <w:spacing w:val="-3"/>
        </w:rPr>
        <w:t>％的税率征收企业所得税。公司所属孙公司</w:t>
      </w:r>
      <w:r>
        <w:rPr>
          <w:rFonts w:ascii="宋体" w:hAnsi="宋体" w:cs="宋体" w:eastAsia="宋体" w:hint="default"/>
          <w:spacing w:val="-3"/>
        </w:rPr>
        <w:t>-</w:t>
      </w:r>
      <w:r>
        <w:rPr>
          <w:spacing w:val="-3"/>
        </w:rPr>
        <w:t>深圳市至高信息技术有</w:t>
      </w:r>
      <w:r>
        <w:rPr/>
        <w:t> 限公司，企业所得税按</w:t>
      </w:r>
      <w:r>
        <w:rPr>
          <w:rFonts w:ascii="宋体" w:hAnsi="宋体" w:cs="宋体" w:eastAsia="宋体" w:hint="default"/>
        </w:rPr>
        <w:t>15%</w:t>
      </w:r>
      <w:r>
        <w:rPr/>
        <w:t>的税率征收。</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3" w:firstLine="360"/>
        <w:jc w:val="both"/>
      </w:pPr>
      <w:r>
        <w:rPr/>
        <w:t>（</w:t>
      </w:r>
      <w:r>
        <w:rPr>
          <w:rFonts w:ascii="宋体" w:hAnsi="宋体" w:cs="宋体" w:eastAsia="宋体" w:hint="default"/>
        </w:rPr>
        <w:t>13</w:t>
      </w:r>
      <w:r>
        <w:rPr/>
        <w:t>）公司所属孙公司</w:t>
      </w:r>
      <w:r>
        <w:rPr>
          <w:rFonts w:ascii="宋体" w:hAnsi="宋体" w:cs="宋体" w:eastAsia="宋体" w:hint="default"/>
        </w:rPr>
        <w:t>-</w:t>
      </w:r>
      <w:r>
        <w:rPr/>
        <w:t>珠海市发思特软件技术有限公司通过了</w:t>
      </w:r>
      <w:r>
        <w:rPr>
          <w:rFonts w:ascii="宋体" w:hAnsi="宋体" w:cs="宋体" w:eastAsia="宋体" w:hint="default"/>
        </w:rPr>
        <w:t>2013</w:t>
      </w:r>
      <w:r>
        <w:rPr/>
        <w:t>年高新技术企业认证，并收到广东省科学技术厅、 </w:t>
      </w:r>
      <w:r>
        <w:rPr>
          <w:spacing w:val="-2"/>
        </w:rPr>
        <w:t>广东省财政厅、广东省国家税务局、广东省地方税务局联合下发的高新技术企业证书，证书编号：</w:t>
      </w:r>
      <w:r>
        <w:rPr>
          <w:rFonts w:ascii="宋体" w:hAnsi="宋体" w:cs="宋体" w:eastAsia="宋体" w:hint="default"/>
          <w:spacing w:val="-2"/>
        </w:rPr>
        <w:t>GR201344000602</w:t>
      </w:r>
      <w:r>
        <w:rPr>
          <w:spacing w:val="-2"/>
        </w:rPr>
        <w:t>，有效期</w:t>
      </w:r>
      <w:r>
        <w:rPr>
          <w:spacing w:val="-57"/>
        </w:rPr>
        <w:t> </w:t>
      </w:r>
      <w:r>
        <w:rPr>
          <w:spacing w:val="-57"/>
        </w:rPr>
      </w:r>
      <w:r>
        <w:rPr>
          <w:spacing w:val="-2"/>
        </w:rPr>
        <w:t>三年。根据相关规定，通过高新技术企业复审后，自</w:t>
      </w:r>
      <w:r>
        <w:rPr>
          <w:rFonts w:ascii="宋体" w:hAnsi="宋体" w:cs="宋体" w:eastAsia="宋体" w:hint="default"/>
          <w:spacing w:val="-2"/>
        </w:rPr>
        <w:t>2013</w:t>
      </w:r>
      <w:r>
        <w:rPr>
          <w:spacing w:val="-2"/>
        </w:rPr>
        <w:t>年起，连续三年享受国家关于高新技术企业的相关优惠政策，企业</w:t>
      </w:r>
      <w:r>
        <w:rPr>
          <w:spacing w:val="-65"/>
        </w:rPr>
        <w:t> </w:t>
      </w:r>
      <w:r>
        <w:rPr>
          <w:spacing w:val="-65"/>
        </w:rPr>
      </w:r>
      <w:r>
        <w:rPr/>
        <w:t>所得税按</w:t>
      </w:r>
      <w:r>
        <w:rPr>
          <w:rFonts w:ascii="宋体" w:hAnsi="宋体" w:cs="宋体" w:eastAsia="宋体" w:hint="default"/>
        </w:rPr>
        <w:t>15%</w:t>
      </w:r>
      <w:r>
        <w:rPr/>
        <w:t>的税率征收。</w:t>
      </w:r>
    </w:p>
    <w:p>
      <w:pPr>
        <w:pStyle w:val="BodyText"/>
        <w:spacing w:line="316" w:lineRule="auto" w:before="17"/>
        <w:ind w:right="159" w:firstLine="360"/>
        <w:jc w:val="both"/>
      </w:pPr>
      <w:r>
        <w:rPr/>
        <w:t>（</w:t>
      </w:r>
      <w:r>
        <w:rPr>
          <w:rFonts w:ascii="宋体" w:hAnsi="宋体" w:cs="宋体" w:eastAsia="宋体" w:hint="default"/>
        </w:rPr>
        <w:t>14</w:t>
      </w:r>
      <w:r>
        <w:rPr/>
        <w:t>）公司所属子公司</w:t>
      </w:r>
      <w:r>
        <w:rPr>
          <w:rFonts w:ascii="宋体" w:hAnsi="宋体" w:cs="宋体" w:eastAsia="宋体" w:hint="default"/>
        </w:rPr>
        <w:t>-</w:t>
      </w:r>
      <w:r>
        <w:rPr/>
        <w:t>北京东华合创香港有限公司系在中国香港特别行政区注册的企业，按照属地原则按规定缴纳企 业所得税，北京东华合创香港有限公司</w:t>
      </w:r>
      <w:r>
        <w:rPr>
          <w:rFonts w:ascii="宋体" w:hAnsi="宋体" w:cs="宋体" w:eastAsia="宋体" w:hint="default"/>
        </w:rPr>
        <w:t>2015</w:t>
      </w:r>
      <w:r>
        <w:rPr/>
        <w:t>年度所得税税率为</w:t>
      </w:r>
      <w:r>
        <w:rPr>
          <w:rFonts w:ascii="宋体" w:hAnsi="宋体" w:cs="宋体" w:eastAsia="宋体" w:hint="default"/>
        </w:rPr>
        <w:t>16.5%</w:t>
      </w:r>
      <w:r>
        <w:rPr/>
        <w:t>。</w:t>
      </w:r>
    </w:p>
    <w:p>
      <w:pPr>
        <w:spacing w:line="240" w:lineRule="auto" w:before="10"/>
        <w:rPr>
          <w:rFonts w:ascii="宋体" w:hAnsi="宋体" w:cs="宋体" w:eastAsia="宋体" w:hint="default"/>
          <w:sz w:val="22"/>
          <w:szCs w:val="22"/>
        </w:rPr>
      </w:pPr>
    </w:p>
    <w:p>
      <w:pPr>
        <w:spacing w:line="501" w:lineRule="auto" w:before="0"/>
        <w:ind w:left="152" w:right="688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32"/>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6,720,930.99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1,368,704.77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1,093,097,923.20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1,086,030,097.79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38,230,737.01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9,016,286.29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1,138,049,591.20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1,096,415,088.85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10,248,011.41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2,394,508.80</w:t>
            </w:r>
          </w:p>
        </w:tc>
      </w:tr>
    </w:tbl>
    <w:p>
      <w:pPr>
        <w:pStyle w:val="BodyText"/>
        <w:spacing w:line="360" w:lineRule="auto" w:before="49"/>
        <w:ind w:right="6894"/>
        <w:jc w:val="left"/>
      </w:pPr>
      <w:r>
        <w:rPr/>
        <w:pict>
          <v:shape style="position:absolute;margin-left:56.400002pt;margin-top:35.281723pt;width:482.75pt;height:127.1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7"/>
                    <w:gridCol w:w="2924"/>
                    <w:gridCol w:w="3260"/>
                  </w:tblGrid>
                  <w:tr>
                    <w:trPr>
                      <w:trHeight w:val="4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1,609,297.35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694,041.62</w:t>
                        </w:r>
                      </w:p>
                    </w:tc>
                  </w:tr>
                  <w:tr>
                    <w:trPr>
                      <w:trHeight w:val="4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17,435,062.60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8,000,000.00</w:t>
                        </w:r>
                      </w:p>
                    </w:tc>
                  </w:tr>
                  <w:tr>
                    <w:trPr>
                      <w:trHeight w:val="4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8,500,000.00</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质押的定期存款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10,000,000.00</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37,544,359.95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8,694,041.62</w:t>
                        </w:r>
                      </w:p>
                    </w:tc>
                  </w:tr>
                </w:tbl>
                <w:p>
                  <w:pPr/>
                </w:p>
              </w:txbxContent>
            </v:textbox>
            <w10:wrap type="none"/>
          </v:shape>
        </w:pict>
      </w:r>
      <w:r>
        <w:rPr/>
        <w:t>其他说明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before="36"/>
        <w:ind w:right="153"/>
        <w:jc w:val="left"/>
        <w:rPr>
          <w:b w:val="0"/>
          <w:bCs w:val="0"/>
        </w:rPr>
      </w:pPr>
      <w:r>
        <w:rPr>
          <w:rFonts w:ascii="宋体" w:hAnsi="宋体" w:cs="宋体" w:eastAsia="宋体" w:hint="default"/>
        </w:rPr>
        <w:t>2</w:t>
      </w:r>
      <w:r>
        <w:rPr/>
        <w:t>、以公允价值计量且其变动计入当期损益的金融资产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宋体" w:hAnsi="宋体" w:cs="宋体" w:eastAsia="宋体" w:hint="default"/>
        </w:rPr>
        <w:t>3</w:t>
      </w:r>
      <w:r>
        <w:rPr/>
        <w:t>、衍生金融资产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4</w:t>
      </w:r>
      <w:r>
        <w:rPr/>
        <w:t>、应收票据</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49,715,743.60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51,327,190.65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337,200.00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50,052,943.60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51,327,190.65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）期末公司已质押的应收票据</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26,058,520.00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26,058,520.00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3,753,1</w:t>
            </w:r>
          </w:p>
          <w:p>
            <w:pPr>
              <w:pStyle w:val="TableParagraph"/>
              <w:spacing w:line="240" w:lineRule="auto" w:before="76"/>
              <w:ind w:right="20"/>
              <w:jc w:val="right"/>
              <w:rPr>
                <w:rFonts w:ascii="宋体" w:hAnsi="宋体" w:cs="宋体" w:eastAsia="宋体" w:hint="default"/>
                <w:sz w:val="18"/>
                <w:szCs w:val="18"/>
              </w:rPr>
            </w:pPr>
            <w:r>
              <w:rPr>
                <w:rFonts w:ascii="宋体"/>
                <w:sz w:val="18"/>
              </w:rPr>
              <w:t>04,009.</w:t>
            </w:r>
          </w:p>
          <w:p>
            <w:pPr>
              <w:pStyle w:val="TableParagraph"/>
              <w:spacing w:line="240" w:lineRule="auto" w:before="76"/>
              <w:ind w:right="17"/>
              <w:jc w:val="right"/>
              <w:rPr>
                <w:rFonts w:ascii="宋体" w:hAnsi="宋体" w:cs="宋体" w:eastAsia="宋体" w:hint="default"/>
                <w:sz w:val="18"/>
                <w:szCs w:val="18"/>
              </w:rPr>
            </w:pPr>
            <w:r>
              <w:rPr>
                <w:rFonts w:ascii="宋体"/>
                <w:sz w:val="18"/>
              </w:rPr>
              <w:t>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167,866</w:t>
            </w:r>
          </w:p>
          <w:p>
            <w:pPr>
              <w:pStyle w:val="TableParagraph"/>
              <w:spacing w:line="240" w:lineRule="auto" w:before="76"/>
              <w:ind w:left="98" w:right="0"/>
              <w:jc w:val="left"/>
              <w:rPr>
                <w:rFonts w:ascii="宋体" w:hAnsi="宋体" w:cs="宋体" w:eastAsia="宋体" w:hint="default"/>
                <w:sz w:val="18"/>
                <w:szCs w:val="18"/>
              </w:rPr>
            </w:pPr>
            <w:r>
              <w:rPr>
                <w:rFonts w:ascii="宋体"/>
                <w:sz w:val="18"/>
              </w:rPr>
              <w:t>,033.38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0" w:right="0"/>
              <w:jc w:val="left"/>
              <w:rPr>
                <w:rFonts w:ascii="宋体" w:hAnsi="宋体" w:cs="宋体" w:eastAsia="宋体" w:hint="default"/>
                <w:sz w:val="18"/>
                <w:szCs w:val="18"/>
              </w:rPr>
            </w:pPr>
            <w:r>
              <w:rPr>
                <w:rFonts w:ascii="宋体"/>
                <w:sz w:val="18"/>
              </w:rPr>
              <w:t>4.47%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3,585,23</w:t>
            </w:r>
          </w:p>
          <w:p>
            <w:pPr>
              <w:pStyle w:val="TableParagraph"/>
              <w:spacing w:line="240" w:lineRule="auto" w:before="76"/>
              <w:ind w:left="35" w:right="0"/>
              <w:jc w:val="left"/>
              <w:rPr>
                <w:rFonts w:ascii="宋体" w:hAnsi="宋体" w:cs="宋体" w:eastAsia="宋体" w:hint="default"/>
                <w:sz w:val="18"/>
                <w:szCs w:val="18"/>
              </w:rPr>
            </w:pPr>
            <w:r>
              <w:rPr>
                <w:rFonts w:ascii="宋体"/>
                <w:sz w:val="18"/>
              </w:rPr>
              <w:t>7,976.11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3,056,</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359,21</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1.74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 w:right="0"/>
              <w:jc w:val="center"/>
              <w:rPr>
                <w:rFonts w:ascii="宋体" w:hAnsi="宋体" w:cs="宋体" w:eastAsia="宋体" w:hint="default"/>
                <w:sz w:val="18"/>
                <w:szCs w:val="18"/>
              </w:rPr>
            </w:pPr>
            <w:r>
              <w:rPr>
                <w:rFonts w:ascii="宋体"/>
                <w:sz w:val="18"/>
              </w:rPr>
              <w:t>104,272,</w:t>
            </w:r>
          </w:p>
          <w:p>
            <w:pPr>
              <w:pStyle w:val="TableParagraph"/>
              <w:spacing w:line="240" w:lineRule="auto" w:before="76"/>
              <w:ind w:left="221" w:right="0"/>
              <w:jc w:val="center"/>
              <w:rPr>
                <w:rFonts w:ascii="宋体" w:hAnsi="宋体" w:cs="宋体" w:eastAsia="宋体" w:hint="default"/>
                <w:sz w:val="18"/>
                <w:szCs w:val="18"/>
              </w:rPr>
            </w:pPr>
            <w:r>
              <w:rPr>
                <w:rFonts w:ascii="宋体"/>
                <w:sz w:val="18"/>
              </w:rPr>
              <w:t>652.89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49" w:right="0"/>
              <w:jc w:val="left"/>
              <w:rPr>
                <w:rFonts w:ascii="宋体" w:hAnsi="宋体" w:cs="宋体" w:eastAsia="宋体" w:hint="default"/>
                <w:sz w:val="18"/>
                <w:szCs w:val="18"/>
              </w:rPr>
            </w:pPr>
            <w:r>
              <w:rPr>
                <w:rFonts w:ascii="宋体"/>
                <w:sz w:val="18"/>
              </w:rPr>
              <w:t>3.41%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2,952,086</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,558.85</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3,753,1</w:t>
            </w:r>
          </w:p>
          <w:p>
            <w:pPr>
              <w:pStyle w:val="TableParagraph"/>
              <w:spacing w:line="240" w:lineRule="auto" w:before="74"/>
              <w:ind w:right="20"/>
              <w:jc w:val="right"/>
              <w:rPr>
                <w:rFonts w:ascii="宋体" w:hAnsi="宋体" w:cs="宋体" w:eastAsia="宋体" w:hint="default"/>
                <w:sz w:val="18"/>
                <w:szCs w:val="18"/>
              </w:rPr>
            </w:pPr>
            <w:r>
              <w:rPr>
                <w:rFonts w:ascii="宋体"/>
                <w:sz w:val="18"/>
              </w:rPr>
              <w:t>04,009.</w:t>
            </w:r>
          </w:p>
          <w:p>
            <w:pPr>
              <w:pStyle w:val="TableParagraph"/>
              <w:spacing w:line="240" w:lineRule="auto" w:before="76"/>
              <w:ind w:right="17"/>
              <w:jc w:val="right"/>
              <w:rPr>
                <w:rFonts w:ascii="宋体" w:hAnsi="宋体" w:cs="宋体" w:eastAsia="宋体" w:hint="default"/>
                <w:sz w:val="18"/>
                <w:szCs w:val="18"/>
              </w:rPr>
            </w:pPr>
            <w:r>
              <w:rPr>
                <w:rFonts w:ascii="宋体"/>
                <w:sz w:val="18"/>
              </w:rPr>
              <w:t>49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167,866</w:t>
            </w:r>
          </w:p>
          <w:p>
            <w:pPr>
              <w:pStyle w:val="TableParagraph"/>
              <w:spacing w:line="240" w:lineRule="auto" w:before="74"/>
              <w:ind w:left="98" w:right="0"/>
              <w:jc w:val="left"/>
              <w:rPr>
                <w:rFonts w:ascii="宋体" w:hAnsi="宋体" w:cs="宋体" w:eastAsia="宋体" w:hint="default"/>
                <w:sz w:val="18"/>
                <w:szCs w:val="18"/>
              </w:rPr>
            </w:pPr>
            <w:r>
              <w:rPr>
                <w:rFonts w:ascii="宋体"/>
                <w:sz w:val="18"/>
              </w:rPr>
              <w:t>,033.38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4.47%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3,585,23</w:t>
            </w:r>
          </w:p>
          <w:p>
            <w:pPr>
              <w:pStyle w:val="TableParagraph"/>
              <w:spacing w:line="240" w:lineRule="auto" w:before="74"/>
              <w:ind w:left="35" w:right="0"/>
              <w:jc w:val="left"/>
              <w:rPr>
                <w:rFonts w:ascii="宋体" w:hAnsi="宋体" w:cs="宋体" w:eastAsia="宋体" w:hint="default"/>
                <w:sz w:val="18"/>
                <w:szCs w:val="18"/>
              </w:rPr>
            </w:pPr>
            <w:r>
              <w:rPr>
                <w:rFonts w:ascii="宋体"/>
                <w:sz w:val="18"/>
              </w:rPr>
              <w:t>7,976.11</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3,056,</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359,21</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1.74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 w:right="0"/>
              <w:jc w:val="center"/>
              <w:rPr>
                <w:rFonts w:ascii="宋体" w:hAnsi="宋体" w:cs="宋体" w:eastAsia="宋体" w:hint="default"/>
                <w:sz w:val="18"/>
                <w:szCs w:val="18"/>
              </w:rPr>
            </w:pPr>
            <w:r>
              <w:rPr>
                <w:rFonts w:ascii="宋体"/>
                <w:sz w:val="18"/>
              </w:rPr>
              <w:t>104,272,</w:t>
            </w:r>
          </w:p>
          <w:p>
            <w:pPr>
              <w:pStyle w:val="TableParagraph"/>
              <w:spacing w:line="240" w:lineRule="auto" w:before="74"/>
              <w:ind w:left="221" w:right="0"/>
              <w:jc w:val="center"/>
              <w:rPr>
                <w:rFonts w:ascii="宋体" w:hAnsi="宋体" w:cs="宋体" w:eastAsia="宋体" w:hint="default"/>
                <w:sz w:val="18"/>
                <w:szCs w:val="18"/>
              </w:rPr>
            </w:pPr>
            <w:r>
              <w:rPr>
                <w:rFonts w:ascii="宋体"/>
                <w:sz w:val="18"/>
              </w:rPr>
              <w:t>652.89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9" w:right="0"/>
              <w:jc w:val="left"/>
              <w:rPr>
                <w:rFonts w:ascii="宋体" w:hAnsi="宋体" w:cs="宋体" w:eastAsia="宋体" w:hint="default"/>
                <w:sz w:val="18"/>
                <w:szCs w:val="18"/>
              </w:rPr>
            </w:pPr>
            <w:r>
              <w:rPr>
                <w:rFonts w:ascii="宋体"/>
                <w:sz w:val="18"/>
              </w:rPr>
              <w:t>3.41%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2,952,086</w:t>
            </w:r>
          </w:p>
          <w:p>
            <w:pPr>
              <w:pStyle w:val="TableParagraph"/>
              <w:spacing w:line="240" w:lineRule="auto" w:before="74"/>
              <w:ind w:left="247" w:right="0"/>
              <w:jc w:val="center"/>
              <w:rPr>
                <w:rFonts w:ascii="宋体" w:hAnsi="宋体" w:cs="宋体" w:eastAsia="宋体" w:hint="default"/>
                <w:sz w:val="18"/>
                <w:szCs w:val="18"/>
              </w:rPr>
            </w:pPr>
            <w:r>
              <w:rPr>
                <w:rFonts w:ascii="宋体"/>
                <w:sz w:val="18"/>
              </w:rPr>
              <w:t>,558.85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期末单项金额重大并单项计提坏账准备的应收账款：</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360" w:lineRule="auto" w:before="44"/>
        <w:ind w:right="-2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4113" w:space="48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2,406,933,271.97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31,137,732.70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952,046,916.85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48,431,705.50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261,171,529.83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26,174,862.89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66,959,378.66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20,113,669.24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34,264,070.19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10,279,221.06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31,728,841.99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31,728,841.99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3,753,104,009.49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167,866,033.38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4.47%</w:t>
            </w:r>
          </w:p>
        </w:tc>
      </w:tr>
    </w:tbl>
    <w:p>
      <w:pPr>
        <w:pStyle w:val="BodyText"/>
        <w:spacing w:line="240" w:lineRule="auto" w:before="49"/>
        <w:ind w:right="153"/>
        <w:jc w:val="left"/>
      </w:pPr>
      <w:r>
        <w:rPr/>
        <w:t>确定该组合依据的说明：</w:t>
      </w:r>
    </w:p>
    <w:p>
      <w:pPr>
        <w:spacing w:line="240" w:lineRule="auto" w:before="0"/>
        <w:rPr>
          <w:rFonts w:ascii="宋体" w:hAnsi="宋体" w:cs="宋体" w:eastAsia="宋体" w:hint="default"/>
          <w:sz w:val="15"/>
          <w:szCs w:val="15"/>
        </w:rPr>
      </w:pPr>
    </w:p>
    <w:p>
      <w:pPr>
        <w:pStyle w:val="BodyText"/>
        <w:spacing w:line="314" w:lineRule="auto"/>
        <w:ind w:right="153" w:firstLine="420"/>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BodyText"/>
        <w:spacing w:line="240" w:lineRule="auto" w:before="140"/>
        <w:ind w:right="153"/>
        <w:jc w:val="left"/>
      </w:pPr>
      <w:r>
        <w:rPr/>
        <w:t>组合中，采用余额百分比法计提坏账准备的应收账款：</w:t>
      </w:r>
    </w:p>
    <w:p>
      <w:pPr>
        <w:pStyle w:val="BodyText"/>
        <w:spacing w:line="441" w:lineRule="auto" w:before="117"/>
        <w:ind w:left="573" w:right="7373" w:hanging="421"/>
        <w:jc w:val="left"/>
      </w:pPr>
      <w:r>
        <w:rPr/>
        <w:t>□ 适用 √</w:t>
      </w:r>
      <w:r>
        <w:rPr>
          <w:spacing w:val="3"/>
        </w:rPr>
        <w:t> </w:t>
      </w:r>
      <w:r>
        <w:rPr/>
        <w:t>不适用</w:t>
      </w:r>
      <w:r>
        <w:rPr/>
        <w:t> 确定该组合依据的说明：</w:t>
      </w:r>
    </w:p>
    <w:p>
      <w:pPr>
        <w:pStyle w:val="BodyText"/>
        <w:spacing w:line="316" w:lineRule="auto" w:before="43"/>
        <w:ind w:right="153" w:firstLine="420"/>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332" w:right="153"/>
        <w:jc w:val="left"/>
      </w:pPr>
      <w:r>
        <w:rPr/>
        <w:t>本期计提坏账准备金额</w:t>
      </w:r>
      <w:r>
        <w:rPr>
          <w:spacing w:val="-47"/>
        </w:rPr>
        <w:t> </w:t>
      </w:r>
      <w:r>
        <w:rPr>
          <w:rFonts w:ascii="宋体" w:hAnsi="宋体" w:cs="宋体" w:eastAsia="宋体" w:hint="default"/>
        </w:rPr>
        <w:t>51,320,468.73</w:t>
      </w:r>
      <w:r>
        <w:rPr>
          <w:rFonts w:ascii="宋体" w:hAnsi="宋体" w:cs="宋体" w:eastAsia="宋体" w:hint="default"/>
          <w:spacing w:val="-45"/>
        </w:rPr>
        <w:t> </w:t>
      </w:r>
      <w:r>
        <w:rPr/>
        <w:t>元；本期收回或转回坏账准备金额</w:t>
      </w:r>
      <w:r>
        <w:rPr>
          <w:spacing w:val="-48"/>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3" w:firstLine="420"/>
        <w:jc w:val="left"/>
      </w:pPr>
      <w:r>
        <w:rPr>
          <w:spacing w:val="3"/>
        </w:rPr>
        <w:t>本报告期按欠款方归集的期末余额前五名应收账款汇总金额</w:t>
      </w:r>
      <w:r>
        <w:rPr>
          <w:rFonts w:ascii="宋体" w:hAnsi="宋体" w:cs="宋体" w:eastAsia="宋体" w:hint="default"/>
          <w:spacing w:val="3"/>
        </w:rPr>
        <w:t>638,242,965.92</w:t>
      </w:r>
      <w:r>
        <w:rPr>
          <w:spacing w:val="3"/>
        </w:rPr>
        <w:t>元，占应收账款期末余额合计数的比例</w:t>
      </w:r>
      <w:r>
        <w:rPr>
          <w:spacing w:val="4"/>
        </w:rPr>
        <w:t> </w:t>
      </w:r>
      <w:r>
        <w:rPr>
          <w:rFonts w:ascii="宋体" w:hAnsi="宋体" w:cs="宋体" w:eastAsia="宋体" w:hint="default"/>
        </w:rPr>
        <w:t>17.01%</w:t>
      </w:r>
      <w:r>
        <w:rPr/>
        <w:t>，相应计提的坏账准备期末余额汇总金额</w:t>
      </w:r>
      <w:r>
        <w:rPr>
          <w:spacing w:val="-2"/>
        </w:rPr>
        <w:t> </w:t>
      </w:r>
      <w:r>
        <w:rPr>
          <w:rFonts w:ascii="宋体" w:hAnsi="宋体" w:cs="宋体" w:eastAsia="宋体" w:hint="default"/>
        </w:rPr>
        <w:t>21,130,118.31</w:t>
      </w:r>
      <w:r>
        <w:rPr/>
        <w:t>元。</w:t>
      </w:r>
    </w:p>
    <w:p>
      <w:pPr>
        <w:spacing w:after="0" w:line="316"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w:t>
      </w:r>
      <w:r>
        <w:rPr/>
        <w:t>、预付款项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351,216,343.51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157,713,440.61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81.12%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12,599,341.27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22,210,496.22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4,419,602.25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10,722,318.64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6,326,676.11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3,767,077.77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374,561,963.14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194,413,333.24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24"/>
          <w:szCs w:val="24"/>
        </w:rPr>
      </w:pPr>
    </w:p>
    <w:p>
      <w:pPr>
        <w:pStyle w:val="BodyText"/>
        <w:spacing w:line="240" w:lineRule="auto" w:before="44"/>
        <w:ind w:right="153"/>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36"/>
        <w:gridCol w:w="3507"/>
        <w:gridCol w:w="2096"/>
        <w:gridCol w:w="3401"/>
      </w:tblGrid>
      <w:tr>
        <w:trPr>
          <w:trHeight w:val="42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42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富通时代科技有限公司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2,282,107.00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北京瑞宝赛博技术有限公司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1,044,582.50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53"/>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558"/>
        <w:gridCol w:w="1702"/>
        <w:gridCol w:w="1277"/>
        <w:gridCol w:w="1277"/>
      </w:tblGrid>
      <w:tr>
        <w:trPr>
          <w:trHeight w:val="7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1"/>
              <w:ind w:left="81" w:right="34" w:hanging="46"/>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r>
              <w:rPr>
                <w:rFonts w:ascii="宋体" w:hAnsi="宋体" w:cs="宋体" w:eastAsia="宋体"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华为技术服务有限公司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35,987,322.94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z w:val="18"/>
              </w:rPr>
              <w:t>9.61%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迪堡金融设备有限公司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25,262,082.01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z w:val="18"/>
              </w:rPr>
              <w:t>6.74%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中电和瑞科技有限公司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19,889,360.00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right"/>
              <w:rPr>
                <w:rFonts w:ascii="宋体" w:hAnsi="宋体" w:cs="宋体" w:eastAsia="宋体" w:hint="default"/>
                <w:sz w:val="18"/>
                <w:szCs w:val="18"/>
              </w:rPr>
            </w:pPr>
            <w:r>
              <w:rPr>
                <w:rFonts w:ascii="宋体"/>
                <w:sz w:val="18"/>
              </w:rPr>
              <w:t>5.31%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深圳市三木实业有限公司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19,600,653.36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z w:val="18"/>
              </w:rPr>
              <w:t>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2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杭州华三通信技术有限公司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宋体" w:hAnsi="宋体" w:cs="宋体" w:eastAsia="宋体" w:hint="default"/>
                <w:sz w:val="18"/>
                <w:szCs w:val="18"/>
              </w:rPr>
            </w:pPr>
            <w:r>
              <w:rPr>
                <w:rFonts w:ascii="宋体"/>
                <w:spacing w:val="-1"/>
                <w:sz w:val="18"/>
              </w:rPr>
              <w:t>16,711,431.47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sz w:val="18"/>
              </w:rPr>
              <w:t>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117,450,849.78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spacing w:val="-1"/>
                <w:sz w:val="18"/>
              </w:rPr>
              <w:t>31.36%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6"/>
          <w:szCs w:val="6"/>
        </w:rPr>
      </w:pPr>
    </w:p>
    <w:p>
      <w:pPr>
        <w:pStyle w:val="BodyText"/>
        <w:spacing w:line="240" w:lineRule="auto" w:before="44"/>
        <w:ind w:right="153"/>
        <w:jc w:val="left"/>
      </w:pPr>
      <w:r>
        <w:rPr/>
        <w:t>注：其中</w:t>
      </w:r>
      <w:r>
        <w:rPr>
          <w:rFonts w:ascii="宋体" w:hAnsi="宋体" w:cs="宋体" w:eastAsia="宋体" w:hint="default"/>
        </w:rPr>
        <w:t>1</w:t>
      </w:r>
      <w:r>
        <w:rPr/>
        <w:t>年以内</w:t>
      </w:r>
      <w:r>
        <w:rPr>
          <w:rFonts w:ascii="宋体" w:hAnsi="宋体" w:cs="宋体" w:eastAsia="宋体" w:hint="default"/>
        </w:rPr>
        <w:t>35,901,247.54</w:t>
      </w:r>
      <w:r>
        <w:rPr/>
        <w:t>元，</w:t>
      </w:r>
      <w:r>
        <w:rPr>
          <w:rFonts w:ascii="宋体" w:hAnsi="宋体" w:cs="宋体" w:eastAsia="宋体" w:hint="default"/>
        </w:rPr>
        <w:t>1-2</w:t>
      </w:r>
      <w:r>
        <w:rPr/>
        <w:t>年</w:t>
      </w:r>
      <w:r>
        <w:rPr>
          <w:rFonts w:ascii="宋体" w:hAnsi="宋体" w:cs="宋体" w:eastAsia="宋体" w:hint="default"/>
        </w:rPr>
        <w:t>86,075.40</w:t>
      </w:r>
      <w:r>
        <w:rPr/>
        <w:t>元。</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7</w:t>
      </w:r>
      <w:r>
        <w:rPr/>
        <w:t>、应收利息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8</w:t>
      </w:r>
      <w:r>
        <w:rPr/>
        <w:t>、应收股利</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9</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7"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330,881</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,678.59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29,548,</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257.62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8.93%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301,333,</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420.97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265,73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4,857.</w:t>
            </w:r>
          </w:p>
          <w:p>
            <w:pPr>
              <w:pStyle w:val="TableParagraph"/>
              <w:spacing w:line="240" w:lineRule="auto" w:before="76"/>
              <w:ind w:right="17"/>
              <w:jc w:val="right"/>
              <w:rPr>
                <w:rFonts w:ascii="宋体" w:hAnsi="宋体" w:cs="宋体" w:eastAsia="宋体" w:hint="default"/>
                <w:sz w:val="18"/>
                <w:szCs w:val="18"/>
              </w:rPr>
            </w:pPr>
            <w:r>
              <w:rPr>
                <w:rFonts w:ascii="宋体"/>
                <w:sz w:val="18"/>
              </w:rPr>
              <w:t>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30,357,5</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45.01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11.42%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235,377,3</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12.94</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330,881</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,678.59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29,548,</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257.62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8.93%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301,333,</w:t>
            </w:r>
          </w:p>
          <w:p>
            <w:pPr>
              <w:pStyle w:val="TableParagraph"/>
              <w:spacing w:line="240" w:lineRule="auto" w:before="76"/>
              <w:ind w:left="195" w:right="0"/>
              <w:jc w:val="center"/>
              <w:rPr>
                <w:rFonts w:ascii="宋体" w:hAnsi="宋体" w:cs="宋体" w:eastAsia="宋体" w:hint="default"/>
                <w:sz w:val="18"/>
                <w:szCs w:val="18"/>
              </w:rPr>
            </w:pPr>
            <w:r>
              <w:rPr>
                <w:rFonts w:ascii="宋体"/>
                <w:sz w:val="18"/>
              </w:rPr>
              <w:t>420.97</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265,73</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4,857.</w:t>
            </w:r>
          </w:p>
          <w:p>
            <w:pPr>
              <w:pStyle w:val="TableParagraph"/>
              <w:spacing w:line="240" w:lineRule="auto" w:before="76"/>
              <w:ind w:right="17"/>
              <w:jc w:val="right"/>
              <w:rPr>
                <w:rFonts w:ascii="宋体" w:hAnsi="宋体" w:cs="宋体" w:eastAsia="宋体" w:hint="default"/>
                <w:sz w:val="18"/>
                <w:szCs w:val="18"/>
              </w:rPr>
            </w:pPr>
            <w:r>
              <w:rPr>
                <w:rFonts w:ascii="宋体"/>
                <w:sz w:val="18"/>
              </w:rPr>
              <w:t>95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30,357,5</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45.01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9" w:right="0"/>
              <w:jc w:val="left"/>
              <w:rPr>
                <w:rFonts w:ascii="宋体" w:hAnsi="宋体" w:cs="宋体" w:eastAsia="宋体" w:hint="default"/>
                <w:sz w:val="18"/>
                <w:szCs w:val="18"/>
              </w:rPr>
            </w:pPr>
            <w:r>
              <w:rPr>
                <w:rFonts w:ascii="宋体"/>
                <w:sz w:val="18"/>
              </w:rPr>
              <w:t>11.42%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235,377,3</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12.94</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57" w:lineRule="auto" w:before="117"/>
        <w:ind w:right="160"/>
        <w:jc w:val="left"/>
      </w:pPr>
      <w:r>
        <w:rPr/>
        <w:t>□ 适用 √</w:t>
      </w:r>
      <w:r>
        <w:rPr>
          <w:spacing w:val="3"/>
        </w:rPr>
        <w:t> </w:t>
      </w:r>
      <w:r>
        <w:rPr/>
        <w:t>不适用</w:t>
      </w:r>
      <w:r>
        <w:rPr/>
        <w:t> 组合中，按账龄分析法计提坏账准备的其他应收款：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473" w:space="4447"/>
            <w:col w:w="1030"/>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211,481,942.52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2,200,755.01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53,240,761.36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2,732,954.83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18,170,830.58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1,818,423.61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27,801,002.23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8,345,243.84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8,194,659.39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2,458,397.82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11,992,482.51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11,992,482.51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330,881,678.59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29,548,257.62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8.93%</w:t>
            </w:r>
          </w:p>
        </w:tc>
      </w:tr>
    </w:tbl>
    <w:p>
      <w:pPr>
        <w:pStyle w:val="BodyText"/>
        <w:spacing w:line="240" w:lineRule="auto" w:before="49"/>
        <w:ind w:right="153"/>
        <w:jc w:val="left"/>
      </w:pPr>
      <w:r>
        <w:rPr/>
        <w:t>确定该组合依据的说明：</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149"/>
        <w:jc w:val="left"/>
      </w:pPr>
      <w:r>
        <w:rPr>
          <w:spacing w:val="-2"/>
        </w:rPr>
        <w:t>已单独计提坏账准备的其他应收款除外，公司根据以前年度与之相同或相类似的、按账龄段划分的具有类似信用风险特征的</w:t>
      </w:r>
      <w:r>
        <w:rPr>
          <w:spacing w:val="-64"/>
        </w:rPr>
        <w:t> </w:t>
      </w:r>
      <w:r>
        <w:rPr>
          <w:spacing w:val="-64"/>
        </w:rPr>
      </w:r>
      <w:r>
        <w:rPr/>
        <w:t>其他应收款组合的实际损失率为基础，结合现时情况确定本期坏账准备的计提比例。 组合中，采用余额百分比法计提坏账准备的其他应收款：</w:t>
      </w:r>
    </w:p>
    <w:p>
      <w:pPr>
        <w:pStyle w:val="BodyText"/>
        <w:spacing w:line="360" w:lineRule="auto" w:before="41"/>
        <w:ind w:right="5634"/>
        <w:jc w:val="left"/>
      </w:pPr>
      <w:r>
        <w:rPr/>
        <w:t>□ 适用 √</w:t>
      </w:r>
      <w:r>
        <w:rPr>
          <w:spacing w:val="3"/>
        </w:rPr>
        <w:t> </w:t>
      </w:r>
      <w:r>
        <w:rPr/>
        <w:t>不适用</w:t>
      </w:r>
      <w:r>
        <w:rPr/>
        <w:t> 组合中，采用其他方法计提坏账准备的其他应收款：</w:t>
      </w:r>
    </w:p>
    <w:p>
      <w:pPr>
        <w:pStyle w:val="BodyText"/>
        <w:spacing w:line="240" w:lineRule="auto" w:before="27"/>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本期计提坏账准备金额</w:t>
      </w:r>
      <w:r>
        <w:rPr>
          <w:spacing w:val="-46"/>
        </w:rPr>
        <w:t> </w:t>
      </w:r>
      <w:r>
        <w:rPr>
          <w:rFonts w:ascii="宋体" w:hAnsi="宋体" w:cs="宋体" w:eastAsia="宋体" w:hint="default"/>
        </w:rPr>
        <w:t>0.00</w:t>
      </w:r>
      <w:r>
        <w:rPr>
          <w:rFonts w:ascii="宋体" w:hAnsi="宋体" w:cs="宋体" w:eastAsia="宋体" w:hint="default"/>
          <w:spacing w:val="-45"/>
        </w:rPr>
        <w:t> </w:t>
      </w:r>
      <w:r>
        <w:rPr/>
        <w:t>元；本期收回或转回坏账准备金额</w:t>
      </w:r>
      <w:r>
        <w:rPr>
          <w:spacing w:val="-46"/>
        </w:rPr>
        <w:t> </w:t>
      </w:r>
      <w:r>
        <w:rPr>
          <w:rFonts w:ascii="宋体" w:hAnsi="宋体" w:cs="宋体" w:eastAsia="宋体" w:hint="default"/>
        </w:rPr>
        <w:t>1,385,018.75</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103,802,890.56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101,263,558.09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89,310,608.47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55,432,999.53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105,062,837.92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88,901,794.46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32,705,341.64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20,136,505.87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330,881,678.59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265,734,857.95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首都医科大学附属 北京友谊医院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4,910,957.20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56,920.00</w:t>
            </w:r>
          </w:p>
          <w:p>
            <w:pPr>
              <w:pStyle w:val="TableParagraph"/>
              <w:spacing w:line="316" w:lineRule="auto" w:before="76"/>
              <w:ind w:left="23" w:right="251"/>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4,854,037.20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1.48%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243,271.06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3,426,336.90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34,263.37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山西省地方税务局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2,378,600.00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23,786.00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首都医科大学附属 北京地坛医院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2,316,300.40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19,980.00</w:t>
            </w:r>
          </w:p>
          <w:p>
            <w:pPr>
              <w:pStyle w:val="TableParagraph"/>
              <w:spacing w:line="316" w:lineRule="auto" w:before="76"/>
              <w:ind w:left="23" w:right="251"/>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 </w:t>
            </w:r>
            <w:r>
              <w:rPr>
                <w:rFonts w:ascii="宋体" w:hAnsi="宋体" w:cs="宋体" w:eastAsia="宋体" w:hint="default"/>
                <w:sz w:val="18"/>
                <w:szCs w:val="18"/>
              </w:rPr>
              <w:t>2,296,320.00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2,297,319.40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四川大学华西医院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49"/>
              <w:ind w:right="14"/>
              <w:jc w:val="right"/>
              <w:rPr>
                <w:rFonts w:ascii="宋体" w:hAnsi="宋体" w:cs="宋体" w:eastAsia="宋体" w:hint="default"/>
                <w:sz w:val="18"/>
                <w:szCs w:val="18"/>
              </w:rPr>
            </w:pPr>
            <w:r>
              <w:rPr>
                <w:rFonts w:ascii="宋体"/>
                <w:spacing w:val="-1"/>
                <w:sz w:val="18"/>
              </w:rPr>
              <w:t>15,132,194.50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3,228,639.83</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10</w:t>
      </w:r>
      <w:r>
        <w:rPr/>
        <w:t>、存货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111,493,785.23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1,690,505.38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109,803,279.85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17,951,979.67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17,951,979.67</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1,748,237,452.</w:t>
            </w:r>
          </w:p>
          <w:p>
            <w:pPr>
              <w:pStyle w:val="TableParagraph"/>
              <w:spacing w:line="240" w:lineRule="auto" w:before="76"/>
              <w:ind w:right="17"/>
              <w:jc w:val="right"/>
              <w:rPr>
                <w:rFonts w:ascii="宋体" w:hAnsi="宋体" w:cs="宋体" w:eastAsia="宋体" w:hint="default"/>
                <w:sz w:val="18"/>
                <w:szCs w:val="18"/>
              </w:rPr>
            </w:pPr>
            <w:r>
              <w:rPr>
                <w:rFonts w:ascii="宋体"/>
                <w:sz w:val="18"/>
              </w:rPr>
              <w:t>73</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1,748,237,452.</w:t>
            </w:r>
          </w:p>
          <w:p>
            <w:pPr>
              <w:pStyle w:val="TableParagraph"/>
              <w:spacing w:line="240" w:lineRule="auto" w:before="76"/>
              <w:ind w:right="17"/>
              <w:jc w:val="right"/>
              <w:rPr>
                <w:rFonts w:ascii="宋体" w:hAnsi="宋体" w:cs="宋体" w:eastAsia="宋体" w:hint="default"/>
                <w:sz w:val="18"/>
                <w:szCs w:val="18"/>
              </w:rPr>
            </w:pPr>
            <w:r>
              <w:rPr>
                <w:rFonts w:ascii="宋体"/>
                <w:sz w:val="18"/>
              </w:rPr>
              <w:t>73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1,090,587,984.</w:t>
            </w:r>
          </w:p>
          <w:p>
            <w:pPr>
              <w:pStyle w:val="TableParagraph"/>
              <w:spacing w:line="240" w:lineRule="auto" w:before="76"/>
              <w:ind w:right="19"/>
              <w:jc w:val="right"/>
              <w:rPr>
                <w:rFonts w:ascii="宋体" w:hAnsi="宋体" w:cs="宋体" w:eastAsia="宋体" w:hint="default"/>
                <w:sz w:val="18"/>
                <w:szCs w:val="18"/>
              </w:rPr>
            </w:pPr>
            <w:r>
              <w:rPr>
                <w:rFonts w:ascii="宋体"/>
                <w:sz w:val="18"/>
              </w:rPr>
              <w:t>52</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1,090,587,984.</w:t>
            </w:r>
          </w:p>
          <w:p>
            <w:pPr>
              <w:pStyle w:val="TableParagraph"/>
              <w:spacing w:line="240" w:lineRule="auto" w:before="76"/>
              <w:ind w:right="19"/>
              <w:jc w:val="right"/>
              <w:rPr>
                <w:rFonts w:ascii="宋体" w:hAnsi="宋体" w:cs="宋体" w:eastAsia="宋体" w:hint="default"/>
                <w:sz w:val="18"/>
                <w:szCs w:val="18"/>
              </w:rPr>
            </w:pPr>
            <w:r>
              <w:rPr>
                <w:rFonts w:ascii="宋体"/>
                <w:sz w:val="18"/>
              </w:rPr>
              <w:t>52</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vMerge/>
            <w:tcBorders>
              <w:left w:val="single" w:sz="9" w:space="0" w:color="D2D2D2"/>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136,478,358.11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3,241,792.42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133,236,565.69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80,417,994.22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80,417,994.22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34,146,357.82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34,146,357.82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2,484,172.70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2,484,172.70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20,795,246.71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20,795,246.71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754,839.25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754,839.25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2,053,635,373.</w:t>
            </w:r>
          </w:p>
          <w:p>
            <w:pPr>
              <w:pStyle w:val="TableParagraph"/>
              <w:spacing w:line="240" w:lineRule="auto" w:before="74"/>
              <w:ind w:right="17"/>
              <w:jc w:val="right"/>
              <w:rPr>
                <w:rFonts w:ascii="宋体" w:hAnsi="宋体" w:cs="宋体" w:eastAsia="宋体" w:hint="default"/>
                <w:sz w:val="18"/>
                <w:szCs w:val="18"/>
              </w:rPr>
            </w:pPr>
            <w:r>
              <w:rPr>
                <w:rFonts w:ascii="宋体"/>
                <w:sz w:val="18"/>
              </w:rPr>
              <w:t>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4,932,297.80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2,048,703,075.</w:t>
            </w:r>
          </w:p>
          <w:p>
            <w:pPr>
              <w:pStyle w:val="TableParagraph"/>
              <w:spacing w:line="240" w:lineRule="auto" w:before="74"/>
              <w:ind w:right="17"/>
              <w:jc w:val="right"/>
              <w:rPr>
                <w:rFonts w:ascii="宋体" w:hAnsi="宋体" w:cs="宋体" w:eastAsia="宋体" w:hint="default"/>
                <w:sz w:val="18"/>
                <w:szCs w:val="18"/>
              </w:rPr>
            </w:pPr>
            <w:r>
              <w:rPr>
                <w:rFonts w:ascii="宋体"/>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1,189,712,797.</w:t>
            </w:r>
          </w:p>
          <w:p>
            <w:pPr>
              <w:pStyle w:val="TableParagraph"/>
              <w:spacing w:line="240" w:lineRule="auto" w:before="74"/>
              <w:ind w:right="19"/>
              <w:jc w:val="right"/>
              <w:rPr>
                <w:rFonts w:ascii="宋体" w:hAnsi="宋体" w:cs="宋体" w:eastAsia="宋体" w:hint="default"/>
                <w:sz w:val="18"/>
                <w:szCs w:val="18"/>
              </w:rPr>
            </w:pPr>
            <w:r>
              <w:rPr>
                <w:rFonts w:ascii="宋体"/>
                <w:sz w:val="18"/>
              </w:rPr>
              <w:t>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1,189,712,797.</w:t>
            </w:r>
          </w:p>
          <w:p>
            <w:pPr>
              <w:pStyle w:val="TableParagraph"/>
              <w:spacing w:line="240" w:lineRule="auto" w:before="74"/>
              <w:ind w:right="19"/>
              <w:jc w:val="right"/>
              <w:rPr>
                <w:rFonts w:ascii="宋体" w:hAnsi="宋体" w:cs="宋体" w:eastAsia="宋体" w:hint="default"/>
                <w:sz w:val="18"/>
                <w:szCs w:val="18"/>
              </w:rPr>
            </w:pPr>
            <w:r>
              <w:rPr>
                <w:rFonts w:ascii="宋体"/>
                <w:sz w:val="18"/>
              </w:rPr>
              <w:t>66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679"/>
        <w:gridCol w:w="1045"/>
        <w:gridCol w:w="1369"/>
        <w:gridCol w:w="1366"/>
        <w:gridCol w:w="1368"/>
        <w:gridCol w:w="1366"/>
        <w:gridCol w:w="1368"/>
      </w:tblGrid>
      <w:tr>
        <w:trPr>
          <w:trHeight w:val="204"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45"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1,036,345.16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997,868.48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343,708.26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1,690,505.38</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045"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45"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3,878,050.61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319,337.73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955,595.92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3,241,792.42</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045"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045"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z w:val="18"/>
                <w:szCs w:val="18"/>
              </w:rPr>
              <w:t>建造合同形成的已完 工未结算资产</w:t>
            </w:r>
          </w:p>
        </w:tc>
        <w:tc>
          <w:tcPr>
            <w:tcW w:w="1045"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034"/>
        <w:gridCol w:w="1369"/>
        <w:gridCol w:w="1366"/>
        <w:gridCol w:w="1368"/>
        <w:gridCol w:w="1366"/>
        <w:gridCol w:w="1368"/>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4,914,395.77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1,317,206.21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1,299,304.18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4,932,297.80</w:t>
            </w:r>
          </w:p>
        </w:tc>
      </w:tr>
    </w:tbl>
    <w:p>
      <w:pPr>
        <w:pStyle w:val="BodyText"/>
        <w:spacing w:line="240" w:lineRule="auto" w:before="49"/>
        <w:ind w:right="153"/>
        <w:jc w:val="left"/>
      </w:pPr>
      <w:r>
        <w:rPr/>
        <w:t>注：说明确定可变现净值的具体依据及本期转回或转销存货跌价准备的原因。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11</w:t>
      </w:r>
      <w:r>
        <w:rPr/>
        <w:t>、划分为持有待售的资产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12</w:t>
      </w:r>
      <w:r>
        <w:rPr/>
        <w:t>、一年内到期的非流动资产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13</w:t>
      </w:r>
      <w:r>
        <w:rPr/>
        <w:t>、其他流动资产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99,548,114.97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80,697,307.14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待退回企业所得税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82,615.15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1,488,317.87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99,630,730.12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102,185,625.01</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14</w:t>
      </w:r>
      <w:r>
        <w:rPr/>
        <w:t>、可供出售金融资产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2"/>
        <w:gridCol w:w="1352"/>
        <w:gridCol w:w="1198"/>
        <w:gridCol w:w="1421"/>
        <w:gridCol w:w="1274"/>
        <w:gridCol w:w="1117"/>
        <w:gridCol w:w="1366"/>
      </w:tblGrid>
      <w:tr>
        <w:trPr>
          <w:trHeight w:val="207"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vMerge/>
            <w:tcBorders>
              <w:left w:val="single" w:sz="4" w:space="0" w:color="000000"/>
              <w:bottom w:val="single" w:sz="4" w:space="0" w:color="000000"/>
              <w:right w:val="single" w:sz="4" w:space="0" w:color="000000"/>
            </w:tcBorders>
            <w:shd w:val="clear" w:color="auto" w:fill="D2D2D2"/>
          </w:tcPr>
          <w:p>
            <w:pPr/>
          </w:p>
        </w:tc>
        <w:tc>
          <w:tcPr>
            <w:tcW w:w="375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1,140,002,111.</w:t>
            </w:r>
          </w:p>
          <w:p>
            <w:pPr>
              <w:pStyle w:val="TableParagraph"/>
              <w:spacing w:line="240" w:lineRule="auto" w:before="76"/>
              <w:ind w:right="17"/>
              <w:jc w:val="right"/>
              <w:rPr>
                <w:rFonts w:ascii="宋体" w:hAnsi="宋体" w:cs="宋体" w:eastAsia="宋体" w:hint="default"/>
                <w:sz w:val="18"/>
                <w:szCs w:val="18"/>
              </w:rPr>
            </w:pPr>
            <w:r>
              <w:rPr>
                <w:rFonts w:ascii="宋体"/>
                <w:sz w:val="18"/>
              </w:rPr>
              <w:t>92</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sz w:val="18"/>
              </w:rPr>
              <w:t>3,285,503.25</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1,136,716,608.6</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383,436,101.6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3,285,503.2</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380,150,598.35</w:t>
            </w:r>
          </w:p>
        </w:tc>
      </w:tr>
      <w:tr>
        <w:trPr>
          <w:trHeight w:val="39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52" w:type="dxa"/>
            <w:vMerge/>
            <w:tcBorders>
              <w:left w:val="single" w:sz="9"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1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vMerge/>
            <w:tcBorders>
              <w:left w:val="single" w:sz="9"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sz w:val="18"/>
              </w:rPr>
              <w:t>864,985,111.92</w:t>
            </w:r>
          </w:p>
        </w:tc>
        <w:tc>
          <w:tcPr>
            <w:tcW w:w="1198" w:type="dxa"/>
            <w:vMerge w:val="restart"/>
            <w:tcBorders>
              <w:top w:val="single" w:sz="4" w:space="0" w:color="000000"/>
              <w:left w:val="single" w:sz="4" w:space="0" w:color="000000"/>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864,985,111.92</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368,419,101.6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1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368,419,101.60</w:t>
            </w:r>
          </w:p>
        </w:tc>
      </w:tr>
      <w:tr>
        <w:trPr>
          <w:trHeight w:val="391"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352" w:type="dxa"/>
            <w:vMerge/>
            <w:tcBorders>
              <w:left w:val="single" w:sz="9"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1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vMerge/>
            <w:tcBorders>
              <w:left w:val="single" w:sz="9"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1352"/>
        <w:gridCol w:w="1198"/>
        <w:gridCol w:w="1421"/>
        <w:gridCol w:w="1274"/>
        <w:gridCol w:w="1117"/>
        <w:gridCol w:w="1366"/>
      </w:tblGrid>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275,017,000.00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3,285,503.25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271,731,496.75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15,017,000.00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3,285,503.2</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11,731,496.75</w:t>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1,140,002,111.</w:t>
            </w:r>
          </w:p>
          <w:p>
            <w:pPr>
              <w:pStyle w:val="TableParagraph"/>
              <w:spacing w:line="240" w:lineRule="auto" w:before="74"/>
              <w:ind w:right="17"/>
              <w:jc w:val="right"/>
              <w:rPr>
                <w:rFonts w:ascii="宋体" w:hAnsi="宋体" w:cs="宋体" w:eastAsia="宋体" w:hint="default"/>
                <w:sz w:val="18"/>
                <w:szCs w:val="18"/>
              </w:rPr>
            </w:pPr>
            <w:r>
              <w:rPr>
                <w:rFonts w:ascii="宋体"/>
                <w:sz w:val="18"/>
              </w:rPr>
              <w:t>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3,285,503.25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1,136,716,608.6</w:t>
            </w:r>
          </w:p>
          <w:p>
            <w:pPr>
              <w:pStyle w:val="TableParagraph"/>
              <w:spacing w:line="240" w:lineRule="auto" w:before="74"/>
              <w:ind w:right="20"/>
              <w:jc w:val="right"/>
              <w:rPr>
                <w:rFonts w:ascii="宋体" w:hAnsi="宋体" w:cs="宋体" w:eastAsia="宋体" w:hint="default"/>
                <w:sz w:val="18"/>
                <w:szCs w:val="18"/>
              </w:rPr>
            </w:pPr>
            <w:r>
              <w:rPr>
                <w:rFonts w:ascii="宋体"/>
                <w:sz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383,436,101.6</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3,285,503.2</w:t>
            </w:r>
          </w:p>
          <w:p>
            <w:pPr>
              <w:pStyle w:val="TableParagraph"/>
              <w:spacing w:line="240" w:lineRule="auto" w:before="74"/>
              <w:ind w:right="23"/>
              <w:jc w:val="right"/>
              <w:rPr>
                <w:rFonts w:ascii="宋体" w:hAnsi="宋体" w:cs="宋体" w:eastAsia="宋体" w:hint="default"/>
                <w:sz w:val="18"/>
                <w:szCs w:val="18"/>
              </w:rPr>
            </w:pPr>
            <w:r>
              <w:rPr>
                <w:rFonts w:ascii="宋体"/>
                <w:sz w:val="18"/>
              </w:rPr>
              <w:t>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380,150,598.35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）期末按公允价值计量的可供出售金融资产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39,344,682.22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39,344,682.22</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864,985,111.92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864,985,111.92</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825,640,429.70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825,640,429.70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）期末按成本计量的可供出售金融资产</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150,000.0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150,000.0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139,729.8</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139,729.8</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9,867,000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9,867,000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4.53%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3,145,773</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.38</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3,145,773</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北京首创 金融资产 交易信息 服务股份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7"/>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sz w:val="18"/>
              </w:rPr>
              <w:t>10,000,00</w:t>
            </w:r>
          </w:p>
          <w:p>
            <w:pPr>
              <w:pStyle w:val="TableParagraph"/>
              <w:spacing w:line="240" w:lineRule="auto" w:before="77"/>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海南银行 股份有限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210,000,0</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210,000,0</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天津南大 通用数据 技术股份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40,000,00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40,000,00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6" w:right="0"/>
              <w:jc w:val="left"/>
              <w:rPr>
                <w:rFonts w:ascii="宋体" w:hAnsi="宋体" w:cs="宋体" w:eastAsia="宋体" w:hint="default"/>
                <w:sz w:val="18"/>
                <w:szCs w:val="18"/>
              </w:rPr>
            </w:pPr>
            <w:r>
              <w:rPr>
                <w:rFonts w:ascii="宋体"/>
                <w:sz w:val="18"/>
              </w:rPr>
              <w:t>1.83%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15,017,00</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260,000,0</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275,017,0</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3,285,503</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.25</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3,285,503</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.25</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15</w:t>
      </w:r>
      <w:r>
        <w:rPr/>
        <w:t>、持有至到期投资</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16</w:t>
      </w:r>
      <w:r>
        <w:rPr/>
        <w:t>、长期应收款</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17</w:t>
      </w:r>
      <w:r>
        <w:rPr/>
        <w:t>、长期股权投资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瑞客东华 转化医学 研究中心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宋体" w:hAnsi="宋体" w:cs="宋体" w:eastAsia="宋体" w:hint="default"/>
                <w:sz w:val="18"/>
                <w:szCs w:val="18"/>
              </w:rPr>
            </w:pPr>
            <w:r>
              <w:rPr>
                <w:rFonts w:ascii="宋体"/>
                <w:sz w:val="18"/>
              </w:rPr>
              <w:t>-591,555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608,444.</w:t>
            </w:r>
          </w:p>
          <w:p>
            <w:pPr>
              <w:pStyle w:val="TableParagraph"/>
              <w:spacing w:line="240" w:lineRule="auto" w:before="76"/>
              <w:ind w:right="19"/>
              <w:jc w:val="right"/>
              <w:rPr>
                <w:rFonts w:ascii="宋体" w:hAnsi="宋体" w:cs="宋体" w:eastAsia="宋体" w:hint="default"/>
                <w:sz w:val="18"/>
                <w:szCs w:val="18"/>
              </w:rPr>
            </w:pPr>
            <w:r>
              <w:rPr>
                <w:rFonts w:ascii="宋体"/>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-591,555</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608,444.</w:t>
            </w:r>
          </w:p>
          <w:p>
            <w:pPr>
              <w:pStyle w:val="TableParagraph"/>
              <w:spacing w:line="240" w:lineRule="auto" w:before="74"/>
              <w:ind w:right="19"/>
              <w:jc w:val="right"/>
              <w:rPr>
                <w:rFonts w:ascii="宋体" w:hAnsi="宋体" w:cs="宋体" w:eastAsia="宋体" w:hint="default"/>
                <w:sz w:val="18"/>
                <w:szCs w:val="18"/>
              </w:rPr>
            </w:pPr>
            <w:r>
              <w:rPr>
                <w:rFonts w:ascii="宋体"/>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1,200,00</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-591,555</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608,444.</w:t>
            </w:r>
          </w:p>
          <w:p>
            <w:pPr>
              <w:pStyle w:val="TableParagraph"/>
              <w:spacing w:line="240" w:lineRule="auto" w:before="77"/>
              <w:ind w:right="19"/>
              <w:jc w:val="right"/>
              <w:rPr>
                <w:rFonts w:ascii="宋体" w:hAnsi="宋体" w:cs="宋体" w:eastAsia="宋体" w:hint="default"/>
                <w:sz w:val="18"/>
                <w:szCs w:val="18"/>
              </w:rPr>
            </w:pPr>
            <w:r>
              <w:rPr>
                <w:rFonts w:ascii="宋体"/>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18</w:t>
      </w:r>
      <w:r>
        <w:rPr/>
        <w:t>、投资性房地产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19</w:t>
      </w:r>
      <w:r>
        <w:rPr/>
        <w:t>、固定资产</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131,171,000.67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1,057,111.77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18,652,638.86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699,538,485.28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850,419,236.58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5,702,159.14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3,468,365.00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31,890,755.93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41,061,280.07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1,977,076.14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3,204,180.00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27,903,642.50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33,084,898.64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3,725,083.00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264,185.00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3,987,113.43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7,976,381.43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952,899.00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3,573,642.91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4,526,541.91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952,899.00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240,736.93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1,193,635.93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3,332,905.98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3,332,905.98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131,171,000.67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6,759,270.91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21,168,104.86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727,855,598.30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886,953,974.74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37,358,846.78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905,821.20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12,103,663.64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268,344,565.74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318,712,897.36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6,222,425.14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1,585,712.91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2,228,550.01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115,584,275.22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125,620,963.28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6,222,425.14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573,099.33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2,034,311.55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113,390,010.99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122,219,847.01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1,012,613.58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194,238.46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2,194,264.23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3,401,116.27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647,487.33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226,931.19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874,418.52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647,487.33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226,931.19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874,418.52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43,581,271.92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2,491,534.11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13,684,726.32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383,701,909.77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443,459,442.12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87,589,728.75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4,267,736.80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7,483,378.54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344,153,688.53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443,494,532.62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93,812,153.89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151,290.57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6,548,975.22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431,193,919.54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531,706,339.22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）暂时闲置的固定资产情况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）通过融资租赁租入的固定资产情况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5</w:t>
      </w:r>
      <w:r>
        <w:rPr/>
        <w:t>）未办妥产权证书的固定资产情况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房屋建筑物（海南软件园房产）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0" w:right="0"/>
              <w:jc w:val="left"/>
              <w:rPr>
                <w:rFonts w:ascii="宋体" w:hAnsi="宋体" w:cs="宋体" w:eastAsia="宋体" w:hint="default"/>
                <w:sz w:val="18"/>
                <w:szCs w:val="18"/>
              </w:rPr>
            </w:pPr>
            <w:r>
              <w:rPr>
                <w:rFonts w:ascii="宋体"/>
                <w:sz w:val="18"/>
              </w:rPr>
              <w:t>9,485,416.67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20</w:t>
      </w:r>
      <w:r>
        <w:rPr/>
        <w:t>、在建工程</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30,578,045.94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30,578,045.94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22,110,496.83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22,110,496.83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SMT</w:t>
            </w:r>
            <w:r>
              <w:rPr>
                <w:rFonts w:ascii="宋体" w:hAnsi="宋体" w:cs="宋体" w:eastAsia="宋体" w:hint="default"/>
                <w:spacing w:val="-44"/>
                <w:sz w:val="18"/>
                <w:szCs w:val="18"/>
              </w:rPr>
              <w:t> </w:t>
            </w:r>
            <w:r>
              <w:rPr>
                <w:rFonts w:ascii="宋体" w:hAnsi="宋体" w:cs="宋体" w:eastAsia="宋体" w:hint="default"/>
                <w:sz w:val="18"/>
                <w:szCs w:val="18"/>
              </w:rPr>
              <w:t>生产线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4,442,389.00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4,442,389.00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35,020,434.94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35,020,434.94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22,110,496.83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22,110,496.83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4"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泰安东 华软件 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48,000,</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22,110,</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496.83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8,467,5</w:t>
            </w:r>
          </w:p>
          <w:p>
            <w:pPr>
              <w:pStyle w:val="TableParagraph"/>
              <w:spacing w:line="240" w:lineRule="auto" w:before="74"/>
              <w:ind w:left="228" w:right="0"/>
              <w:jc w:val="center"/>
              <w:rPr>
                <w:rFonts w:ascii="宋体" w:hAnsi="宋体" w:cs="宋体" w:eastAsia="宋体" w:hint="default"/>
                <w:sz w:val="18"/>
                <w:szCs w:val="18"/>
              </w:rPr>
            </w:pPr>
            <w:r>
              <w:rPr>
                <w:rFonts w:ascii="宋体"/>
                <w:sz w:val="18"/>
              </w:rPr>
              <w:t>49.11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30,578,</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045.94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139.00%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SMT</w:t>
            </w:r>
            <w:r>
              <w:rPr>
                <w:rFonts w:ascii="宋体" w:hAnsi="宋体" w:cs="宋体" w:eastAsia="宋体" w:hint="default"/>
                <w:spacing w:val="-44"/>
                <w:sz w:val="18"/>
                <w:szCs w:val="18"/>
              </w:rPr>
              <w:t> </w:t>
            </w:r>
            <w:r>
              <w:rPr>
                <w:rFonts w:ascii="宋体" w:hAnsi="宋体" w:cs="宋体" w:eastAsia="宋体" w:hint="default"/>
                <w:sz w:val="18"/>
                <w:szCs w:val="18"/>
              </w:rPr>
              <w:t>生产 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6,273,4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4,442,3</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4,442,3</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89.00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70.81%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54,273,</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400.00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22,110,</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496.83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12,909,</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938.11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35,020,</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434.94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）本期计提在建工程减值准备情况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21</w:t>
      </w:r>
      <w:r>
        <w:rPr/>
        <w:t>、工程物资</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22</w:t>
      </w:r>
      <w:r>
        <w:rPr/>
        <w:t>、固定资产清理</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23</w:t>
      </w:r>
      <w:r>
        <w:rPr/>
        <w:t>、生产性生物资产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24</w:t>
      </w:r>
      <w:r>
        <w:rPr/>
        <w:t>、油气资产</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25</w:t>
      </w:r>
      <w:r>
        <w:rPr/>
        <w:t>、无形资产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286"/>
        <w:gridCol w:w="1126"/>
        <w:gridCol w:w="1366"/>
        <w:gridCol w:w="1368"/>
        <w:gridCol w:w="1369"/>
        <w:gridCol w:w="1366"/>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3,508,276.67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5,520,000.00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197,560,794.78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4" w:right="0"/>
              <w:jc w:val="left"/>
              <w:rPr>
                <w:rFonts w:ascii="宋体" w:hAnsi="宋体" w:cs="宋体" w:eastAsia="宋体" w:hint="default"/>
                <w:sz w:val="18"/>
                <w:szCs w:val="18"/>
              </w:rPr>
            </w:pPr>
            <w:r>
              <w:rPr>
                <w:rFonts w:ascii="宋体"/>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206,590,071.45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109,024,933.05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109,024,933.05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center"/>
              <w:rPr>
                <w:rFonts w:ascii="宋体" w:hAnsi="宋体" w:cs="宋体" w:eastAsia="宋体" w:hint="default"/>
                <w:sz w:val="18"/>
                <w:szCs w:val="18"/>
              </w:rPr>
            </w:pPr>
            <w:r>
              <w:rPr>
                <w:rFonts w:ascii="宋体"/>
                <w:sz w:val="18"/>
              </w:rPr>
              <w:t>73,211,326.74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73,211,326.74</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26"/>
        <w:gridCol w:w="1366"/>
        <w:gridCol w:w="1368"/>
        <w:gridCol w:w="1369"/>
        <w:gridCol w:w="136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）内部研发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35,813,606.31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35,813,606.31</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3,508,276.67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306,585,727.83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315,615,004.50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551,468.12</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4,790,834.00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31,207,584.78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36,550,769.88</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70,400.16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400,000.08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56,627,050.63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57,097,550.83</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70,400.16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53,655,846.84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54,126,347.04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2,971,203.79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center"/>
              <w:rPr>
                <w:rFonts w:ascii="宋体" w:hAnsi="宋体" w:cs="宋体" w:eastAsia="宋体" w:hint="default"/>
                <w:sz w:val="18"/>
                <w:szCs w:val="18"/>
              </w:rPr>
            </w:pPr>
            <w:r>
              <w:rPr>
                <w:rFonts w:ascii="宋体"/>
                <w:sz w:val="18"/>
              </w:rPr>
              <w:t>2,971,203.79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621,868.28</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5,190,834.08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87,834,635.41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982.94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93,648,320.71</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2,886,408.39</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329,165.92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218,751,092.42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221,966,683.79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2,956,808.55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729,166.00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166,353,210.00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170,039,301.57</w:t>
            </w:r>
          </w:p>
        </w:tc>
      </w:tr>
    </w:tbl>
    <w:p>
      <w:pPr>
        <w:pStyle w:val="BodyText"/>
        <w:spacing w:line="240" w:lineRule="auto" w:before="49"/>
        <w:ind w:right="153"/>
        <w:jc w:val="left"/>
      </w:pPr>
      <w:r>
        <w:rPr/>
        <w:t>本期末通过公司内部研发形成的无形资产占无形资产余额的比例</w:t>
      </w:r>
      <w:r>
        <w:rPr>
          <w:spacing w:val="-43"/>
        </w:rPr>
        <w:t> </w:t>
      </w:r>
      <w:r>
        <w:rPr>
          <w:rFonts w:ascii="宋体" w:hAnsi="宋体" w:cs="宋体" w:eastAsia="宋体" w:hint="default"/>
        </w:rPr>
        <w:t>13.86%</w:t>
      </w:r>
      <w:r>
        <w:rPr/>
        <w:t>。</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）未办妥产权证书的土地使用权情况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26</w:t>
      </w:r>
      <w:r>
        <w:rPr/>
        <w:t>、开发支出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133"/>
        <w:gridCol w:w="1136"/>
        <w:gridCol w:w="850"/>
        <w:gridCol w:w="922"/>
        <w:gridCol w:w="1064"/>
        <w:gridCol w:w="1061"/>
        <w:gridCol w:w="1064"/>
        <w:gridCol w:w="1063"/>
      </w:tblGrid>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银行批量交易 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4,253,009.5</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3,904,163.9</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8,157,173.5</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金融业务处理 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3,069,817.5</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4,318,802.8</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7,388,620.4</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互动桌面产品</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638,333.46</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638,333.46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IDE</w:t>
            </w:r>
            <w:r>
              <w:rPr>
                <w:rFonts w:ascii="宋体" w:hAnsi="宋体" w:cs="宋体" w:eastAsia="宋体" w:hint="default"/>
                <w:spacing w:val="-44"/>
                <w:sz w:val="18"/>
                <w:szCs w:val="18"/>
              </w:rPr>
              <w:t> </w:t>
            </w:r>
            <w:r>
              <w:rPr>
                <w:rFonts w:ascii="宋体" w:hAnsi="宋体" w:cs="宋体" w:eastAsia="宋体" w:hint="default"/>
                <w:sz w:val="18"/>
                <w:szCs w:val="18"/>
              </w:rPr>
              <w:t>产品化研发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643,009.11</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643,009.11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ITMC</w:t>
            </w:r>
            <w:r>
              <w:rPr>
                <w:rFonts w:ascii="宋体" w:hAnsi="宋体" w:cs="宋体" w:eastAsia="宋体" w:hint="default"/>
                <w:spacing w:val="-43"/>
                <w:sz w:val="18"/>
                <w:szCs w:val="18"/>
              </w:rPr>
              <w:t> </w:t>
            </w:r>
            <w:r>
              <w:rPr>
                <w:rFonts w:ascii="宋体" w:hAnsi="宋体" w:cs="宋体" w:eastAsia="宋体" w:hint="default"/>
                <w:sz w:val="18"/>
                <w:szCs w:val="18"/>
              </w:rPr>
              <w:t>产品研发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935,455.37</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935,455.37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证券资金流通 服务平台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45,037.66</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45,037.66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智慧社区服务 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1,039,363.3</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1,039,363.3</w:t>
            </w:r>
          </w:p>
          <w:p>
            <w:pPr>
              <w:pStyle w:val="TableParagraph"/>
              <w:spacing w:line="240" w:lineRule="auto" w:before="76"/>
              <w:ind w:right="18"/>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电商运营支撑 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1,093,113.5</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1,093,113.5</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神州易购</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1,157,600.2</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1,157,600.2</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WindRDS</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375,791.59</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375,791.59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WindSVM</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242,000.68</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242,000.68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海南云教育平 台建设项目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20,172,990.</w:t>
            </w:r>
          </w:p>
          <w:p>
            <w:pPr>
              <w:pStyle w:val="TableParagraph"/>
              <w:spacing w:line="240" w:lineRule="auto" w:before="77"/>
              <w:ind w:right="19"/>
              <w:jc w:val="right"/>
              <w:rPr>
                <w:rFonts w:ascii="宋体" w:hAnsi="宋体" w:cs="宋体" w:eastAsia="宋体" w:hint="default"/>
                <w:sz w:val="18"/>
                <w:szCs w:val="18"/>
              </w:rPr>
            </w:pPr>
            <w:r>
              <w:rPr>
                <w:rFonts w:ascii="宋体"/>
                <w:sz w:val="18"/>
              </w:rPr>
              <w:t>87</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20,172,990.</w:t>
            </w:r>
          </w:p>
          <w:p>
            <w:pPr>
              <w:pStyle w:val="TableParagraph"/>
              <w:spacing w:line="240" w:lineRule="auto" w:before="77"/>
              <w:ind w:right="14"/>
              <w:jc w:val="right"/>
              <w:rPr>
                <w:rFonts w:ascii="宋体" w:hAnsi="宋体" w:cs="宋体" w:eastAsia="宋体" w:hint="default"/>
                <w:sz w:val="18"/>
                <w:szCs w:val="18"/>
              </w:rPr>
            </w:pPr>
            <w:r>
              <w:rPr>
                <w:rFonts w:ascii="宋体"/>
                <w:sz w:val="18"/>
              </w:rPr>
              <w:t>87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7,322,827.1</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34,565,662.</w:t>
            </w:r>
          </w:p>
          <w:p>
            <w:pPr>
              <w:pStyle w:val="TableParagraph"/>
              <w:spacing w:line="240" w:lineRule="auto" w:before="76"/>
              <w:ind w:right="19"/>
              <w:jc w:val="right"/>
              <w:rPr>
                <w:rFonts w:ascii="宋体" w:hAnsi="宋体" w:cs="宋体" w:eastAsia="宋体" w:hint="default"/>
                <w:sz w:val="18"/>
                <w:szCs w:val="18"/>
              </w:rPr>
            </w:pPr>
            <w:r>
              <w:rPr>
                <w:rFonts w:ascii="宋体"/>
                <w:sz w:val="18"/>
              </w:rPr>
              <w:t>71</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15,545,793.</w:t>
            </w:r>
          </w:p>
          <w:p>
            <w:pPr>
              <w:pStyle w:val="TableParagraph"/>
              <w:spacing w:line="240" w:lineRule="auto" w:before="76"/>
              <w:ind w:right="17"/>
              <w:jc w:val="right"/>
              <w:rPr>
                <w:rFonts w:ascii="宋体" w:hAnsi="宋体" w:cs="宋体" w:eastAsia="宋体" w:hint="default"/>
                <w:sz w:val="18"/>
                <w:szCs w:val="18"/>
              </w:rPr>
            </w:pPr>
            <w:r>
              <w:rPr>
                <w:rFonts w:ascii="宋体"/>
                <w:sz w:val="18"/>
              </w:rPr>
              <w:t>98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26,342,695.</w:t>
            </w:r>
          </w:p>
          <w:p>
            <w:pPr>
              <w:pStyle w:val="TableParagraph"/>
              <w:spacing w:line="240" w:lineRule="auto" w:before="76"/>
              <w:ind w:right="14"/>
              <w:jc w:val="right"/>
              <w:rPr>
                <w:rFonts w:ascii="宋体" w:hAnsi="宋体" w:cs="宋体" w:eastAsia="宋体" w:hint="default"/>
                <w:sz w:val="18"/>
                <w:szCs w:val="18"/>
              </w:rPr>
            </w:pPr>
            <w:r>
              <w:rPr>
                <w:rFonts w:ascii="宋体"/>
                <w:sz w:val="18"/>
              </w:rPr>
              <w:t>90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27</w:t>
      </w:r>
      <w:r>
        <w:rPr/>
        <w:t>、商誉</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247,618,632.50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247,618,632.50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225,266,979.44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225,266,979.44</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1,942,851.06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1,942,851.06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469,339,595.86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469,339,595.86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深圳至高通信技 术发展有限公司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565,135,229.20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565,135,229.20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151,607,495.56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151,607,495.56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珠海市发思特软 件技术有限公司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2,448,272.58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2,448,272.58</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944,168,058.86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719,190,997.34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1,663,359,056.</w:t>
            </w:r>
          </w:p>
          <w:p>
            <w:pPr>
              <w:pStyle w:val="TableParagraph"/>
              <w:spacing w:line="240" w:lineRule="auto" w:before="74"/>
              <w:ind w:right="17"/>
              <w:jc w:val="right"/>
              <w:rPr>
                <w:rFonts w:ascii="宋体" w:hAnsi="宋体" w:cs="宋体" w:eastAsia="宋体" w:hint="default"/>
                <w:sz w:val="18"/>
                <w:szCs w:val="18"/>
              </w:rPr>
            </w:pPr>
            <w:r>
              <w:rPr>
                <w:rFonts w:ascii="宋体"/>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5094"/>
        <w:jc w:val="left"/>
      </w:pPr>
      <w:r>
        <w:rPr/>
        <w:t>□ 适用 √</w:t>
      </w:r>
      <w:r>
        <w:rPr>
          <w:spacing w:val="3"/>
        </w:rPr>
        <w:t> </w:t>
      </w:r>
      <w:r>
        <w:rPr/>
        <w:t>不适用</w:t>
      </w:r>
      <w:r>
        <w:rPr/>
        <w:t> 说明商誉减值测试过程、参数及商誉减值损失的确认方法：</w:t>
      </w:r>
    </w:p>
    <w:p>
      <w:pPr>
        <w:pStyle w:val="BodyText"/>
        <w:spacing w:line="376" w:lineRule="auto" w:before="50"/>
        <w:ind w:left="573" w:right="5393"/>
        <w:jc w:val="left"/>
      </w:pPr>
      <w:r>
        <w:rPr/>
        <w:t>公司对商誉进行减值测试的方法如下： 将被收购公司整体作为一个资产组进行减值测试。</w:t>
      </w:r>
    </w:p>
    <w:p>
      <w:pPr>
        <w:pStyle w:val="BodyText"/>
        <w:spacing w:line="316" w:lineRule="auto" w:before="34"/>
        <w:ind w:right="153" w:firstLine="420"/>
        <w:jc w:val="left"/>
      </w:pPr>
      <w:r>
        <w:rPr/>
        <w:t>确认资产组的可收回金额：企业管理层预测被收购公司的未来自由现金流量，选择恰当的折现率对其进行折现后确定 未来自由现金流量的现值，以企业的股东权益价值作为被收购公司权益的可收回金额。</w:t>
      </w:r>
    </w:p>
    <w:p>
      <w:pPr>
        <w:pStyle w:val="BodyText"/>
        <w:spacing w:line="316" w:lineRule="auto" w:before="79"/>
        <w:ind w:right="153" w:firstLine="420"/>
        <w:jc w:val="left"/>
      </w:pPr>
      <w:r>
        <w:rPr/>
        <w:t>比较相关资产组的账面价值（包括所分摊的商誉的账面价值部分）与其可收回金额，如相关资产组或者资产组组合的 可收回金额低于其账面价值的，确认商誉的减值损失。</w:t>
      </w:r>
    </w:p>
    <w:p>
      <w:pPr>
        <w:pStyle w:val="BodyText"/>
        <w:spacing w:line="316" w:lineRule="auto" w:before="79"/>
        <w:ind w:right="153" w:firstLine="420"/>
        <w:jc w:val="left"/>
      </w:pPr>
      <w:r>
        <w:rPr>
          <w:spacing w:val="7"/>
        </w:rPr>
        <w:t>公司对北京威锐达测控系统有限公司选取的折现率为</w:t>
      </w:r>
      <w:r>
        <w:rPr>
          <w:rFonts w:ascii="宋体" w:hAnsi="宋体" w:cs="宋体" w:eastAsia="宋体" w:hint="default"/>
          <w:spacing w:val="7"/>
        </w:rPr>
        <w:t>13.23%</w:t>
      </w:r>
      <w:r>
        <w:rPr>
          <w:spacing w:val="7"/>
        </w:rPr>
        <w:t>，对深圳至高通信技术发展有限公司选取的折现率为</w:t>
      </w:r>
      <w:r>
        <w:rPr/>
        <w:t> </w:t>
      </w:r>
      <w:r>
        <w:rPr>
          <w:rFonts w:ascii="宋体" w:hAnsi="宋体" w:cs="宋体" w:eastAsia="宋体" w:hint="default"/>
        </w:rPr>
        <w:t>13.12%</w:t>
      </w:r>
      <w:r>
        <w:rPr/>
        <w:t>，对以上其余被投资单位选取的折现率为</w:t>
      </w:r>
      <w:r>
        <w:rPr>
          <w:rFonts w:ascii="宋体" w:hAnsi="宋体" w:cs="宋体" w:eastAsia="宋体" w:hint="default"/>
        </w:rPr>
        <w:t>12%</w:t>
      </w:r>
      <w:r>
        <w:rPr/>
        <w:t>。</w:t>
      </w:r>
    </w:p>
    <w:p>
      <w:pPr>
        <w:pStyle w:val="BodyText"/>
        <w:spacing w:line="240" w:lineRule="auto" w:before="139"/>
        <w:ind w:left="573" w:right="153"/>
        <w:jc w:val="left"/>
      </w:pPr>
      <w:r>
        <w:rPr/>
        <w:t>经过减值测试，商誉不存在减值的情况。</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28</w:t>
      </w:r>
      <w:r>
        <w:rPr/>
        <w:t>、长期待摊费用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sz w:val="18"/>
              </w:rPr>
              <w:t>1,835,902.25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6,577,480.81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1,862,013.56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6,551,369.50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4" w:right="0"/>
              <w:jc w:val="left"/>
              <w:rPr>
                <w:rFonts w:ascii="宋体" w:hAnsi="宋体" w:cs="宋体" w:eastAsia="宋体" w:hint="default"/>
                <w:sz w:val="18"/>
                <w:szCs w:val="18"/>
              </w:rPr>
            </w:pPr>
            <w:r>
              <w:rPr>
                <w:rFonts w:ascii="宋体"/>
                <w:sz w:val="18"/>
              </w:rPr>
              <w:t>1,835,902.25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6,577,480.81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1,862,013.56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6,551,369.50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197,904,335.03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22,652,281.86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128,765,871.17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14,567,129.42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16,212,803.21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2,431,920.48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18,998,004.18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2,643,200.63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214,117,138.24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25,084,202.34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147,763,875.35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17,210,330.05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）未经抵销的递延所得税负债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57,680,389.41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8,652,058.41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42,087,162.10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6,313,074.32</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825,640,429.70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82,564,042.97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343,902,617.89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34,390,261.79</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收购少数股东股权形成 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1,358.13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135.81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883,322,177.24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91,216,237.19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385,991,138.12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40,703,471.92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25,084,202.34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17,210,330.05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91,216,237.19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40,703,471.92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4</w:t>
      </w:r>
      <w:r>
        <w:rPr/>
        <w:t>）未确认递延所得税资产明细</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7,727,757.02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8,747,178.03</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213,965,772.83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141,475,637.00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221,693,529.85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150,222,815.03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6,077,959.10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13,495,814.31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17,835,815.04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30,498,252.28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35,735,026.04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47,694,482.93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48,720,343.51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48,238,722.43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48,238,722.43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74,038,500.88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213,965,772.83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pacing w:val="-1"/>
                <w:sz w:val="18"/>
              </w:rPr>
              <w:t>156,607,866.12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30</w:t>
      </w:r>
      <w:r>
        <w:rPr/>
        <w:t>、其他非流动资产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海南银行股份有限公司筹建履约定金及 筹建费用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27,900,000.00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27,900,000.00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31</w:t>
      </w:r>
      <w:r>
        <w:rPr/>
        <w:t>、短期借款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123,834,771.00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10,517,385.00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411,235,847.17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113,000,000.00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158,364,297.67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短期贸易融资</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68,412,675.91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10,145,326.48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840,483,294.08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292,027,009.15</w:t>
            </w:r>
          </w:p>
        </w:tc>
      </w:tr>
    </w:tbl>
    <w:p>
      <w:pPr>
        <w:pStyle w:val="BodyText"/>
        <w:spacing w:line="240" w:lineRule="auto" w:before="49"/>
        <w:ind w:right="153"/>
        <w:jc w:val="left"/>
      </w:pPr>
      <w:r>
        <w:rPr/>
        <w:t>短期借款分类的说明：</w:t>
      </w:r>
    </w:p>
    <w:p>
      <w:pPr>
        <w:pStyle w:val="BodyText"/>
        <w:spacing w:line="319" w:lineRule="auto" w:before="117"/>
        <w:ind w:right="147"/>
        <w:jc w:val="left"/>
      </w:pPr>
      <w:r>
        <w:rPr>
          <w:spacing w:val="-2"/>
        </w:rPr>
        <w:t>（</w:t>
      </w:r>
      <w:r>
        <w:rPr>
          <w:rFonts w:ascii="宋体" w:hAnsi="宋体" w:cs="宋体" w:eastAsia="宋体" w:hint="default"/>
          <w:spacing w:val="-2"/>
        </w:rPr>
        <w:t>1</w:t>
      </w:r>
      <w:r>
        <w:rPr>
          <w:spacing w:val="-2"/>
        </w:rPr>
        <w:t>）截止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日，公司所属子公司</w:t>
      </w:r>
      <w:r>
        <w:rPr>
          <w:rFonts w:ascii="宋体" w:hAnsi="宋体" w:cs="宋体" w:eastAsia="宋体" w:hint="default"/>
          <w:spacing w:val="-2"/>
        </w:rPr>
        <w:t>-</w:t>
      </w:r>
      <w:r>
        <w:rPr>
          <w:spacing w:val="-2"/>
        </w:rPr>
        <w:t>北京神州新桥科技有限公司借款余额</w:t>
      </w:r>
      <w:r>
        <w:rPr>
          <w:rFonts w:ascii="宋体" w:hAnsi="宋体" w:cs="宋体" w:eastAsia="宋体" w:hint="default"/>
          <w:spacing w:val="-2"/>
        </w:rPr>
        <w:t>238,007,291.77</w:t>
      </w:r>
      <w:r>
        <w:rPr>
          <w:spacing w:val="-2"/>
        </w:rPr>
        <w:t>元，由本公司提供连带责</w:t>
      </w:r>
      <w:r>
        <w:rPr>
          <w:spacing w:val="-47"/>
        </w:rPr>
        <w:t> </w:t>
      </w:r>
      <w:r>
        <w:rPr>
          <w:spacing w:val="-47"/>
        </w:rPr>
      </w:r>
      <w:r>
        <w:rPr/>
        <w:t>任保证。公司所属子公司</w:t>
      </w:r>
      <w:r>
        <w:rPr>
          <w:rFonts w:ascii="宋体" w:hAnsi="宋体" w:cs="宋体" w:eastAsia="宋体" w:hint="default"/>
        </w:rPr>
        <w:t>-</w:t>
      </w:r>
      <w:r>
        <w:rPr/>
        <w:t>北京联银通科技有限公司借款余额</w:t>
      </w:r>
      <w:r>
        <w:rPr>
          <w:rFonts w:ascii="宋体" w:hAnsi="宋体" w:cs="宋体" w:eastAsia="宋体" w:hint="default"/>
        </w:rPr>
        <w:t>64,936.00</w:t>
      </w:r>
      <w:r>
        <w:rPr/>
        <w:t>元，由本公司提供连带责任保证。公司所属子公司</w:t>
      </w:r>
      <w:r>
        <w:rPr>
          <w:rFonts w:ascii="宋体" w:hAnsi="宋体" w:cs="宋体" w:eastAsia="宋体" w:hint="default"/>
        </w:rPr>
        <w:t>- </w:t>
      </w:r>
      <w:r>
        <w:rPr/>
        <w:t>深圳市至高通信技术发展有限公司借款余额</w:t>
      </w:r>
      <w:r>
        <w:rPr>
          <w:rFonts w:ascii="宋体" w:hAnsi="宋体" w:cs="宋体" w:eastAsia="宋体" w:hint="default"/>
        </w:rPr>
        <w:t>110,000,000.00</w:t>
      </w:r>
      <w:r>
        <w:rPr/>
        <w:t>元，其中</w:t>
      </w:r>
      <w:r>
        <w:rPr>
          <w:rFonts w:ascii="宋体" w:hAnsi="宋体" w:cs="宋体" w:eastAsia="宋体" w:hint="default"/>
        </w:rPr>
        <w:t>100,000,000.00</w:t>
      </w:r>
      <w:r>
        <w:rPr/>
        <w:t>元由本公司提供连带责任保证， </w:t>
      </w:r>
      <w:r>
        <w:rPr>
          <w:rFonts w:ascii="宋体" w:hAnsi="宋体" w:cs="宋体" w:eastAsia="宋体" w:hint="default"/>
          <w:spacing w:val="-2"/>
        </w:rPr>
        <w:t>10,000,000.00</w:t>
      </w:r>
      <w:r>
        <w:rPr>
          <w:spacing w:val="-2"/>
        </w:rPr>
        <w:t>元由本公司股东章云芳提供连带责任保证。本公司借款余额</w:t>
      </w:r>
      <w:r>
        <w:rPr>
          <w:rFonts w:ascii="宋体" w:hAnsi="宋体" w:cs="宋体" w:eastAsia="宋体" w:hint="default"/>
          <w:spacing w:val="-2"/>
        </w:rPr>
        <w:t>63,163,619.40</w:t>
      </w:r>
      <w:r>
        <w:rPr>
          <w:spacing w:val="-2"/>
        </w:rPr>
        <w:t>元，由公司股东薛向东及妻子郭玉</w:t>
      </w:r>
      <w:r>
        <w:rPr>
          <w:spacing w:val="-45"/>
        </w:rPr>
        <w:t> </w:t>
      </w:r>
      <w:r>
        <w:rPr>
          <w:spacing w:val="-45"/>
        </w:rPr>
      </w:r>
      <w:r>
        <w:rPr/>
        <w:t>梅提供连带责任保证。</w:t>
      </w:r>
    </w:p>
    <w:p>
      <w:pPr>
        <w:pStyle w:val="BodyText"/>
        <w:spacing w:line="316" w:lineRule="auto" w:before="17"/>
        <w:ind w:right="148" w:firstLine="35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日，公司与贵阳银行股份有限公司签订的《质押合同》（编号“ZB4120140707001”），为公司与该行</w:t>
      </w:r>
      <w:r>
        <w:rPr/>
        <w:t> 签订的编号为</w:t>
      </w:r>
      <w:r>
        <w:rPr>
          <w:rFonts w:ascii="宋体" w:hAnsi="宋体" w:cs="宋体" w:eastAsia="宋体" w:hint="default"/>
        </w:rPr>
        <w:t>GJ1342015112304</w:t>
      </w:r>
      <w:r>
        <w:rPr/>
        <w:t>的《流动资金借款合同》提供质押担保，质押物的权利金额为公司与贵阳市公安交通管理局 </w:t>
      </w:r>
      <w:r>
        <w:rPr>
          <w:spacing w:val="-2"/>
        </w:rPr>
        <w:t>的应收账款金额</w:t>
      </w:r>
      <w:r>
        <w:rPr>
          <w:rFonts w:ascii="宋体" w:hAnsi="宋体" w:cs="宋体" w:eastAsia="宋体" w:hint="default"/>
          <w:spacing w:val="-2"/>
        </w:rPr>
        <w:t>52,586,928.00</w:t>
      </w:r>
      <w:r>
        <w:rPr>
          <w:spacing w:val="-2"/>
        </w:rPr>
        <w:t>元，担保金额为公司与贵阳市公安交通管理局的应收账款金额</w:t>
      </w:r>
      <w:r>
        <w:rPr>
          <w:rFonts w:ascii="宋体" w:hAnsi="宋体" w:cs="宋体" w:eastAsia="宋体" w:hint="default"/>
          <w:spacing w:val="-2"/>
        </w:rPr>
        <w:t>21,034,771.00</w:t>
      </w:r>
      <w:r>
        <w:rPr>
          <w:spacing w:val="-2"/>
        </w:rPr>
        <w:t>元。质押期限至</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49"/>
        <w:jc w:val="left"/>
      </w:pPr>
      <w:r>
        <w:rPr>
          <w:spacing w:val="-2"/>
        </w:rPr>
        <w:t>被担保的债权诉讼时效届满之日，担保金额为主合同项下的本金及利息、违约金、赔偿金等。截止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日，公司在</w:t>
      </w:r>
      <w:r>
        <w:rPr>
          <w:spacing w:val="-62"/>
        </w:rPr>
        <w:t> </w:t>
      </w:r>
      <w:r>
        <w:rPr>
          <w:spacing w:val="-62"/>
        </w:rPr>
      </w:r>
      <w:r>
        <w:rPr/>
        <w:t>该合同项下的借款金额为</w:t>
      </w:r>
      <w:r>
        <w:rPr>
          <w:rFonts w:ascii="宋体" w:hAnsi="宋体" w:cs="宋体" w:eastAsia="宋体" w:hint="default"/>
        </w:rPr>
        <w:t>21,034,771.00</w:t>
      </w:r>
      <w:r>
        <w:rPr/>
        <w:t>元。</w:t>
      </w:r>
    </w:p>
    <w:p>
      <w:pPr>
        <w:pStyle w:val="BodyText"/>
        <w:spacing w:line="316" w:lineRule="auto" w:before="17"/>
        <w:ind w:right="149" w:firstLine="334"/>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日，公司所属子公司</w:t>
      </w:r>
      <w:r>
        <w:rPr>
          <w:rFonts w:ascii="宋体" w:hAnsi="宋体" w:cs="宋体" w:eastAsia="宋体" w:hint="default"/>
          <w:spacing w:val="-2"/>
        </w:rPr>
        <w:t>-</w:t>
      </w:r>
      <w:r>
        <w:rPr>
          <w:spacing w:val="-2"/>
        </w:rPr>
        <w:t>深圳至高通信技术发展有限公司与中国工商银行股份有限公司深圳上步支行签</w:t>
      </w:r>
      <w:r>
        <w:rPr/>
        <w:t> 订编号为“0400000007</w:t>
      </w:r>
      <w:r>
        <w:rPr>
          <w:rFonts w:ascii="宋体" w:hAnsi="宋体" w:cs="宋体" w:eastAsia="宋体" w:hint="default"/>
        </w:rPr>
        <w:t>-2015</w:t>
      </w:r>
      <w:r>
        <w:rPr/>
        <w:t>年上步（质）字</w:t>
      </w:r>
      <w:r>
        <w:rPr>
          <w:rFonts w:ascii="宋体" w:hAnsi="宋体" w:cs="宋体" w:eastAsia="宋体" w:hint="default"/>
        </w:rPr>
        <w:t>0079</w:t>
      </w:r>
      <w:r>
        <w:rPr/>
        <w:t>号”《质押合同》，该公司以联通系统集成有限公司上海市分公司</w:t>
      </w:r>
      <w:r>
        <w:rPr>
          <w:rFonts w:ascii="宋体" w:hAnsi="宋体" w:cs="宋体" w:eastAsia="宋体" w:hint="default"/>
        </w:rPr>
        <w:t>5,300 </w:t>
      </w:r>
      <w:r>
        <w:rPr>
          <w:spacing w:val="-2"/>
        </w:rPr>
        <w:t>万元的应收账款，为其与该行签订的编号为“0400000007</w:t>
      </w:r>
      <w:r>
        <w:rPr>
          <w:rFonts w:ascii="宋体" w:hAnsi="宋体" w:cs="宋体" w:eastAsia="宋体" w:hint="default"/>
          <w:spacing w:val="-2"/>
        </w:rPr>
        <w:t>-2015</w:t>
      </w:r>
      <w:r>
        <w:rPr>
          <w:spacing w:val="-2"/>
        </w:rPr>
        <w:t>年上步字</w:t>
      </w:r>
      <w:r>
        <w:rPr>
          <w:rFonts w:ascii="宋体" w:hAnsi="宋体" w:cs="宋体" w:eastAsia="宋体" w:hint="default"/>
          <w:spacing w:val="-2"/>
        </w:rPr>
        <w:t>00198</w:t>
      </w:r>
      <w:r>
        <w:rPr>
          <w:spacing w:val="-2"/>
        </w:rPr>
        <w:t>号”《流动资金借款合同》提供质押担保。截</w:t>
      </w:r>
      <w:r>
        <w:rPr>
          <w:spacing w:val="-51"/>
        </w:rPr>
        <w:t> </w:t>
      </w:r>
      <w:r>
        <w:rPr>
          <w:spacing w:val="-51"/>
        </w:rPr>
      </w:r>
      <w:r>
        <w:rPr/>
        <w:t>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日，深圳至高通信技术发展有限公司在上述合同项下的短期借款金额为</w:t>
      </w:r>
      <w:r>
        <w:rPr>
          <w:rFonts w:ascii="宋体" w:hAnsi="宋体" w:cs="宋体" w:eastAsia="宋体" w:hint="default"/>
        </w:rPr>
        <w:t>3,000</w:t>
      </w:r>
      <w:r>
        <w:rPr/>
        <w:t>万元。</w:t>
      </w:r>
    </w:p>
    <w:p>
      <w:pPr>
        <w:pStyle w:val="BodyText"/>
        <w:spacing w:line="316" w:lineRule="auto" w:before="19"/>
        <w:ind w:right="158" w:firstLine="360"/>
        <w:jc w:val="both"/>
      </w:pPr>
      <w:r>
        <w:rPr/>
        <w:t>（</w:t>
      </w:r>
      <w:r>
        <w:rPr>
          <w:rFonts w:ascii="宋体" w:hAnsi="宋体" w:cs="宋体" w:eastAsia="宋体" w:hint="default"/>
        </w:rPr>
        <w:t>4</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26</w:t>
      </w:r>
      <w:r>
        <w:rPr/>
        <w:t>日，公司所属子公司</w:t>
      </w:r>
      <w:r>
        <w:rPr>
          <w:rFonts w:ascii="宋体" w:hAnsi="宋体" w:cs="宋体" w:eastAsia="宋体" w:hint="default"/>
        </w:rPr>
        <w:t>-</w:t>
      </w:r>
      <w:r>
        <w:rPr/>
        <w:t>深圳至高通信技术发展有限公司与江苏银行股份有限公司深圳分行签订编号为 “ZY162015000139”《最高额质押合同》，该公司以北京新华多媒体数据有限公司</w:t>
      </w:r>
      <w:r>
        <w:rPr>
          <w:rFonts w:ascii="宋体" w:hAnsi="宋体" w:cs="宋体" w:eastAsia="宋体" w:hint="default"/>
        </w:rPr>
        <w:t>870</w:t>
      </w:r>
      <w:r>
        <w:rPr/>
        <w:t>万元的应收账款，为其与该行签署的 编号为“SX162014001816”《最高额综合授信合同》形成的最高额为</w:t>
      </w:r>
      <w:r>
        <w:rPr>
          <w:rFonts w:ascii="宋体" w:hAnsi="宋体" w:cs="宋体" w:eastAsia="宋体" w:hint="default"/>
        </w:rPr>
        <w:t>1,500</w:t>
      </w:r>
      <w:r>
        <w:rPr/>
        <w:t>万元债务提供质押担保。截至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spacing w:val="-3"/>
        </w:rPr>
        <w:t> </w:t>
      </w:r>
      <w:r>
        <w:rPr/>
        <w:t>深圳至高通信技术发展有限公司在上述合同项下的短期借款金额为</w:t>
      </w:r>
      <w:r>
        <w:rPr>
          <w:rFonts w:ascii="宋体" w:hAnsi="宋体" w:cs="宋体" w:eastAsia="宋体" w:hint="default"/>
        </w:rPr>
        <w:t>820</w:t>
      </w:r>
      <w:r>
        <w:rPr/>
        <w:t>万元。</w:t>
      </w:r>
    </w:p>
    <w:p>
      <w:pPr>
        <w:pStyle w:val="BodyText"/>
        <w:spacing w:line="319" w:lineRule="auto" w:before="19"/>
        <w:ind w:right="153" w:firstLine="360"/>
        <w:jc w:val="both"/>
      </w:pPr>
      <w:r>
        <w:rPr/>
        <w:t>（</w:t>
      </w:r>
      <w:r>
        <w:rPr>
          <w:rFonts w:ascii="宋体" w:hAnsi="宋体" w:cs="宋体" w:eastAsia="宋体" w:hint="default"/>
        </w:rPr>
        <w:t>5</w:t>
      </w:r>
      <w:r>
        <w:rPr/>
        <w:t>）</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15</w:t>
      </w:r>
      <w:r>
        <w:rPr/>
        <w:t>日，公司所属子公司</w:t>
      </w:r>
      <w:r>
        <w:rPr>
          <w:rFonts w:ascii="宋体" w:hAnsi="宋体" w:cs="宋体" w:eastAsia="宋体" w:hint="default"/>
        </w:rPr>
        <w:t>-</w:t>
      </w:r>
      <w:r>
        <w:rPr/>
        <w:t>深圳至高通信技术发展有限公司与上海浦东发展银行股份有限公司深圳分行签 订编号为“ZZ7910201500000002”《应收账款最高额质押合同》，该公司以不低于</w:t>
      </w:r>
      <w:r>
        <w:rPr>
          <w:rFonts w:ascii="宋体" w:hAnsi="宋体" w:cs="宋体" w:eastAsia="宋体" w:hint="default"/>
        </w:rPr>
        <w:t>4,000</w:t>
      </w:r>
      <w:r>
        <w:rPr/>
        <w:t>万元销售订单产生的应收账款，为 其在该行</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28</w:t>
      </w:r>
      <w:r>
        <w:rPr/>
        <w:t>日至</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28</w:t>
      </w:r>
      <w:r>
        <w:rPr/>
        <w:t>日期间内最高不超过</w:t>
      </w:r>
      <w:r>
        <w:rPr>
          <w:rFonts w:ascii="宋体" w:hAnsi="宋体" w:cs="宋体" w:eastAsia="宋体" w:hint="default"/>
        </w:rPr>
        <w:t>2,000</w:t>
      </w:r>
      <w:r>
        <w:rPr/>
        <w:t>万元债务提供质押担保。截至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日，深圳至 高通信技术发展有限公司在上述合同项下的短期借款金额为</w:t>
      </w:r>
      <w:r>
        <w:rPr>
          <w:rFonts w:ascii="宋体" w:hAnsi="宋体" w:cs="宋体" w:eastAsia="宋体" w:hint="default"/>
        </w:rPr>
        <w:t>1,700</w:t>
      </w:r>
      <w:r>
        <w:rPr/>
        <w:t>万元。</w:t>
      </w:r>
    </w:p>
    <w:p>
      <w:pPr>
        <w:pStyle w:val="BodyText"/>
        <w:spacing w:line="316" w:lineRule="auto" w:before="17"/>
        <w:ind w:right="150" w:firstLine="334"/>
        <w:jc w:val="both"/>
      </w:pP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08</w:t>
      </w:r>
      <w:r>
        <w:rPr>
          <w:spacing w:val="-2"/>
        </w:rPr>
        <w:t>日，公司所属子公司</w:t>
      </w:r>
      <w:r>
        <w:rPr>
          <w:rFonts w:ascii="宋体" w:hAnsi="宋体" w:cs="宋体" w:eastAsia="宋体" w:hint="default"/>
          <w:spacing w:val="-2"/>
        </w:rPr>
        <w:t>-</w:t>
      </w:r>
      <w:r>
        <w:rPr>
          <w:spacing w:val="-2"/>
        </w:rPr>
        <w:t>深圳至高通信技术发展有限公司与招商银行股份有限公司深圳文锦渡支行签订</w:t>
      </w:r>
      <w:r>
        <w:rPr/>
        <w:t> </w:t>
      </w:r>
      <w:r>
        <w:rPr>
          <w:spacing w:val="-2"/>
        </w:rPr>
        <w:t>编号为“2015年罗字第</w:t>
      </w:r>
      <w:r>
        <w:rPr>
          <w:rFonts w:ascii="宋体" w:hAnsi="宋体" w:cs="宋体" w:eastAsia="宋体" w:hint="default"/>
          <w:spacing w:val="-2"/>
        </w:rPr>
        <w:t>0015512009</w:t>
      </w:r>
      <w:r>
        <w:rPr>
          <w:spacing w:val="-2"/>
        </w:rPr>
        <w:t>号”的《最高额质押合同》，以江西瑞银科技有限公司的应收账款，为其在该行最高额不</w:t>
      </w:r>
      <w:r>
        <w:rPr>
          <w:spacing w:val="-54"/>
        </w:rPr>
        <w:t> </w:t>
      </w:r>
      <w:r>
        <w:rPr>
          <w:spacing w:val="-54"/>
        </w:rPr>
      </w:r>
      <w:r>
        <w:rPr/>
        <w:t>超过</w:t>
      </w:r>
      <w:r>
        <w:rPr>
          <w:rFonts w:ascii="宋体" w:hAnsi="宋体" w:cs="宋体" w:eastAsia="宋体" w:hint="default"/>
        </w:rPr>
        <w:t>5,000</w:t>
      </w:r>
      <w:r>
        <w:rPr/>
        <w:t>万元债务提供质押担保。截至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日，深圳至高通信技术发展有限公司在上述合同项下的短期借款金额 为</w:t>
      </w:r>
      <w:r>
        <w:rPr>
          <w:rFonts w:ascii="宋体" w:hAnsi="宋体" w:cs="宋体" w:eastAsia="宋体" w:hint="default"/>
        </w:rPr>
        <w:t>4,760</w:t>
      </w:r>
      <w:r>
        <w:rPr/>
        <w:t>万元。</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2</w:t>
      </w:r>
      <w:r>
        <w:rPr/>
        <w:t>）已逾期未偿还的短期借款情况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33</w:t>
      </w:r>
      <w:r>
        <w:rPr/>
        <w:t>、衍生金融负债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34</w:t>
      </w:r>
      <w:r>
        <w:rPr/>
        <w:t>、应付票据</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178,496,893.50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136,883,863.90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178,496,893.50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136,883,863.90</w:t>
            </w:r>
          </w:p>
        </w:tc>
      </w:tr>
    </w:tbl>
    <w:p>
      <w:pPr>
        <w:pStyle w:val="BodyText"/>
        <w:spacing w:line="240" w:lineRule="auto" w:before="49"/>
        <w:ind w:right="153"/>
        <w:jc w:val="left"/>
      </w:pPr>
      <w:r>
        <w:rPr/>
        <w:t>本期末已到期未支付的应付票据总额为</w:t>
      </w:r>
      <w:r>
        <w:rPr>
          <w:spacing w:val="-44"/>
        </w:rPr>
        <w:t> </w:t>
      </w:r>
      <w:r>
        <w:rPr>
          <w:rFonts w:ascii="宋体" w:hAnsi="宋体" w:cs="宋体" w:eastAsia="宋体" w:hint="default"/>
        </w:rPr>
        <w:t>0.00</w:t>
      </w:r>
      <w:r>
        <w:rPr>
          <w:rFonts w:ascii="宋体" w:hAnsi="宋体" w:cs="宋体" w:eastAsia="宋体" w:hint="default"/>
          <w:spacing w:val="-43"/>
        </w:rPr>
        <w:t> </w:t>
      </w:r>
      <w:r>
        <w:rPr/>
        <w:t>元。</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35</w:t>
      </w:r>
      <w:r>
        <w:rPr/>
        <w:t>、应付账款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）应付账款列示</w:t>
      </w:r>
      <w:r>
        <w:rPr>
          <w:b w:val="0"/>
          <w:bCs w:val="0"/>
        </w:rPr>
      </w:r>
    </w:p>
    <w:p>
      <w:pPr>
        <w:spacing w:after="0" w:line="240" w:lineRule="auto"/>
        <w:jc w:val="left"/>
        <w:sectPr>
          <w:footerReference w:type="default" r:id="rId40"/>
          <w:pgSz w:w="11910" w:h="16840"/>
          <w:pgMar w:footer="1537" w:header="745" w:top="1060" w:bottom="1720" w:left="980" w:right="980"/>
          <w:pgNumType w:start="15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376,148,821.41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371,571,994.98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376,148,821.41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371,571,994.98</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北京国铁华晨通信科技有限公司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10,101,978.00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长春启明信息集成服务技术有限公司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9,569,984.60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南京安氏领信科技发展有限公司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7,000,400.00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北京达乐源科技发展有限公司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北京中北万兴国际贸易有限公司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2,712,000.00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深圳市金宏威实业发展有限公司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2,106,801.20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中铁信金快</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信息工程有限责任公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1,689,598.00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安徽力瀚科技有限公司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浙江高格软件股份有限公司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1,314,560.00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联想（上海）电子科技有限公司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睿诚嘉信（北京）科技有限公司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大恒晟宴（北京）科技发展有限公司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1,046,437.00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北京瑞宝赛博技术有限公司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1,044,582.50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pacing w:val="-1"/>
                <w:sz w:val="18"/>
              </w:rPr>
              <w:t>45,050,341.30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36</w:t>
      </w:r>
      <w:r>
        <w:rPr/>
        <w:t>、预收款项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528,282,335.26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375,853,151.28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528,282,335.26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375,853,151.28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spacing w:after="0" w:line="240" w:lineRule="auto"/>
        <w:jc w:val="left"/>
        <w:sectPr>
          <w:pgSz w:w="11910" w:h="16840"/>
          <w:pgMar w:header="745" w:footer="1537" w:top="1060" w:bottom="172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山东泰和房地产有限公司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10,907,330.00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中国人民解放军</w:t>
            </w:r>
            <w:r>
              <w:rPr>
                <w:rFonts w:ascii="宋体" w:hAnsi="宋体" w:cs="宋体" w:eastAsia="宋体" w:hint="default"/>
                <w:spacing w:val="-47"/>
                <w:sz w:val="18"/>
                <w:szCs w:val="18"/>
              </w:rPr>
              <w:t> </w:t>
            </w:r>
            <w:r>
              <w:rPr>
                <w:rFonts w:ascii="宋体" w:hAnsi="宋体" w:cs="宋体" w:eastAsia="宋体" w:hint="default"/>
                <w:sz w:val="18"/>
                <w:szCs w:val="18"/>
              </w:rPr>
              <w:t>75210</w:t>
            </w:r>
            <w:r>
              <w:rPr>
                <w:rFonts w:ascii="宋体" w:hAnsi="宋体" w:cs="宋体" w:eastAsia="宋体" w:hint="default"/>
                <w:spacing w:val="-46"/>
                <w:sz w:val="18"/>
                <w:szCs w:val="18"/>
              </w:rPr>
              <w:t> </w:t>
            </w:r>
            <w:r>
              <w:rPr>
                <w:rFonts w:ascii="宋体" w:hAnsi="宋体" w:cs="宋体" w:eastAsia="宋体" w:hint="default"/>
                <w:sz w:val="18"/>
                <w:szCs w:val="18"/>
              </w:rPr>
              <w:t>部队保障部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3,118,826.12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2,663,043.31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宁夏电力公司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2,627,225.60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中国移动通信集团山西有限公司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2,066,130.00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北京安信创业信息科技发展公司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承德银行股份有限公司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1,480,423.00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7"/>
              <w:jc w:val="right"/>
              <w:rPr>
                <w:rFonts w:ascii="宋体" w:hAnsi="宋体" w:cs="宋体" w:eastAsia="宋体" w:hint="default"/>
                <w:sz w:val="18"/>
                <w:szCs w:val="18"/>
              </w:rPr>
            </w:pPr>
            <w:r>
              <w:rPr>
                <w:rFonts w:ascii="宋体"/>
                <w:spacing w:val="-1"/>
                <w:sz w:val="18"/>
              </w:rPr>
              <w:t>24,626,978.03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37</w:t>
      </w:r>
      <w:r>
        <w:rPr/>
        <w:t>、应付职工薪酬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3,664,782.79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674,080,039.14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668,502,366.96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9,242,454.97</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126,143.88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52,079,471.74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52,241,427.45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-35,811.83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45,537.45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45,537.45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3,790,926.67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726,205,048.33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720,789,331.86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9,206,643.14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3,083,032.22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619,096,788.48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613,508,517.64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8,671,303.06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4,157,771.90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4,157,771.90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24,372.88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22,438,215.98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22,481,263.35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-18,674.49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24,306.17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19,588,676.39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19,628,912.20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-15,929.64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-803.21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977,209.42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976,856.45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-450.24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1,872,330.17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1,875,494.70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-2,294.61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76,737.37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23,991,017.05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24,020,353.85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47,400.57</w:t>
            </w:r>
          </w:p>
        </w:tc>
      </w:tr>
    </w:tbl>
    <w:p>
      <w:pPr>
        <w:spacing w:after="0" w:line="240" w:lineRule="auto"/>
        <w:jc w:val="right"/>
        <w:rPr>
          <w:rFonts w:ascii="宋体" w:hAnsi="宋体" w:cs="宋体" w:eastAsia="宋体" w:hint="default"/>
          <w:sz w:val="18"/>
          <w:szCs w:val="18"/>
        </w:rPr>
        <w:sectPr>
          <w:footerReference w:type="default" r:id="rId41"/>
          <w:pgSz w:w="11910" w:h="16840"/>
          <w:pgMar w:footer="980" w:header="745" w:top="1060" w:bottom="1160" w:left="980" w:right="980"/>
          <w:pgNumType w:start="152"/>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480,640.32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4,396,245.73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4,334,460.22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542,425.83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3,664,782.79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674,080,039.14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668,502,366.96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9,242,454.97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121,640.82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50,324,364.37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50,481,714.57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-35,709.38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4,503.06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1,755,107.37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1,759,712.88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126,143.88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52,079,471.74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52,241,427.45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-35,811.83</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38</w:t>
      </w:r>
      <w:r>
        <w:rPr/>
        <w:t>、应交税费</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20,641,766.41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12,160,128.77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12,737,348.22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4,495,932.65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55,281,485.34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48,649,479.84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41,969,599.69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12,421,591.80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2,497,746.91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1,447,494.64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1,044,211.74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580,780.09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674,882.68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377,264.91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35,278.73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24,250.26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196,535.50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196,535.50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57,505.47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58,653.38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24,655.25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22,789.41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副食品调节基金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18,266.85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7,526.87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3,979.02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1,913.78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135,183,261.81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80,444,341.90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39</w:t>
      </w:r>
      <w:r>
        <w:rPr/>
        <w:t>、应付利息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275,201.33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275,201.33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53"/>
        <w:jc w:val="left"/>
        <w:rPr>
          <w:b w:val="0"/>
          <w:bCs w:val="0"/>
        </w:rPr>
      </w:pPr>
      <w:r>
        <w:rPr>
          <w:rFonts w:ascii="宋体" w:hAnsi="宋体" w:cs="宋体" w:eastAsia="宋体" w:hint="default"/>
        </w:rPr>
        <w:t>40</w:t>
      </w:r>
      <w:r>
        <w:rPr/>
        <w:t>、应付股利</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210,641,841.95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134,834,877.16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210,641,841.95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134,834,877.16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41</w:t>
      </w:r>
      <w:r>
        <w:rPr/>
        <w:t>、其他应付款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）按款项性质列示其他应付款</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40,393,555.92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26,684,404.52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9,490,665.16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3,546,775.39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32,401,062.08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10,183,262.59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82,285,283.16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40,414,442.50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年的重要其他应付款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42</w:t>
      </w:r>
      <w:r>
        <w:rPr/>
        <w:t>、划分为持有待售的负债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43</w:t>
      </w:r>
      <w:r>
        <w:rPr/>
        <w:t>、一年内到期的非流动负债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pStyle w:val="BodyText"/>
        <w:spacing w:line="240" w:lineRule="auto" w:before="114"/>
        <w:ind w:right="153"/>
        <w:jc w:val="left"/>
      </w:pPr>
      <w:r>
        <w:rPr>
          <w:rFonts w:ascii="宋体" w:hAnsi="宋体" w:cs="宋体" w:eastAsia="宋体" w:hint="default"/>
        </w:rPr>
        <w:t>2014</w:t>
      </w:r>
      <w:r>
        <w:rPr>
          <w:rFonts w:ascii="宋体" w:hAnsi="宋体" w:cs="宋体" w:eastAsia="宋体" w:hint="default"/>
          <w:spacing w:val="-45"/>
        </w:rPr>
        <w:t> </w:t>
      </w:r>
      <w:r>
        <w:rPr/>
        <w:t>年</w:t>
      </w:r>
      <w:r>
        <w:rPr>
          <w:spacing w:val="-48"/>
        </w:rPr>
        <w:t> </w:t>
      </w:r>
      <w:r>
        <w:rPr>
          <w:rFonts w:ascii="宋体" w:hAnsi="宋体" w:cs="宋体" w:eastAsia="宋体" w:hint="default"/>
        </w:rPr>
        <w:t>7</w:t>
      </w:r>
      <w:r>
        <w:rPr>
          <w:rFonts w:ascii="宋体" w:hAnsi="宋体" w:cs="宋体" w:eastAsia="宋体" w:hint="default"/>
          <w:spacing w:val="-45"/>
        </w:rPr>
        <w:t> </w:t>
      </w:r>
      <w:r>
        <w:rPr/>
        <w:t>月</w:t>
      </w:r>
      <w:r>
        <w:rPr>
          <w:spacing w:val="-48"/>
        </w:rPr>
        <w:t> </w:t>
      </w:r>
      <w:r>
        <w:rPr>
          <w:rFonts w:ascii="宋体" w:hAnsi="宋体" w:cs="宋体" w:eastAsia="宋体" w:hint="default"/>
        </w:rPr>
        <w:t>21</w:t>
      </w:r>
      <w:r>
        <w:rPr>
          <w:rFonts w:ascii="宋体" w:hAnsi="宋体" w:cs="宋体" w:eastAsia="宋体" w:hint="default"/>
          <w:spacing w:val="-45"/>
        </w:rPr>
        <w:t> </w:t>
      </w:r>
      <w:r>
        <w:rPr/>
        <w:t>日，公司所属子公司</w:t>
      </w:r>
      <w:r>
        <w:rPr>
          <w:rFonts w:ascii="宋体" w:hAnsi="宋体" w:cs="宋体" w:eastAsia="宋体" w:hint="default"/>
        </w:rPr>
        <w:t>-</w:t>
      </w:r>
      <w:r>
        <w:rPr/>
        <w:t>深圳市至高通信技术发展有限公司与华夏银行股份有限公司深圳南头支行签订《质押</w:t>
      </w:r>
    </w:p>
    <w:p>
      <w:pPr>
        <w:pStyle w:val="BodyText"/>
        <w:spacing w:line="240" w:lineRule="auto" w:before="76"/>
        <w:ind w:right="0"/>
        <w:jc w:val="left"/>
        <w:rPr>
          <w:rFonts w:ascii="宋体" w:hAnsi="宋体" w:cs="宋体" w:eastAsia="宋体" w:hint="default"/>
        </w:rPr>
      </w:pPr>
      <w:r>
        <w:rPr/>
        <w:t>合同</w:t>
      </w:r>
      <w:r>
        <w:rPr>
          <w:spacing w:val="-135"/>
        </w:rPr>
        <w:t>》</w:t>
      </w:r>
      <w:r>
        <w:rPr/>
        <w:t>（编号“</w:t>
      </w:r>
      <w:r>
        <w:rPr>
          <w:spacing w:val="1"/>
        </w:rPr>
        <w:t>SZ</w:t>
      </w:r>
      <w:r>
        <w:rPr>
          <w:spacing w:val="-2"/>
        </w:rPr>
        <w:t>3</w:t>
      </w:r>
      <w:r>
        <w:rPr>
          <w:spacing w:val="1"/>
        </w:rPr>
        <w:t>1</w:t>
      </w:r>
      <w:r>
        <w:rPr>
          <w:spacing w:val="-42"/>
        </w:rPr>
        <w:t>1</w:t>
      </w:r>
      <w:r>
        <w:rPr/>
        <w:t>（质押</w:t>
      </w:r>
      <w:r>
        <w:rPr>
          <w:spacing w:val="-46"/>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14</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2"/>
        </w:rPr>
        <w:t>3</w:t>
      </w:r>
      <w:r>
        <w:rPr>
          <w:rFonts w:ascii="宋体" w:hAnsi="宋体" w:cs="宋体" w:eastAsia="宋体" w:hint="default"/>
          <w:spacing w:val="-2"/>
        </w:rPr>
        <w:t>-</w:t>
      </w:r>
      <w:r>
        <w:rPr>
          <w:spacing w:val="1"/>
        </w:rPr>
        <w:t>31</w:t>
      </w:r>
      <w:r>
        <w:rPr/>
        <w:t>”</w:t>
      </w:r>
      <w:r>
        <w:rPr>
          <w:spacing w:val="-92"/>
        </w:rPr>
        <w:t>）</w:t>
      </w:r>
      <w:r>
        <w:rPr>
          <w:spacing w:val="-44"/>
        </w:rPr>
        <w:t>，</w:t>
      </w:r>
      <w:r>
        <w:rPr/>
        <w:t>该公司以定</w:t>
      </w:r>
      <w:r>
        <w:rPr>
          <w:spacing w:val="-3"/>
        </w:rPr>
        <w:t>期</w:t>
      </w:r>
      <w:r>
        <w:rPr/>
        <w:t>存单</w:t>
      </w:r>
      <w:r>
        <w:rPr>
          <w:spacing w:val="-45"/>
        </w:rPr>
        <w:t> </w:t>
      </w:r>
      <w:r>
        <w:rPr>
          <w:rFonts w:ascii="宋体" w:hAnsi="宋体" w:cs="宋体" w:eastAsia="宋体" w:hint="default"/>
          <w:spacing w:val="1"/>
        </w:rPr>
        <w:t>1</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43"/>
        </w:rPr>
        <w:t> </w:t>
      </w:r>
      <w:r>
        <w:rPr/>
        <w:t>万元作为质押</w:t>
      </w:r>
      <w:r>
        <w:rPr>
          <w:spacing w:val="-44"/>
        </w:rPr>
        <w:t>。</w:t>
      </w:r>
      <w:r>
        <w:rPr>
          <w:spacing w:val="-3"/>
        </w:rPr>
        <w:t>借</w:t>
      </w:r>
      <w:r>
        <w:rPr/>
        <w:t>款期限自</w:t>
      </w:r>
      <w:r>
        <w:rPr>
          <w:spacing w:val="-45"/>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45"/>
        </w:rPr>
        <w:t> </w:t>
      </w:r>
      <w:r>
        <w:rPr/>
        <w:t>年</w:t>
      </w:r>
      <w:r>
        <w:rPr>
          <w:spacing w:val="-45"/>
        </w:rPr>
        <w:t> </w:t>
      </w:r>
      <w:r>
        <w:rPr>
          <w:rFonts w:ascii="宋体" w:hAnsi="宋体" w:cs="宋体" w:eastAsia="宋体" w:hint="default"/>
        </w:rPr>
        <w:t>8</w:t>
      </w:r>
      <w:r>
        <w:rPr>
          <w:rFonts w:ascii="宋体" w:hAnsi="宋体" w:cs="宋体" w:eastAsia="宋体" w:hint="default"/>
          <w:spacing w:val="-46"/>
        </w:rPr>
        <w:t> </w:t>
      </w:r>
      <w:r>
        <w:rPr/>
        <w:t>月</w:t>
      </w:r>
      <w:r>
        <w:rPr>
          <w:spacing w:val="-45"/>
        </w:rPr>
        <w:t> </w:t>
      </w:r>
      <w:r>
        <w:rPr>
          <w:rFonts w:ascii="宋体" w:hAnsi="宋体" w:cs="宋体" w:eastAsia="宋体" w:hint="default"/>
        </w:rPr>
        <w:t>6</w:t>
      </w:r>
      <w:r>
        <w:rPr>
          <w:rFonts w:ascii="宋体" w:hAnsi="宋体" w:cs="宋体" w:eastAsia="宋体" w:hint="default"/>
          <w:spacing w:val="-44"/>
        </w:rPr>
        <w:t> </w:t>
      </w:r>
      <w:r>
        <w:rPr>
          <w:spacing w:val="-3"/>
        </w:rPr>
        <w:t>日</w:t>
      </w:r>
      <w:r>
        <w:rPr/>
        <w:t>至</w:t>
      </w:r>
      <w:r>
        <w:rPr>
          <w:spacing w:val="-45"/>
        </w:rPr>
        <w:t> </w:t>
      </w:r>
      <w:r>
        <w:rPr>
          <w:rFonts w:ascii="宋体" w:hAnsi="宋体" w:cs="宋体" w:eastAsia="宋体" w:hint="default"/>
          <w:spacing w:val="-2"/>
        </w:rPr>
        <w:t>2</w:t>
      </w:r>
      <w:r>
        <w:rPr>
          <w:rFonts w:ascii="宋体" w:hAnsi="宋体" w:cs="宋体" w:eastAsia="宋体" w:hint="default"/>
          <w:spacing w:val="1"/>
        </w:rPr>
        <w:t>01</w:t>
      </w:r>
      <w:r>
        <w:rPr>
          <w:rFonts w:ascii="宋体" w:hAnsi="宋体" w:cs="宋体" w:eastAsia="宋体" w:hint="default"/>
        </w:rPr>
        <w:t>6</w:t>
      </w:r>
    </w:p>
    <w:p>
      <w:pPr>
        <w:spacing w:after="0" w:line="240" w:lineRule="auto"/>
        <w:jc w:val="left"/>
        <w:rPr>
          <w:rFonts w:ascii="宋体" w:hAnsi="宋体" w:cs="宋体" w:eastAsia="宋体" w:hint="default"/>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7"/>
        </w:rPr>
        <w:t> </w:t>
      </w:r>
      <w:r>
        <w:rPr>
          <w:rFonts w:ascii="宋体" w:hAnsi="宋体" w:cs="宋体" w:eastAsia="宋体" w:hint="default"/>
        </w:rPr>
        <w:t>6</w:t>
      </w:r>
      <w:r>
        <w:rPr>
          <w:rFonts w:ascii="宋体" w:hAnsi="宋体" w:cs="宋体" w:eastAsia="宋体" w:hint="default"/>
          <w:spacing w:val="-44"/>
        </w:rPr>
        <w:t> </w:t>
      </w:r>
      <w:r>
        <w:rPr/>
        <w:t>日。</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44</w:t>
      </w:r>
      <w:r>
        <w:rPr/>
        <w:t>、其他流动负债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46</w:t>
      </w:r>
      <w:r>
        <w:rPr/>
        <w:t>、应付债券</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）应付债券</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68,096,555.50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68,096,555.50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800"/>
        <w:gridCol w:w="797"/>
      </w:tblGrid>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本期转出</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东华转债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1,000,00</w:t>
            </w:r>
          </w:p>
          <w:p>
            <w:pPr>
              <w:pStyle w:val="TableParagraph"/>
              <w:spacing w:line="240" w:lineRule="auto" w:before="76"/>
              <w:ind w:left="45" w:right="0"/>
              <w:jc w:val="left"/>
              <w:rPr>
                <w:rFonts w:ascii="宋体" w:hAnsi="宋体" w:cs="宋体" w:eastAsia="宋体" w:hint="default"/>
                <w:sz w:val="18"/>
                <w:szCs w:val="18"/>
              </w:rPr>
            </w:pPr>
            <w:r>
              <w:rPr>
                <w:rFonts w:ascii="宋体"/>
                <w:sz w:val="18"/>
              </w:rPr>
              <w:t>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2013.8.1</w:t>
            </w:r>
          </w:p>
          <w:p>
            <w:pPr>
              <w:pStyle w:val="TableParagraph"/>
              <w:spacing w:line="240" w:lineRule="auto" w:before="76"/>
              <w:ind w:left="24" w:right="0"/>
              <w:jc w:val="left"/>
              <w:rPr>
                <w:rFonts w:ascii="宋体" w:hAnsi="宋体" w:cs="宋体" w:eastAsia="宋体" w:hint="default"/>
                <w:sz w:val="18"/>
                <w:szCs w:val="18"/>
              </w:rPr>
            </w:pPr>
            <w:r>
              <w:rPr>
                <w:rFonts w:ascii="宋体"/>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1,000,00</w:t>
            </w:r>
          </w:p>
          <w:p>
            <w:pPr>
              <w:pStyle w:val="TableParagraph"/>
              <w:spacing w:line="240" w:lineRule="auto" w:before="76"/>
              <w:ind w:left="45" w:right="0"/>
              <w:jc w:val="left"/>
              <w:rPr>
                <w:rFonts w:ascii="宋体" w:hAnsi="宋体" w:cs="宋体" w:eastAsia="宋体" w:hint="default"/>
                <w:sz w:val="18"/>
                <w:szCs w:val="18"/>
              </w:rPr>
            </w:pPr>
            <w:r>
              <w:rPr>
                <w:rFonts w:ascii="宋体"/>
                <w:sz w:val="18"/>
              </w:rPr>
              <w:t>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68,096,5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55.50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68,096,5</w:t>
            </w:r>
          </w:p>
          <w:p>
            <w:pPr>
              <w:pStyle w:val="TableParagraph"/>
              <w:spacing w:line="240" w:lineRule="auto" w:before="76"/>
              <w:ind w:left="315" w:right="0"/>
              <w:jc w:val="left"/>
              <w:rPr>
                <w:rFonts w:ascii="宋体" w:hAnsi="宋体" w:cs="宋体" w:eastAsia="宋体" w:hint="default"/>
                <w:sz w:val="18"/>
                <w:szCs w:val="18"/>
              </w:rPr>
            </w:pPr>
            <w:r>
              <w:rPr>
                <w:rFonts w:ascii="宋体"/>
                <w:sz w:val="18"/>
              </w:rPr>
              <w:t>55.50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1" w:firstLine="360"/>
        <w:jc w:val="both"/>
      </w:pPr>
      <w:r>
        <w:rPr>
          <w:spacing w:val="-6"/>
        </w:rPr>
        <w:t>经中国证券监督管理委员会核准，公司于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月向社会公开发行了票面金额</w:t>
      </w:r>
      <w:r>
        <w:rPr>
          <w:spacing w:val="-54"/>
        </w:rPr>
        <w:t> </w:t>
      </w:r>
      <w:r>
        <w:rPr>
          <w:rFonts w:ascii="宋体" w:hAnsi="宋体" w:cs="宋体" w:eastAsia="宋体" w:hint="default"/>
        </w:rPr>
        <w:t>10</w:t>
      </w:r>
      <w:r>
        <w:rPr>
          <w:rFonts w:ascii="宋体" w:hAnsi="宋体" w:cs="宋体" w:eastAsia="宋体" w:hint="default"/>
          <w:spacing w:val="-54"/>
        </w:rPr>
        <w:t> </w:t>
      </w:r>
      <w:r>
        <w:rPr>
          <w:spacing w:val="-18"/>
        </w:rPr>
        <w:t>亿元、期限</w:t>
      </w:r>
      <w:r>
        <w:rPr>
          <w:spacing w:val="-55"/>
        </w:rPr>
        <w:t> </w:t>
      </w:r>
      <w:r>
        <w:rPr>
          <w:rFonts w:ascii="宋体" w:hAnsi="宋体" w:cs="宋体" w:eastAsia="宋体" w:hint="default"/>
        </w:rPr>
        <w:t>6</w:t>
      </w:r>
      <w:r>
        <w:rPr>
          <w:rFonts w:ascii="宋体" w:hAnsi="宋体" w:cs="宋体" w:eastAsia="宋体" w:hint="default"/>
          <w:spacing w:val="-54"/>
        </w:rPr>
        <w:t> </w:t>
      </w:r>
      <w:r>
        <w:rPr/>
        <w:t>年的可转换公司债券， 票面利率分别为：第一年</w:t>
      </w:r>
      <w:r>
        <w:rPr>
          <w:spacing w:val="-8"/>
        </w:rPr>
        <w:t> </w:t>
      </w:r>
      <w:r>
        <w:rPr>
          <w:rFonts w:ascii="宋体" w:hAnsi="宋体" w:cs="宋体" w:eastAsia="宋体" w:hint="default"/>
        </w:rPr>
        <w:t>0.5%</w:t>
      </w:r>
      <w:r>
        <w:rPr/>
        <w:t>、第二年</w:t>
      </w:r>
      <w:r>
        <w:rPr>
          <w:spacing w:val="-8"/>
        </w:rPr>
        <w:t> </w:t>
      </w:r>
      <w:r>
        <w:rPr>
          <w:rFonts w:ascii="宋体" w:hAnsi="宋体" w:cs="宋体" w:eastAsia="宋体" w:hint="default"/>
        </w:rPr>
        <w:t>0.8%</w:t>
      </w:r>
      <w:r>
        <w:rPr/>
        <w:t>、第三年</w:t>
      </w:r>
      <w:r>
        <w:rPr>
          <w:spacing w:val="-11"/>
        </w:rPr>
        <w:t> </w:t>
      </w:r>
      <w:r>
        <w:rPr>
          <w:rFonts w:ascii="宋体" w:hAnsi="宋体" w:cs="宋体" w:eastAsia="宋体" w:hint="default"/>
        </w:rPr>
        <w:t>1.1%</w:t>
      </w:r>
      <w:r>
        <w:rPr/>
        <w:t>、第四年</w:t>
      </w:r>
      <w:r>
        <w:rPr>
          <w:spacing w:val="-49"/>
        </w:rPr>
        <w:t> </w:t>
      </w:r>
      <w:r>
        <w:rPr>
          <w:rFonts w:ascii="宋体" w:hAnsi="宋体" w:cs="宋体" w:eastAsia="宋体" w:hint="default"/>
        </w:rPr>
        <w:t>1.5%</w:t>
      </w:r>
      <w:r>
        <w:rPr/>
        <w:t>、第五年</w:t>
      </w:r>
      <w:r>
        <w:rPr>
          <w:spacing w:val="-11"/>
        </w:rPr>
        <w:t> </w:t>
      </w:r>
      <w:r>
        <w:rPr>
          <w:rFonts w:ascii="宋体" w:hAnsi="宋体" w:cs="宋体" w:eastAsia="宋体" w:hint="default"/>
        </w:rPr>
        <w:t>1.5%</w:t>
      </w:r>
      <w:r>
        <w:rPr/>
        <w:t>、第六年</w:t>
      </w:r>
      <w:r>
        <w:rPr>
          <w:spacing w:val="-8"/>
        </w:rPr>
        <w:t> </w:t>
      </w:r>
      <w:r>
        <w:rPr>
          <w:rFonts w:ascii="宋体" w:hAnsi="宋体" w:cs="宋体" w:eastAsia="宋体" w:hint="default"/>
        </w:rPr>
        <w:t>2.0%</w:t>
      </w:r>
      <w:r>
        <w:rPr/>
        <w:t>。采用每年付息一 次的付息方式，计息起始日为可转债发行首日，即 </w:t>
      </w:r>
      <w:r>
        <w:rPr>
          <w:rFonts w:ascii="宋体" w:hAnsi="宋体" w:cs="宋体" w:eastAsia="宋体" w:hint="default"/>
        </w:rPr>
        <w:t>2013 </w:t>
      </w:r>
      <w:r>
        <w:rPr/>
        <w:t>年 </w:t>
      </w:r>
      <w:r>
        <w:rPr>
          <w:rFonts w:ascii="宋体" w:hAnsi="宋体" w:cs="宋体" w:eastAsia="宋体" w:hint="default"/>
        </w:rPr>
        <w:t>7 </w:t>
      </w:r>
      <w:r>
        <w:rPr/>
        <w:t>月 </w:t>
      </w:r>
      <w:r>
        <w:rPr>
          <w:rFonts w:ascii="宋体" w:hAnsi="宋体" w:cs="宋体" w:eastAsia="宋体" w:hint="default"/>
        </w:rPr>
        <w:t>26 </w:t>
      </w:r>
      <w:r>
        <w:rPr/>
        <w:t>日。</w:t>
      </w:r>
      <w:r>
        <w:rPr>
          <w:spacing w:val="88"/>
        </w:rPr>
        <w:t> </w:t>
      </w:r>
      <w:r>
        <w:rPr/>
        <w:t>本次发行的可转换公司债券转股期自可转换公</w:t>
      </w:r>
    </w:p>
    <w:p>
      <w:pPr>
        <w:pStyle w:val="BodyText"/>
        <w:spacing w:line="240" w:lineRule="auto" w:before="19"/>
        <w:ind w:right="0"/>
        <w:jc w:val="left"/>
      </w:pPr>
      <w:r>
        <w:rPr/>
        <w:t>司债券发行结束之日满六个月后的第一个交易日起至可转换公司债券到期日止。截止</w:t>
      </w:r>
      <w:r>
        <w:rPr>
          <w:spacing w:val="-44"/>
        </w:rPr>
        <w:t> </w:t>
      </w:r>
      <w:r>
        <w:rPr>
          <w:rFonts w:ascii="宋体" w:hAnsi="宋体" w:cs="宋体" w:eastAsia="宋体" w:hint="default"/>
        </w:rPr>
        <w:t>2015</w:t>
      </w:r>
      <w:r>
        <w:rPr>
          <w:rFonts w:ascii="宋体" w:hAnsi="宋体" w:cs="宋体" w:eastAsia="宋体" w:hint="default"/>
          <w:spacing w:val="-47"/>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8"/>
        </w:rPr>
        <w:t> </w:t>
      </w:r>
      <w:r>
        <w:rPr>
          <w:rFonts w:ascii="宋体" w:hAnsi="宋体" w:cs="宋体" w:eastAsia="宋体" w:hint="default"/>
        </w:rPr>
        <w:t>2</w:t>
      </w:r>
      <w:r>
        <w:rPr>
          <w:rFonts w:ascii="宋体" w:hAnsi="宋体" w:cs="宋体" w:eastAsia="宋体" w:hint="default"/>
          <w:spacing w:val="-45"/>
        </w:rPr>
        <w:t> </w:t>
      </w:r>
      <w:r>
        <w:rPr/>
        <w:t>日，公司发行的可转换</w:t>
      </w:r>
    </w:p>
    <w:p>
      <w:pPr>
        <w:pStyle w:val="BodyText"/>
        <w:spacing w:line="240" w:lineRule="auto" w:before="76"/>
        <w:ind w:right="153"/>
        <w:jc w:val="left"/>
      </w:pPr>
      <w:r>
        <w:rPr/>
        <w:t>公司债券赎回</w:t>
      </w:r>
      <w:r>
        <w:rPr>
          <w:spacing w:val="-47"/>
        </w:rPr>
        <w:t> </w:t>
      </w:r>
      <w:r>
        <w:rPr>
          <w:rFonts w:ascii="宋体" w:hAnsi="宋体" w:cs="宋体" w:eastAsia="宋体" w:hint="default"/>
        </w:rPr>
        <w:t>132,800.00</w:t>
      </w:r>
      <w:r>
        <w:rPr>
          <w:rFonts w:ascii="宋体" w:hAnsi="宋体" w:cs="宋体" w:eastAsia="宋体" w:hint="default"/>
          <w:spacing w:val="-46"/>
        </w:rPr>
        <w:t> </w:t>
      </w:r>
      <w:r>
        <w:rPr/>
        <w:t>元，其余已全部完成转股。</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t>（</w:t>
      </w:r>
      <w:r>
        <w:rPr>
          <w:rFonts w:ascii="宋体" w:hAnsi="宋体" w:cs="宋体" w:eastAsia="宋体" w:hint="default"/>
        </w:rPr>
        <w:t>4</w:t>
      </w:r>
      <w:r>
        <w:rPr/>
        <w:t>）划分为金融负债的其他金融工具说明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47</w:t>
      </w:r>
      <w:r>
        <w:rPr/>
        <w:t>、长期应付款</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48</w:t>
      </w:r>
      <w:r>
        <w:rPr/>
        <w:t>、长期应付职工薪酬</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49</w:t>
      </w:r>
      <w:r>
        <w:rPr/>
        <w:t>、专项应付款</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50</w:t>
      </w:r>
      <w:r>
        <w:rPr/>
        <w:t>、预计负债</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51</w:t>
      </w:r>
      <w:r>
        <w:rPr/>
        <w:t>、递延收益</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97" w:right="0"/>
              <w:jc w:val="left"/>
              <w:rPr>
                <w:rFonts w:ascii="宋体" w:hAnsi="宋体" w:cs="宋体" w:eastAsia="宋体" w:hint="default"/>
                <w:sz w:val="18"/>
                <w:szCs w:val="18"/>
              </w:rPr>
            </w:pPr>
            <w:r>
              <w:rPr>
                <w:rFonts w:ascii="宋体"/>
                <w:sz w:val="18"/>
              </w:rPr>
              <w:t>84,070,870.13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12,285,291.23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12,456,247.50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83,899,913.86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sz w:val="18"/>
              </w:rPr>
              <w:t>84,070,870.13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12,285,291.23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12,456,247.50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83,899,913.86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涉及政府补助的项目：</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91" w:hanging="2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基于传感网和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技术的农产 品质量追溯系统 研发及产业化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608,938.75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408,938.75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基于面向服务构 </w:t>
            </w:r>
            <w:r>
              <w:rPr>
                <w:rFonts w:ascii="宋体" w:hAnsi="宋体" w:cs="宋体" w:eastAsia="宋体" w:hint="default"/>
                <w:spacing w:val="-5"/>
                <w:sz w:val="18"/>
                <w:szCs w:val="18"/>
              </w:rPr>
              <w:t>架（</w:t>
            </w:r>
            <w:r>
              <w:rPr>
                <w:rFonts w:ascii="宋体" w:hAnsi="宋体" w:cs="宋体" w:eastAsia="宋体" w:hint="default"/>
                <w:spacing w:val="-5"/>
                <w:sz w:val="18"/>
                <w:szCs w:val="18"/>
              </w:rPr>
              <w:t>SOA</w:t>
            </w:r>
            <w:r>
              <w:rPr>
                <w:rFonts w:ascii="宋体" w:hAnsi="宋体" w:cs="宋体" w:eastAsia="宋体" w:hint="default"/>
                <w:spacing w:val="-5"/>
                <w:sz w:val="18"/>
                <w:szCs w:val="18"/>
              </w:rPr>
              <w:t>）的产品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可追溯的企业管 理系统研发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高速流量控制系 统产业化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2,167,806.26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832,193.74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年度电子信 息产业发展基金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1,897,480.91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595,740.00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1,301,740.91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气象医疗行业核 心软件研发项目 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8,380,000.00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8,380,000.00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关</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92.163002pt;margin-top:656.955994pt;width:101.1pt;height:23.45pt;mso-position-horizontal-relative:page;mso-position-vertical-relative:page;z-index:-1058920" type="#_x0000_t202" filled="false" stroked="false">
            <v:textbox inset="0,0,0,0">
              <w:txbxContent>
                <w:p>
                  <w:pPr>
                    <w:pStyle w:val="BodyText"/>
                    <w:spacing w:line="240" w:lineRule="auto" w:before="49"/>
                    <w:ind w:left="0" w:right="0"/>
                    <w:jc w:val="left"/>
                  </w:pPr>
                  <w:r>
                    <w:rPr/>
                    <w:t>（政务、</w:t>
                  </w:r>
                </w:p>
              </w:txbxContent>
            </v:textbox>
            <w10:wrap type="none"/>
          </v:shape>
        </w:pict>
      </w:r>
      <w:r>
        <w:rPr/>
        <w:pict>
          <v:group style="position:absolute;margin-left:125.300003pt;margin-top:656.955994pt;width:67.95pt;height:23.45pt;mso-position-horizontal-relative:page;mso-position-vertical-relative:page;z-index:-1058896" coordorigin="2506,13139" coordsize="1359,469">
            <v:shape style="position:absolute;left:2506;top:13139;width:1359;height:469" coordorigin="2506,13139" coordsize="1359,469" path="m2506,13608l3864,13608,3864,13139,2506,13139,2506,1360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252"/>
        <w:gridCol w:w="1116"/>
        <w:gridCol w:w="1369"/>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云计算的数字化 医疗和区域医疗 协同系统项目补 助资金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sz w:val="18"/>
              </w:rPr>
              <w:t>11,710,000.00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11,710,000.00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工信部</w:t>
            </w:r>
            <w:r>
              <w:rPr>
                <w:rFonts w:ascii="宋体" w:hAnsi="宋体" w:cs="宋体" w:eastAsia="宋体" w:hint="default"/>
                <w:spacing w:val="-66"/>
                <w:sz w:val="18"/>
                <w:szCs w:val="18"/>
              </w:rPr>
              <w:t> </w:t>
            </w:r>
            <w:r>
              <w:rPr>
                <w:rFonts w:ascii="宋体" w:hAnsi="宋体" w:cs="宋体" w:eastAsia="宋体" w:hint="default"/>
                <w:sz w:val="18"/>
                <w:szCs w:val="18"/>
              </w:rPr>
              <w:t>2012</w:t>
            </w:r>
            <w:r>
              <w:rPr>
                <w:rFonts w:ascii="宋体" w:hAnsi="宋体" w:cs="宋体" w:eastAsia="宋体" w:hint="default"/>
                <w:spacing w:val="-65"/>
                <w:sz w:val="18"/>
                <w:szCs w:val="18"/>
              </w:rPr>
              <w:t> </w:t>
            </w:r>
            <w:r>
              <w:rPr>
                <w:rFonts w:ascii="宋体" w:hAnsi="宋体" w:cs="宋体" w:eastAsia="宋体" w:hint="default"/>
                <w:sz w:val="18"/>
                <w:szCs w:val="18"/>
              </w:rPr>
              <w:t>电子 发展基金款</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sz w:val="18"/>
              </w:rPr>
              <w:t>4,500,000.00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云计算流量分析 控制北京市工程 实验室创新能力 建设项目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56" w:right="0"/>
              <w:jc w:val="left"/>
              <w:rPr>
                <w:rFonts w:ascii="宋体" w:hAnsi="宋体" w:cs="宋体" w:eastAsia="宋体" w:hint="default"/>
                <w:sz w:val="18"/>
                <w:szCs w:val="18"/>
              </w:rPr>
            </w:pPr>
            <w:r>
              <w:rPr>
                <w:rFonts w:ascii="宋体"/>
                <w:sz w:val="18"/>
              </w:rPr>
              <w:t>6,795,666.67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4,591,666.67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中关村科技园产 业发展专项资金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6" w:right="0"/>
              <w:jc w:val="left"/>
              <w:rPr>
                <w:rFonts w:ascii="宋体" w:hAnsi="宋体" w:cs="宋体" w:eastAsia="宋体" w:hint="default"/>
                <w:sz w:val="18"/>
                <w:szCs w:val="18"/>
              </w:rPr>
            </w:pPr>
            <w:r>
              <w:rPr>
                <w:rFonts w:ascii="宋体"/>
                <w:sz w:val="18"/>
              </w:rPr>
              <w:t>180,000.00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新一代互联网上 网行为管理系统 产业化</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6" w:right="0"/>
              <w:jc w:val="left"/>
              <w:rPr>
                <w:rFonts w:ascii="宋体" w:hAnsi="宋体" w:cs="宋体" w:eastAsia="宋体" w:hint="default"/>
                <w:sz w:val="18"/>
                <w:szCs w:val="18"/>
              </w:rPr>
            </w:pPr>
            <w:r>
              <w:rPr>
                <w:rFonts w:ascii="宋体"/>
                <w:sz w:val="18"/>
              </w:rPr>
              <w:t>4,500,000.00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1,894,829.06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2,605,170.94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年核高基国 家科技重大专项</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sz w:val="18"/>
              </w:rPr>
              <w:t>10,152,500.00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10,152,500.00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基于医学知识库 电子病历系统研 发及临床应用</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56" w:right="0"/>
              <w:jc w:val="left"/>
              <w:rPr>
                <w:rFonts w:ascii="宋体" w:hAnsi="宋体" w:cs="宋体" w:eastAsia="宋体" w:hint="default"/>
                <w:sz w:val="18"/>
                <w:szCs w:val="18"/>
              </w:rPr>
            </w:pPr>
            <w:r>
              <w:rPr>
                <w:rFonts w:ascii="宋体"/>
                <w:sz w:val="18"/>
              </w:rPr>
              <w:t>4,400,000.00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-992,500.00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spacing w:val="-1"/>
                <w:sz w:val="18"/>
              </w:rPr>
              <w:t>3,407,500.00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信息技术服务能 力提升</w:t>
            </w:r>
            <w:r>
              <w:rPr>
                <w:rFonts w:ascii="宋体" w:hAnsi="宋体" w:cs="宋体" w:eastAsia="宋体" w:hint="default"/>
                <w:sz w:val="18"/>
                <w:szCs w:val="18"/>
              </w:rPr>
              <w:t>-</w:t>
            </w:r>
            <w:r>
              <w:rPr>
                <w:rFonts w:ascii="宋体" w:hAnsi="宋体" w:cs="宋体" w:eastAsia="宋体" w:hint="default"/>
                <w:sz w:val="18"/>
                <w:szCs w:val="18"/>
              </w:rPr>
              <w:t>银行安 全可靠业务系统 研发及应用示范</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6" w:right="0"/>
              <w:jc w:val="left"/>
              <w:rPr>
                <w:rFonts w:ascii="宋体" w:hAnsi="宋体" w:cs="宋体" w:eastAsia="宋体" w:hint="default"/>
                <w:sz w:val="18"/>
                <w:szCs w:val="18"/>
              </w:rPr>
            </w:pPr>
            <w:r>
              <w:rPr>
                <w:rFonts w:ascii="宋体"/>
                <w:sz w:val="18"/>
              </w:rPr>
              <w:t>4,000,000.00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pacing w:val="-1"/>
                <w:sz w:val="18"/>
              </w:rPr>
              <w:t>4,000,000.00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海淀联合重大攻 关项目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sz w:val="18"/>
              </w:rPr>
              <w:t>1,050,000.00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中小商业银行一 体化服务平台</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sz w:val="18"/>
              </w:rPr>
              <w:t>9,510,000.00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1,902,000.00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7,608,000.00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数字化医疗区域 协同应用示范</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6" w:right="0"/>
              <w:jc w:val="left"/>
              <w:rPr>
                <w:rFonts w:ascii="宋体" w:hAnsi="宋体" w:cs="宋体" w:eastAsia="宋体" w:hint="default"/>
                <w:sz w:val="18"/>
                <w:szCs w:val="18"/>
              </w:rPr>
            </w:pPr>
            <w:r>
              <w:rPr>
                <w:rFonts w:ascii="宋体"/>
                <w:sz w:val="18"/>
              </w:rPr>
              <w:t>800,000.00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5" w:right="0"/>
              <w:jc w:val="left"/>
              <w:rPr>
                <w:rFonts w:ascii="宋体" w:hAnsi="宋体" w:cs="宋体" w:eastAsia="宋体" w:hint="default"/>
                <w:sz w:val="18"/>
                <w:szCs w:val="18"/>
              </w:rPr>
            </w:pPr>
            <w:r>
              <w:rPr>
                <w:rFonts w:ascii="宋体"/>
                <w:sz w:val="18"/>
              </w:rPr>
              <w:t>522,300.00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722,300.00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基于安全可靠软 硬件的系统集成 开发工具（</w:t>
            </w:r>
            <w:r>
              <w:rPr>
                <w:rFonts w:ascii="宋体" w:hAnsi="宋体" w:cs="宋体" w:eastAsia="宋体" w:hint="default"/>
                <w:sz w:val="18"/>
                <w:szCs w:val="18"/>
              </w:rPr>
              <w:t>IDE) </w:t>
            </w:r>
            <w:r>
              <w:rPr>
                <w:rFonts w:ascii="宋体" w:hAnsi="宋体" w:cs="宋体" w:eastAsia="宋体" w:hint="default"/>
                <w:sz w:val="18"/>
                <w:szCs w:val="18"/>
              </w:rPr>
              <w:t>研发</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6" w:right="0"/>
              <w:jc w:val="left"/>
              <w:rPr>
                <w:rFonts w:ascii="宋体" w:hAnsi="宋体" w:cs="宋体" w:eastAsia="宋体" w:hint="default"/>
                <w:sz w:val="18"/>
                <w:szCs w:val="18"/>
              </w:rPr>
            </w:pPr>
            <w:r>
              <w:rPr>
                <w:rFonts w:ascii="宋体"/>
                <w:sz w:val="18"/>
              </w:rPr>
              <w:t>8,000,000.00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pacing w:val="-1"/>
                <w:sz w:val="18"/>
              </w:rPr>
              <w:t>8,000,000.00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信息系统 医疗）运行维护 支持系统研发及 产业化项目</w:t>
            </w:r>
          </w:p>
        </w:tc>
        <w:tc>
          <w:tcPr>
            <w:tcW w:w="252" w:type="dxa"/>
            <w:tcBorders>
              <w:top w:val="single" w:sz="4" w:space="0" w:color="000000"/>
              <w:left w:val="single" w:sz="4" w:space="0" w:color="000000"/>
              <w:bottom w:val="single" w:sz="4" w:space="0" w:color="000000"/>
              <w:right w:val="nil" w:sz="6" w:space="0" w:color="auto"/>
            </w:tcBorders>
          </w:tcPr>
          <w:p>
            <w:pPr/>
          </w:p>
        </w:tc>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89" w:right="0"/>
              <w:jc w:val="left"/>
              <w:rPr>
                <w:rFonts w:ascii="宋体" w:hAnsi="宋体" w:cs="宋体" w:eastAsia="宋体" w:hint="default"/>
                <w:sz w:val="18"/>
                <w:szCs w:val="18"/>
              </w:rPr>
            </w:pPr>
            <w:r>
              <w:rPr>
                <w:rFonts w:ascii="宋体"/>
                <w:sz w:val="18"/>
              </w:rPr>
              <w:t>779,629.63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宋体"/>
                <w:spacing w:val="-1"/>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宋体"/>
                <w:spacing w:val="-1"/>
                <w:sz w:val="18"/>
              </w:rPr>
              <w:t>379,629.63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促进重点创新型 企业发展专项资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sz w:val="18"/>
              </w:rPr>
              <w:t>1,036,654.17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543,345.84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493,308.33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超大规模数据智 能分析平台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矿用</w:t>
            </w:r>
            <w:r>
              <w:rPr>
                <w:rFonts w:ascii="宋体" w:hAnsi="宋体" w:cs="宋体" w:eastAsia="宋体" w:hint="default"/>
                <w:spacing w:val="-65"/>
                <w:sz w:val="18"/>
                <w:szCs w:val="18"/>
              </w:rPr>
              <w:t> </w:t>
            </w:r>
            <w:r>
              <w:rPr>
                <w:rFonts w:ascii="宋体" w:hAnsi="宋体" w:cs="宋体" w:eastAsia="宋体" w:hint="default"/>
                <w:sz w:val="18"/>
                <w:szCs w:val="18"/>
              </w:rPr>
              <w:t>3G</w:t>
            </w:r>
            <w:r>
              <w:rPr>
                <w:rFonts w:ascii="宋体" w:hAnsi="宋体" w:cs="宋体" w:eastAsia="宋体" w:hint="default"/>
                <w:spacing w:val="-64"/>
                <w:sz w:val="18"/>
                <w:szCs w:val="18"/>
              </w:rPr>
              <w:t> </w:t>
            </w:r>
            <w:r>
              <w:rPr>
                <w:rFonts w:ascii="宋体" w:hAnsi="宋体" w:cs="宋体" w:eastAsia="宋体" w:hint="default"/>
                <w:sz w:val="18"/>
                <w:szCs w:val="18"/>
              </w:rPr>
              <w:t>无线通信 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UWB</w:t>
            </w:r>
            <w:r>
              <w:rPr>
                <w:rFonts w:ascii="宋体" w:hAnsi="宋体" w:cs="宋体" w:eastAsia="宋体" w:hint="default"/>
                <w:spacing w:val="-45"/>
                <w:sz w:val="18"/>
                <w:szCs w:val="18"/>
              </w:rPr>
              <w:t> </w:t>
            </w:r>
            <w:r>
              <w:rPr>
                <w:rFonts w:ascii="宋体" w:hAnsi="宋体" w:cs="宋体" w:eastAsia="宋体" w:hint="default"/>
                <w:sz w:val="18"/>
                <w:szCs w:val="18"/>
              </w:rPr>
              <w:t>技术的 煤矿井下高精度 定位管理系统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70,000.00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海淀联合重大攻 关项目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年海淀区重 大联合攻关项目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深圳前海深港合 作区现代服务业 综合试点项目扶 持协议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4,670,000.00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4,670,000.00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海南云教育平台 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新华舆情网络预 警系统及配套智 能移动终端产业 化项目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1,281,880.12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212,693.01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1,069,187.11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基于移动互联网 的新一代银行卡 手持移动金融终 端应用示范项目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911,111.11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844,444.45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自主标准</w:t>
            </w:r>
            <w:r>
              <w:rPr>
                <w:rFonts w:ascii="宋体" w:hAnsi="宋体" w:cs="宋体" w:eastAsia="宋体" w:hint="default"/>
                <w:spacing w:val="-66"/>
                <w:sz w:val="18"/>
                <w:szCs w:val="18"/>
              </w:rPr>
              <w:t> </w:t>
            </w:r>
            <w:r>
              <w:rPr>
                <w:rFonts w:ascii="宋体" w:hAnsi="宋体" w:cs="宋体" w:eastAsia="宋体" w:hint="default"/>
                <w:sz w:val="18"/>
                <w:szCs w:val="18"/>
              </w:rPr>
              <w:t>900M</w:t>
            </w:r>
            <w:r>
              <w:rPr>
                <w:rFonts w:ascii="宋体" w:hAnsi="宋体" w:cs="宋体" w:eastAsia="宋体" w:hint="default"/>
                <w:spacing w:val="-65"/>
                <w:sz w:val="18"/>
                <w:szCs w:val="18"/>
              </w:rPr>
              <w:t> </w:t>
            </w:r>
            <w:r>
              <w:rPr>
                <w:rFonts w:ascii="宋体" w:hAnsi="宋体" w:cs="宋体" w:eastAsia="宋体" w:hint="default"/>
                <w:sz w:val="18"/>
                <w:szCs w:val="18"/>
              </w:rPr>
              <w:t>高 频</w:t>
            </w:r>
            <w:r>
              <w:rPr>
                <w:rFonts w:ascii="宋体" w:hAnsi="宋体" w:cs="宋体" w:eastAsia="宋体" w:hint="default"/>
                <w:spacing w:val="-66"/>
                <w:sz w:val="18"/>
                <w:szCs w:val="18"/>
              </w:rPr>
              <w:t> </w:t>
            </w:r>
            <w:r>
              <w:rPr>
                <w:rFonts w:ascii="宋体" w:hAnsi="宋体" w:cs="宋体" w:eastAsia="宋体" w:hint="default"/>
                <w:sz w:val="18"/>
                <w:szCs w:val="18"/>
              </w:rPr>
              <w:t>FRID</w:t>
            </w:r>
            <w:r>
              <w:rPr>
                <w:rFonts w:ascii="宋体" w:hAnsi="宋体" w:cs="宋体" w:eastAsia="宋体" w:hint="default"/>
                <w:spacing w:val="-65"/>
                <w:sz w:val="18"/>
                <w:szCs w:val="18"/>
              </w:rPr>
              <w:t> </w:t>
            </w:r>
            <w:r>
              <w:rPr>
                <w:rFonts w:ascii="宋体" w:hAnsi="宋体" w:cs="宋体" w:eastAsia="宋体" w:hint="default"/>
                <w:sz w:val="18"/>
                <w:szCs w:val="18"/>
              </w:rPr>
              <w:t>物联网智 能终端及关键技 术研发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16,666.67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183,333.33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84,070,870.13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12,285,291.23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10,863,747.50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-1,592,500.00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宋体" w:hAnsi="宋体" w:cs="宋体" w:eastAsia="宋体" w:hint="default"/>
                <w:sz w:val="18"/>
                <w:szCs w:val="18"/>
              </w:rPr>
            </w:pPr>
            <w:r>
              <w:rPr>
                <w:rFonts w:ascii="宋体"/>
                <w:spacing w:val="-1"/>
                <w:sz w:val="18"/>
              </w:rPr>
              <w:t>83,899,913.86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52</w:t>
      </w:r>
      <w:r>
        <w:rPr/>
        <w:t>、其他非流动负债</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53</w:t>
      </w:r>
      <w:r>
        <w:rPr/>
        <w:t>、股本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1,514,806,94</w:t>
            </w:r>
          </w:p>
          <w:p>
            <w:pPr>
              <w:pStyle w:val="TableParagraph"/>
              <w:spacing w:line="240" w:lineRule="auto" w:before="76"/>
              <w:ind w:right="21"/>
              <w:jc w:val="right"/>
              <w:rPr>
                <w:rFonts w:ascii="宋体" w:hAnsi="宋体" w:cs="宋体" w:eastAsia="宋体" w:hint="default"/>
                <w:sz w:val="18"/>
                <w:szCs w:val="18"/>
              </w:rPr>
            </w:pPr>
            <w:r>
              <w:rPr>
                <w:rFonts w:ascii="宋体"/>
                <w:sz w:val="18"/>
              </w:rPr>
              <w:t>8.00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49,754,752.0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49,754,752.0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1,564,561,70</w:t>
            </w:r>
          </w:p>
          <w:p>
            <w:pPr>
              <w:pStyle w:val="TableParagraph"/>
              <w:spacing w:line="240" w:lineRule="auto" w:before="76"/>
              <w:ind w:right="21"/>
              <w:jc w:val="right"/>
              <w:rPr>
                <w:rFonts w:ascii="宋体" w:hAnsi="宋体" w:cs="宋体" w:eastAsia="宋体" w:hint="default"/>
                <w:sz w:val="18"/>
                <w:szCs w:val="18"/>
              </w:rPr>
            </w:pPr>
            <w:r>
              <w:rPr>
                <w:rFonts w:ascii="宋体"/>
                <w:sz w:val="18"/>
              </w:rPr>
              <w:t>0.00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5"/>
        <w:jc w:val="left"/>
        <w:rPr>
          <w:b w:val="0"/>
          <w:bCs w:val="0"/>
        </w:rPr>
      </w:pPr>
      <w:r>
        <w:rPr>
          <w:rFonts w:ascii="宋体" w:hAnsi="宋体" w:cs="宋体" w:eastAsia="宋体" w:hint="default"/>
        </w:rPr>
        <w:t>54</w:t>
      </w:r>
      <w:r>
        <w:rPr/>
        <w:t>、其他权益工具</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5"/>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5"/>
        <w:jc w:val="left"/>
        <w:rPr>
          <w:b w:val="0"/>
          <w:bCs w:val="0"/>
        </w:rPr>
      </w:pPr>
      <w:r>
        <w:rPr>
          <w:rFonts w:ascii="宋体" w:hAnsi="宋体" w:cs="宋体" w:eastAsia="宋体" w:hint="default"/>
        </w:rPr>
        <w:t>55</w:t>
      </w:r>
      <w:r>
        <w:rPr/>
        <w:t>、资本公积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21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1,435,196,877.43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849,509,853.50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2,284,706,730.93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51,333,148.89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4,367,425.32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34,118,100.89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21,582,473.32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1,486,530,026.32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853,877,278.82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34,118,100.89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2,306,289,204.25</w:t>
            </w:r>
          </w:p>
        </w:tc>
      </w:tr>
    </w:tbl>
    <w:p>
      <w:pPr>
        <w:pStyle w:val="BodyText"/>
        <w:spacing w:line="240" w:lineRule="auto" w:before="49"/>
        <w:ind w:left="513" w:right="115"/>
        <w:jc w:val="left"/>
      </w:pPr>
      <w:r>
        <w:rPr/>
        <w:t>其他说明，包括本期增减变动情况、变动原因说明：</w:t>
      </w:r>
    </w:p>
    <w:p>
      <w:pPr>
        <w:pStyle w:val="BodyText"/>
        <w:spacing w:line="240" w:lineRule="auto" w:before="115"/>
        <w:ind w:left="513" w:right="115"/>
        <w:jc w:val="left"/>
      </w:pPr>
      <w:r>
        <w:rPr/>
        <w:t>资本公</w:t>
      </w:r>
      <w:r>
        <w:rPr>
          <w:spacing w:val="-1"/>
        </w:rPr>
        <w:t>积</w:t>
      </w:r>
      <w:r>
        <w:rPr>
          <w:rFonts w:ascii="宋体" w:hAnsi="宋体" w:cs="宋体" w:eastAsia="宋体" w:hint="default"/>
          <w:spacing w:val="1"/>
        </w:rPr>
        <w:t>-</w:t>
      </w:r>
      <w:r>
        <w:rPr/>
        <w:t>股本溢价增加的原因</w:t>
      </w:r>
      <w:r>
        <w:rPr>
          <w:spacing w:val="-92"/>
        </w:rPr>
        <w:t>：</w:t>
      </w:r>
      <w:r>
        <w:rPr/>
        <w:t>（</w:t>
      </w:r>
      <w:r>
        <w:rPr>
          <w:rFonts w:ascii="宋体" w:hAnsi="宋体" w:cs="宋体" w:eastAsia="宋体" w:hint="default"/>
          <w:spacing w:val="1"/>
        </w:rPr>
        <w:t>1</w:t>
      </w:r>
      <w:r>
        <w:rPr/>
        <w:t>）公司股权激励第二期行权的</w:t>
      </w:r>
      <w:r>
        <w:rPr>
          <w:spacing w:val="-44"/>
        </w:rPr>
        <w:t> </w:t>
      </w:r>
      <w:r>
        <w:rPr>
          <w:rFonts w:ascii="宋体" w:hAnsi="宋体" w:cs="宋体" w:eastAsia="宋体" w:hint="default"/>
        </w:rPr>
        <w:t>1</w:t>
      </w:r>
      <w:r>
        <w:rPr>
          <w:rFonts w:ascii="宋体" w:hAnsi="宋体" w:cs="宋体" w:eastAsia="宋体" w:hint="default"/>
          <w:spacing w:val="-44"/>
        </w:rPr>
        <w:t> </w:t>
      </w:r>
      <w:r>
        <w:rPr/>
        <w:t>名激励对象和第三期</w:t>
      </w:r>
      <w:r>
        <w:rPr>
          <w:spacing w:val="-3"/>
        </w:rPr>
        <w:t>行</w:t>
      </w:r>
      <w:r>
        <w:rPr/>
        <w:t>权的激励对象缴纳出资款形</w:t>
      </w:r>
    </w:p>
    <w:p>
      <w:pPr>
        <w:pStyle w:val="BodyText"/>
        <w:spacing w:line="240" w:lineRule="auto" w:before="76"/>
        <w:ind w:right="0"/>
        <w:jc w:val="both"/>
      </w:pPr>
      <w:r>
        <w:rPr/>
        <w:t>成资本公积</w:t>
      </w:r>
      <w:r>
        <w:rPr>
          <w:rFonts w:ascii="宋体" w:hAnsi="宋体" w:cs="宋体" w:eastAsia="宋体" w:hint="default"/>
          <w:spacing w:val="1"/>
        </w:rPr>
        <w:t>-</w:t>
      </w:r>
      <w:r>
        <w:rPr/>
        <w:t>股本溢价</w:t>
      </w:r>
      <w:r>
        <w:rPr>
          <w:spacing w:val="-45"/>
        </w:rPr>
        <w:t> </w:t>
      </w:r>
      <w:r>
        <w:rPr>
          <w:rFonts w:ascii="宋体" w:hAnsi="宋体" w:cs="宋体" w:eastAsia="宋体" w:hint="default"/>
          <w:spacing w:val="-2"/>
        </w:rPr>
        <w:t>4</w:t>
      </w:r>
      <w:r>
        <w:rPr>
          <w:rFonts w:ascii="宋体" w:hAnsi="宋体" w:cs="宋体" w:eastAsia="宋体" w:hint="default"/>
          <w:spacing w:val="1"/>
        </w:rPr>
        <w:t>0</w:t>
      </w:r>
      <w:r>
        <w:rPr>
          <w:rFonts w:ascii="宋体" w:hAnsi="宋体" w:cs="宋体" w:eastAsia="宋体" w:hint="default"/>
          <w:spacing w:val="-2"/>
        </w:rPr>
        <w:t>,</w:t>
      </w:r>
      <w:r>
        <w:rPr>
          <w:rFonts w:ascii="宋体" w:hAnsi="宋体" w:cs="宋体" w:eastAsia="宋体" w:hint="default"/>
          <w:spacing w:val="1"/>
        </w:rPr>
        <w:t>2</w:t>
      </w:r>
      <w:r>
        <w:rPr>
          <w:rFonts w:ascii="宋体" w:hAnsi="宋体" w:cs="宋体" w:eastAsia="宋体" w:hint="default"/>
          <w:spacing w:val="-2"/>
        </w:rPr>
        <w:t>3</w:t>
      </w:r>
      <w:r>
        <w:rPr>
          <w:rFonts w:ascii="宋体" w:hAnsi="宋体" w:cs="宋体" w:eastAsia="宋体" w:hint="default"/>
          <w:spacing w:val="1"/>
        </w:rPr>
        <w:t>3</w:t>
      </w:r>
      <w:r>
        <w:rPr>
          <w:rFonts w:ascii="宋体" w:hAnsi="宋体" w:cs="宋体" w:eastAsia="宋体" w:hint="default"/>
          <w:spacing w:val="-2"/>
        </w:rPr>
        <w:t>,</w:t>
      </w:r>
      <w:r>
        <w:rPr>
          <w:rFonts w:ascii="宋体" w:hAnsi="宋体" w:cs="宋体" w:eastAsia="宋体" w:hint="default"/>
          <w:spacing w:val="1"/>
        </w:rPr>
        <w:t>58</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4</w:t>
      </w:r>
      <w:r>
        <w:rPr>
          <w:rFonts w:ascii="宋体" w:hAnsi="宋体" w:cs="宋体" w:eastAsia="宋体" w:hint="default"/>
        </w:rPr>
        <w:t>0</w:t>
      </w:r>
      <w:r>
        <w:rPr>
          <w:rFonts w:ascii="宋体" w:hAnsi="宋体" w:cs="宋体" w:eastAsia="宋体" w:hint="default"/>
          <w:spacing w:val="-42"/>
        </w:rPr>
        <w:t> </w:t>
      </w:r>
      <w:r>
        <w:rPr/>
        <w:t>元</w:t>
      </w:r>
      <w:r>
        <w:rPr>
          <w:spacing w:val="-82"/>
        </w:rPr>
        <w:t>；</w:t>
      </w:r>
      <w:r>
        <w:rPr/>
        <w:t>本期行权部分在</w:t>
      </w:r>
      <w:r>
        <w:rPr>
          <w:spacing w:val="-3"/>
        </w:rPr>
        <w:t>等</w:t>
      </w:r>
      <w:r>
        <w:rPr/>
        <w:t>待期间已计入成本费用所对应的资本公积</w:t>
      </w:r>
      <w:r>
        <w:rPr>
          <w:rFonts w:ascii="宋体" w:hAnsi="宋体" w:cs="宋体" w:eastAsia="宋体" w:hint="default"/>
          <w:spacing w:val="1"/>
        </w:rPr>
        <w:t>-</w:t>
      </w:r>
      <w:r>
        <w:rPr/>
        <w:t>其他资本公积转入资</w:t>
      </w:r>
    </w:p>
    <w:p>
      <w:pPr>
        <w:pStyle w:val="BodyText"/>
        <w:spacing w:line="240" w:lineRule="auto" w:before="76"/>
        <w:ind w:right="0"/>
        <w:jc w:val="both"/>
      </w:pPr>
      <w:r>
        <w:rPr/>
        <w:t>本公积</w:t>
      </w:r>
      <w:r>
        <w:rPr>
          <w:rFonts w:ascii="宋体" w:hAnsi="宋体" w:cs="宋体" w:eastAsia="宋体" w:hint="default"/>
          <w:spacing w:val="1"/>
        </w:rPr>
        <w:t>-</w:t>
      </w:r>
      <w:r>
        <w:rPr/>
        <w:t>股本溢价</w:t>
      </w:r>
      <w:r>
        <w:rPr>
          <w:spacing w:val="-45"/>
        </w:rPr>
        <w:t> </w:t>
      </w:r>
      <w:r>
        <w:rPr>
          <w:rFonts w:ascii="宋体" w:hAnsi="宋体" w:cs="宋体" w:eastAsia="宋体" w:hint="default"/>
          <w:spacing w:val="-2"/>
        </w:rPr>
        <w:t>1</w:t>
      </w:r>
      <w:r>
        <w:rPr>
          <w:rFonts w:ascii="宋体" w:hAnsi="宋体" w:cs="宋体" w:eastAsia="宋体" w:hint="default"/>
          <w:spacing w:val="1"/>
        </w:rPr>
        <w:t>5</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3</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3</w:t>
      </w:r>
      <w:r>
        <w:rPr>
          <w:rFonts w:ascii="宋体" w:hAnsi="宋体" w:cs="宋体" w:eastAsia="宋体" w:hint="default"/>
          <w:spacing w:val="1"/>
        </w:rPr>
        <w:t>6</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43"/>
        </w:rPr>
        <w:t> </w:t>
      </w:r>
      <w:r>
        <w:rPr/>
        <w:t>元</w:t>
      </w:r>
      <w:r>
        <w:rPr>
          <w:spacing w:val="-92"/>
        </w:rPr>
        <w:t>。</w:t>
      </w:r>
      <w:r>
        <w:rPr/>
        <w:t>（</w:t>
      </w:r>
      <w:r>
        <w:rPr>
          <w:rFonts w:ascii="宋体" w:hAnsi="宋体" w:cs="宋体" w:eastAsia="宋体" w:hint="default"/>
          <w:spacing w:val="1"/>
        </w:rPr>
        <w:t>2</w:t>
      </w:r>
      <w:r>
        <w:rPr/>
        <w:t>）公司发行的可转</w:t>
      </w:r>
      <w:r>
        <w:rPr>
          <w:spacing w:val="-3"/>
        </w:rPr>
        <w:t>换</w:t>
      </w:r>
      <w:r>
        <w:rPr/>
        <w:t>公司债券本期转股，转股部分债券负债成分的公允价值转入资</w:t>
      </w:r>
    </w:p>
    <w:p>
      <w:pPr>
        <w:pStyle w:val="BodyText"/>
        <w:spacing w:line="316" w:lineRule="auto" w:before="76"/>
        <w:ind w:right="211"/>
        <w:jc w:val="both"/>
      </w:pPr>
      <w:r>
        <w:rPr/>
        <w:t>本公积</w:t>
      </w:r>
      <w:r>
        <w:rPr>
          <w:rFonts w:ascii="宋体" w:hAnsi="宋体" w:cs="宋体" w:eastAsia="宋体" w:hint="default"/>
        </w:rPr>
        <w:t>-</w:t>
      </w:r>
      <w:r>
        <w:rPr/>
        <w:t>股本溢价</w:t>
      </w:r>
      <w:r>
        <w:rPr>
          <w:spacing w:val="-41"/>
        </w:rPr>
        <w:t> </w:t>
      </w:r>
      <w:r>
        <w:rPr>
          <w:rFonts w:ascii="宋体" w:hAnsi="宋体" w:cs="宋体" w:eastAsia="宋体" w:hint="default"/>
          <w:spacing w:val="-1"/>
        </w:rPr>
        <w:t>61,242,289.47</w:t>
      </w:r>
      <w:r>
        <w:rPr>
          <w:rFonts w:ascii="宋体" w:hAnsi="宋体" w:cs="宋体" w:eastAsia="宋体" w:hint="default"/>
          <w:spacing w:val="-39"/>
        </w:rPr>
        <w:t> </w:t>
      </w:r>
      <w:r>
        <w:rPr>
          <w:spacing w:val="-1"/>
        </w:rPr>
        <w:t>元，权益成分的公允价值转入资本公积</w:t>
      </w:r>
      <w:r>
        <w:rPr>
          <w:rFonts w:ascii="宋体" w:hAnsi="宋体" w:cs="宋体" w:eastAsia="宋体" w:hint="default"/>
          <w:spacing w:val="-1"/>
        </w:rPr>
        <w:t>-</w:t>
      </w:r>
      <w:r>
        <w:rPr>
          <w:spacing w:val="-1"/>
        </w:rPr>
        <w:t>股本溢价</w:t>
      </w:r>
      <w:r>
        <w:rPr>
          <w:spacing w:val="-41"/>
        </w:rPr>
        <w:t> </w:t>
      </w:r>
      <w:r>
        <w:rPr>
          <w:rFonts w:ascii="宋体" w:hAnsi="宋体" w:cs="宋体" w:eastAsia="宋体" w:hint="default"/>
          <w:spacing w:val="-1"/>
        </w:rPr>
        <w:t>18,778,764.89</w:t>
      </w:r>
      <w:r>
        <w:rPr>
          <w:rFonts w:ascii="宋体" w:hAnsi="宋体" w:cs="宋体" w:eastAsia="宋体" w:hint="default"/>
          <w:spacing w:val="-39"/>
        </w:rPr>
        <w:t> </w:t>
      </w:r>
      <w:r>
        <w:rPr>
          <w:spacing w:val="-11"/>
        </w:rPr>
        <w:t>元。（</w:t>
      </w:r>
      <w:r>
        <w:rPr>
          <w:rFonts w:ascii="宋体" w:hAnsi="宋体" w:cs="宋体" w:eastAsia="宋体" w:hint="default"/>
          <w:spacing w:val="-11"/>
        </w:rPr>
        <w:t>3</w:t>
      </w:r>
      <w:r>
        <w:rPr>
          <w:spacing w:val="-11"/>
        </w:rPr>
        <w:t>）</w:t>
      </w:r>
      <w:r>
        <w:rPr>
          <w:rFonts w:ascii="宋体" w:hAnsi="宋体" w:cs="宋体" w:eastAsia="宋体" w:hint="default"/>
          <w:spacing w:val="-11"/>
        </w:rPr>
        <w:t>2015</w:t>
      </w:r>
      <w:r>
        <w:rPr>
          <w:rFonts w:ascii="宋体" w:hAnsi="宋体" w:cs="宋体" w:eastAsia="宋体" w:hint="default"/>
          <w:spacing w:val="-42"/>
        </w:rPr>
        <w:t> </w:t>
      </w:r>
      <w:r>
        <w:rPr/>
        <w:t>年</w:t>
      </w:r>
      <w:r>
        <w:rPr>
          <w:spacing w:val="-41"/>
        </w:rPr>
        <w:t> </w:t>
      </w:r>
      <w:r>
        <w:rPr>
          <w:rFonts w:ascii="宋体" w:hAnsi="宋体" w:cs="宋体" w:eastAsia="宋体" w:hint="default"/>
        </w:rPr>
        <w:t>6</w:t>
      </w:r>
      <w:r>
        <w:rPr>
          <w:rFonts w:ascii="宋体" w:hAnsi="宋体" w:cs="宋体" w:eastAsia="宋体" w:hint="default"/>
          <w:spacing w:val="-40"/>
        </w:rPr>
        <w:t> </w:t>
      </w:r>
      <w:r>
        <w:rPr/>
        <w:t>月，</w:t>
      </w:r>
      <w:r>
        <w:rPr>
          <w:spacing w:val="-83"/>
        </w:rPr>
        <w:t> </w:t>
      </w:r>
      <w:r>
        <w:rPr/>
        <w:t>经中国证监会核准，公司定向增发人民币普通股股票，购买深圳市至高通信技术发展有限公司</w:t>
      </w:r>
      <w:r>
        <w:rPr>
          <w:spacing w:val="-44"/>
        </w:rPr>
        <w:t> </w:t>
      </w:r>
      <w:r>
        <w:rPr>
          <w:rFonts w:ascii="宋体" w:hAnsi="宋体" w:cs="宋体" w:eastAsia="宋体" w:hint="default"/>
        </w:rPr>
        <w:t>100%</w:t>
      </w:r>
      <w:r>
        <w:rPr/>
        <w:t>的股权，增加资本公积 </w:t>
      </w:r>
      <w:r>
        <w:rPr>
          <w:rFonts w:ascii="宋体" w:hAnsi="宋体" w:cs="宋体" w:eastAsia="宋体" w:hint="default"/>
          <w:spacing w:val="-1"/>
        </w:rPr>
        <w:t>529,860,069.00</w:t>
      </w:r>
      <w:r>
        <w:rPr>
          <w:rFonts w:ascii="宋体" w:hAnsi="宋体" w:cs="宋体" w:eastAsia="宋体" w:hint="default"/>
          <w:spacing w:val="-31"/>
        </w:rPr>
        <w:t> </w:t>
      </w:r>
      <w:r>
        <w:rPr>
          <w:spacing w:val="-15"/>
        </w:rPr>
        <w:t>元；（</w:t>
      </w:r>
      <w:r>
        <w:rPr>
          <w:rFonts w:ascii="宋体" w:hAnsi="宋体" w:cs="宋体" w:eastAsia="宋体" w:hint="default"/>
          <w:spacing w:val="-15"/>
        </w:rPr>
        <w:t>4</w:t>
      </w:r>
      <w:r>
        <w:rPr>
          <w:spacing w:val="-15"/>
        </w:rPr>
        <w:t>）</w:t>
      </w:r>
      <w:r>
        <w:rPr>
          <w:rFonts w:ascii="宋体" w:hAnsi="宋体" w:cs="宋体" w:eastAsia="宋体" w:hint="default"/>
          <w:spacing w:val="-15"/>
        </w:rPr>
        <w:t>2015</w:t>
      </w:r>
      <w:r>
        <w:rPr>
          <w:rFonts w:ascii="宋体" w:hAnsi="宋体" w:cs="宋体" w:eastAsia="宋体" w:hint="default"/>
          <w:spacing w:val="-36"/>
        </w:rPr>
        <w:t> </w:t>
      </w:r>
      <w:r>
        <w:rPr/>
        <w:t>年</w:t>
      </w:r>
      <w:r>
        <w:rPr>
          <w:spacing w:val="-35"/>
        </w:rPr>
        <w:t> </w:t>
      </w:r>
      <w:r>
        <w:rPr>
          <w:rFonts w:ascii="宋体" w:hAnsi="宋体" w:cs="宋体" w:eastAsia="宋体" w:hint="default"/>
        </w:rPr>
        <w:t>6</w:t>
      </w:r>
      <w:r>
        <w:rPr>
          <w:rFonts w:ascii="宋体" w:hAnsi="宋体" w:cs="宋体" w:eastAsia="宋体" w:hint="default"/>
          <w:spacing w:val="-34"/>
        </w:rPr>
        <w:t> </w:t>
      </w:r>
      <w:r>
        <w:rPr>
          <w:spacing w:val="-2"/>
        </w:rPr>
        <w:t>月，经中国证监会核准，公司募集配套资金发行股票，投资者出资计入资本公积</w:t>
      </w:r>
      <w:r>
        <w:rPr>
          <w:rFonts w:ascii="宋体" w:hAnsi="宋体" w:cs="宋体" w:eastAsia="宋体" w:hint="default"/>
          <w:spacing w:val="-2"/>
        </w:rPr>
        <w:t>-</w:t>
      </w:r>
      <w:r>
        <w:rPr>
          <w:spacing w:val="-2"/>
        </w:rPr>
        <w:t>股本溢</w:t>
      </w:r>
    </w:p>
    <w:p>
      <w:pPr>
        <w:pStyle w:val="BodyText"/>
        <w:spacing w:line="240" w:lineRule="auto" w:before="19"/>
        <w:ind w:right="0"/>
        <w:jc w:val="both"/>
      </w:pPr>
      <w:r>
        <w:rPr/>
        <w:t>价</w:t>
      </w:r>
      <w:r>
        <w:rPr>
          <w:spacing w:val="-47"/>
        </w:rPr>
        <w:t> </w:t>
      </w:r>
      <w:r>
        <w:rPr>
          <w:rFonts w:ascii="宋体" w:hAnsi="宋体" w:cs="宋体" w:eastAsia="宋体" w:hint="default"/>
        </w:rPr>
        <w:t>184,055,813.74</w:t>
      </w:r>
      <w:r>
        <w:rPr>
          <w:rFonts w:ascii="宋体" w:hAnsi="宋体" w:cs="宋体" w:eastAsia="宋体" w:hint="default"/>
          <w:spacing w:val="-46"/>
        </w:rPr>
        <w:t> </w:t>
      </w:r>
      <w:r>
        <w:rPr/>
        <w:t>元。</w:t>
      </w:r>
    </w:p>
    <w:p>
      <w:pPr>
        <w:pStyle w:val="BodyText"/>
        <w:spacing w:line="316" w:lineRule="auto" w:before="117"/>
        <w:ind w:right="204" w:firstLine="360"/>
        <w:jc w:val="left"/>
      </w:pPr>
      <w:r>
        <w:rPr/>
        <w:t>资本公积</w:t>
      </w:r>
      <w:r>
        <w:rPr>
          <w:rFonts w:ascii="宋体" w:hAnsi="宋体" w:cs="宋体" w:eastAsia="宋体" w:hint="default"/>
        </w:rPr>
        <w:t>-</w:t>
      </w:r>
      <w:r>
        <w:rPr/>
        <w:t>其他资本公积增加的原因：根据公司股票期权激励计划，将该股票期权在等待期间应计的成本费用金额计入 资本公积</w:t>
      </w:r>
      <w:r>
        <w:rPr>
          <w:spacing w:val="-46"/>
        </w:rPr>
        <w:t> </w:t>
      </w:r>
      <w:r>
        <w:rPr>
          <w:rFonts w:ascii="宋体" w:hAnsi="宋体" w:cs="宋体" w:eastAsia="宋体" w:hint="default"/>
        </w:rPr>
        <w:t>4,367,425.32</w:t>
      </w:r>
      <w:r>
        <w:rPr>
          <w:rFonts w:ascii="宋体" w:hAnsi="宋体" w:cs="宋体" w:eastAsia="宋体" w:hint="default"/>
          <w:spacing w:val="-45"/>
        </w:rPr>
        <w:t> </w:t>
      </w:r>
      <w:r>
        <w:rPr/>
        <w:t>元。</w:t>
      </w:r>
    </w:p>
    <w:p>
      <w:pPr>
        <w:pStyle w:val="BodyText"/>
        <w:spacing w:line="316" w:lineRule="auto" w:before="57"/>
        <w:ind w:right="115" w:firstLine="360"/>
        <w:jc w:val="left"/>
      </w:pPr>
      <w:r>
        <w:rPr/>
        <w:t>资本公</w:t>
      </w:r>
      <w:r>
        <w:rPr>
          <w:spacing w:val="-1"/>
        </w:rPr>
        <w:t>积</w:t>
      </w:r>
      <w:r>
        <w:rPr>
          <w:rFonts w:ascii="宋体" w:hAnsi="宋体" w:cs="宋体" w:eastAsia="宋体" w:hint="default"/>
          <w:spacing w:val="1"/>
        </w:rPr>
        <w:t>-</w:t>
      </w:r>
      <w:r>
        <w:rPr/>
        <w:t>其他资本公积减少的原因</w:t>
      </w:r>
      <w:r>
        <w:rPr>
          <w:spacing w:val="-92"/>
        </w:rPr>
        <w:t>：</w:t>
      </w:r>
      <w:r>
        <w:rPr/>
        <w:t>（</w:t>
      </w:r>
      <w:r>
        <w:rPr>
          <w:rFonts w:ascii="宋体" w:hAnsi="宋体" w:cs="宋体" w:eastAsia="宋体" w:hint="default"/>
          <w:spacing w:val="1"/>
        </w:rPr>
        <w:t>1</w:t>
      </w:r>
      <w:r>
        <w:rPr/>
        <w:t>）公司发行可转换公司债券本期转股</w:t>
      </w:r>
      <w:r>
        <w:rPr>
          <w:rFonts w:ascii="宋体" w:hAnsi="宋体" w:cs="宋体" w:eastAsia="宋体" w:hint="default"/>
          <w:spacing w:val="1"/>
        </w:rPr>
        <w:t>,</w:t>
      </w:r>
      <w:r>
        <w:rPr/>
        <w:t>资本公积</w:t>
      </w:r>
      <w:r>
        <w:rPr>
          <w:rFonts w:ascii="宋体" w:hAnsi="宋体" w:cs="宋体" w:eastAsia="宋体" w:hint="default"/>
          <w:spacing w:val="1"/>
        </w:rPr>
        <w:t>-</w:t>
      </w:r>
      <w:r>
        <w:rPr>
          <w:spacing w:val="-3"/>
        </w:rPr>
        <w:t>其</w:t>
      </w:r>
      <w:r>
        <w:rPr/>
        <w:t>他资本公积转入资本公积</w:t>
      </w:r>
      <w:r>
        <w:rPr>
          <w:rFonts w:ascii="宋体" w:hAnsi="宋体" w:cs="宋体" w:eastAsia="宋体" w:hint="default"/>
        </w:rPr>
        <w:t>- </w:t>
      </w:r>
      <w:r>
        <w:rPr/>
        <w:t>股本溢价</w:t>
      </w:r>
      <w:r>
        <w:rPr>
          <w:spacing w:val="-44"/>
        </w:rPr>
        <w:t> </w:t>
      </w:r>
      <w:r>
        <w:rPr>
          <w:rFonts w:ascii="宋体" w:hAnsi="宋体" w:cs="宋体" w:eastAsia="宋体" w:hint="default"/>
          <w:spacing w:val="1"/>
        </w:rPr>
        <w:t>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7</w:t>
      </w:r>
      <w:r>
        <w:rPr>
          <w:rFonts w:ascii="宋体" w:hAnsi="宋体" w:cs="宋体" w:eastAsia="宋体" w:hint="default"/>
          <w:spacing w:val="1"/>
        </w:rPr>
        <w:t>7</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7</w:t>
      </w:r>
      <w:r>
        <w:rPr>
          <w:rFonts w:ascii="宋体" w:hAnsi="宋体" w:cs="宋体" w:eastAsia="宋体" w:hint="default"/>
          <w:spacing w:val="1"/>
        </w:rPr>
        <w:t>6</w:t>
      </w:r>
      <w:r>
        <w:rPr>
          <w:rFonts w:ascii="宋体" w:hAnsi="宋体" w:cs="宋体" w:eastAsia="宋体" w:hint="default"/>
          <w:spacing w:val="-2"/>
        </w:rPr>
        <w:t>4</w:t>
      </w:r>
      <w:r>
        <w:rPr>
          <w:rFonts w:ascii="宋体" w:hAnsi="宋体" w:cs="宋体" w:eastAsia="宋体" w:hint="default"/>
          <w:spacing w:val="1"/>
        </w:rPr>
        <w:t>.</w:t>
      </w:r>
      <w:r>
        <w:rPr>
          <w:rFonts w:ascii="宋体" w:hAnsi="宋体" w:cs="宋体" w:eastAsia="宋体" w:hint="default"/>
          <w:spacing w:val="-2"/>
        </w:rPr>
        <w:t>8</w:t>
      </w:r>
      <w:r>
        <w:rPr>
          <w:rFonts w:ascii="宋体" w:hAnsi="宋体" w:cs="宋体" w:eastAsia="宋体" w:hint="default"/>
        </w:rPr>
        <w:t>9</w:t>
      </w:r>
      <w:r>
        <w:rPr>
          <w:rFonts w:ascii="宋体" w:hAnsi="宋体" w:cs="宋体" w:eastAsia="宋体" w:hint="default"/>
          <w:spacing w:val="-43"/>
        </w:rPr>
        <w:t> </w:t>
      </w:r>
      <w:r>
        <w:rPr/>
        <w:t>元</w:t>
      </w:r>
      <w:r>
        <w:rPr>
          <w:spacing w:val="-92"/>
        </w:rPr>
        <w:t>；</w:t>
      </w:r>
      <w:r>
        <w:rPr/>
        <w:t>（</w:t>
      </w:r>
      <w:r>
        <w:rPr>
          <w:rFonts w:ascii="宋体" w:hAnsi="宋体" w:cs="宋体" w:eastAsia="宋体" w:hint="default"/>
          <w:spacing w:val="1"/>
        </w:rPr>
        <w:t>2</w:t>
      </w:r>
      <w:r>
        <w:rPr/>
        <w:t>）股权激励对象行权，资本公积</w:t>
      </w:r>
      <w:r>
        <w:rPr>
          <w:rFonts w:ascii="宋体" w:hAnsi="宋体" w:cs="宋体" w:eastAsia="宋体" w:hint="default"/>
          <w:spacing w:val="1"/>
        </w:rPr>
        <w:t>-</w:t>
      </w:r>
      <w:r>
        <w:rPr/>
        <w:t>其他资本公积转入资本公积</w:t>
      </w:r>
      <w:r>
        <w:rPr>
          <w:rFonts w:ascii="宋体" w:hAnsi="宋体" w:cs="宋体" w:eastAsia="宋体" w:hint="default"/>
          <w:spacing w:val="1"/>
        </w:rPr>
        <w:t>-</w:t>
      </w:r>
      <w:r>
        <w:rPr/>
        <w:t>股本溢价</w:t>
      </w:r>
      <w:r>
        <w:rPr>
          <w:spacing w:val="-44"/>
        </w:rPr>
        <w:t> </w:t>
      </w:r>
      <w:r>
        <w:rPr>
          <w:rFonts w:ascii="宋体" w:hAnsi="宋体" w:cs="宋体" w:eastAsia="宋体" w:hint="default"/>
          <w:spacing w:val="-2"/>
        </w:rPr>
        <w:t>1</w:t>
      </w:r>
      <w:r>
        <w:rPr>
          <w:rFonts w:ascii="宋体" w:hAnsi="宋体" w:cs="宋体" w:eastAsia="宋体" w:hint="default"/>
          <w:spacing w:val="1"/>
        </w:rPr>
        <w:t>5</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3</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3</w:t>
      </w:r>
      <w:r>
        <w:rPr>
          <w:rFonts w:ascii="宋体" w:hAnsi="宋体" w:cs="宋体" w:eastAsia="宋体" w:hint="default"/>
          <w:spacing w:val="1"/>
        </w:rPr>
        <w:t>6</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43"/>
        </w:rPr>
        <w:t> </w:t>
      </w:r>
      <w:r>
        <w:rPr>
          <w:spacing w:val="2"/>
        </w:rPr>
        <w:t>元。</w:t>
      </w:r>
      <w:r>
        <w:rPr/>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56</w:t>
      </w:r>
      <w:r>
        <w:rPr/>
        <w:t>、库存股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宋体" w:hAnsi="宋体" w:cs="宋体" w:eastAsia="宋体" w:hint="default"/>
        </w:rPr>
        <w:t>57</w:t>
      </w:r>
      <w:r>
        <w:rPr/>
        <w:t>、其他综合收益</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81"/>
        <w:gridCol w:w="925"/>
        <w:gridCol w:w="1140"/>
        <w:gridCol w:w="944"/>
        <w:gridCol w:w="938"/>
        <w:gridCol w:w="923"/>
        <w:gridCol w:w="80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8"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9" w:right="18"/>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3" w:right="8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8"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25"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9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5"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3" w:type="dxa"/>
            <w:vMerge/>
            <w:tcBorders>
              <w:left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center"/>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left="6" w:right="0"/>
              <w:jc w:val="center"/>
              <w:rPr>
                <w:rFonts w:ascii="宋体" w:hAnsi="宋体" w:cs="宋体" w:eastAsia="宋体" w:hint="default"/>
                <w:sz w:val="18"/>
                <w:szCs w:val="18"/>
              </w:rPr>
            </w:pPr>
            <w:r>
              <w:rPr>
                <w:rFonts w:ascii="宋体"/>
                <w:sz w:val="18"/>
              </w:rPr>
              <w:t>309,472,715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9" w:right="0"/>
              <w:jc w:val="left"/>
              <w:rPr>
                <w:rFonts w:ascii="宋体" w:hAnsi="宋体" w:cs="宋体" w:eastAsia="宋体" w:hint="default"/>
                <w:sz w:val="18"/>
                <w:szCs w:val="18"/>
              </w:rPr>
            </w:pPr>
            <w:r>
              <w:rPr>
                <w:rFonts w:ascii="宋体"/>
                <w:sz w:val="18"/>
              </w:rPr>
              <w:t>516,166,5</w:t>
            </w:r>
          </w:p>
        </w:tc>
        <w:tc>
          <w:tcPr>
            <w:tcW w:w="11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18"/>
                <w:szCs w:val="18"/>
              </w:rPr>
            </w:pPr>
            <w:r>
              <w:rPr>
                <w:rFonts w:ascii="宋体"/>
                <w:sz w:val="18"/>
              </w:rPr>
              <w:t>82,564,04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6" w:right="0"/>
              <w:jc w:val="left"/>
              <w:rPr>
                <w:rFonts w:ascii="宋体" w:hAnsi="宋体" w:cs="宋体" w:eastAsia="宋体" w:hint="default"/>
                <w:sz w:val="18"/>
                <w:szCs w:val="18"/>
              </w:rPr>
            </w:pPr>
            <w:r>
              <w:rPr>
                <w:rFonts w:ascii="宋体"/>
                <w:sz w:val="18"/>
              </w:rPr>
              <w:t>433,602,5</w:t>
            </w:r>
          </w:p>
        </w:tc>
        <w:tc>
          <w:tcPr>
            <w:tcW w:w="92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4" w:right="0"/>
              <w:jc w:val="left"/>
              <w:rPr>
                <w:rFonts w:ascii="宋体" w:hAnsi="宋体" w:cs="宋体" w:eastAsia="宋体" w:hint="default"/>
                <w:sz w:val="18"/>
                <w:szCs w:val="18"/>
              </w:rPr>
            </w:pPr>
            <w:r>
              <w:rPr>
                <w:rFonts w:ascii="宋体"/>
                <w:sz w:val="18"/>
              </w:rPr>
              <w:t>743,075,</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6"/>
        <w:gridCol w:w="1152"/>
        <w:gridCol w:w="934"/>
        <w:gridCol w:w="936"/>
        <w:gridCol w:w="937"/>
        <w:gridCol w:w="797"/>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90.35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2.97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47.38</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18"/>
                <w:szCs w:val="18"/>
              </w:rPr>
            </w:pPr>
            <w:r>
              <w:rPr>
                <w:rFonts w:ascii="宋体"/>
                <w:sz w:val="18"/>
              </w:rPr>
              <w:t>263.24</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4"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309,512,356</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516,128,0</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73.60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82,564,04</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2.97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sz w:val="18"/>
              </w:rPr>
              <w:t>433,564,0</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30.63</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sz w:val="18"/>
              </w:rPr>
              <w:t>743,076,</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386.73</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-39,640.24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38,516.75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38,516.75</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-1,123.4</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309,472,715</w:t>
            </w:r>
          </w:p>
          <w:p>
            <w:pPr>
              <w:pStyle w:val="TableParagraph"/>
              <w:spacing w:line="240" w:lineRule="auto" w:before="76"/>
              <w:ind w:right="17"/>
              <w:jc w:val="right"/>
              <w:rPr>
                <w:rFonts w:ascii="宋体" w:hAnsi="宋体" w:cs="宋体" w:eastAsia="宋体" w:hint="default"/>
                <w:sz w:val="18"/>
                <w:szCs w:val="18"/>
              </w:rPr>
            </w:pPr>
            <w:r>
              <w:rPr>
                <w:rFonts w:ascii="宋体"/>
                <w:sz w:val="18"/>
              </w:rPr>
              <w:t>.86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516,166,5</w:t>
            </w:r>
          </w:p>
          <w:p>
            <w:pPr>
              <w:pStyle w:val="TableParagraph"/>
              <w:spacing w:line="240" w:lineRule="auto" w:before="76"/>
              <w:ind w:left="451" w:right="0"/>
              <w:jc w:val="left"/>
              <w:rPr>
                <w:rFonts w:ascii="宋体" w:hAnsi="宋体" w:cs="宋体" w:eastAsia="宋体" w:hint="default"/>
                <w:sz w:val="18"/>
                <w:szCs w:val="18"/>
              </w:rPr>
            </w:pPr>
            <w:r>
              <w:rPr>
                <w:rFonts w:ascii="宋体"/>
                <w:sz w:val="18"/>
              </w:rPr>
              <w:t>90.35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left"/>
              <w:rPr>
                <w:rFonts w:ascii="宋体" w:hAnsi="宋体" w:cs="宋体" w:eastAsia="宋体" w:hint="default"/>
                <w:sz w:val="18"/>
                <w:szCs w:val="18"/>
              </w:rPr>
            </w:pPr>
            <w:r>
              <w:rPr>
                <w:rFonts w:ascii="宋体"/>
                <w:sz w:val="18"/>
              </w:rPr>
              <w:t>82,564,04</w:t>
            </w:r>
          </w:p>
          <w:p>
            <w:pPr>
              <w:pStyle w:val="TableParagraph"/>
              <w:spacing w:line="240" w:lineRule="auto" w:before="76"/>
              <w:ind w:left="542" w:right="0"/>
              <w:jc w:val="left"/>
              <w:rPr>
                <w:rFonts w:ascii="宋体" w:hAnsi="宋体" w:cs="宋体" w:eastAsia="宋体" w:hint="default"/>
                <w:sz w:val="18"/>
                <w:szCs w:val="18"/>
              </w:rPr>
            </w:pPr>
            <w:r>
              <w:rPr>
                <w:rFonts w:ascii="宋体"/>
                <w:sz w:val="18"/>
              </w:rPr>
              <w:t>2.97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 w:right="0"/>
              <w:jc w:val="left"/>
              <w:rPr>
                <w:rFonts w:ascii="宋体" w:hAnsi="宋体" w:cs="宋体" w:eastAsia="宋体" w:hint="default"/>
                <w:sz w:val="18"/>
                <w:szCs w:val="18"/>
              </w:rPr>
            </w:pPr>
            <w:r>
              <w:rPr>
                <w:rFonts w:ascii="宋体"/>
                <w:sz w:val="18"/>
              </w:rPr>
              <w:t>433,602,5</w:t>
            </w:r>
          </w:p>
          <w:p>
            <w:pPr>
              <w:pStyle w:val="TableParagraph"/>
              <w:spacing w:line="240" w:lineRule="auto" w:before="76"/>
              <w:ind w:left="456" w:right="0"/>
              <w:jc w:val="left"/>
              <w:rPr>
                <w:rFonts w:ascii="宋体" w:hAnsi="宋体" w:cs="宋体" w:eastAsia="宋体" w:hint="default"/>
                <w:sz w:val="18"/>
                <w:szCs w:val="18"/>
              </w:rPr>
            </w:pPr>
            <w:r>
              <w:rPr>
                <w:rFonts w:ascii="宋体"/>
                <w:sz w:val="18"/>
              </w:rPr>
              <w:t>47.38</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sz w:val="18"/>
              </w:rPr>
              <w:t>743,075,</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263.24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58</w:t>
      </w:r>
      <w:r>
        <w:rPr/>
        <w:t>、专项储备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宋体" w:hAnsi="宋体" w:cs="宋体" w:eastAsia="宋体" w:hint="default"/>
        </w:rPr>
        <w:t>59</w:t>
      </w:r>
      <w:r>
        <w:rPr/>
        <w:t>、盈余公积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23" w:right="0"/>
              <w:jc w:val="left"/>
              <w:rPr>
                <w:rFonts w:ascii="宋体" w:hAnsi="宋体" w:cs="宋体" w:eastAsia="宋体" w:hint="default"/>
                <w:sz w:val="18"/>
                <w:szCs w:val="18"/>
              </w:rPr>
            </w:pPr>
            <w:r>
              <w:rPr>
                <w:rFonts w:ascii="宋体"/>
                <w:sz w:val="18"/>
              </w:rPr>
              <w:t>293,876,664.93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93,233,034.93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2" w:right="0"/>
              <w:jc w:val="left"/>
              <w:rPr>
                <w:rFonts w:ascii="宋体" w:hAnsi="宋体" w:cs="宋体" w:eastAsia="宋体" w:hint="default"/>
                <w:sz w:val="18"/>
                <w:szCs w:val="18"/>
              </w:rPr>
            </w:pPr>
            <w:r>
              <w:rPr>
                <w:rFonts w:ascii="宋体"/>
                <w:sz w:val="18"/>
              </w:rPr>
              <w:t>387,109,699.86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623" w:right="0"/>
              <w:jc w:val="left"/>
              <w:rPr>
                <w:rFonts w:ascii="宋体" w:hAnsi="宋体" w:cs="宋体" w:eastAsia="宋体" w:hint="default"/>
                <w:sz w:val="18"/>
                <w:szCs w:val="18"/>
              </w:rPr>
            </w:pPr>
            <w:r>
              <w:rPr>
                <w:rFonts w:ascii="宋体"/>
                <w:sz w:val="18"/>
              </w:rPr>
              <w:t>293,876,664.93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93,233,034.93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2" w:right="0"/>
              <w:jc w:val="left"/>
              <w:rPr>
                <w:rFonts w:ascii="宋体" w:hAnsi="宋体" w:cs="宋体" w:eastAsia="宋体" w:hint="default"/>
                <w:sz w:val="18"/>
                <w:szCs w:val="18"/>
              </w:rPr>
            </w:pPr>
            <w:r>
              <w:rPr>
                <w:rFonts w:ascii="宋体"/>
                <w:sz w:val="18"/>
              </w:rPr>
              <w:t>387,109,699.86</w:t>
            </w:r>
          </w:p>
        </w:tc>
      </w:tr>
    </w:tbl>
    <w:p>
      <w:pPr>
        <w:pStyle w:val="BodyText"/>
        <w:spacing w:line="240" w:lineRule="auto" w:before="49"/>
        <w:ind w:left="513" w:right="153"/>
        <w:jc w:val="left"/>
      </w:pPr>
      <w:r>
        <w:rPr/>
        <w:t>盈余公积说明，包括本期增减变动情况、变动原因说明：</w:t>
      </w:r>
    </w:p>
    <w:p>
      <w:pPr>
        <w:pStyle w:val="BodyText"/>
        <w:spacing w:line="316" w:lineRule="auto" w:before="115"/>
        <w:ind w:right="155" w:firstLine="360"/>
        <w:jc w:val="both"/>
      </w:pPr>
      <w:r>
        <w:rPr/>
        <w:t>根据公司法、章程的规定，本公司按净利润的</w:t>
      </w:r>
      <w:r>
        <w:rPr>
          <w:spacing w:val="-46"/>
        </w:rPr>
        <w:t> </w:t>
      </w:r>
      <w:r>
        <w:rPr>
          <w:rFonts w:ascii="宋体" w:hAnsi="宋体" w:cs="宋体" w:eastAsia="宋体" w:hint="default"/>
        </w:rPr>
        <w:t>10%</w:t>
      </w:r>
      <w:r>
        <w:rPr/>
        <w:t>提取法定盈余公积金。法定盈余公积累计额为本公司注册资本</w:t>
      </w:r>
      <w:r>
        <w:rPr>
          <w:spacing w:val="-46"/>
        </w:rPr>
        <w:t> </w:t>
      </w:r>
      <w:r>
        <w:rPr>
          <w:rFonts w:ascii="宋体" w:hAnsi="宋体" w:cs="宋体" w:eastAsia="宋体" w:hint="default"/>
        </w:rPr>
        <w:t>50%</w:t>
      </w:r>
      <w:r>
        <w:rPr/>
        <w:t>以 </w:t>
      </w:r>
      <w:r>
        <w:rPr>
          <w:spacing w:val="-2"/>
        </w:rPr>
        <w:t>上的，可不再提取。在提取法定盈余公积金后，可提取任意盈余公积金。经批准，任意盈余公积金可用于弥补以前年度亏损</w:t>
      </w:r>
      <w:r>
        <w:rPr>
          <w:spacing w:val="-67"/>
        </w:rPr>
        <w:t> </w:t>
      </w:r>
      <w:r>
        <w:rPr>
          <w:spacing w:val="-67"/>
        </w:rPr>
      </w:r>
      <w:r>
        <w:rPr/>
        <w:t>或增加股本。</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rFonts w:ascii="宋体" w:hAnsi="宋体" w:cs="宋体" w:eastAsia="宋体" w:hint="default"/>
        </w:rPr>
        <w:t>60</w:t>
      </w:r>
      <w:r>
        <w:rPr/>
        <w:t>、未分配利润</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2,683,209,472.04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1,874,213,461.86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2,683,209,472.04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1,874,213,461.86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1,141,878,403.18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1,038,654,013.57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82,649,729.19</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93,233,034.93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229,118,219.22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8"/>
                <w:szCs w:val="18"/>
              </w:rPr>
            </w:pPr>
            <w:r>
              <w:rPr>
                <w:rFonts w:ascii="宋体"/>
                <w:spacing w:val="-1"/>
                <w:sz w:val="18"/>
              </w:rPr>
              <w:t>147,008,274.20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3,502,736,621.07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2,683,209,472.04</w:t>
            </w:r>
          </w:p>
        </w:tc>
      </w:tr>
    </w:tbl>
    <w:p>
      <w:pPr>
        <w:pStyle w:val="BodyText"/>
        <w:spacing w:line="357" w:lineRule="auto" w:before="49"/>
        <w:ind w:right="2663"/>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29"/>
        <w:ind w:right="153"/>
        <w:jc w:val="left"/>
      </w:pPr>
      <w:r>
        <w:rPr>
          <w:rFonts w:ascii="宋体" w:hAnsi="宋体" w:cs="宋体" w:eastAsia="宋体" w:hint="default"/>
        </w:rPr>
        <w:t>2)</w:t>
      </w:r>
      <w:r>
        <w:rPr/>
        <w:t>、由于会计政策变更，影响期初未分配利润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5"/>
        <w:ind w:right="153"/>
        <w:jc w:val="left"/>
      </w:pPr>
      <w:r>
        <w:rPr>
          <w:rFonts w:ascii="宋体" w:hAnsi="宋体" w:cs="宋体" w:eastAsia="宋体" w:hint="default"/>
        </w:rPr>
        <w:t>3)</w:t>
      </w:r>
      <w:r>
        <w:rPr/>
        <w:t>、由于重大会计差错更正，影响期初未分配利润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pStyle w:val="BodyText"/>
        <w:spacing w:line="240" w:lineRule="auto" w:before="117"/>
        <w:ind w:right="153"/>
        <w:jc w:val="left"/>
      </w:pP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rFonts w:ascii="宋体" w:hAnsi="宋体" w:cs="宋体" w:eastAsia="宋体" w:hint="default"/>
        </w:rPr>
        <w:t>5)</w:t>
      </w:r>
      <w:r>
        <w:rPr/>
        <w:t>、其他调整合计影响期初未分配利润</w:t>
      </w:r>
      <w:r>
        <w:rPr>
          <w:spacing w:val="-45"/>
        </w:rPr>
        <w:t> </w:t>
      </w:r>
      <w:r>
        <w:rPr>
          <w:rFonts w:ascii="宋体" w:hAnsi="宋体" w:cs="宋体" w:eastAsia="宋体" w:hint="default"/>
        </w:rPr>
        <w:t>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61</w:t>
      </w:r>
      <w:r>
        <w:rPr/>
        <w:t>、营业收入和营业成本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5,577,144,143.42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3,692,107,106.23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5,170,834,422.21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3,346,333,644.90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52,272,439.60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51,618,678.78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214,237.79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5,629,416,583.02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3,743,725,785.01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5,171,048,660.00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3,346,333,644.90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62</w:t>
      </w:r>
      <w:r>
        <w:rPr/>
        <w:t>、营业税金及附加</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12,038,035.52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1,682,108.13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8,750,590.50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6,066,510.36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3,748,112.55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2,602,037.33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2,502,886.89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1,734,694.66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40,697.04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32,272.39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72,952.59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75,255.99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防洪保安费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19,432.19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41,772.01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73,142.40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副食品调节基金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685.11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27,196,192.39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12,308,243.11</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63</w:t>
      </w:r>
      <w:r>
        <w:rPr/>
        <w:t>、销售费用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100,911,532.19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73,353,839.51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49,028,581.21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45,075,542.21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28,357,110.91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31,720,201.13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13,427,765.63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11,602,165.69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5,067,180.45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5,164,146.78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4,774,145.42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2,226,351.99</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32,675,157.02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26,150,120.56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234,241,472.83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195,292,367.87</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64</w:t>
      </w:r>
      <w:r>
        <w:rPr/>
        <w:t>、管理费用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162,144,946.84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144,940,647.93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210,019,741.25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180,812,390.42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2,712,225.39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2,440,037.45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23,363,286.56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11,778,214.83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115,357,459.56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100,509,128.01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46,044,817.29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18,130,087.62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1,681,007.15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3,086,490.09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44,125,022.32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29,214,670.30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4,367,425.32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9,220,483.00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609,815,931.68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500,132,149.65</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pStyle w:val="BodyText"/>
        <w:spacing w:line="240" w:lineRule="auto" w:before="49"/>
        <w:ind w:right="-18"/>
        <w:jc w:val="left"/>
      </w:pPr>
      <w:r>
        <w:rPr/>
        <w:t>其他说明：</w:t>
      </w:r>
    </w:p>
    <w:p>
      <w:pPr>
        <w:pStyle w:val="BodyText"/>
        <w:spacing w:line="240" w:lineRule="auto" w:before="115"/>
        <w:ind w:left="513" w:right="-18"/>
        <w:jc w:val="left"/>
      </w:pPr>
      <w:r>
        <w:rPr>
          <w:rFonts w:ascii="宋体" w:hAnsi="宋体" w:cs="宋体" w:eastAsia="宋体" w:hint="default"/>
        </w:rPr>
        <w:t>65</w:t>
      </w:r>
      <w:r>
        <w:rPr/>
        <w:t>、财务费用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1596" w:space="7324"/>
            <w:col w:w="103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19,495,865.11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13,016,143.16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债券利息支出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5,150,828.17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1,059,648.49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77,555.56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448,609.00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11,184,962.20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12,627,484.98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5,105,626.91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161.95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17,974.89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2,706,854.54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1,655,036.68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17,183,032.85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7,702,874.65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66</w:t>
      </w:r>
      <w:r>
        <w:rPr/>
        <w:t>、资产减值损失</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49,935,449.98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37,623,741.52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1,317,206.21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1,610,043.03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51,252,656.19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39,233,784.55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67</w:t>
      </w:r>
      <w:r>
        <w:rPr/>
        <w:t>、公允价值变动收益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68</w:t>
      </w:r>
      <w:r>
        <w:rPr/>
        <w:t>、投资收益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-591,555.58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420,499.07</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1,774,444.80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10,855,321.29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201,695,957.41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530,958.90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6,612.17</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203,409,805.53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11,282,432.53</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69</w:t>
      </w:r>
      <w:r>
        <w:rPr/>
        <w:t>、营业外收入</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74,060.68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28,992.58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74,060.68</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74,060.68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28,992.58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74,060.68</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25,861,152.29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13,738,372.10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25,861,152.29</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63,110,140.79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30,841,086.76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1,848,829.86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99,245.75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1,848,829.86</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90,894,183.62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44,707,697.19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27,784,042.83</w:t>
            </w:r>
          </w:p>
        </w:tc>
      </w:tr>
    </w:tbl>
    <w:p>
      <w:pPr>
        <w:pStyle w:val="BodyText"/>
        <w:spacing w:line="240" w:lineRule="auto" w:before="49"/>
        <w:ind w:right="153"/>
        <w:jc w:val="left"/>
      </w:pPr>
      <w:r>
        <w:rPr/>
        <w:t>计入当期损益的政府补助：</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5"/>
        <w:gridCol w:w="1062"/>
        <w:gridCol w:w="1064"/>
        <w:gridCol w:w="1063"/>
        <w:gridCol w:w="1063"/>
        <w:gridCol w:w="1062"/>
        <w:gridCol w:w="1063"/>
        <w:gridCol w:w="1064"/>
        <w:gridCol w:w="1051"/>
      </w:tblGrid>
      <w:tr>
        <w:trPr>
          <w:trHeight w:val="382"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5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5"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基于传感网 和</w:t>
            </w:r>
            <w:r>
              <w:rPr>
                <w:rFonts w:ascii="宋体" w:hAnsi="宋体" w:cs="宋体" w:eastAsia="宋体" w:hint="default"/>
                <w:spacing w:val="-44"/>
                <w:sz w:val="18"/>
                <w:szCs w:val="18"/>
              </w:rPr>
              <w:t> </w:t>
            </w:r>
            <w:r>
              <w:rPr>
                <w:rFonts w:ascii="宋体" w:hAnsi="宋体" w:cs="宋体" w:eastAsia="宋体" w:hint="default"/>
                <w:sz w:val="18"/>
                <w:szCs w:val="18"/>
              </w:rPr>
              <w:t>RFID</w:t>
            </w:r>
            <w:r>
              <w:rPr>
                <w:rFonts w:ascii="宋体" w:hAnsi="宋体" w:cs="宋体" w:eastAsia="宋体" w:hint="default"/>
                <w:spacing w:val="-43"/>
                <w:sz w:val="18"/>
                <w:szCs w:val="18"/>
              </w:rPr>
              <w:t> </w:t>
            </w:r>
            <w:r>
              <w:rPr>
                <w:rFonts w:ascii="宋体" w:hAnsi="宋体" w:cs="宋体" w:eastAsia="宋体" w:hint="default"/>
                <w:sz w:val="18"/>
                <w:szCs w:val="18"/>
              </w:rPr>
              <w:t>技术 的农产品质 量追溯系统 研发及产业 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391,061.25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年度电 子信息产业 发展基金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595,740.00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1,252,519.0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云计算流量 分析控制北 京市工程实 验室创新能 力建设项目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2,204,000.0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4,224,333.3</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信息系统（政</w:t>
            </w:r>
            <w:r>
              <w:rPr>
                <w:rFonts w:ascii="宋体" w:hAnsi="宋体" w:cs="宋体" w:eastAsia="宋体" w:hint="default"/>
                <w:sz w:val="18"/>
                <w:szCs w:val="18"/>
              </w:rPr>
              <w:t> </w:t>
            </w:r>
            <w:r>
              <w:rPr>
                <w:rFonts w:ascii="宋体" w:hAnsi="宋体" w:cs="宋体" w:eastAsia="宋体" w:hint="default"/>
                <w:spacing w:val="-12"/>
                <w:sz w:val="18"/>
                <w:szCs w:val="18"/>
              </w:rPr>
              <w:t>务、医疗）运</w:t>
            </w:r>
            <w:r>
              <w:rPr>
                <w:rFonts w:ascii="宋体" w:hAnsi="宋体" w:cs="宋体" w:eastAsia="宋体" w:hint="default"/>
                <w:sz w:val="18"/>
                <w:szCs w:val="18"/>
              </w:rPr>
              <w:t> 行维护支持 系统研发及 产业化项目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促进重点创 新型企业发 展专项资金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543,345.84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543,345.83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东华</w:t>
            </w:r>
            <w:r>
              <w:rPr>
                <w:rFonts w:ascii="宋体" w:hAnsi="宋体" w:cs="宋体" w:eastAsia="宋体" w:hint="default"/>
                <w:spacing w:val="-44"/>
                <w:sz w:val="18"/>
                <w:szCs w:val="18"/>
              </w:rPr>
              <w:t> </w:t>
            </w: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服务 智能管理系 统深入研发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北京市高新 技术成果转 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年企业 研发投入补 贴款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年重点 培育企业奖 资金奖励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中关村科技 园产业发展 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中关村科技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04.18pt;margin-top:224.419983pt;width:58.7pt;height:31.2pt;mso-position-horizontal-relative:page;mso-position-vertical-relative:page;z-index:-1058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0"/>
              <w:jc w:val="both"/>
              <w:rPr>
                <w:rFonts w:ascii="宋体" w:hAnsi="宋体" w:cs="宋体" w:eastAsia="宋体" w:hint="default"/>
                <w:sz w:val="18"/>
                <w:szCs w:val="18"/>
              </w:rPr>
            </w:pPr>
            <w:r>
              <w:rPr>
                <w:rFonts w:ascii="宋体" w:hAnsi="宋体" w:cs="宋体" w:eastAsia="宋体" w:hint="default"/>
                <w:sz w:val="18"/>
                <w:szCs w:val="18"/>
              </w:rPr>
              <w:t>园区管理委 员会并购支 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年科技 服务业后补 贴专项款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中关村企业 信用促进会 中介补贴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18,700.00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基于面向服 </w:t>
            </w:r>
            <w:r>
              <w:rPr>
                <w:rFonts w:ascii="宋体" w:hAnsi="宋体" w:cs="宋体" w:eastAsia="宋体" w:hint="default"/>
                <w:spacing w:val="-10"/>
                <w:sz w:val="18"/>
                <w:szCs w:val="18"/>
              </w:rPr>
              <w:t>务构架（</w:t>
            </w:r>
            <w:r>
              <w:rPr>
                <w:rFonts w:ascii="宋体" w:hAnsi="宋体" w:cs="宋体" w:eastAsia="宋体" w:hint="default"/>
                <w:spacing w:val="-10"/>
                <w:sz w:val="18"/>
                <w:szCs w:val="18"/>
              </w:rPr>
              <w:t>SOA</w:t>
            </w:r>
            <w:r>
              <w:rPr>
                <w:rFonts w:ascii="宋体" w:hAnsi="宋体" w:cs="宋体" w:eastAsia="宋体" w:hint="default"/>
                <w:spacing w:val="1"/>
                <w:sz w:val="18"/>
                <w:szCs w:val="18"/>
              </w:rPr>
              <w:t> </w:t>
            </w:r>
            <w:r>
              <w:rPr>
                <w:rFonts w:ascii="宋体" w:hAnsi="宋体" w:cs="宋体" w:eastAsia="宋体" w:hint="default"/>
                <w:sz w:val="18"/>
                <w:szCs w:val="18"/>
              </w:rPr>
              <w:t>的产品可追 溯的企业管 理系统研发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高速流量控 制系统产业 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2,167,806.2</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新一代互联 网上网行为 管理系统产 业化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1,894,829.0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中小商业银 行一体化服 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1,902,000.0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年度泰 安市科技发 展计划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就业见习补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政府高企奖 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119,000.00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马鞍山市科 技奖励资金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年度产 业扶持政策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科技成果转 化收入奖励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年税收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2,628,574.5</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年度政 策兑现资金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1,402,000.0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年度电 费补贴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40,644.28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年税收 奖励资金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513,486.00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政府产业政 策兑现资金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2,569,500.0</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集聚区装修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679,500.00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珠海市服务 外包示范企 业认定专项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spacing w:val="-1"/>
                <w:sz w:val="18"/>
              </w:rPr>
              <w:t>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企业研究开 发补助资金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192,300.00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年服务 贸易专项资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85,300.00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面向移动通 信行业的投 诉数据智能 挖掘与分析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深圳市科技 创新委员会 银企合作贴 息项目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566,600.00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军工专项补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年度南 山区自主创 新产业发展 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pacing w:val="-1"/>
                <w:sz w:val="18"/>
              </w:rPr>
              <w:t>4,000.00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新华舆情网 络预警系统 及配套智能 移动终端产 业化项目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212,693.01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基于移动互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66,666.66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0"/>
              <w:jc w:val="both"/>
              <w:rPr>
                <w:rFonts w:ascii="宋体" w:hAnsi="宋体" w:cs="宋体" w:eastAsia="宋体" w:hint="default"/>
                <w:sz w:val="18"/>
                <w:szCs w:val="18"/>
              </w:rPr>
            </w:pPr>
            <w:r>
              <w:rPr>
                <w:rFonts w:ascii="宋体" w:hAnsi="宋体" w:cs="宋体" w:eastAsia="宋体" w:hint="default"/>
                <w:sz w:val="18"/>
                <w:szCs w:val="18"/>
              </w:rPr>
              <w:t>联网的新一 代银行卡手 持移动金融 终端应用示 范项目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自主标准 </w:t>
            </w:r>
            <w:r>
              <w:rPr>
                <w:rFonts w:ascii="宋体" w:hAnsi="宋体" w:cs="宋体" w:eastAsia="宋体" w:hint="default"/>
                <w:sz w:val="18"/>
                <w:szCs w:val="18"/>
              </w:rPr>
              <w:t>900M</w:t>
            </w:r>
            <w:r>
              <w:rPr>
                <w:rFonts w:ascii="宋体" w:hAnsi="宋体" w:cs="宋体" w:eastAsia="宋体" w:hint="default"/>
                <w:spacing w:val="-43"/>
                <w:sz w:val="18"/>
                <w:szCs w:val="18"/>
              </w:rPr>
              <w:t> </w:t>
            </w:r>
            <w:r>
              <w:rPr>
                <w:rFonts w:ascii="宋体" w:hAnsi="宋体" w:cs="宋体" w:eastAsia="宋体" w:hint="default"/>
                <w:sz w:val="18"/>
                <w:szCs w:val="18"/>
              </w:rPr>
              <w:t>高频 </w:t>
            </w:r>
            <w:r>
              <w:rPr>
                <w:rFonts w:ascii="宋体" w:hAnsi="宋体" w:cs="宋体" w:eastAsia="宋体" w:hint="default"/>
                <w:sz w:val="18"/>
                <w:szCs w:val="18"/>
              </w:rPr>
              <w:t>FRID</w:t>
            </w:r>
            <w:r>
              <w:rPr>
                <w:rFonts w:ascii="宋体" w:hAnsi="宋体" w:cs="宋体" w:eastAsia="宋体" w:hint="default"/>
                <w:spacing w:val="-43"/>
                <w:sz w:val="18"/>
                <w:szCs w:val="18"/>
              </w:rPr>
              <w:t> </w:t>
            </w:r>
            <w:r>
              <w:rPr>
                <w:rFonts w:ascii="宋体" w:hAnsi="宋体" w:cs="宋体" w:eastAsia="宋体" w:hint="default"/>
                <w:sz w:val="18"/>
                <w:szCs w:val="18"/>
              </w:rPr>
              <w:t>物联网 智能终端及 关键技术研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16,666.67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招聘会补贴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703,320.00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年度特 色产业中小 企业发展专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年度软 件企业税收 </w:t>
            </w:r>
            <w:r>
              <w:rPr>
                <w:rFonts w:ascii="宋体" w:hAnsi="宋体" w:cs="宋体" w:eastAsia="宋体" w:hint="default"/>
                <w:spacing w:val="-12"/>
                <w:sz w:val="18"/>
                <w:szCs w:val="18"/>
              </w:rPr>
              <w:t>返还（区级配</w:t>
            </w:r>
            <w:r>
              <w:rPr>
                <w:rFonts w:ascii="宋体" w:hAnsi="宋体" w:cs="宋体" w:eastAsia="宋体" w:hint="default"/>
                <w:sz w:val="18"/>
                <w:szCs w:val="18"/>
              </w:rPr>
              <w:t> 套资金）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319,600.00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年应用 技术研究与 开发资金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年文化 强省建设专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中关村科技 园区小企业 创新支持资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西安高新区 促进软件及 服务外包产 业发展扶持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884,192.60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25,861,152.</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13,738,372.</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70</w:t>
      </w:r>
      <w:r>
        <w:rPr/>
        <w:t>、营业外支出</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87,272.46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87,272.46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87,272.46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87,272.46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732,992.59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116,688.36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732,992.59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22,235.21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900,298.37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22,235.21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942,500.26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1,197,299.63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942,500.26</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71</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107,345,477.65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92,924,960.89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-6,925,362.89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-6,706,034.86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100,420,114.76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86,218,926.03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1,239,363,000.96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123,936,300.10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-2,414,125.58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179,944.04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-3,725,652.01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7,016,035.87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-283,334.42</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24,755,625.93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技术开发费及残疾人工资加计扣除的影响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-40,709,209.99</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-7,889,431.95</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宋体" w:hAnsi="宋体" w:cs="宋体" w:eastAsia="宋体"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-446,037.23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100,420,114.76</w:t>
            </w:r>
          </w:p>
        </w:tc>
      </w:tr>
    </w:tbl>
    <w:p>
      <w:pPr>
        <w:spacing w:line="578"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spacing w:val="-104"/>
          <w:sz w:val="21"/>
          <w:szCs w:val="21"/>
        </w:rPr>
        <w:t> </w:t>
      </w:r>
      <w:r>
        <w:rPr>
          <w:rFonts w:ascii="宋体" w:hAnsi="宋体" w:cs="宋体" w:eastAsia="宋体" w:hint="default"/>
          <w:sz w:val="18"/>
          <w:szCs w:val="18"/>
        </w:rPr>
        <w:t>详见附注七、</w:t>
      </w:r>
      <w:r>
        <w:rPr>
          <w:rFonts w:ascii="宋体" w:hAnsi="宋体" w:cs="宋体" w:eastAsia="宋体" w:hint="default"/>
          <w:sz w:val="18"/>
          <w:szCs w:val="18"/>
        </w:rPr>
        <w:t>57</w:t>
      </w:r>
      <w:r>
        <w:rPr>
          <w:rFonts w:ascii="宋体" w:hAnsi="宋体" w:cs="宋体" w:eastAsia="宋体" w:hint="default"/>
          <w:sz w:val="18"/>
          <w:szCs w:val="18"/>
        </w:rPr>
        <w:t>。</w:t>
      </w:r>
    </w:p>
    <w:p>
      <w:pPr>
        <w:pStyle w:val="Heading3"/>
        <w:spacing w:line="240" w:lineRule="auto" w:before="102"/>
        <w:ind w:right="153"/>
        <w:jc w:val="left"/>
        <w:rPr>
          <w:b w:val="0"/>
          <w:bCs w:val="0"/>
        </w:rPr>
      </w:pPr>
      <w:r>
        <w:rPr>
          <w:rFonts w:ascii="宋体" w:hAnsi="宋体" w:cs="宋体" w:eastAsia="宋体" w:hint="default"/>
        </w:rPr>
        <w:t>73</w:t>
      </w:r>
      <w:r>
        <w:rPr/>
        <w:t>、现金流量表项目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11,184,963.00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12,627,484.98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26,167,404.79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33,049,612.60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208,212,716.79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89,168,803.50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15,446.21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193,578.78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8,135,466.02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640,029.75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11,750,553.45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254,356,026.56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146,990,033.31</w:t>
            </w:r>
          </w:p>
        </w:tc>
      </w:tr>
    </w:tbl>
    <w:p>
      <w:pPr>
        <w:pStyle w:val="BodyText"/>
        <w:spacing w:line="240" w:lineRule="auto" w:before="49"/>
        <w:ind w:right="15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14,671,176.69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26,149,807.49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99,812,293.17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88,008,568.35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89,651,240.73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110,605,733.10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2,706,854.54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1,555,036.68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219,767,699.87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212,886,891.74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15,485,784.35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154,752.80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787,687.66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296,927.72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442,882,737.01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447,657,717.88</w:t>
            </w:r>
          </w:p>
        </w:tc>
      </w:tr>
    </w:tbl>
    <w:p>
      <w:pPr>
        <w:pStyle w:val="BodyText"/>
        <w:spacing w:line="240" w:lineRule="auto" w:before="49"/>
        <w:ind w:right="153"/>
        <w:jc w:val="left"/>
      </w:pPr>
      <w:r>
        <w:rPr/>
        <w:t>支付的其他与经营活动有关的现金说明：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748.835999pt;width:151.25pt;height:20.65pt;mso-position-horizontal-relative:page;mso-position-vertical-relative:page;z-index:-1058824" coordorigin="4467,14977" coordsize="3025,413">
            <v:group style="position:absolute;left:4478;top:14988;width:2;height:392" coordorigin="4478,14988" coordsize="2,392">
              <v:shape style="position:absolute;left:4478;top:14988;width:2;height:392" coordorigin="4478,14988" coordsize="0,392" path="m4478,14988l4478,15379e" filled="false" stroked="true" strokeweight="1.08pt" strokecolor="#ffffff">
                <v:path arrowok="t"/>
              </v:shape>
            </v:group>
            <v:group style="position:absolute;left:4489;top:14988;width:3003;height:392" coordorigin="4489,14988" coordsize="3003,392">
              <v:shape style="position:absolute;left:4489;top:14988;width:3003;height:392" coordorigin="4489,14988" coordsize="3003,392" path="m4489,15379l7492,15379,7492,14988,4489,14988,4489,15379xe" filled="true" fillcolor="#ffffff" stroked="false">
                <v:path arrowok="t"/>
                <v:fill type="solid"/>
              </v:shape>
            </v:group>
            <w10:wrap type="none"/>
          </v:group>
        </w:pict>
      </w:r>
    </w:p>
    <w:p>
      <w:pPr>
        <w:pStyle w:val="Heading3"/>
        <w:spacing w:line="240" w:lineRule="auto" w:before="36"/>
        <w:ind w:right="153"/>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被收购子公司收购时点的现金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1,187,339.33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1,187,339.33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定向增发费用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2,070,000.00</w:t>
            </w:r>
          </w:p>
        </w:tc>
      </w:tr>
    </w:tbl>
    <w:p>
      <w:pPr>
        <w:pStyle w:val="BodyText"/>
        <w:spacing w:line="240" w:lineRule="auto" w:before="49"/>
        <w:ind w:right="15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74</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1,138,942,886.20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1,038,619,499.33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51,252,656.19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39,233,784.55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122,219,847.01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106,900,082.84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54,126,347.04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24,505,930.08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1,862,013.56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1,096,563.70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10,432.38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-28,992.58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307" w:val="left" w:leader="none"/>
              </w:tabs>
              <w:spacing w:line="240" w:lineRule="auto" w:before="49"/>
              <w:ind w:left="-120" w:right="2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2,779.40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312.90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19,495,865.11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18,615,580.33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-203,409,805.53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-11,282,432.53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-5,106,691.98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-6,004,582.16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-1,818,670.91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-701,452.70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-752,398,662.59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87,416,829.66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-694,037,242.42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-1,177,642,508.04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229,927,769.22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-145,077,919.38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4,373,619.59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9,205,229.88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-34,556,857.73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-15,144,074.12</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1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3" w:right="0"/>
              <w:jc w:val="left"/>
              <w:rPr>
                <w:rFonts w:ascii="宋体" w:hAnsi="宋体" w:cs="宋体" w:eastAsia="宋体" w:hint="default"/>
                <w:sz w:val="18"/>
                <w:szCs w:val="18"/>
              </w:rPr>
            </w:pPr>
            <w:r>
              <w:rPr>
                <w:rFonts w:ascii="宋体"/>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7"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3" w:right="0"/>
              <w:jc w:val="left"/>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7" w:right="0"/>
              <w:jc w:val="left"/>
              <w:rPr>
                <w:rFonts w:ascii="宋体" w:hAnsi="宋体" w:cs="宋体" w:eastAsia="宋体" w:hint="default"/>
                <w:sz w:val="18"/>
                <w:szCs w:val="18"/>
              </w:rPr>
            </w:pPr>
            <w:r>
              <w:rPr>
                <w:rFonts w:ascii="宋体"/>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1,100,505,231.25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1,087,721,047.23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1,087,721,047.23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1,289,111,539.44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12,784,184.02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-201,390,492.21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393,000,000.00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深圳至高通信技术发展有限公司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240,000,000.00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153,000,000.00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4,562,919.07</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深圳至高通信技术发展有限公司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3,710,287.49</w:t>
            </w:r>
          </w:p>
        </w:tc>
      </w:tr>
      <w:tr>
        <w:trPr>
          <w:trHeight w:val="404"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852,631.58</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388,437,080.93</w:t>
            </w:r>
          </w:p>
        </w:tc>
      </w:tr>
    </w:tbl>
    <w:p>
      <w:pPr>
        <w:pStyle w:val="BodyText"/>
        <w:spacing w:line="240" w:lineRule="auto" w:before="49"/>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1,100,505,231.25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1,087,721,047.23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6,720,930.99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1,368,704.77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1,093,097,923.20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1,086,030,097.79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686,377.06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322,244.67</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1,100,505,231.25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1,087,721,047.23</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53" w:firstLine="420"/>
        <w:jc w:val="left"/>
      </w:pPr>
      <w:r>
        <w:rPr/>
        <w:t>现金流量表中现金的期初、期末余额以本公司货币资金减去其他货币资金中不可以随时用于支付的银行承兑汇票保证 金、保函保证金列示：</w:t>
      </w:r>
    </w:p>
    <w:p>
      <w:pPr>
        <w:spacing w:line="240" w:lineRule="auto" w:before="1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696"/>
        <w:gridCol w:w="3402"/>
        <w:gridCol w:w="3543"/>
      </w:tblGrid>
      <w:tr>
        <w:trPr>
          <w:trHeight w:val="5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54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2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27" w:right="0"/>
              <w:jc w:val="left"/>
              <w:rPr>
                <w:rFonts w:ascii="宋体" w:hAnsi="宋体" w:cs="宋体" w:eastAsia="宋体" w:hint="default"/>
                <w:sz w:val="18"/>
                <w:szCs w:val="18"/>
              </w:rPr>
            </w:pPr>
            <w:r>
              <w:rPr>
                <w:rFonts w:ascii="宋体" w:hAnsi="宋体" w:cs="宋体" w:eastAsia="宋体" w:hint="default"/>
                <w:sz w:val="18"/>
                <w:szCs w:val="18"/>
              </w:rPr>
              <w:t>货币资金余额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
              <w:jc w:val="right"/>
              <w:rPr>
                <w:rFonts w:ascii="宋体" w:hAnsi="宋体" w:cs="宋体" w:eastAsia="宋体" w:hint="default"/>
                <w:sz w:val="18"/>
                <w:szCs w:val="18"/>
              </w:rPr>
            </w:pPr>
            <w:r>
              <w:rPr>
                <w:rFonts w:ascii="宋体"/>
                <w:spacing w:val="-1"/>
                <w:sz w:val="18"/>
              </w:rPr>
              <w:t>1,138,049,591.20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right"/>
              <w:rPr>
                <w:rFonts w:ascii="宋体" w:hAnsi="宋体" w:cs="宋体" w:eastAsia="宋体" w:hint="default"/>
                <w:sz w:val="18"/>
                <w:szCs w:val="18"/>
              </w:rPr>
            </w:pPr>
            <w:r>
              <w:rPr>
                <w:rFonts w:ascii="宋体"/>
                <w:spacing w:val="-1"/>
                <w:sz w:val="18"/>
              </w:rPr>
              <w:t>1,096,415,088.85</w:t>
            </w:r>
          </w:p>
        </w:tc>
      </w:tr>
      <w:tr>
        <w:trPr>
          <w:trHeight w:val="5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27" w:right="0"/>
              <w:jc w:val="left"/>
              <w:rPr>
                <w:rFonts w:ascii="宋体" w:hAnsi="宋体" w:cs="宋体" w:eastAsia="宋体" w:hint="default"/>
                <w:sz w:val="18"/>
                <w:szCs w:val="18"/>
              </w:rPr>
            </w:pPr>
            <w:r>
              <w:rPr>
                <w:rFonts w:ascii="宋体" w:hAnsi="宋体" w:cs="宋体" w:eastAsia="宋体" w:hint="default"/>
                <w:sz w:val="18"/>
                <w:szCs w:val="18"/>
              </w:rPr>
              <w:t>减：保证金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
              <w:jc w:val="right"/>
              <w:rPr>
                <w:rFonts w:ascii="宋体" w:hAnsi="宋体" w:cs="宋体" w:eastAsia="宋体" w:hint="default"/>
                <w:sz w:val="18"/>
                <w:szCs w:val="18"/>
              </w:rPr>
            </w:pPr>
            <w:r>
              <w:rPr>
                <w:rFonts w:ascii="宋体"/>
                <w:spacing w:val="-1"/>
                <w:sz w:val="18"/>
              </w:rPr>
              <w:t>37,544,359.95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right"/>
              <w:rPr>
                <w:rFonts w:ascii="宋体" w:hAnsi="宋体" w:cs="宋体" w:eastAsia="宋体" w:hint="default"/>
                <w:sz w:val="18"/>
                <w:szCs w:val="18"/>
              </w:rPr>
            </w:pPr>
            <w:r>
              <w:rPr>
                <w:rFonts w:ascii="宋体"/>
                <w:spacing w:val="-1"/>
                <w:sz w:val="18"/>
              </w:rPr>
              <w:t>8,694,041.62</w:t>
            </w:r>
          </w:p>
        </w:tc>
      </w:tr>
      <w:tr>
        <w:trPr>
          <w:trHeight w:val="58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27" w:right="0"/>
              <w:jc w:val="left"/>
              <w:rPr>
                <w:rFonts w:ascii="宋体" w:hAnsi="宋体" w:cs="宋体" w:eastAsia="宋体" w:hint="default"/>
                <w:sz w:val="18"/>
                <w:szCs w:val="18"/>
              </w:rPr>
            </w:pPr>
            <w:r>
              <w:rPr>
                <w:rFonts w:ascii="宋体" w:hAnsi="宋体" w:cs="宋体" w:eastAsia="宋体" w:hint="default"/>
                <w:sz w:val="18"/>
                <w:szCs w:val="18"/>
              </w:rPr>
              <w:t>现金流量中列示的现金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
              <w:jc w:val="right"/>
              <w:rPr>
                <w:rFonts w:ascii="宋体" w:hAnsi="宋体" w:cs="宋体" w:eastAsia="宋体" w:hint="default"/>
                <w:sz w:val="18"/>
                <w:szCs w:val="18"/>
              </w:rPr>
            </w:pPr>
            <w:r>
              <w:rPr>
                <w:rFonts w:ascii="宋体"/>
                <w:spacing w:val="-1"/>
                <w:sz w:val="18"/>
              </w:rPr>
              <w:t>1,100,505,231.25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right"/>
              <w:rPr>
                <w:rFonts w:ascii="宋体" w:hAnsi="宋体" w:cs="宋体" w:eastAsia="宋体" w:hint="default"/>
                <w:sz w:val="18"/>
                <w:szCs w:val="18"/>
              </w:rPr>
            </w:pPr>
            <w:r>
              <w:rPr>
                <w:rFonts w:ascii="宋体"/>
                <w:spacing w:val="-1"/>
                <w:sz w:val="18"/>
              </w:rPr>
              <w:t>1,087,721,047.23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75</w:t>
      </w:r>
      <w:r>
        <w:rPr/>
        <w:t>、所有者权益变动表项目注释</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76</w:t>
      </w:r>
      <w:r>
        <w:rPr/>
        <w:t>、所有权或使用权受到限制的资产</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37,544,359.95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宋体" w:hAnsi="宋体" w:cs="宋体" w:eastAsia="宋体" w:hint="default"/>
                <w:sz w:val="18"/>
                <w:szCs w:val="18"/>
              </w:rPr>
              <w:t>1</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34,551,416.79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宋体" w:hAnsi="宋体" w:cs="宋体" w:eastAsia="宋体" w:hint="default"/>
                <w:spacing w:val="1"/>
                <w:sz w:val="18"/>
                <w:szCs w:val="18"/>
              </w:rPr>
              <w:t>31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72,095,776.74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77</w:t>
      </w:r>
      <w:r>
        <w:rPr/>
        <w:t>、外币货币性项目</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2305"/>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12,293,320.17</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1,890,044.29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12,273,191.60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8,336.80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6,984.40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0.005658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7,400.66</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1,688.49</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4.6396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4,055.01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2,387.11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2,387.11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w:t>
            </w:r>
            <w:r>
              <w:rPr>
                <w:rFonts w:ascii="宋体" w:hAnsi="宋体" w:cs="宋体" w:eastAsia="宋体" w:hint="default"/>
                <w:sz w:val="18"/>
                <w:szCs w:val="18"/>
              </w:rPr>
              <w:t>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1,238,114.34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8,039,819.28</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w:t>
            </w:r>
            <w:r>
              <w:rPr>
                <w:rFonts w:ascii="宋体" w:hAnsi="宋体" w:cs="宋体" w:eastAsia="宋体" w:hint="default"/>
                <w:sz w:val="18"/>
                <w:szCs w:val="18"/>
              </w:rPr>
              <w:t>港币</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149,060.13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4.6396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691,579.38</w:t>
            </w:r>
          </w:p>
        </w:tc>
      </w:tr>
    </w:tbl>
    <w:p>
      <w:pPr>
        <w:spacing w:line="240" w:lineRule="auto" w:before="3"/>
        <w:rPr>
          <w:rFonts w:ascii="宋体" w:hAnsi="宋体" w:cs="宋体" w:eastAsia="宋体" w:hint="default"/>
          <w:sz w:val="19"/>
          <w:szCs w:val="19"/>
        </w:rPr>
      </w:pPr>
    </w:p>
    <w:p>
      <w:pPr>
        <w:pStyle w:val="Heading3"/>
        <w:spacing w:line="273" w:lineRule="auto" w:before="36"/>
        <w:ind w:right="153"/>
        <w:jc w:val="left"/>
        <w:rPr>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BodyText"/>
        <w:spacing w:line="240" w:lineRule="auto" w:before="143"/>
        <w:ind w:right="153"/>
        <w:jc w:val="left"/>
      </w:pPr>
      <w:r>
        <w:rPr/>
        <w:t>公司的境外子公司</w:t>
      </w:r>
      <w:r>
        <w:rPr>
          <w:rFonts w:ascii="宋体" w:hAnsi="宋体" w:cs="宋体" w:eastAsia="宋体" w:hint="default"/>
        </w:rPr>
        <w:t>-</w:t>
      </w:r>
      <w:r>
        <w:rPr/>
        <w:t>北京东华合创香港有限公司，主要经营地香港，记账本位币港币。</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78</w:t>
      </w:r>
      <w:r>
        <w:rPr/>
        <w:t>、套期</w:t>
      </w:r>
      <w:r>
        <w:rPr>
          <w:b w:val="0"/>
          <w:bCs w:val="0"/>
        </w:rPr>
      </w:r>
    </w:p>
    <w:p>
      <w:pPr>
        <w:spacing w:line="624" w:lineRule="exact" w:before="71"/>
        <w:ind w:left="152" w:right="7605" w:firstLine="0"/>
        <w:jc w:val="left"/>
        <w:rPr>
          <w:rFonts w:ascii="宋体" w:hAnsi="宋体" w:cs="宋体" w:eastAsia="宋体" w:hint="default"/>
          <w:sz w:val="24"/>
          <w:szCs w:val="24"/>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53"/>
        <w:jc w:val="left"/>
        <w:rPr>
          <w:b w:val="0"/>
          <w:bCs w:val="0"/>
        </w:rPr>
      </w:pPr>
      <w:r>
        <w:rPr>
          <w:rFonts w:ascii="宋体" w:hAnsi="宋体" w:cs="宋体" w:eastAsia="宋体" w:hint="default"/>
        </w:rPr>
        <w:t>1</w:t>
      </w:r>
      <w:r>
        <w:rPr/>
        <w:t>、非同一控制下企业合并</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）本期发生的非同一控制下企业合并</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深圳至高通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0" w:right="0"/>
              <w:jc w:val="left"/>
              <w:rPr>
                <w:rFonts w:ascii="宋体" w:hAnsi="宋体" w:cs="宋体" w:eastAsia="宋体" w:hint="default"/>
                <w:sz w:val="18"/>
                <w:szCs w:val="18"/>
              </w:rPr>
            </w:pPr>
            <w:r>
              <w:rPr>
                <w:rFonts w:ascii="宋体"/>
                <w:sz w:val="18"/>
              </w:rPr>
              <w:t>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0" w:right="0"/>
              <w:jc w:val="left"/>
              <w:rPr>
                <w:rFonts w:ascii="宋体" w:hAnsi="宋体" w:cs="宋体" w:eastAsia="宋体" w:hint="default"/>
                <w:sz w:val="18"/>
                <w:szCs w:val="18"/>
              </w:rPr>
            </w:pPr>
            <w:r>
              <w:rPr>
                <w:rFonts w:ascii="宋体"/>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发行股份及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 w:right="0"/>
              <w:jc w:val="left"/>
              <w:rPr>
                <w:rFonts w:ascii="宋体" w:hAnsi="宋体" w:cs="宋体" w:eastAsia="宋体" w:hint="default"/>
                <w:sz w:val="18"/>
                <w:szCs w:val="18"/>
              </w:rPr>
            </w:pPr>
            <w:r>
              <w:rPr>
                <w:rFonts w:ascii="宋体"/>
                <w:sz w:val="18"/>
              </w:rPr>
              <w:t>480,469,189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 w:right="0"/>
              <w:jc w:val="left"/>
              <w:rPr>
                <w:rFonts w:ascii="宋体" w:hAnsi="宋体" w:cs="宋体" w:eastAsia="宋体" w:hint="default"/>
                <w:sz w:val="18"/>
                <w:szCs w:val="18"/>
              </w:rPr>
            </w:pPr>
            <w:r>
              <w:rPr>
                <w:rFonts w:ascii="宋体"/>
                <w:sz w:val="18"/>
              </w:rPr>
              <w:t>81,787,100.</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信技术发展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92</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北京东华万 兴软件有限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153,000,000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8,221,835.6</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4,353,374.4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珠海市发思 特软件技术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6,069,300.0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51.61%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5,199,636.8</w:t>
            </w:r>
          </w:p>
          <w:p>
            <w:pPr>
              <w:pStyle w:val="TableParagraph"/>
              <w:spacing w:line="240" w:lineRule="auto" w:before="76"/>
              <w:ind w:right="23"/>
              <w:jc w:val="right"/>
              <w:rPr>
                <w:rFonts w:ascii="宋体" w:hAnsi="宋体" w:cs="宋体" w:eastAsia="宋体" w:hint="default"/>
                <w:sz w:val="18"/>
                <w:szCs w:val="18"/>
              </w:rPr>
            </w:pPr>
            <w:r>
              <w:rPr>
                <w:rFonts w:ascii="宋体"/>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1,312,990.9</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bl>
    <w:p>
      <w:pPr>
        <w:pStyle w:val="BodyText"/>
        <w:spacing w:line="240" w:lineRule="auto" w:before="49"/>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深圳至高通信技术发展有限 公司</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珠海市发思特软件技术有限 公司</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153,000,000.00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6,069,300.00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发行的权益性证券的公允 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560,000,000.00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153,000,000.00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6,069,300.00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234,864,770.80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1,392,504.44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3,621,027.42</w:t>
            </w:r>
          </w:p>
        </w:tc>
      </w:tr>
      <w:tr>
        <w:trPr>
          <w:trHeight w:val="102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 辨认净资产公允价值份额的 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565,135,229.20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pacing w:val="-1"/>
                <w:sz w:val="18"/>
              </w:rPr>
              <w:t>151,607,495.56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2,448,272.58</w:t>
            </w:r>
          </w:p>
        </w:tc>
      </w:tr>
    </w:tbl>
    <w:p>
      <w:pPr>
        <w:pStyle w:val="BodyText"/>
        <w:spacing w:line="357" w:lineRule="auto" w:before="49"/>
        <w:ind w:right="5134"/>
        <w:jc w:val="left"/>
      </w:pPr>
      <w:r>
        <w:rPr/>
        <w:t>合并成本公允价值的确定方法、或有对价及其变动的说明： 大额商誉形成的主要原因：</w:t>
      </w:r>
    </w:p>
    <w:p>
      <w:pPr>
        <w:pStyle w:val="BodyText"/>
        <w:spacing w:line="316" w:lineRule="auto" w:before="29"/>
        <w:ind w:right="99" w:firstLine="360"/>
        <w:jc w:val="left"/>
      </w:pPr>
      <w:r>
        <w:rPr/>
        <w:t>本公司以发行股份及支付现金为对价，合并成本的公允价值为</w:t>
      </w:r>
      <w:r>
        <w:rPr>
          <w:spacing w:val="-46"/>
        </w:rPr>
        <w:t> </w:t>
      </w:r>
      <w:r>
        <w:rPr>
          <w:rFonts w:ascii="宋体" w:hAnsi="宋体" w:cs="宋体" w:eastAsia="宋体" w:hint="default"/>
        </w:rPr>
        <w:t>800,000,000.00</w:t>
      </w:r>
      <w:r>
        <w:rPr>
          <w:rFonts w:ascii="宋体" w:hAnsi="宋体" w:cs="宋体" w:eastAsia="宋体" w:hint="default"/>
          <w:spacing w:val="-44"/>
        </w:rPr>
        <w:t> </w:t>
      </w:r>
      <w:r>
        <w:rPr/>
        <w:t>元，在合并中取得深圳至高通信技术发 展有限公司</w:t>
      </w:r>
      <w:r>
        <w:rPr>
          <w:spacing w:val="-35"/>
        </w:rPr>
        <w:t> </w:t>
      </w:r>
      <w:r>
        <w:rPr>
          <w:rFonts w:ascii="宋体" w:hAnsi="宋体" w:cs="宋体" w:eastAsia="宋体" w:hint="default"/>
        </w:rPr>
        <w:t>100%</w:t>
      </w:r>
      <w:r>
        <w:rPr/>
        <w:t>的权益，深圳至高通信技术发展有限公司可辨认净资产在购买日的公允价值为人民币</w:t>
      </w:r>
      <w:r>
        <w:rPr>
          <w:spacing w:val="-31"/>
        </w:rPr>
        <w:t> </w:t>
      </w:r>
      <w:r>
        <w:rPr>
          <w:rFonts w:ascii="宋体" w:hAnsi="宋体" w:cs="宋体" w:eastAsia="宋体" w:hint="default"/>
        </w:rPr>
        <w:t>234,864,770.80</w:t>
      </w:r>
      <w:r>
        <w:rPr>
          <w:rFonts w:ascii="宋体" w:hAnsi="宋体" w:cs="宋体" w:eastAsia="宋体" w:hint="default"/>
          <w:spacing w:val="-29"/>
        </w:rPr>
        <w:t> </w:t>
      </w:r>
      <w:r>
        <w:rPr/>
        <w:t>元，</w:t>
      </w:r>
      <w:r>
        <w:rPr>
          <w:spacing w:val="-87"/>
        </w:rPr>
        <w:t> </w:t>
      </w:r>
      <w:r>
        <w:rPr/>
        <w:t>其中归本公司享有的份额为人民币</w:t>
      </w:r>
      <w:r>
        <w:rPr>
          <w:spacing w:val="-48"/>
        </w:rPr>
        <w:t> </w:t>
      </w:r>
      <w:r>
        <w:rPr>
          <w:rFonts w:ascii="宋体" w:hAnsi="宋体" w:cs="宋体" w:eastAsia="宋体" w:hint="default"/>
        </w:rPr>
        <w:t>234,864,770.80</w:t>
      </w:r>
      <w:r>
        <w:rPr>
          <w:rFonts w:ascii="宋体" w:hAnsi="宋体" w:cs="宋体" w:eastAsia="宋体" w:hint="default"/>
          <w:spacing w:val="-47"/>
        </w:rPr>
        <w:t> </w:t>
      </w:r>
      <w:r>
        <w:rPr/>
        <w:t>元，两者的差额</w:t>
      </w:r>
      <w:r>
        <w:rPr>
          <w:spacing w:val="-49"/>
        </w:rPr>
        <w:t> </w:t>
      </w:r>
      <w:r>
        <w:rPr>
          <w:rFonts w:ascii="宋体" w:hAnsi="宋体" w:cs="宋体" w:eastAsia="宋体" w:hint="default"/>
        </w:rPr>
        <w:t>565,135,229.20</w:t>
      </w:r>
      <w:r>
        <w:rPr>
          <w:rFonts w:ascii="宋体" w:hAnsi="宋体" w:cs="宋体" w:eastAsia="宋体" w:hint="default"/>
          <w:spacing w:val="-47"/>
        </w:rPr>
        <w:t> </w:t>
      </w:r>
      <w:r>
        <w:rPr/>
        <w:t>元确认为商誉。</w:t>
      </w:r>
    </w:p>
    <w:p>
      <w:pPr>
        <w:pStyle w:val="BodyText"/>
        <w:spacing w:line="316" w:lineRule="auto" w:before="59"/>
        <w:ind w:right="198" w:firstLine="360"/>
        <w:jc w:val="both"/>
      </w:pPr>
      <w:r>
        <w:rPr/>
        <w:t>本公司以发行股份及支付现金为对价，合并成本的公允价值为</w:t>
      </w:r>
      <w:r>
        <w:rPr>
          <w:spacing w:val="-48"/>
        </w:rPr>
        <w:t> </w:t>
      </w:r>
      <w:r>
        <w:rPr>
          <w:rFonts w:ascii="宋体" w:hAnsi="宋体" w:cs="宋体" w:eastAsia="宋体" w:hint="default"/>
        </w:rPr>
        <w:t>153,000,000.00</w:t>
      </w:r>
      <w:r>
        <w:rPr>
          <w:rFonts w:ascii="宋体" w:hAnsi="宋体" w:cs="宋体" w:eastAsia="宋体" w:hint="default"/>
          <w:spacing w:val="-46"/>
        </w:rPr>
        <w:t> </w:t>
      </w:r>
      <w:r>
        <w:rPr/>
        <w:t>元，在合并中取得北京东华万兴软件有 限公司</w:t>
      </w:r>
      <w:r>
        <w:rPr>
          <w:spacing w:val="-47"/>
        </w:rPr>
        <w:t> </w:t>
      </w:r>
      <w:r>
        <w:rPr>
          <w:rFonts w:ascii="宋体" w:hAnsi="宋体" w:cs="宋体" w:eastAsia="宋体" w:hint="default"/>
        </w:rPr>
        <w:t>51%</w:t>
      </w:r>
      <w:r>
        <w:rPr/>
        <w:t>的权益，北京东华万兴软件有限公司可辨认净资产在购买日的公允价值为人民币</w:t>
      </w:r>
      <w:r>
        <w:rPr>
          <w:spacing w:val="-47"/>
        </w:rPr>
        <w:t> </w:t>
      </w:r>
      <w:r>
        <w:rPr>
          <w:rFonts w:ascii="宋体" w:hAnsi="宋体" w:cs="宋体" w:eastAsia="宋体" w:hint="default"/>
        </w:rPr>
        <w:t>2,730,400.87</w:t>
      </w:r>
      <w:r>
        <w:rPr>
          <w:rFonts w:ascii="宋体" w:hAnsi="宋体" w:cs="宋体" w:eastAsia="宋体" w:hint="default"/>
          <w:spacing w:val="-45"/>
        </w:rPr>
        <w:t> </w:t>
      </w:r>
      <w:r>
        <w:rPr/>
        <w:t>元，其中归本公 司享有的份额为人民币</w:t>
      </w:r>
      <w:r>
        <w:rPr>
          <w:spacing w:val="-47"/>
        </w:rPr>
        <w:t> </w:t>
      </w:r>
      <w:r>
        <w:rPr>
          <w:rFonts w:ascii="宋体" w:hAnsi="宋体" w:cs="宋体" w:eastAsia="宋体" w:hint="default"/>
        </w:rPr>
        <w:t>1,392,504.44</w:t>
      </w:r>
      <w:r>
        <w:rPr>
          <w:rFonts w:ascii="宋体" w:hAnsi="宋体" w:cs="宋体" w:eastAsia="宋体" w:hint="default"/>
          <w:spacing w:val="-45"/>
        </w:rPr>
        <w:t> </w:t>
      </w:r>
      <w:r>
        <w:rPr/>
        <w:t>元，两者的差额</w:t>
      </w:r>
      <w:r>
        <w:rPr>
          <w:spacing w:val="-50"/>
        </w:rPr>
        <w:t> </w:t>
      </w:r>
      <w:r>
        <w:rPr>
          <w:rFonts w:ascii="宋体" w:hAnsi="宋体" w:cs="宋体" w:eastAsia="宋体" w:hint="default"/>
        </w:rPr>
        <w:t>151,607,495.56</w:t>
      </w:r>
      <w:r>
        <w:rPr>
          <w:rFonts w:ascii="宋体" w:hAnsi="宋体" w:cs="宋体" w:eastAsia="宋体" w:hint="default"/>
          <w:spacing w:val="-45"/>
        </w:rPr>
        <w:t> </w:t>
      </w:r>
      <w:r>
        <w:rPr/>
        <w:t>元确认为商誉。</w:t>
      </w:r>
    </w:p>
    <w:p>
      <w:pPr>
        <w:pStyle w:val="BodyText"/>
        <w:spacing w:line="319" w:lineRule="auto" w:before="57"/>
        <w:ind w:right="191" w:firstLine="360"/>
        <w:jc w:val="both"/>
      </w:pPr>
      <w:r>
        <w:rPr/>
        <w:t>本公司以发行股份及支付现金为对价，合并成本的公允价值为</w:t>
      </w:r>
      <w:r>
        <w:rPr>
          <w:spacing w:val="-47"/>
        </w:rPr>
        <w:t> </w:t>
      </w:r>
      <w:r>
        <w:rPr>
          <w:rFonts w:ascii="宋体" w:hAnsi="宋体" w:cs="宋体" w:eastAsia="宋体" w:hint="default"/>
        </w:rPr>
        <w:t>6,069,300.00</w:t>
      </w:r>
      <w:r>
        <w:rPr>
          <w:rFonts w:ascii="宋体" w:hAnsi="宋体" w:cs="宋体" w:eastAsia="宋体" w:hint="default"/>
          <w:spacing w:val="-45"/>
        </w:rPr>
        <w:t> </w:t>
      </w:r>
      <w:r>
        <w:rPr/>
        <w:t>元，在合并中取得珠海市发思特软件技术 有限公司</w:t>
      </w:r>
      <w:r>
        <w:rPr>
          <w:spacing w:val="-52"/>
        </w:rPr>
        <w:t> </w:t>
      </w:r>
      <w:r>
        <w:rPr>
          <w:rFonts w:ascii="宋体" w:hAnsi="宋体" w:cs="宋体" w:eastAsia="宋体" w:hint="default"/>
        </w:rPr>
        <w:t>51.61%</w:t>
      </w:r>
      <w:r>
        <w:rPr/>
        <w:t>的权益，珠海市发思特软件技术有限公司可辨认净资产在购买日的公允价值为人民币</w:t>
      </w:r>
      <w:r>
        <w:rPr>
          <w:spacing w:val="-52"/>
        </w:rPr>
        <w:t> </w:t>
      </w:r>
      <w:r>
        <w:rPr>
          <w:rFonts w:ascii="宋体" w:hAnsi="宋体" w:cs="宋体" w:eastAsia="宋体" w:hint="default"/>
        </w:rPr>
        <w:t>7,016,135.28</w:t>
      </w:r>
      <w:r>
        <w:rPr>
          <w:rFonts w:ascii="宋体" w:hAnsi="宋体" w:cs="宋体" w:eastAsia="宋体" w:hint="default"/>
          <w:spacing w:val="-50"/>
        </w:rPr>
        <w:t> </w:t>
      </w:r>
      <w:r>
        <w:rPr>
          <w:spacing w:val="-8"/>
        </w:rPr>
        <w:t>元，其</w:t>
      </w:r>
      <w:r>
        <w:rPr/>
        <w:t> 中归本公司享有的份额为人民币</w:t>
      </w:r>
      <w:r>
        <w:rPr>
          <w:spacing w:val="-48"/>
        </w:rPr>
        <w:t> </w:t>
      </w:r>
      <w:r>
        <w:rPr>
          <w:rFonts w:ascii="宋体" w:hAnsi="宋体" w:cs="宋体" w:eastAsia="宋体" w:hint="default"/>
        </w:rPr>
        <w:t>3,621,027.42</w:t>
      </w:r>
      <w:r>
        <w:rPr>
          <w:rFonts w:ascii="宋体" w:hAnsi="宋体" w:cs="宋体" w:eastAsia="宋体" w:hint="default"/>
          <w:spacing w:val="-46"/>
        </w:rPr>
        <w:t> </w:t>
      </w:r>
      <w:r>
        <w:rPr/>
        <w:t>元，两者的差额</w:t>
      </w:r>
      <w:r>
        <w:rPr>
          <w:spacing w:val="-49"/>
        </w:rPr>
        <w:t> </w:t>
      </w:r>
      <w:r>
        <w:rPr>
          <w:rFonts w:ascii="宋体" w:hAnsi="宋体" w:cs="宋体" w:eastAsia="宋体" w:hint="default"/>
        </w:rPr>
        <w:t>2,448,272.58</w:t>
      </w:r>
      <w:r>
        <w:rPr>
          <w:rFonts w:ascii="宋体" w:hAnsi="宋体" w:cs="宋体" w:eastAsia="宋体" w:hint="default"/>
          <w:spacing w:val="-46"/>
        </w:rPr>
        <w:t> </w:t>
      </w:r>
      <w:r>
        <w:rPr/>
        <w:t>元确认为商誉。</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t>（</w:t>
      </w:r>
      <w:r>
        <w:rPr>
          <w:rFonts w:ascii="宋体" w:hAnsi="宋体" w:cs="宋体" w:eastAsia="宋体" w:hint="default"/>
        </w:rPr>
        <w:t>3</w:t>
      </w:r>
      <w:r>
        <w:rPr/>
        <w:t>）被购买方于购买日可辨认资产、负债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734"/>
        <w:gridCol w:w="2734"/>
        <w:gridCol w:w="2723"/>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深圳至高通信技术发展有限公司</w:t>
            </w:r>
          </w:p>
        </w:tc>
        <w:tc>
          <w:tcPr>
            <w:tcW w:w="27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272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珠海市发思特软件技术有限公司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25,850,317.24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25,850,317.24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852,631.58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852,631.58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6,456,639.33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6,456,639.33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227,882,411.27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227,882,411.27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1,964,315.60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1,964,315.60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1,478,493.94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1,478,493.94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107,115,556.61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107,115,556.61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406,742.73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406,742.73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88,756.42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88,756.42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4,427,675.09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4,427,675.09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38,409.63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38,409.63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109,180.44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109,180.44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32,837,302.52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5,119,602.52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3,430,948.20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3,430,948.20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2,632,478.05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2,632,478.05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2,619,613.67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2,619,613.67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147,566.64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147,566.64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94,078,295.55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94,078,295.55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68,532,618.35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68,532,618.35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511,460.30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511,460.30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938,444.15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938,444.15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4,157,655.00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1,366,137.01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1,366,137.01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20,238.37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20,238.37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325,751.00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325,751.00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1,403,834.71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1,403,834.71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5,406.34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5,406.34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2,392,991.23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2,392,991.23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234,864,770.80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211,304,725.80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2,730,400.87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2,730,400.87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7,016,135.28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7,016,135.28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1,337,896.43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1,337,896.43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3,395,107.86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3,395,107.86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234,864,770.80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211,304,725.80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1,392,504.44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1,392,504.44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3,621,027.42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3,621,027.42</w:t>
            </w:r>
          </w:p>
        </w:tc>
      </w:tr>
    </w:tbl>
    <w:p>
      <w:pPr>
        <w:pStyle w:val="BodyText"/>
        <w:spacing w:line="357" w:lineRule="auto" w:before="49"/>
        <w:ind w:left="513" w:right="4733" w:hanging="361"/>
        <w:jc w:val="left"/>
      </w:pPr>
      <w:r>
        <w:rPr/>
        <w:t>可辨认资产、负债公允价值的确定方法： 根据评估机构对被购买方资产的评估价值进行调整后确定。</w:t>
      </w:r>
    </w:p>
    <w:p>
      <w:pPr>
        <w:pStyle w:val="BodyText"/>
        <w:spacing w:line="360" w:lineRule="auto" w:before="29"/>
        <w:ind w:right="6534"/>
        <w:jc w:val="left"/>
      </w:pPr>
      <w:r>
        <w:rPr/>
        <w:t>企业合并中承担的被购买方的或有负债： 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是否存在通过多次交易分步实现企业合并且在报告期内取得控制权的交易</w:t>
      </w:r>
    </w:p>
    <w:p>
      <w:pPr>
        <w:pStyle w:val="BodyText"/>
        <w:spacing w:line="240" w:lineRule="auto" w:before="117"/>
        <w:ind w:right="15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5"/>
          <w:szCs w:val="25"/>
        </w:rPr>
      </w:pPr>
    </w:p>
    <w:p>
      <w:pPr>
        <w:pStyle w:val="Heading3"/>
        <w:spacing w:line="535" w:lineRule="auto"/>
        <w:ind w:right="7560"/>
        <w:jc w:val="left"/>
        <w:rPr>
          <w:b w:val="0"/>
          <w:bCs w:val="0"/>
        </w:rPr>
      </w:pPr>
      <w:r>
        <w:rPr/>
        <w:t>（</w:t>
      </w:r>
      <w:r>
        <w:rPr>
          <w:rFonts w:ascii="宋体" w:hAnsi="宋体" w:cs="宋体" w:eastAsia="宋体" w:hint="default"/>
        </w:rPr>
        <w:t>6</w:t>
      </w:r>
      <w:r>
        <w:rPr/>
        <w:t>）其他说明</w:t>
      </w:r>
      <w:r>
        <w:rPr>
          <w:spacing w:val="-104"/>
        </w:rPr>
        <w:t> </w:t>
      </w:r>
      <w:r>
        <w:rPr>
          <w:rFonts w:ascii="宋体" w:hAnsi="宋体" w:cs="宋体" w:eastAsia="宋体" w:hint="default"/>
        </w:rPr>
        <w:t>2</w:t>
      </w:r>
      <w:r>
        <w:rPr/>
        <w:t>、同一控制下企业合并</w:t>
      </w:r>
      <w:r>
        <w:rPr>
          <w:b w:val="0"/>
          <w:bCs w:val="0"/>
        </w:rPr>
      </w:r>
    </w:p>
    <w:p>
      <w:pPr>
        <w:pStyle w:val="Heading3"/>
        <w:spacing w:line="240" w:lineRule="auto" w:before="81"/>
        <w:ind w:right="153"/>
        <w:jc w:val="left"/>
        <w:rPr>
          <w:b w:val="0"/>
          <w:bCs w:val="0"/>
        </w:rPr>
      </w:pPr>
      <w:r>
        <w:rPr/>
        <w:t>（</w:t>
      </w:r>
      <w:r>
        <w:rPr>
          <w:rFonts w:ascii="宋体" w:hAnsi="宋体" w:cs="宋体" w:eastAsia="宋体" w:hint="default"/>
        </w:rPr>
        <w:t>1</w:t>
      </w:r>
      <w:r>
        <w:rPr/>
        <w:t>）本期发生的同一控制下企业合并</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2</w:t>
      </w:r>
      <w:r>
        <w:rPr/>
        <w:t>）合并成本</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w:t>
      </w:r>
      <w:r>
        <w:rPr/>
        <w:t>、反向购买</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、处置子公司</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w:t>
      </w:r>
      <w:r>
        <w:rPr/>
        <w:t>、其他原因的合并范围变动</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、在子公司中的权益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广州东华合创数 码科技有限公司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东华合创科技有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沈阳普林科技有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东华软件开发有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天津东华博雅软 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东华星联科技有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兰州东华软件有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北京卓讯科信技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风电机组振动监 测诊断系统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pacing w:val="-6"/>
                <w:sz w:val="18"/>
                <w:szCs w:val="18"/>
              </w:rPr>
              <w:t>合力东华（北京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558" w:lineRule="exact"/>
              <w:ind w:left="2"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pt;height:27.9pt;mso-position-horizontal-relative:char;mso-position-vertical-relative:line" coordorigin="0,0" coordsize="1356,558">
                  <v:group style="position:absolute;left:0;top:0;width:1356;height:156" coordorigin="0,0" coordsize="1356,156">
                    <v:shape style="position:absolute;left:0;top:0;width:1356;height:156" coordorigin="0,0" coordsize="1356,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3;height:392" coordorigin="22,156" coordsize="1313,392">
                    <v:shape style="position:absolute;left:22;top:156;width:1313;height:392" coordorigin="22,156" coordsize="1313,392" path="m22,547l1334,547,1334,156,22,156,22,547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东华互联宜家数 据服务有限公司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东华网络股份公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盘锦市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东华博育云有限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苏州东华软件科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内蒙古东华软件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海南东华软件有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儋州市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儋州市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6"/>
                <w:sz w:val="18"/>
                <w:szCs w:val="18"/>
              </w:rPr>
              <w:t>东华软件（绵阳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绵阳市</w:t>
            </w:r>
          </w:p>
          <w:p>
            <w:pPr>
              <w:pStyle w:val="TableParagraph"/>
              <w:spacing w:line="558" w:lineRule="exact"/>
              <w:ind w:left="2"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8pt;height:27.9pt;mso-position-horizontal-relative:char;mso-position-vertical-relative:line" coordorigin="0,0" coordsize="1356,558">
                  <v:group style="position:absolute;left:0;top:0;width:1356;height:156" coordorigin="0,0" coordsize="1356,156">
                    <v:shape style="position:absolute;left:0;top:0;width:1356;height:156" coordorigin="0,0" coordsize="1356,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3;height:392" coordorigin="22,156" coordsize="1313,392">
                    <v:shape style="position:absolute;left:22;top:156;width:1313;height:392" coordorigin="22,156" coordsize="1313,392" path="m22,547l1334,547,1334,156,22,156,22,547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东华软件威海有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北京东华智中能 源互联网科技有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吉林省东华软件 信息工程有限公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深圳至高通信技 术发展有限公司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3</w:t>
      </w:r>
      <w:r>
        <w:rPr/>
        <w:t>、在合营安排或联营企业中的权益</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）重要合营企业的主要财务信息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）重要联营企业的主要财务信息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4</w:t>
      </w:r>
      <w:r>
        <w:rPr/>
        <w:t>）不重要的合营企业和联营企业的汇总财务信息</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608,444.42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-591,555.58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-591,555.58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6</w:t>
      </w:r>
      <w:r>
        <w:rPr/>
        <w:t>）合营企业或联营企业发生的超额亏损</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7</w:t>
      </w:r>
      <w:r>
        <w:rPr/>
        <w:t>）与合营企业投资相关的未确认承诺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153"/>
        <w:jc w:val="left"/>
        <w:rPr>
          <w:b w:val="0"/>
          <w:bCs w:val="0"/>
        </w:rPr>
      </w:pPr>
      <w:r>
        <w:rPr/>
        <w:t>（</w:t>
      </w:r>
      <w:r>
        <w:rPr>
          <w:rFonts w:ascii="宋体" w:hAnsi="宋体" w:cs="宋体" w:eastAsia="宋体"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w:t>
      </w:r>
      <w:r>
        <w:rPr/>
        <w:t>、重要的共同经营</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宋体" w:hAnsi="宋体" w:cs="宋体" w:eastAsia="宋体"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w:t>
      </w:r>
      <w:r>
        <w:rPr/>
        <w:t>、其他</w:t>
      </w:r>
      <w:r>
        <w:rPr>
          <w:b w:val="0"/>
          <w:bCs w:val="0"/>
        </w:rPr>
      </w:r>
    </w:p>
    <w:p>
      <w:pPr>
        <w:spacing w:line="240" w:lineRule="auto" w:before="0"/>
        <w:rPr>
          <w:rFonts w:ascii="宋体" w:hAnsi="宋体" w:cs="宋体" w:eastAsia="宋体" w:hint="default"/>
          <w:b/>
          <w:bCs/>
          <w:sz w:val="24"/>
          <w:szCs w:val="24"/>
        </w:rPr>
      </w:pPr>
    </w:p>
    <w:p>
      <w:pPr>
        <w:pStyle w:val="Heading2"/>
        <w:spacing w:line="240" w:lineRule="auto"/>
        <w:ind w:right="153"/>
        <w:jc w:val="left"/>
        <w:rPr>
          <w:b w:val="0"/>
          <w:bCs w:val="0"/>
        </w:rPr>
      </w:pPr>
      <w:r>
        <w:rPr/>
        <w:t>十</w:t>
      </w:r>
      <w:r>
        <w:rPr>
          <w:rFonts w:ascii="宋体" w:hAnsi="宋体" w:cs="宋体" w:eastAsia="宋体" w:hint="default"/>
          <w:b w:val="0"/>
          <w:bCs w:val="0"/>
          <w:sz w:val="18"/>
          <w:szCs w:val="18"/>
        </w:rPr>
        <w:t>、</w:t>
      </w:r>
      <w:r>
        <w:rPr/>
        <w:t>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3" w:firstLine="420"/>
        <w:jc w:val="both"/>
      </w:pPr>
      <w:r>
        <w:rPr/>
        <w:t>本公司主要金融工具包括应收款项、应付款项、短期借款等，各项金融工具的详细情况说明见本附注六相关项目。与 </w:t>
      </w:r>
      <w:r>
        <w:rPr>
          <w:spacing w:val="-2"/>
        </w:rPr>
        <w:t>这些金融工具有关的风险，以及本公司为降低这些风险采取的风险管理政策如下所述。本公司管理层对这些风险敞口进行管</w:t>
      </w:r>
      <w:r>
        <w:rPr>
          <w:spacing w:val="-64"/>
        </w:rPr>
        <w:t> </w:t>
      </w:r>
      <w:r>
        <w:rPr>
          <w:spacing w:val="-64"/>
        </w:rPr>
      </w:r>
      <w:r>
        <w:rPr/>
        <w:t>理和监控以确保将上述风险控制在限定的范围之内。</w:t>
      </w:r>
    </w:p>
    <w:p>
      <w:pPr>
        <w:pStyle w:val="Heading3"/>
        <w:spacing w:line="240" w:lineRule="auto" w:before="118"/>
        <w:ind w:right="153"/>
        <w:jc w:val="left"/>
        <w:rPr>
          <w:b w:val="0"/>
          <w:bCs w:val="0"/>
        </w:rPr>
      </w:pPr>
      <w:r>
        <w:rPr/>
        <w:t>（一）风险管理目标和政策</w:t>
      </w:r>
      <w:r>
        <w:rPr>
          <w:b w:val="0"/>
          <w:bCs w:val="0"/>
        </w:rPr>
      </w:r>
    </w:p>
    <w:p>
      <w:pPr>
        <w:pStyle w:val="BodyText"/>
        <w:spacing w:line="316" w:lineRule="auto" w:before="178"/>
        <w:ind w:right="150" w:firstLine="420"/>
        <w:jc w:val="both"/>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3"/>
        </w:rPr>
        <w:t> </w:t>
      </w:r>
      <w:r>
        <w:rPr>
          <w:spacing w:val="-63"/>
        </w:rPr>
      </w: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Heading3"/>
        <w:spacing w:line="240" w:lineRule="auto" w:before="118"/>
        <w:ind w:left="575" w:right="153"/>
        <w:jc w:val="left"/>
        <w:rPr>
          <w:b w:val="0"/>
          <w:bCs w:val="0"/>
        </w:rPr>
      </w:pPr>
      <w:r>
        <w:rPr>
          <w:rFonts w:ascii="宋体" w:hAnsi="宋体" w:cs="宋体" w:eastAsia="宋体" w:hint="default"/>
        </w:rPr>
        <w:t>1</w:t>
      </w:r>
      <w:r>
        <w:rPr/>
        <w:t>、市场风险</w:t>
      </w:r>
      <w:r>
        <w:rPr>
          <w:b w:val="0"/>
          <w:bCs w:val="0"/>
        </w:rPr>
      </w:r>
    </w:p>
    <w:p>
      <w:pPr>
        <w:pStyle w:val="BodyText"/>
        <w:spacing w:line="432" w:lineRule="exact" w:before="42"/>
        <w:ind w:left="573" w:right="153"/>
        <w:jc w:val="left"/>
      </w:pPr>
      <w:r>
        <w:rPr/>
        <w:t>（</w:t>
      </w:r>
      <w:r>
        <w:rPr>
          <w:rFonts w:ascii="宋体" w:hAnsi="宋体" w:cs="宋体" w:eastAsia="宋体" w:hint="default"/>
        </w:rPr>
        <w:t>1</w:t>
      </w:r>
      <w:r>
        <w:rPr/>
        <w:t>）外汇风险 外汇风险，是指金融工具的公允价值或未来现金流量因外汇汇率变动而发生波动的风险。本公司面临的汇率变动的风</w:t>
      </w:r>
    </w:p>
    <w:p>
      <w:pPr>
        <w:pStyle w:val="BodyText"/>
        <w:spacing w:line="439" w:lineRule="auto" w:before="15"/>
        <w:ind w:left="573" w:right="234" w:hanging="421"/>
        <w:jc w:val="left"/>
      </w:pPr>
      <w:r>
        <w:rPr/>
        <w:t>险主要与公司外币货币性资产、负债及境外经营实体有关。本公司尽可能将外币收入与外币支出相匹配以降低外汇风险。 公司期末外币金融资产和外币金融负债列示见本附注五（四十九）之说明。</w:t>
      </w:r>
    </w:p>
    <w:p>
      <w:pPr>
        <w:pStyle w:val="BodyText"/>
        <w:spacing w:line="240" w:lineRule="auto" w:before="47"/>
        <w:ind w:left="573" w:right="153"/>
        <w:jc w:val="left"/>
      </w:pPr>
      <w:r>
        <w:rPr/>
        <w:t>（</w:t>
      </w:r>
      <w:r>
        <w:rPr>
          <w:rFonts w:ascii="宋体" w:hAnsi="宋体" w:cs="宋体" w:eastAsia="宋体" w:hint="default"/>
        </w:rPr>
        <w:t>2</w:t>
      </w:r>
      <w:r>
        <w:rPr/>
        <w:t>）利率风险</w:t>
      </w:r>
    </w:p>
    <w:p>
      <w:pPr>
        <w:spacing w:line="240" w:lineRule="auto" w:before="1"/>
        <w:rPr>
          <w:rFonts w:ascii="宋体" w:hAnsi="宋体" w:cs="宋体" w:eastAsia="宋体" w:hint="default"/>
          <w:sz w:val="15"/>
          <w:szCs w:val="15"/>
        </w:rPr>
      </w:pPr>
    </w:p>
    <w:p>
      <w:pPr>
        <w:pStyle w:val="BodyText"/>
        <w:spacing w:line="316" w:lineRule="auto"/>
        <w:ind w:right="150" w:firstLine="420"/>
        <w:jc w:val="both"/>
      </w:pPr>
      <w:r>
        <w:rPr/>
        <w:t>利率风险，是指金融工具的公允价值或未来现金流量因市场利率变动而发生波动的风险。本公司面临的利率风险主要 </w:t>
      </w:r>
      <w:r>
        <w:rPr>
          <w:spacing w:val="-2"/>
        </w:rPr>
        <w:t>与公司的浮动利率借款有关。在货币政策稳健偏紧和融资供求关系相对偏紧的条件下，会推动银行贷款利率水平上升，从而</w:t>
      </w:r>
      <w:r>
        <w:rPr>
          <w:spacing w:val="-63"/>
        </w:rPr>
        <w:t> </w:t>
      </w:r>
      <w:r>
        <w:rPr>
          <w:spacing w:val="-63"/>
        </w:rPr>
      </w:r>
      <w:r>
        <w:rPr>
          <w:spacing w:val="-2"/>
        </w:rPr>
        <w:t>增加公司的融资成本。公司通过建立良好的银企关系，对授信额度、授信品种以及授信期限进行合理的设计，保障银行授信</w:t>
      </w:r>
      <w:r>
        <w:rPr>
          <w:spacing w:val="-65"/>
        </w:rPr>
        <w:t> </w:t>
      </w:r>
      <w:r>
        <w:rPr>
          <w:spacing w:val="-65"/>
        </w:rPr>
      </w:r>
      <w:r>
        <w:rPr/>
        <w:t>额度充足，满足公司各类期限融资需求，合理降低利率波动风险。</w:t>
      </w:r>
    </w:p>
    <w:p>
      <w:pPr>
        <w:pStyle w:val="BodyText"/>
        <w:spacing w:line="316" w:lineRule="auto" w:before="139"/>
        <w:ind w:right="151" w:firstLine="420"/>
        <w:jc w:val="both"/>
      </w:pPr>
      <w:r>
        <w:rPr/>
        <w:t>截至</w:t>
      </w:r>
      <w:r>
        <w:rPr>
          <w:spacing w:val="-13"/>
        </w:rPr>
        <w:t> </w:t>
      </w:r>
      <w:r>
        <w:rPr>
          <w:rFonts w:ascii="宋体" w:hAnsi="宋体" w:cs="宋体" w:eastAsia="宋体" w:hint="default"/>
        </w:rPr>
        <w:t>2015</w:t>
      </w:r>
      <w:r>
        <w:rPr/>
        <w:t>年</w:t>
      </w:r>
      <w:r>
        <w:rPr>
          <w:spacing w:val="-16"/>
        </w:rPr>
        <w:t> </w:t>
      </w:r>
      <w:r>
        <w:rPr>
          <w:rFonts w:ascii="宋体" w:hAnsi="宋体" w:cs="宋体" w:eastAsia="宋体" w:hint="default"/>
        </w:rPr>
        <w:t>12</w:t>
      </w:r>
      <w:r>
        <w:rPr>
          <w:rFonts w:ascii="宋体" w:hAnsi="宋体" w:cs="宋体" w:eastAsia="宋体" w:hint="default"/>
          <w:spacing w:val="-12"/>
        </w:rPr>
        <w:t> </w:t>
      </w:r>
      <w:r>
        <w:rPr/>
        <w:t>月</w:t>
      </w:r>
      <w:r>
        <w:rPr>
          <w:spacing w:val="-16"/>
        </w:rPr>
        <w:t> </w:t>
      </w:r>
      <w:r>
        <w:rPr>
          <w:rFonts w:ascii="宋体" w:hAnsi="宋体" w:cs="宋体" w:eastAsia="宋体" w:hint="default"/>
        </w:rPr>
        <w:t>31</w:t>
      </w:r>
      <w:r>
        <w:rPr>
          <w:rFonts w:ascii="宋体" w:hAnsi="宋体" w:cs="宋体" w:eastAsia="宋体" w:hint="default"/>
          <w:spacing w:val="-12"/>
        </w:rPr>
        <w:t> </w:t>
      </w:r>
      <w:r>
        <w:rPr/>
        <w:t>日，公司短期借款</w:t>
      </w:r>
      <w:r>
        <w:rPr>
          <w:rFonts w:ascii="宋体" w:hAnsi="宋体" w:cs="宋体" w:eastAsia="宋体" w:hint="default"/>
        </w:rPr>
        <w:t>840,483,294.08</w:t>
      </w:r>
      <w:r>
        <w:rPr/>
        <w:t>元，一年内到期的非流动负债</w:t>
      </w:r>
      <w:r>
        <w:rPr>
          <w:rFonts w:ascii="宋体" w:hAnsi="宋体" w:cs="宋体" w:eastAsia="宋体" w:hint="default"/>
        </w:rPr>
        <w:t>9,800,000.00</w:t>
      </w:r>
      <w:r>
        <w:rPr/>
        <w:t>元，在其他变量 不变的假设下，利率发生可能的</w:t>
      </w:r>
      <w:r>
        <w:rPr>
          <w:rFonts w:ascii="宋体" w:hAnsi="宋体" w:cs="宋体" w:eastAsia="宋体" w:hint="default"/>
        </w:rPr>
        <w:t>20%</w:t>
      </w:r>
      <w:r>
        <w:rPr/>
        <w:t>变动时，将不会对公司的营业利润和股东权益产生重大的影响。</w:t>
      </w:r>
    </w:p>
    <w:p>
      <w:pPr>
        <w:spacing w:after="0" w:line="31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316" w:right="7947"/>
        <w:jc w:val="center"/>
        <w:rPr>
          <w:b w:val="0"/>
          <w:bCs w:val="0"/>
        </w:rPr>
      </w:pPr>
      <w:r>
        <w:rPr>
          <w:rFonts w:ascii="宋体" w:hAnsi="宋体" w:cs="宋体" w:eastAsia="宋体" w:hint="default"/>
        </w:rPr>
        <w:t>2</w:t>
      </w:r>
      <w:r>
        <w:rPr/>
        <w:t>、信用风险</w:t>
      </w:r>
      <w:r>
        <w:rPr>
          <w:b w:val="0"/>
          <w:bCs w:val="0"/>
        </w:rPr>
      </w:r>
    </w:p>
    <w:p>
      <w:pPr>
        <w:pStyle w:val="BodyText"/>
        <w:spacing w:line="316" w:lineRule="auto" w:before="178"/>
        <w:ind w:right="151" w:firstLine="420"/>
        <w:jc w:val="both"/>
      </w:pPr>
      <w:r>
        <w:rPr/>
        <w:t>信用风险，是指金融工具的一方不履行义务，造成另一方发生财务损失的风险。本公司的信用风险主要与应收款项有 </w:t>
      </w:r>
      <w:r>
        <w:rPr>
          <w:spacing w:val="-2"/>
        </w:rPr>
        <w:t>关。在客户信用考察方面，本公司首先从客户的经营情况、资金来源、与本公司合作的历史记录等方面进行信用考察，选择</w:t>
      </w:r>
      <w:r>
        <w:rPr>
          <w:spacing w:val="-67"/>
        </w:rPr>
        <w:t> </w:t>
      </w:r>
      <w:r>
        <w:rPr>
          <w:spacing w:val="-67"/>
        </w:rPr>
      </w:r>
      <w:r>
        <w:rPr>
          <w:spacing w:val="-2"/>
        </w:rPr>
        <w:t>商业信誉良好、支付能力较高的客户进行业务合作，如各级行政机关及事业单位、大中型国有企业等；其次，在项目实施过</w:t>
      </w:r>
      <w:r>
        <w:rPr>
          <w:spacing w:val="-67"/>
        </w:rPr>
        <w:t> </w:t>
      </w:r>
      <w:r>
        <w:rPr>
          <w:spacing w:val="-67"/>
        </w:rPr>
      </w:r>
      <w:r>
        <w:rPr>
          <w:spacing w:val="-2"/>
        </w:rPr>
        <w:t>程中要求销售人员密切关注客户的经营情况和财务状况并及时反馈信息，以便在客户出现经营恶化、支付能力下降等情况时</w:t>
      </w:r>
      <w:r>
        <w:rPr>
          <w:spacing w:val="-64"/>
        </w:rPr>
        <w:t> </w:t>
      </w:r>
      <w:r>
        <w:rPr>
          <w:spacing w:val="-64"/>
        </w:rPr>
      </w:r>
      <w:r>
        <w:rPr>
          <w:spacing w:val="-2"/>
        </w:rPr>
        <w:t>能及时采取补救措施。在应收账款控制管理方面，本公司在签订销售合同前均由法律部对合同条款进行审查，防止错漏、歧</w:t>
      </w:r>
      <w:r>
        <w:rPr>
          <w:spacing w:val="-64"/>
        </w:rPr>
        <w:t> </w:t>
      </w:r>
      <w:r>
        <w:rPr>
          <w:spacing w:val="-64"/>
        </w:rPr>
      </w:r>
      <w:r>
        <w:rPr>
          <w:spacing w:val="-2"/>
        </w:rPr>
        <w:t>义发生，并在合同签订时根据客户的信用情况具体确定应收账款的信用额度和信用期间，尽量争取对本公司收取账款有利的</w:t>
      </w:r>
      <w:r>
        <w:rPr>
          <w:spacing w:val="-64"/>
        </w:rPr>
        <w:t> </w:t>
      </w:r>
      <w:r>
        <w:rPr>
          <w:spacing w:val="-64"/>
        </w:rPr>
      </w:r>
      <w:r>
        <w:rPr>
          <w:spacing w:val="-2"/>
        </w:rPr>
        <w:t>条款；其次，对于信用期内的应收账款，要求财务部专门人员定期对账并及时抄报销售部和公司有关高管，以督促销售人员</w:t>
      </w:r>
      <w:r>
        <w:rPr>
          <w:spacing w:val="-64"/>
        </w:rPr>
        <w:t> </w:t>
      </w:r>
      <w:r>
        <w:rPr>
          <w:spacing w:val="-64"/>
        </w:rPr>
      </w:r>
      <w:r>
        <w:rPr>
          <w:spacing w:val="-2"/>
        </w:rPr>
        <w:t>及时做好与客户之间的对账、催收工作；第三，对于超过信用期的应收账款，除财务部继续作好对账工作外，由法律部、销</w:t>
      </w:r>
      <w:r>
        <w:rPr>
          <w:spacing w:val="-70"/>
        </w:rPr>
        <w:t> </w:t>
      </w:r>
      <w:r>
        <w:rPr>
          <w:spacing w:val="-70"/>
        </w:rPr>
      </w:r>
      <w:r>
        <w:rPr>
          <w:spacing w:val="-2"/>
        </w:rPr>
        <w:t>售部会同公司有关高管根据客户的具体情况研究确定催收方案；第四，将货款的回笼作为考核相关销售人员的主要指标，奖</w:t>
      </w:r>
      <w:r>
        <w:rPr>
          <w:spacing w:val="-66"/>
        </w:rPr>
        <w:t> </w:t>
      </w:r>
      <w:r>
        <w:rPr>
          <w:spacing w:val="-66"/>
        </w:rPr>
      </w:r>
      <w:r>
        <w:rPr/>
        <w:t>金的提取直接与回款的进度和额度挂钩。</w:t>
      </w:r>
    </w:p>
    <w:p>
      <w:pPr>
        <w:pStyle w:val="Heading3"/>
        <w:spacing w:line="240" w:lineRule="auto" w:before="118"/>
        <w:ind w:left="316" w:right="7947"/>
        <w:jc w:val="center"/>
        <w:rPr>
          <w:b w:val="0"/>
          <w:bCs w:val="0"/>
        </w:rPr>
      </w:pPr>
      <w:r>
        <w:rPr>
          <w:rFonts w:ascii="宋体" w:hAnsi="宋体" w:cs="宋体" w:eastAsia="宋体" w:hint="default"/>
        </w:rPr>
        <w:t>3</w:t>
      </w:r>
      <w:r>
        <w:rPr/>
        <w:t>、流动风险</w:t>
      </w:r>
      <w:r>
        <w:rPr>
          <w:b w:val="0"/>
          <w:bCs w:val="0"/>
        </w:rPr>
      </w:r>
    </w:p>
    <w:p>
      <w:pPr>
        <w:pStyle w:val="BodyText"/>
        <w:spacing w:line="316" w:lineRule="auto" w:before="178"/>
        <w:ind w:right="151" w:firstLine="420"/>
        <w:jc w:val="both"/>
      </w:pPr>
      <w:r>
        <w:rPr>
          <w:spacing w:val="-2"/>
        </w:rPr>
        <w:t>本公司加强资金的预测和监控，同时在</w:t>
      </w:r>
      <w:r>
        <w:rPr>
          <w:rFonts w:ascii="宋体" w:hAnsi="宋体" w:cs="宋体" w:eastAsia="宋体" w:hint="default"/>
          <w:spacing w:val="-2"/>
        </w:rPr>
        <w:t>9</w:t>
      </w:r>
      <w:r>
        <w:rPr>
          <w:spacing w:val="-2"/>
        </w:rPr>
        <w:t>家商业银行取得综合授信，银行信贷信誉良好，融资渠道畅通，未来资金来源</w:t>
      </w:r>
      <w:r>
        <w:rPr/>
        <w:t> </w:t>
      </w:r>
      <w:r>
        <w:rPr>
          <w:spacing w:val="-2"/>
        </w:rPr>
        <w:t>有充足保证。截止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日，本公司资产负债率</w:t>
      </w:r>
      <w:r>
        <w:rPr>
          <w:rFonts w:ascii="宋体" w:hAnsi="宋体" w:cs="宋体" w:eastAsia="宋体" w:hint="default"/>
          <w:spacing w:val="-2"/>
        </w:rPr>
        <w:t>22.82%</w:t>
      </w:r>
      <w:r>
        <w:rPr>
          <w:spacing w:val="-2"/>
        </w:rPr>
        <w:t>，流动比率</w:t>
      </w:r>
      <w:r>
        <w:rPr>
          <w:rFonts w:ascii="宋体" w:hAnsi="宋体" w:cs="宋体" w:eastAsia="宋体" w:hint="default"/>
          <w:spacing w:val="-2"/>
        </w:rPr>
        <w:t>3.21</w:t>
      </w:r>
      <w:r>
        <w:rPr>
          <w:spacing w:val="-2"/>
        </w:rPr>
        <w:t>，有充足的资金偿还债务，不存在重大流动性</w:t>
      </w:r>
      <w:r>
        <w:rPr>
          <w:spacing w:val="-54"/>
        </w:rPr>
        <w:t> </w:t>
      </w:r>
      <w:r>
        <w:rPr>
          <w:spacing w:val="-54"/>
        </w:rPr>
      </w:r>
      <w:r>
        <w:rPr/>
        <w:t>风险。</w:t>
      </w:r>
    </w:p>
    <w:p>
      <w:pPr>
        <w:pStyle w:val="Heading3"/>
        <w:spacing w:line="240" w:lineRule="auto" w:before="118"/>
        <w:ind w:right="153"/>
        <w:jc w:val="left"/>
        <w:rPr>
          <w:b w:val="0"/>
          <w:bCs w:val="0"/>
        </w:rPr>
      </w:pPr>
      <w:r>
        <w:rPr/>
        <w:t>（二）金融资产转移</w:t>
      </w:r>
      <w:r>
        <w:rPr>
          <w:b w:val="0"/>
          <w:bCs w:val="0"/>
        </w:rPr>
      </w:r>
    </w:p>
    <w:p>
      <w:pPr>
        <w:pStyle w:val="BodyText"/>
        <w:spacing w:line="240" w:lineRule="auto" w:before="178"/>
        <w:ind w:right="153"/>
        <w:jc w:val="left"/>
      </w:pPr>
      <w:r>
        <w:rPr/>
        <w:t>□ 适用 √</w:t>
      </w:r>
      <w:r>
        <w:rPr>
          <w:spacing w:val="3"/>
        </w:rPr>
        <w:t> </w:t>
      </w:r>
      <w:r>
        <w:rPr/>
        <w:t>不适用</w:t>
      </w:r>
    </w:p>
    <w:p>
      <w:pPr>
        <w:spacing w:line="240" w:lineRule="auto" w:before="8"/>
        <w:rPr>
          <w:rFonts w:ascii="宋体" w:hAnsi="宋体" w:cs="宋体" w:eastAsia="宋体" w:hint="default"/>
          <w:sz w:val="13"/>
          <w:szCs w:val="13"/>
        </w:rPr>
      </w:pPr>
    </w:p>
    <w:p>
      <w:pPr>
        <w:pStyle w:val="Heading3"/>
        <w:spacing w:line="240" w:lineRule="auto"/>
        <w:ind w:right="153"/>
        <w:jc w:val="left"/>
        <w:rPr>
          <w:b w:val="0"/>
          <w:bCs w:val="0"/>
        </w:rPr>
      </w:pPr>
      <w:r>
        <w:rPr/>
        <w:t>（三）金融资产与金融负债的抵销</w:t>
      </w:r>
      <w:r>
        <w:rPr>
          <w:b w:val="0"/>
          <w:bCs w:val="0"/>
        </w:rPr>
      </w:r>
    </w:p>
    <w:p>
      <w:pPr>
        <w:pStyle w:val="BodyText"/>
        <w:spacing w:line="240" w:lineRule="auto" w:before="175"/>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864,985,111.92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864,985,111.92</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864,985,111.92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864,985,111.92</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864,985,111.92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864,985,111.92</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537" w:lineRule="auto"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公司以期末股票收盘价作为第一层次公允价值计量项目市价的确定依据。</w:t>
      </w:r>
    </w:p>
    <w:p>
      <w:pPr>
        <w:spacing w:after="0" w:line="537"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7</w:t>
      </w:r>
      <w:r>
        <w:rPr/>
        <w:t>、本期内发生的估值技术变更及变更原因</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501" w:lineRule="auto" w:before="120"/>
        <w:ind w:left="152" w:right="712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北京东华诚信电脑 科技发展有限公司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2" w:right="0"/>
              <w:jc w:val="left"/>
              <w:rPr>
                <w:rFonts w:ascii="宋体" w:hAnsi="宋体" w:cs="宋体" w:eastAsia="宋体" w:hint="default"/>
                <w:sz w:val="18"/>
                <w:szCs w:val="18"/>
              </w:rPr>
            </w:pPr>
            <w:r>
              <w:rPr>
                <w:rFonts w:ascii="宋体"/>
                <w:sz w:val="18"/>
              </w:rPr>
              <w:t>20.32%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2" w:right="0"/>
              <w:jc w:val="left"/>
              <w:rPr>
                <w:rFonts w:ascii="宋体" w:hAnsi="宋体" w:cs="宋体" w:eastAsia="宋体" w:hint="default"/>
                <w:sz w:val="18"/>
                <w:szCs w:val="18"/>
              </w:rPr>
            </w:pPr>
            <w:r>
              <w:rPr>
                <w:rFonts w:ascii="宋体"/>
                <w:sz w:val="18"/>
              </w:rPr>
              <w:t>20.32%</w:t>
            </w:r>
          </w:p>
        </w:tc>
      </w:tr>
    </w:tbl>
    <w:p>
      <w:pPr>
        <w:pStyle w:val="BodyText"/>
        <w:spacing w:line="439" w:lineRule="auto" w:before="49"/>
        <w:ind w:left="573" w:right="5933" w:hanging="421"/>
        <w:jc w:val="left"/>
      </w:pPr>
      <w:r>
        <w:rPr/>
        <w:t>本企业的母公司情况的说明 本企业最终控制方是薛向东先生及其家族。 本企业最终控制方是薛向东。</w:t>
      </w:r>
    </w:p>
    <w:p>
      <w:pPr>
        <w:pStyle w:val="BodyText"/>
        <w:spacing w:line="439" w:lineRule="auto" w:before="47"/>
        <w:ind w:left="573" w:right="3791"/>
        <w:jc w:val="left"/>
      </w:pPr>
      <w:r>
        <w:rPr/>
        <w:t>其他说明： </w:t>
      </w:r>
      <w:r>
        <w:rPr>
          <w:spacing w:val="-6"/>
        </w:rPr>
        <w:t>本企业子公司的情况详见</w:t>
      </w:r>
      <w:r>
        <w:rPr>
          <w:rFonts w:ascii="宋体" w:hAnsi="宋体" w:cs="宋体" w:eastAsia="宋体" w:hint="default"/>
          <w:spacing w:val="-6"/>
        </w:rPr>
        <w:t>2015</w:t>
      </w:r>
      <w:r>
        <w:rPr>
          <w:spacing w:val="-6"/>
        </w:rPr>
        <w:t>年财务会计报表详见附注九、</w:t>
      </w:r>
      <w:r>
        <w:rPr>
          <w:rFonts w:ascii="宋体" w:hAnsi="宋体" w:cs="宋体" w:eastAsia="宋体" w:hint="default"/>
          <w:spacing w:val="-6"/>
        </w:rPr>
        <w:t>1</w:t>
      </w:r>
      <w:r>
        <w:rPr>
          <w:spacing w:val="-6"/>
        </w:rPr>
        <w:t>、（</w:t>
      </w:r>
      <w:r>
        <w:rPr>
          <w:rFonts w:ascii="宋体" w:hAnsi="宋体" w:cs="宋体" w:eastAsia="宋体" w:hint="default"/>
          <w:spacing w:val="-6"/>
        </w:rPr>
        <w:t>1</w:t>
      </w:r>
      <w:r>
        <w:rPr>
          <w:spacing w:val="-6"/>
        </w:rPr>
        <w:t>）。</w:t>
      </w:r>
    </w:p>
    <w:p>
      <w:pPr>
        <w:spacing w:line="240" w:lineRule="auto" w:before="10"/>
        <w:rPr>
          <w:rFonts w:ascii="宋体" w:hAnsi="宋体" w:cs="宋体" w:eastAsia="宋体" w:hint="default"/>
          <w:sz w:val="15"/>
          <w:szCs w:val="15"/>
        </w:rPr>
      </w:pPr>
    </w:p>
    <w:p>
      <w:pPr>
        <w:pStyle w:val="Heading3"/>
        <w:spacing w:line="240" w:lineRule="auto"/>
        <w:ind w:right="153"/>
        <w:jc w:val="left"/>
        <w:rPr>
          <w:b w:val="0"/>
          <w:bCs w:val="0"/>
        </w:rPr>
      </w:pPr>
      <w:r>
        <w:rPr>
          <w:rFonts w:ascii="宋体" w:hAnsi="宋体" w:cs="宋体" w:eastAsia="宋体" w:hint="default"/>
        </w:rPr>
        <w:t>2</w:t>
      </w:r>
      <w:r>
        <w:rPr/>
        <w:t>、本企业的子公司情况</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573" w:right="153"/>
        <w:jc w:val="left"/>
      </w:pPr>
      <w:r>
        <w:rPr/>
        <w:t>本企业子公司的情</w:t>
      </w:r>
      <w:r>
        <w:rPr>
          <w:spacing w:val="-1"/>
        </w:rPr>
        <w:t>况</w:t>
      </w:r>
      <w:r>
        <w:rPr/>
        <w:t>详见附注九、</w:t>
      </w:r>
      <w:r>
        <w:rPr>
          <w:rFonts w:ascii="宋体" w:hAnsi="宋体" w:cs="宋体" w:eastAsia="宋体" w:hint="default"/>
          <w:spacing w:val="1"/>
        </w:rPr>
        <w:t>1</w:t>
      </w:r>
      <w:r>
        <w:rPr>
          <w:spacing w:val="-92"/>
        </w:rPr>
        <w:t>、</w:t>
      </w:r>
      <w:r>
        <w:rPr/>
        <w:t>（</w:t>
      </w:r>
      <w:r>
        <w:rPr>
          <w:rFonts w:ascii="宋体" w:hAnsi="宋体" w:cs="宋体" w:eastAsia="宋体" w:hint="default"/>
          <w:spacing w:val="1"/>
        </w:rPr>
        <w:t>1</w:t>
      </w:r>
      <w:r>
        <w:rPr>
          <w:spacing w:val="-92"/>
        </w:rPr>
        <w:t>）。</w:t>
      </w:r>
      <w:r>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3</w:t>
      </w:r>
      <w:r>
        <w:rPr/>
        <w:t>、本企业合营和联营企业情况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73" w:right="153"/>
        <w:jc w:val="left"/>
      </w:pPr>
      <w:r>
        <w:rPr/>
        <w:t>本企业重要的合营或联营企业详见附注。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4</w:t>
      </w:r>
      <w:r>
        <w:rPr/>
        <w:t>、其他关联方情况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5</w:t>
      </w:r>
      <w:r>
        <w:rPr/>
        <w:t>、关联交易情况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本公司作为担保方</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561"/>
        <w:gridCol w:w="1632"/>
        <w:gridCol w:w="1913"/>
        <w:gridCol w:w="1916"/>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20,000,000.00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宋体" w:hAnsi="宋体" w:cs="宋体" w:eastAsia="宋体" w:hint="default"/>
                <w:sz w:val="18"/>
                <w:szCs w:val="18"/>
              </w:rPr>
            </w:pPr>
            <w:r>
              <w:rPr>
                <w:rFonts w:ascii="宋体"/>
                <w:sz w:val="18"/>
              </w:rPr>
              <w:t>20,000,000.00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20,000,000.00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sz w:val="18"/>
              </w:rPr>
              <w:t>90,000,000.00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sz w:val="18"/>
              </w:rPr>
              <w:t>10,000,000.00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sz w:val="18"/>
              </w:rPr>
              <w:t>80,000,000.00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1561"/>
        <w:gridCol w:w="1632"/>
        <w:gridCol w:w="1913"/>
        <w:gridCol w:w="191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深圳市至高通信技术发展有限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深圳市至高通信技术发展有限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深圳市至高通信技术发展有限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5"/>
        <w:jc w:val="left"/>
      </w:pPr>
      <w:r>
        <w:rPr/>
        <w:t>本公司作为被担保方</w:t>
      </w:r>
    </w:p>
    <w:p>
      <w:pPr>
        <w:pStyle w:val="BodyText"/>
        <w:spacing w:line="240" w:lineRule="auto" w:before="115"/>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1,000,000,000.00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left="573" w:right="115"/>
        <w:jc w:val="left"/>
      </w:pPr>
      <w:r>
        <w:rPr/>
        <w:t>关联担保情况说明</w:t>
      </w:r>
    </w:p>
    <w:p>
      <w:pPr>
        <w:spacing w:line="240" w:lineRule="auto" w:before="0"/>
        <w:rPr>
          <w:rFonts w:ascii="宋体" w:hAnsi="宋体" w:cs="宋体" w:eastAsia="宋体" w:hint="default"/>
          <w:sz w:val="15"/>
          <w:szCs w:val="15"/>
        </w:rPr>
      </w:pPr>
    </w:p>
    <w:p>
      <w:pPr>
        <w:pStyle w:val="BodyText"/>
        <w:spacing w:line="316" w:lineRule="auto"/>
        <w:ind w:right="204" w:firstLine="420"/>
        <w:jc w:val="both"/>
      </w:pPr>
      <w:r>
        <w:rPr/>
        <w:t>①</w:t>
      </w:r>
      <w:r>
        <w:rPr>
          <w:spacing w:val="40"/>
        </w:rPr>
        <w:t> </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10</w:t>
      </w:r>
      <w:r>
        <w:rPr>
          <w:spacing w:val="1"/>
        </w:rPr>
        <w:t>号，公司与中国民生银行股份有限公司总行营业部签订的《最高额保证合同》（编号“公高保字第</w:t>
      </w:r>
      <w:r>
        <w:rPr>
          <w:spacing w:val="4"/>
        </w:rPr>
        <w:t> </w:t>
      </w:r>
      <w:r>
        <w:rPr>
          <w:rFonts w:ascii="宋体" w:hAnsi="宋体" w:cs="宋体" w:eastAsia="宋体" w:hint="default"/>
          <w:spacing w:val="-2"/>
        </w:rPr>
        <w:t>1500000178047</w:t>
      </w:r>
      <w:r>
        <w:rPr>
          <w:spacing w:val="-2"/>
        </w:rPr>
        <w:t>号”），为公司与该行签订的编号为“公授信字第</w:t>
      </w:r>
      <w:r>
        <w:rPr>
          <w:rFonts w:ascii="宋体" w:hAnsi="宋体" w:cs="宋体" w:eastAsia="宋体" w:hint="default"/>
          <w:spacing w:val="-2"/>
        </w:rPr>
        <w:t>1500000178047</w:t>
      </w:r>
      <w:r>
        <w:rPr>
          <w:spacing w:val="-2"/>
        </w:rPr>
        <w:t>号”《综合授信合同》项下，公司所属子公</w:t>
      </w:r>
      <w:r>
        <w:rPr>
          <w:spacing w:val="-49"/>
        </w:rPr>
        <w:t> </w:t>
      </w:r>
      <w:r>
        <w:rPr>
          <w:spacing w:val="-49"/>
        </w:rPr>
      </w:r>
      <w:r>
        <w:rPr/>
        <w:t>司</w:t>
      </w:r>
      <w:r>
        <w:rPr>
          <w:rFonts w:ascii="宋体" w:hAnsi="宋体" w:cs="宋体" w:eastAsia="宋体" w:hint="default"/>
        </w:rPr>
        <w:t>-</w:t>
      </w:r>
      <w:r>
        <w:rPr/>
        <w:t>北京东华合创科技有限公司、北京银联通科技有限公司、北京神州新桥科技有限公司、北京威锐达测控系统有限公司在</w:t>
      </w:r>
      <w:r>
        <w:rPr>
          <w:spacing w:val="-84"/>
        </w:rPr>
        <w:t> </w:t>
      </w:r>
      <w:r>
        <w:rPr>
          <w:spacing w:val="-84"/>
        </w:rPr>
      </w:r>
      <w:r>
        <w:rPr/>
        <w:t>该行的全部债务提供最高额保证，保证期限为</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13</w:t>
      </w:r>
      <w:r>
        <w:rPr/>
        <w:t>日至</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13</w:t>
      </w:r>
      <w:r>
        <w:rPr/>
        <w:t>日，最高限额为</w:t>
      </w:r>
      <w:r>
        <w:rPr>
          <w:rFonts w:ascii="宋体" w:hAnsi="宋体" w:cs="宋体" w:eastAsia="宋体" w:hint="default"/>
        </w:rPr>
        <w:t>20,000</w:t>
      </w:r>
      <w:r>
        <w:rPr/>
        <w:t>万元。截止</w:t>
      </w:r>
      <w:r>
        <w:rPr>
          <w:rFonts w:ascii="宋体" w:hAnsi="宋体" w:cs="宋体" w:eastAsia="宋体" w:hint="default"/>
        </w:rPr>
        <w:t>2015</w:t>
      </w:r>
      <w:r>
        <w:rPr/>
        <w:t>年</w:t>
      </w:r>
      <w:r>
        <w:rPr>
          <w:rFonts w:ascii="宋体" w:hAnsi="宋体" w:cs="宋体" w:eastAsia="宋体" w:hint="default"/>
        </w:rPr>
        <w:t>12</w:t>
      </w:r>
      <w:r>
        <w:rPr>
          <w:rFonts w:ascii="宋体" w:hAnsi="宋体" w:cs="宋体" w:eastAsia="宋体" w:hint="default"/>
          <w:spacing w:val="-16"/>
        </w:rPr>
        <w:t> </w:t>
      </w:r>
      <w:r>
        <w:rPr/>
        <w:t>月</w:t>
      </w:r>
      <w:r>
        <w:rPr>
          <w:rFonts w:ascii="宋体" w:hAnsi="宋体" w:cs="宋体" w:eastAsia="宋体" w:hint="default"/>
        </w:rPr>
        <w:t>31</w:t>
      </w:r>
      <w:r>
        <w:rPr/>
        <w:t>日，北京东华合创科技有限公司在该合同项下未结清的保函金额</w:t>
      </w:r>
      <w:r>
        <w:rPr>
          <w:rFonts w:ascii="宋体" w:hAnsi="宋体" w:cs="宋体" w:eastAsia="宋体" w:hint="default"/>
        </w:rPr>
        <w:t>151,800</w:t>
      </w:r>
      <w:r>
        <w:rPr/>
        <w:t>元，北京银联通科技有限公司在该合同项下未</w:t>
      </w:r>
      <w:r>
        <w:rPr>
          <w:spacing w:val="-85"/>
        </w:rPr>
        <w:t> </w:t>
      </w:r>
      <w:r>
        <w:rPr>
          <w:spacing w:val="-85"/>
        </w:rPr>
      </w:r>
      <w:r>
        <w:rPr/>
        <w:t>结清的保函金额</w:t>
      </w:r>
      <w:r>
        <w:rPr>
          <w:rFonts w:ascii="宋体" w:hAnsi="宋体" w:cs="宋体" w:eastAsia="宋体" w:hint="default"/>
        </w:rPr>
        <w:t>790,700</w:t>
      </w:r>
      <w:r>
        <w:rPr/>
        <w:t>元，北京神州新桥科技有限公司在该合同项下借款余额为</w:t>
      </w:r>
      <w:r>
        <w:rPr>
          <w:rFonts w:ascii="宋体" w:hAnsi="宋体" w:cs="宋体" w:eastAsia="宋体" w:hint="default"/>
        </w:rPr>
        <w:t>9,000</w:t>
      </w:r>
      <w:r>
        <w:rPr/>
        <w:t>万元。</w:t>
      </w:r>
    </w:p>
    <w:p>
      <w:pPr>
        <w:pStyle w:val="BodyText"/>
        <w:spacing w:line="316" w:lineRule="auto" w:before="139"/>
        <w:ind w:right="117" w:firstLine="420"/>
        <w:jc w:val="left"/>
      </w:pPr>
      <w:r>
        <w:rPr/>
        <w:t>②</w:t>
      </w:r>
      <w:r>
        <w:rPr>
          <w:spacing w:val="4"/>
        </w:rPr>
        <w:t> </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8</w:t>
      </w:r>
      <w:r>
        <w:rPr>
          <w:spacing w:val="-1"/>
        </w:rPr>
        <w:t>日，公司与广发银行股份有限公司北京奥运村支行签订《最高额保证合同》（编号“2714CF(014/015）</w:t>
      </w:r>
      <w:r>
        <w:rPr/>
        <w:t> </w:t>
      </w:r>
      <w:r>
        <w:rPr>
          <w:spacing w:val="2"/>
        </w:rPr>
        <w:t>BZ”)，公司为所属子公司</w:t>
      </w:r>
      <w:r>
        <w:rPr>
          <w:rFonts w:ascii="宋体" w:hAnsi="宋体" w:cs="宋体" w:eastAsia="宋体" w:hint="default"/>
          <w:spacing w:val="2"/>
        </w:rPr>
        <w:t>-</w:t>
      </w:r>
      <w:r>
        <w:rPr>
          <w:spacing w:val="2"/>
        </w:rPr>
        <w:t>北京东华合创科技有限公司、北京神州新桥科技有限公司与该行签订的编号为“2714CF014、</w:t>
      </w:r>
      <w:r>
        <w:rPr>
          <w:spacing w:val="-47"/>
        </w:rPr>
        <w:t> </w:t>
      </w:r>
      <w:r>
        <w:rPr>
          <w:spacing w:val="-47"/>
        </w:rPr>
      </w:r>
      <w:r>
        <w:rPr/>
        <w:t>2714CF015”的《授信额度合同》提供连带责任保证，保证期限为主合同债务人履行债务期限届满之日起两年，最高限额为</w:t>
      </w:r>
    </w:p>
    <w:p>
      <w:pPr>
        <w:pStyle w:val="BodyText"/>
        <w:spacing w:line="316" w:lineRule="auto" w:before="19"/>
        <w:ind w:right="204"/>
        <w:jc w:val="left"/>
      </w:pPr>
      <w:r>
        <w:rPr>
          <w:rFonts w:ascii="宋体" w:hAnsi="宋体" w:cs="宋体" w:eastAsia="宋体" w:hint="default"/>
        </w:rPr>
        <w:t>9,000</w:t>
      </w:r>
      <w:r>
        <w:rPr/>
        <w:t>万元。截至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日，北京东华合创科技有限公司未结清的保函余额为</w:t>
      </w:r>
      <w:r>
        <w:rPr>
          <w:rFonts w:ascii="宋体" w:hAnsi="宋体" w:cs="宋体" w:eastAsia="宋体" w:hint="default"/>
        </w:rPr>
        <w:t>2,508,800.00</w:t>
      </w:r>
      <w:r>
        <w:rPr/>
        <w:t>元；北京神州新桥科技有 限公司在该行未结清银行承兑汇票余额为</w:t>
      </w:r>
      <w:r>
        <w:rPr>
          <w:rFonts w:ascii="宋体" w:hAnsi="宋体" w:cs="宋体" w:eastAsia="宋体" w:hint="default"/>
        </w:rPr>
        <w:t>102,175,313.00</w:t>
      </w:r>
      <w:r>
        <w:rPr/>
        <w:t>元，未结清的保函余额为</w:t>
      </w:r>
      <w:r>
        <w:rPr>
          <w:rFonts w:ascii="宋体" w:hAnsi="宋体" w:cs="宋体" w:eastAsia="宋体" w:hint="default"/>
        </w:rPr>
        <w:t>7,088,420.40</w:t>
      </w:r>
      <w:r>
        <w:rPr/>
        <w:t>元。</w:t>
      </w:r>
    </w:p>
    <w:p>
      <w:pPr>
        <w:pStyle w:val="BodyText"/>
        <w:spacing w:line="319" w:lineRule="auto" w:before="139"/>
        <w:ind w:right="209" w:firstLine="420"/>
        <w:jc w:val="both"/>
      </w:pPr>
      <w:r>
        <w:rPr/>
        <w:t>③</w:t>
      </w:r>
      <w:r>
        <w:rPr>
          <w:spacing w:val="77"/>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3"/>
        </w:rPr>
        <w:t> </w:t>
      </w:r>
      <w:r>
        <w:rPr>
          <w:rFonts w:ascii="宋体" w:hAnsi="宋体" w:cs="宋体" w:eastAsia="宋体" w:hint="default"/>
        </w:rPr>
        <w:t>10</w:t>
      </w:r>
      <w:r>
        <w:rPr>
          <w:rFonts w:ascii="宋体" w:hAnsi="宋体" w:cs="宋体" w:eastAsia="宋体" w:hint="default"/>
          <w:spacing w:val="-52"/>
        </w:rPr>
        <w:t> </w:t>
      </w:r>
      <w:r>
        <w:rPr/>
        <w:t>号</w:t>
      </w:r>
      <w:r>
        <w:rPr>
          <w:spacing w:val="-53"/>
        </w:rPr>
        <w:t> </w:t>
      </w:r>
      <w:r>
        <w:rPr/>
        <w:t>，</w:t>
      </w:r>
      <w:r>
        <w:rPr>
          <w:spacing w:val="-53"/>
        </w:rPr>
        <w:t> </w:t>
      </w:r>
      <w:r>
        <w:rPr/>
        <w:t>公</w:t>
      </w:r>
      <w:r>
        <w:rPr>
          <w:spacing w:val="-56"/>
        </w:rPr>
        <w:t> </w:t>
      </w:r>
      <w:r>
        <w:rPr/>
        <w:t>司</w:t>
      </w:r>
      <w:r>
        <w:rPr>
          <w:spacing w:val="-53"/>
        </w:rPr>
        <w:t> </w:t>
      </w:r>
      <w:r>
        <w:rPr/>
        <w:t>通</w:t>
      </w:r>
      <w:r>
        <w:rPr>
          <w:spacing w:val="-53"/>
        </w:rPr>
        <w:t> </w:t>
      </w:r>
      <w:r>
        <w:rPr/>
        <w:t>过</w:t>
      </w:r>
      <w:r>
        <w:rPr>
          <w:spacing w:val="-53"/>
        </w:rPr>
        <w:t> </w:t>
      </w:r>
      <w:r>
        <w:rPr/>
        <w:t>中</w:t>
      </w:r>
      <w:r>
        <w:rPr>
          <w:spacing w:val="-53"/>
        </w:rPr>
        <w:t> </w:t>
      </w:r>
      <w:r>
        <w:rPr/>
        <w:t>国</w:t>
      </w:r>
      <w:r>
        <w:rPr>
          <w:spacing w:val="-53"/>
        </w:rPr>
        <w:t> </w:t>
      </w:r>
      <w:r>
        <w:rPr/>
        <w:t>建</w:t>
      </w:r>
      <w:r>
        <w:rPr>
          <w:spacing w:val="-53"/>
        </w:rPr>
        <w:t> </w:t>
      </w:r>
      <w:r>
        <w:rPr/>
        <w:t>设</w:t>
      </w:r>
      <w:r>
        <w:rPr>
          <w:spacing w:val="-53"/>
        </w:rPr>
        <w:t> </w:t>
      </w:r>
      <w:r>
        <w:rPr/>
        <w:t>银</w:t>
      </w:r>
      <w:r>
        <w:rPr>
          <w:spacing w:val="-53"/>
        </w:rPr>
        <w:t> </w:t>
      </w:r>
      <w:r>
        <w:rPr/>
        <w:t>行</w:t>
      </w:r>
      <w:r>
        <w:rPr>
          <w:spacing w:val="-53"/>
        </w:rPr>
        <w:t> </w:t>
      </w:r>
      <w:r>
        <w:rPr/>
        <w:t>股</w:t>
      </w:r>
      <w:r>
        <w:rPr>
          <w:spacing w:val="-53"/>
        </w:rPr>
        <w:t> </w:t>
      </w:r>
      <w:r>
        <w:rPr/>
        <w:t>份</w:t>
      </w:r>
      <w:r>
        <w:rPr>
          <w:spacing w:val="-56"/>
        </w:rPr>
        <w:t> </w:t>
      </w:r>
      <w:r>
        <w:rPr/>
        <w:t>有</w:t>
      </w:r>
      <w:r>
        <w:rPr>
          <w:spacing w:val="-53"/>
        </w:rPr>
        <w:t> </w:t>
      </w:r>
      <w:r>
        <w:rPr/>
        <w:t>限</w:t>
      </w:r>
      <w:r>
        <w:rPr>
          <w:spacing w:val="-53"/>
        </w:rPr>
        <w:t> </w:t>
      </w:r>
      <w:r>
        <w:rPr/>
        <w:t>公</w:t>
      </w:r>
      <w:r>
        <w:rPr>
          <w:spacing w:val="-53"/>
        </w:rPr>
        <w:t> </w:t>
      </w:r>
      <w:r>
        <w:rPr/>
        <w:t>司</w:t>
      </w:r>
      <w:r>
        <w:rPr>
          <w:spacing w:val="-53"/>
        </w:rPr>
        <w:t> </w:t>
      </w:r>
      <w:r>
        <w:rPr/>
        <w:t>北</w:t>
      </w:r>
      <w:r>
        <w:rPr>
          <w:spacing w:val="-53"/>
        </w:rPr>
        <w:t> </w:t>
      </w:r>
      <w:r>
        <w:rPr/>
        <w:t>京</w:t>
      </w:r>
      <w:r>
        <w:rPr>
          <w:spacing w:val="-53"/>
        </w:rPr>
        <w:t> </w:t>
      </w:r>
      <w:r>
        <w:rPr/>
        <w:t>市</w:t>
      </w:r>
      <w:r>
        <w:rPr>
          <w:spacing w:val="-53"/>
        </w:rPr>
        <w:t> </w:t>
      </w:r>
      <w:r>
        <w:rPr/>
        <w:t>分</w:t>
      </w:r>
      <w:r>
        <w:rPr>
          <w:spacing w:val="-53"/>
        </w:rPr>
        <w:t> </w:t>
      </w:r>
      <w:r>
        <w:rPr/>
        <w:t>行</w:t>
      </w:r>
      <w:r>
        <w:rPr>
          <w:spacing w:val="-53"/>
        </w:rPr>
        <w:t> </w:t>
      </w:r>
      <w:r>
        <w:rPr/>
        <w:t>的</w:t>
      </w:r>
      <w:r>
        <w:rPr>
          <w:spacing w:val="-53"/>
        </w:rPr>
        <w:t> </w:t>
      </w:r>
      <w:r>
        <w:rPr/>
        <w:t>信</w:t>
      </w:r>
      <w:r>
        <w:rPr>
          <w:spacing w:val="-56"/>
        </w:rPr>
        <w:t> </w:t>
      </w:r>
      <w:r>
        <w:rPr/>
        <w:t>用</w:t>
      </w:r>
      <w:r>
        <w:rPr>
          <w:spacing w:val="-53"/>
        </w:rPr>
        <w:t> </w:t>
      </w:r>
      <w:r>
        <w:rPr/>
        <w:t>额</w:t>
      </w:r>
      <w:r>
        <w:rPr>
          <w:spacing w:val="-53"/>
        </w:rPr>
        <w:t> </w:t>
      </w:r>
      <w:r>
        <w:rPr/>
        <w:t>度</w:t>
      </w:r>
      <w:r>
        <w:rPr>
          <w:spacing w:val="-53"/>
        </w:rPr>
        <w:t> </w:t>
      </w:r>
      <w:r>
        <w:rPr/>
        <w:t>审</w:t>
      </w:r>
      <w:r>
        <w:rPr>
          <w:spacing w:val="-53"/>
        </w:rPr>
        <w:t> </w:t>
      </w:r>
      <w:r>
        <w:rPr/>
        <w:t>批</w:t>
      </w:r>
      <w:r>
        <w:rPr>
          <w:spacing w:val="-53"/>
        </w:rPr>
        <w:t> </w:t>
      </w:r>
      <w:r>
        <w:rPr/>
        <w:t>，</w:t>
      </w:r>
      <w:r>
        <w:rPr>
          <w:spacing w:val="-53"/>
        </w:rPr>
        <w:t> </w:t>
      </w:r>
      <w:r>
        <w:rPr/>
        <w:t>批</w:t>
      </w:r>
      <w:r>
        <w:rPr>
          <w:spacing w:val="-53"/>
        </w:rPr>
        <w:t> </w:t>
      </w:r>
      <w:r>
        <w:rPr/>
        <w:t>复</w:t>
      </w:r>
      <w:r>
        <w:rPr>
          <w:spacing w:val="-53"/>
        </w:rPr>
        <w:t> </w:t>
      </w:r>
      <w:r>
        <w:rPr/>
        <w:t>编</w:t>
      </w:r>
      <w:r>
        <w:rPr>
          <w:spacing w:val="-53"/>
        </w:rPr>
        <w:t> </w:t>
      </w:r>
      <w:r>
        <w:rPr/>
        <w:t>号</w:t>
      </w:r>
      <w:r>
        <w:rPr/>
        <w:t> </w:t>
      </w:r>
      <w:r>
        <w:rPr>
          <w:rFonts w:ascii="宋体" w:hAnsi="宋体" w:cs="宋体" w:eastAsia="宋体" w:hint="default"/>
        </w:rPr>
        <w:t>PIFU110000000201504014</w:t>
      </w:r>
      <w:r>
        <w:rPr/>
        <w:t>。同意给予公司所属子公司</w:t>
      </w:r>
      <w:r>
        <w:rPr>
          <w:rFonts w:ascii="宋体" w:hAnsi="宋体" w:cs="宋体" w:eastAsia="宋体" w:hint="default"/>
        </w:rPr>
        <w:t>-</w:t>
      </w:r>
      <w:r>
        <w:rPr/>
        <w:t>北京神州新桥科技有限公司信用额度</w:t>
      </w:r>
      <w:r>
        <w:rPr>
          <w:rFonts w:ascii="宋体" w:hAnsi="宋体" w:cs="宋体" w:eastAsia="宋体" w:hint="default"/>
        </w:rPr>
        <w:t>14,800</w:t>
      </w:r>
      <w:r>
        <w:rPr/>
        <w:t>万元，由本公司提供最高 </w:t>
      </w:r>
      <w:r>
        <w:rPr>
          <w:spacing w:val="-2"/>
        </w:rPr>
        <w:t>额保证担保。期限为</w:t>
      </w:r>
      <w:r>
        <w:rPr>
          <w:rFonts w:ascii="宋体" w:hAnsi="宋体" w:cs="宋体" w:eastAsia="宋体" w:hint="default"/>
          <w:spacing w:val="-2"/>
        </w:rPr>
        <w:t>1</w:t>
      </w:r>
      <w:r>
        <w:rPr>
          <w:spacing w:val="-2"/>
        </w:rPr>
        <w:t>年。截止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日，北京神州新桥科技有限公司在该授信额度下短期借款余额为</w:t>
      </w:r>
      <w:r>
        <w:rPr>
          <w:rFonts w:ascii="宋体" w:hAnsi="宋体" w:cs="宋体" w:eastAsia="宋体" w:hint="default"/>
          <w:spacing w:val="-2"/>
        </w:rPr>
        <w:t>4,000</w:t>
      </w:r>
      <w:r>
        <w:rPr>
          <w:spacing w:val="-2"/>
        </w:rPr>
        <w:t>万元，未</w:t>
      </w:r>
      <w:r>
        <w:rPr>
          <w:spacing w:val="-55"/>
        </w:rPr>
        <w:t> </w:t>
      </w:r>
      <w:r>
        <w:rPr>
          <w:spacing w:val="-55"/>
        </w:rPr>
      </w:r>
      <w:r>
        <w:rPr/>
        <w:t>结清的保函金额</w:t>
      </w:r>
      <w:r>
        <w:rPr>
          <w:rFonts w:ascii="宋体" w:hAnsi="宋体" w:cs="宋体" w:eastAsia="宋体" w:hint="default"/>
        </w:rPr>
        <w:t>3,205,839.90</w:t>
      </w:r>
      <w:r>
        <w:rPr/>
        <w:t>元。</w:t>
      </w:r>
    </w:p>
    <w:p>
      <w:pPr>
        <w:pStyle w:val="BodyText"/>
        <w:spacing w:line="316" w:lineRule="auto" w:before="137"/>
        <w:ind w:right="208" w:firstLine="420"/>
        <w:jc w:val="both"/>
      </w:pPr>
      <w:r>
        <w:rPr/>
        <w:t>④</w:t>
      </w:r>
      <w:r>
        <w:rPr>
          <w:spacing w:val="1"/>
        </w:rPr>
        <w:t> </w:t>
      </w:r>
      <w:r>
        <w:rPr>
          <w:rFonts w:ascii="宋体" w:hAnsi="宋体" w:cs="宋体" w:eastAsia="宋体" w:hint="default"/>
          <w:spacing w:val="-1"/>
        </w:rPr>
        <w:t>2013</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25</w:t>
      </w:r>
      <w:r>
        <w:rPr>
          <w:spacing w:val="-1"/>
        </w:rPr>
        <w:t>日，公司与中国建设银行股份有限公司北京北环支行签订《最高额保证合同》（编号“建京北环</w:t>
      </w:r>
      <w:r>
        <w:rPr>
          <w:rFonts w:ascii="宋体" w:hAnsi="宋体" w:cs="宋体" w:eastAsia="宋体" w:hint="default"/>
          <w:spacing w:val="-1"/>
        </w:rPr>
        <w:t>2013</w:t>
      </w:r>
      <w:r>
        <w:rPr>
          <w:rFonts w:ascii="宋体" w:hAnsi="宋体" w:cs="宋体" w:eastAsia="宋体" w:hint="default"/>
          <w:spacing w:val="1"/>
        </w:rPr>
        <w:t> </w:t>
      </w:r>
      <w:r>
        <w:rPr>
          <w:spacing w:val="-2"/>
        </w:rPr>
        <w:t>年最高额保证字第</w:t>
      </w:r>
      <w:r>
        <w:rPr>
          <w:rFonts w:ascii="宋体" w:hAnsi="宋体" w:cs="宋体" w:eastAsia="宋体" w:hint="default"/>
          <w:spacing w:val="-2"/>
        </w:rPr>
        <w:t>003</w:t>
      </w:r>
      <w:r>
        <w:rPr>
          <w:spacing w:val="-2"/>
        </w:rPr>
        <w:t>号”），公司为所属子公司</w:t>
      </w:r>
      <w:r>
        <w:rPr>
          <w:rFonts w:ascii="宋体" w:hAnsi="宋体" w:cs="宋体" w:eastAsia="宋体" w:hint="default"/>
          <w:spacing w:val="-2"/>
        </w:rPr>
        <w:t>-</w:t>
      </w:r>
      <w:r>
        <w:rPr>
          <w:spacing w:val="-2"/>
        </w:rPr>
        <w:t>北京联银通科技有限公司在该行的债务提供最高额保证，保证期限</w:t>
      </w:r>
      <w:r>
        <w:rPr>
          <w:rFonts w:ascii="宋体" w:hAnsi="宋体" w:cs="宋体" w:eastAsia="宋体" w:hint="default"/>
          <w:spacing w:val="-2"/>
        </w:rPr>
        <w:t>2013</w:t>
      </w:r>
      <w:r>
        <w:rPr>
          <w:spacing w:val="-2"/>
        </w:rPr>
        <w:t>年</w:t>
      </w:r>
      <w:r>
        <w:rPr>
          <w:spacing w:val="-58"/>
        </w:rPr>
        <w:t> </w:t>
      </w:r>
      <w:r>
        <w:rPr>
          <w:rFonts w:ascii="宋体" w:hAnsi="宋体" w:cs="宋体" w:eastAsia="宋体" w:hint="default"/>
        </w:rPr>
        <w:t>10</w:t>
      </w:r>
      <w:r>
        <w:rPr/>
        <w:t>月</w:t>
      </w:r>
      <w:r>
        <w:rPr>
          <w:rFonts w:ascii="宋体" w:hAnsi="宋体" w:cs="宋体" w:eastAsia="宋体" w:hint="default"/>
        </w:rPr>
        <w:t>25</w:t>
      </w:r>
      <w:r>
        <w:rPr/>
        <w:t>日至</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25</w:t>
      </w:r>
      <w:r>
        <w:rPr/>
        <w:t>日，保证方式为连带责任保证，最高限额为</w:t>
      </w:r>
      <w:r>
        <w:rPr>
          <w:rFonts w:ascii="宋体" w:hAnsi="宋体" w:cs="宋体" w:eastAsia="宋体" w:hint="default"/>
        </w:rPr>
        <w:t>5,000</w:t>
      </w:r>
      <w:r>
        <w:rPr/>
        <w:t>万元。截止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日北京联银通科技有限 公司在该行未结清的保函余额为</w:t>
      </w:r>
      <w:r>
        <w:rPr>
          <w:rFonts w:ascii="宋体" w:hAnsi="宋体" w:cs="宋体" w:eastAsia="宋体" w:hint="default"/>
        </w:rPr>
        <w:t>1,603,600.00</w:t>
      </w:r>
      <w:r>
        <w:rPr/>
        <w:t>元。</w:t>
      </w:r>
    </w:p>
    <w:p>
      <w:pPr>
        <w:pStyle w:val="BodyText"/>
        <w:spacing w:line="240" w:lineRule="auto" w:before="138"/>
        <w:ind w:left="573" w:right="115"/>
        <w:jc w:val="left"/>
      </w:pPr>
      <w:r>
        <w:rPr/>
        <w:t>⑤</w:t>
      </w:r>
      <w:r>
        <w:rPr>
          <w:spacing w:val="32"/>
        </w:rPr>
        <w:t> </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17</w:t>
      </w:r>
      <w:r>
        <w:rPr/>
        <w:t>号，公司与招商银行股份有限公司北京万寿路支行签订了《授信协议》补充协议，编号：</w:t>
      </w:r>
      <w:r>
        <w:rPr>
          <w:rFonts w:ascii="宋体" w:hAnsi="宋体" w:cs="宋体" w:eastAsia="宋体" w:hint="default"/>
        </w:rPr>
        <w:t>2015</w:t>
      </w:r>
      <w:r>
        <w:rPr/>
        <w:t>年万授</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189"/>
        <w:jc w:val="both"/>
      </w:pPr>
      <w:r>
        <w:rPr/>
        <w:t>字第</w:t>
      </w:r>
      <w:r>
        <w:rPr>
          <w:rFonts w:ascii="宋体" w:hAnsi="宋体" w:cs="宋体" w:eastAsia="宋体" w:hint="default"/>
        </w:rPr>
        <w:t>022</w:t>
      </w:r>
      <w:r>
        <w:rPr/>
        <w:t>号补，同意公司下属子公司及母公司关联企业占用母公司额度。北京东华合创科技有限公司使用不超过人民币叁仟</w:t>
      </w:r>
      <w:r>
        <w:rPr>
          <w:spacing w:val="-85"/>
        </w:rPr>
        <w:t> </w:t>
      </w:r>
      <w:r>
        <w:rPr>
          <w:spacing w:val="-85"/>
        </w:rPr>
      </w:r>
      <w:r>
        <w:rPr>
          <w:spacing w:val="-2"/>
        </w:rPr>
        <w:t>万元整，北京神州新桥科技有限公司使用不超过人民币伍仟万元整。借款期限</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17</w:t>
      </w:r>
      <w:r>
        <w:rPr>
          <w:spacing w:val="-2"/>
        </w:rPr>
        <w:t>日起到</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16</w:t>
      </w:r>
      <w:r>
        <w:rPr>
          <w:spacing w:val="-2"/>
        </w:rPr>
        <w:t>日止。原签有</w:t>
      </w:r>
      <w:r>
        <w:rPr>
          <w:spacing w:val="-58"/>
        </w:rPr>
        <w:t> </w:t>
      </w:r>
      <w:r>
        <w:rPr>
          <w:spacing w:val="-58"/>
        </w:rPr>
      </w:r>
      <w:r>
        <w:rPr/>
        <w:t>编号为</w:t>
      </w:r>
      <w:r>
        <w:rPr>
          <w:rFonts w:ascii="宋体" w:hAnsi="宋体" w:cs="宋体" w:eastAsia="宋体" w:hint="default"/>
        </w:rPr>
        <w:t>2013</w:t>
      </w:r>
      <w:r>
        <w:rPr/>
        <w:t>年万授字第</w:t>
      </w:r>
      <w:r>
        <w:rPr>
          <w:rFonts w:ascii="宋体" w:hAnsi="宋体" w:cs="宋体" w:eastAsia="宋体" w:hint="default"/>
        </w:rPr>
        <w:t>004</w:t>
      </w:r>
      <w:r>
        <w:rPr/>
        <w:t>号的授信协议，自本协议生效之日起，该授信协议项下叙做的具体业务尚有未清偿余额的，自动</w:t>
      </w:r>
      <w:r>
        <w:rPr>
          <w:spacing w:val="-86"/>
        </w:rPr>
        <w:t> </w:t>
      </w:r>
      <w:r>
        <w:rPr>
          <w:spacing w:val="-86"/>
        </w:rPr>
      </w:r>
      <w:r>
        <w:rPr>
          <w:spacing w:val="-2"/>
        </w:rPr>
        <w:t>纳入本协议项下，直接占用本协议项下授信额度。截止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日，北京东华合创科技有限公司在该合同项下未结清保</w:t>
      </w:r>
      <w:r>
        <w:rPr>
          <w:spacing w:val="-57"/>
        </w:rPr>
        <w:t> </w:t>
      </w:r>
      <w:r>
        <w:rPr>
          <w:spacing w:val="-57"/>
        </w:rPr>
      </w:r>
      <w:r>
        <w:rPr/>
        <w:t>函金额</w:t>
      </w:r>
      <w:r>
        <w:rPr>
          <w:rFonts w:ascii="宋体" w:hAnsi="宋体" w:cs="宋体" w:eastAsia="宋体" w:hint="default"/>
        </w:rPr>
        <w:t>7,344,790.38</w:t>
      </w:r>
      <w:r>
        <w:rPr/>
        <w:t>元，北京神州新桥科技有限公司在该合同项下短期借款余额为</w:t>
      </w:r>
      <w:r>
        <w:rPr>
          <w:rFonts w:ascii="宋体" w:hAnsi="宋体" w:cs="宋体" w:eastAsia="宋体" w:hint="default"/>
        </w:rPr>
        <w:t>5,000</w:t>
      </w:r>
      <w:r>
        <w:rPr/>
        <w:t>万元。</w:t>
      </w:r>
    </w:p>
    <w:p>
      <w:pPr>
        <w:pStyle w:val="BodyText"/>
        <w:spacing w:line="316" w:lineRule="auto" w:before="137"/>
        <w:ind w:right="188" w:firstLine="420"/>
        <w:jc w:val="both"/>
      </w:pPr>
      <w:r>
        <w:rPr/>
        <w:t>⑥</w:t>
      </w:r>
      <w:r>
        <w:rPr>
          <w:spacing w:val="-50"/>
        </w:rPr>
        <w:t> </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08</w:t>
      </w:r>
      <w:r>
        <w:rPr/>
        <w:t>日，公司股东章云芳向招商银行股份有限公司深圳文锦渡支行出具编号为“2015年罗字第</w:t>
      </w:r>
      <w:r>
        <w:rPr>
          <w:rFonts w:ascii="宋体" w:hAnsi="宋体" w:cs="宋体" w:eastAsia="宋体" w:hint="default"/>
        </w:rPr>
        <w:t>0015512009 </w:t>
      </w:r>
      <w:r>
        <w:rPr>
          <w:spacing w:val="-2"/>
        </w:rPr>
        <w:t>号”《最高额不可撤销担保书》，</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17</w:t>
      </w:r>
      <w:r>
        <w:rPr>
          <w:spacing w:val="-2"/>
        </w:rPr>
        <w:t>日，公司向招商银行股份有限公司深圳文锦渡支行出具编号为“2015年罗字</w:t>
      </w:r>
      <w:r>
        <w:rPr>
          <w:spacing w:val="-54"/>
        </w:rPr>
        <w:t> </w:t>
      </w:r>
      <w:r>
        <w:rPr>
          <w:spacing w:val="-54"/>
        </w:rPr>
      </w:r>
      <w:r>
        <w:rPr/>
        <w:t>第</w:t>
      </w:r>
      <w:r>
        <w:rPr>
          <w:rFonts w:ascii="宋体" w:hAnsi="宋体" w:cs="宋体" w:eastAsia="宋体" w:hint="default"/>
        </w:rPr>
        <w:t>0015512009-02</w:t>
      </w:r>
      <w:r>
        <w:rPr/>
        <w:t>号”</w:t>
      </w:r>
      <w:r>
        <w:rPr>
          <w:spacing w:val="27"/>
        </w:rPr>
        <w:t> </w:t>
      </w:r>
      <w:r>
        <w:rPr>
          <w:spacing w:val="-1"/>
        </w:rPr>
        <w:t>《最高额不可撤销担保书》，共同为子公司</w:t>
      </w:r>
      <w:r>
        <w:rPr>
          <w:rFonts w:ascii="宋体" w:hAnsi="宋体" w:cs="宋体" w:eastAsia="宋体" w:hint="default"/>
          <w:spacing w:val="-1"/>
        </w:rPr>
        <w:t>-</w:t>
      </w:r>
      <w:r>
        <w:rPr>
          <w:spacing w:val="-1"/>
        </w:rPr>
        <w:t>深圳市至高通信技术发展有限公司与该行签订的编号为</w:t>
      </w:r>
      <w:r>
        <w:rPr>
          <w:spacing w:val="-82"/>
        </w:rPr>
        <w:t> </w:t>
      </w:r>
      <w:r>
        <w:rPr>
          <w:spacing w:val="-82"/>
        </w:rPr>
      </w:r>
      <w:r>
        <w:rPr/>
        <w:t>“2015年罗字第</w:t>
      </w:r>
      <w:r>
        <w:rPr>
          <w:rFonts w:ascii="宋体" w:hAnsi="宋体" w:cs="宋体" w:eastAsia="宋体" w:hint="default"/>
        </w:rPr>
        <w:t>0015512009</w:t>
      </w:r>
      <w:r>
        <w:rPr/>
        <w:t>号”《授信协议》提供供连带责任保证，最高额度为</w:t>
      </w:r>
      <w:r>
        <w:rPr>
          <w:rFonts w:ascii="宋体" w:hAnsi="宋体" w:cs="宋体" w:eastAsia="宋体" w:hint="default"/>
        </w:rPr>
        <w:t>5,000</w:t>
      </w:r>
      <w:r>
        <w:rPr/>
        <w:t>万元，期限为</w:t>
      </w:r>
      <w:r>
        <w:rPr>
          <w:rFonts w:ascii="宋体" w:hAnsi="宋体" w:cs="宋体" w:eastAsia="宋体" w:hint="default"/>
        </w:rPr>
        <w:t>2015</w:t>
      </w:r>
      <w:r>
        <w:rPr/>
        <w:t>年</w:t>
      </w:r>
      <w:r>
        <w:rPr>
          <w:rFonts w:ascii="宋体" w:hAnsi="宋体" w:cs="宋体" w:eastAsia="宋体" w:hint="default"/>
        </w:rPr>
        <w:t>07</w:t>
      </w:r>
      <w:r>
        <w:rPr/>
        <w:t>月</w:t>
      </w:r>
      <w:r>
        <w:rPr>
          <w:rFonts w:ascii="宋体" w:hAnsi="宋体" w:cs="宋体" w:eastAsia="宋体" w:hint="default"/>
        </w:rPr>
        <w:t>09</w:t>
      </w:r>
      <w:r>
        <w:rPr/>
        <w:t>日至</w:t>
      </w:r>
      <w:r>
        <w:rPr>
          <w:rFonts w:ascii="宋体" w:hAnsi="宋体" w:cs="宋体" w:eastAsia="宋体" w:hint="default"/>
        </w:rPr>
        <w:t>2016 </w:t>
      </w:r>
      <w:r>
        <w:rPr>
          <w:spacing w:val="2"/>
        </w:rPr>
        <w:t>年</w:t>
      </w:r>
      <w:r>
        <w:rPr>
          <w:rFonts w:ascii="宋体" w:hAnsi="宋体" w:cs="宋体" w:eastAsia="宋体" w:hint="default"/>
          <w:spacing w:val="2"/>
        </w:rPr>
        <w:t>07</w:t>
      </w:r>
      <w:r>
        <w:rPr>
          <w:spacing w:val="2"/>
        </w:rPr>
        <w:t>月</w:t>
      </w:r>
      <w:r>
        <w:rPr>
          <w:rFonts w:ascii="宋体" w:hAnsi="宋体" w:cs="宋体" w:eastAsia="宋体" w:hint="default"/>
          <w:spacing w:val="2"/>
        </w:rPr>
        <w:t>08</w:t>
      </w:r>
      <w:r>
        <w:rPr>
          <w:spacing w:val="2"/>
        </w:rPr>
        <w:t>日。截至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日，子公司</w:t>
      </w:r>
      <w:r>
        <w:rPr>
          <w:rFonts w:ascii="宋体" w:hAnsi="宋体" w:cs="宋体" w:eastAsia="宋体" w:hint="default"/>
          <w:spacing w:val="2"/>
        </w:rPr>
        <w:t>-</w:t>
      </w:r>
      <w:r>
        <w:rPr>
          <w:spacing w:val="2"/>
        </w:rPr>
        <w:t>深圳市至高通信技术发展有限公司在上述合同项下的短期借款金额为人民币</w:t>
      </w:r>
      <w:r>
        <w:rPr>
          <w:spacing w:val="-49"/>
        </w:rPr>
        <w:t> </w:t>
      </w:r>
      <w:r>
        <w:rPr>
          <w:spacing w:val="-49"/>
        </w:rPr>
      </w:r>
      <w:r>
        <w:rPr>
          <w:rFonts w:ascii="宋体" w:hAnsi="宋体" w:cs="宋体" w:eastAsia="宋体" w:hint="default"/>
        </w:rPr>
        <w:t>4,760</w:t>
      </w:r>
      <w:r>
        <w:rPr/>
        <w:t>万元。</w:t>
      </w:r>
    </w:p>
    <w:p>
      <w:pPr>
        <w:pStyle w:val="BodyText"/>
        <w:spacing w:line="316" w:lineRule="auto" w:before="139"/>
        <w:ind w:right="190" w:firstLine="420"/>
        <w:jc w:val="both"/>
      </w:pPr>
      <w:r>
        <w:rPr/>
        <w:t>⑦</w:t>
      </w:r>
      <w:r>
        <w:rPr>
          <w:spacing w:val="22"/>
        </w:rPr>
        <w:t> </w:t>
      </w:r>
      <w:r>
        <w:rPr>
          <w:rFonts w:ascii="宋体" w:hAnsi="宋体" w:cs="宋体" w:eastAsia="宋体" w:hint="default"/>
          <w:spacing w:val="-3"/>
        </w:rPr>
        <w:t>2015</w:t>
      </w:r>
      <w:r>
        <w:rPr>
          <w:spacing w:val="-3"/>
        </w:rPr>
        <w:t>年</w:t>
      </w:r>
      <w:r>
        <w:rPr>
          <w:rFonts w:ascii="宋体" w:hAnsi="宋体" w:cs="宋体" w:eastAsia="宋体" w:hint="default"/>
          <w:spacing w:val="-3"/>
        </w:rPr>
        <w:t>09</w:t>
      </w:r>
      <w:r>
        <w:rPr>
          <w:spacing w:val="-3"/>
        </w:rPr>
        <w:t>月</w:t>
      </w:r>
      <w:r>
        <w:rPr>
          <w:rFonts w:ascii="宋体" w:hAnsi="宋体" w:cs="宋体" w:eastAsia="宋体" w:hint="default"/>
          <w:spacing w:val="-3"/>
        </w:rPr>
        <w:t>23</w:t>
      </w:r>
      <w:r>
        <w:rPr>
          <w:spacing w:val="-3"/>
        </w:rPr>
        <w:t>日，公司与兴业银行股份有限公司深圳分行签订编号为“兴银深高新区授信（保证）字（</w:t>
      </w:r>
      <w:r>
        <w:rPr>
          <w:rFonts w:ascii="宋体" w:hAnsi="宋体" w:cs="宋体" w:eastAsia="宋体" w:hint="default"/>
          <w:spacing w:val="-3"/>
        </w:rPr>
        <w:t>2015</w:t>
      </w:r>
      <w:r>
        <w:rPr>
          <w:spacing w:val="-3"/>
        </w:rPr>
        <w:t>）第</w:t>
      </w:r>
      <w:r>
        <w:rPr>
          <w:rFonts w:ascii="宋体" w:hAnsi="宋体" w:cs="宋体" w:eastAsia="宋体" w:hint="default"/>
          <w:spacing w:val="-3"/>
        </w:rPr>
        <w:t>226</w:t>
      </w:r>
      <w:r>
        <w:rPr>
          <w:rFonts w:ascii="宋体" w:hAnsi="宋体" w:cs="宋体" w:eastAsia="宋体" w:hint="default"/>
        </w:rPr>
        <w:t> </w:t>
      </w:r>
      <w:r>
        <w:rPr>
          <w:spacing w:val="-4"/>
        </w:rPr>
        <w:t>号”《最高额保证合同》，为公司所属子公司</w:t>
      </w:r>
      <w:r>
        <w:rPr>
          <w:rFonts w:ascii="宋体" w:hAnsi="宋体" w:cs="宋体" w:eastAsia="宋体" w:hint="default"/>
          <w:spacing w:val="-4"/>
        </w:rPr>
        <w:t>-</w:t>
      </w:r>
      <w:r>
        <w:rPr>
          <w:spacing w:val="-4"/>
        </w:rPr>
        <w:t>深圳市至高通信技术发展有限公司与该行签订的编号为“兴银深高新区授信字</w:t>
      </w:r>
    </w:p>
    <w:p>
      <w:pPr>
        <w:pStyle w:val="BodyText"/>
        <w:spacing w:line="316" w:lineRule="auto" w:before="19"/>
        <w:ind w:right="190"/>
        <w:jc w:val="both"/>
      </w:pPr>
      <w:r>
        <w:rPr>
          <w:spacing w:val="-3"/>
        </w:rPr>
        <w:t>（</w:t>
      </w:r>
      <w:r>
        <w:rPr>
          <w:rFonts w:ascii="宋体" w:hAnsi="宋体" w:cs="宋体" w:eastAsia="宋体" w:hint="default"/>
          <w:spacing w:val="-3"/>
        </w:rPr>
        <w:t>2015</w:t>
      </w:r>
      <w:r>
        <w:rPr>
          <w:spacing w:val="-3"/>
        </w:rPr>
        <w:t>）第</w:t>
      </w:r>
      <w:r>
        <w:rPr>
          <w:rFonts w:ascii="宋体" w:hAnsi="宋体" w:cs="宋体" w:eastAsia="宋体" w:hint="default"/>
          <w:spacing w:val="-3"/>
        </w:rPr>
        <w:t>226</w:t>
      </w:r>
      <w:r>
        <w:rPr>
          <w:spacing w:val="-3"/>
        </w:rPr>
        <w:t>号”《基本额度授信合同》（总合同）及其项下所有分合同提供连带责任保证，保证的最高本金限额为</w:t>
      </w:r>
      <w:r>
        <w:rPr>
          <w:rFonts w:ascii="宋体" w:hAnsi="宋体" w:cs="宋体" w:eastAsia="宋体" w:hint="default"/>
          <w:spacing w:val="-3"/>
        </w:rPr>
        <w:t>10,000</w:t>
      </w:r>
      <w:r>
        <w:rPr>
          <w:rFonts w:ascii="宋体" w:hAnsi="宋体" w:cs="宋体" w:eastAsia="宋体" w:hint="default"/>
          <w:spacing w:val="-84"/>
        </w:rPr>
        <w:t> </w:t>
      </w:r>
      <w:r>
        <w:rPr>
          <w:rFonts w:ascii="宋体" w:hAnsi="宋体" w:cs="宋体" w:eastAsia="宋体" w:hint="default"/>
          <w:spacing w:val="-84"/>
        </w:rPr>
      </w:r>
      <w:r>
        <w:rPr>
          <w:spacing w:val="-2"/>
        </w:rPr>
        <w:t>万元，有效期自</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日止。截至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日，子公司在上述合同项下的短期借款金额为人民币</w:t>
      </w:r>
      <w:r>
        <w:rPr>
          <w:spacing w:val="-53"/>
        </w:rPr>
        <w:t> </w:t>
      </w:r>
      <w:r>
        <w:rPr>
          <w:spacing w:val="-53"/>
        </w:rPr>
      </w:r>
      <w:r>
        <w:rPr>
          <w:rFonts w:ascii="宋体" w:hAnsi="宋体" w:cs="宋体" w:eastAsia="宋体" w:hint="default"/>
        </w:rPr>
        <w:t>10,000</w:t>
      </w:r>
      <w:r>
        <w:rPr/>
        <w:t>万元。</w:t>
      </w:r>
    </w:p>
    <w:p>
      <w:pPr>
        <w:pStyle w:val="BodyText"/>
        <w:spacing w:line="240" w:lineRule="auto" w:before="139"/>
        <w:ind w:left="573" w:right="94"/>
        <w:jc w:val="left"/>
      </w:pPr>
      <w:r>
        <w:rPr/>
        <w:t>⑧</w:t>
      </w:r>
      <w:r>
        <w:rPr>
          <w:spacing w:val="1"/>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5</w:t>
      </w:r>
      <w:r>
        <w:rPr/>
        <w:t>年</w:t>
      </w:r>
      <w:r>
        <w:rPr>
          <w:rFonts w:ascii="宋体" w:hAnsi="宋体" w:cs="宋体" w:eastAsia="宋体" w:hint="default"/>
          <w:spacing w:val="1"/>
        </w:rPr>
        <w:t>4</w:t>
      </w:r>
      <w:r>
        <w:rPr/>
        <w:t>月</w:t>
      </w:r>
      <w:r>
        <w:rPr>
          <w:rFonts w:ascii="宋体" w:hAnsi="宋体" w:cs="宋体" w:eastAsia="宋体" w:hint="default"/>
          <w:spacing w:val="1"/>
        </w:rPr>
        <w:t>3</w:t>
      </w:r>
      <w:r>
        <w:rPr/>
        <w:t>日，公司</w:t>
      </w:r>
      <w:r>
        <w:rPr>
          <w:spacing w:val="2"/>
        </w:rPr>
        <w:t>与</w:t>
      </w:r>
      <w:r>
        <w:rPr/>
        <w:t>中</w:t>
      </w:r>
      <w:r>
        <w:rPr>
          <w:spacing w:val="2"/>
        </w:rPr>
        <w:t>国</w:t>
      </w:r>
      <w:r>
        <w:rPr/>
        <w:t>工商银</w:t>
      </w:r>
      <w:r>
        <w:rPr>
          <w:spacing w:val="2"/>
        </w:rPr>
        <w:t>行</w:t>
      </w:r>
      <w:r>
        <w:rPr/>
        <w:t>股份</w:t>
      </w:r>
      <w:r>
        <w:rPr>
          <w:spacing w:val="2"/>
        </w:rPr>
        <w:t>有</w:t>
      </w:r>
      <w:r>
        <w:rPr/>
        <w:t>限公</w:t>
      </w:r>
      <w:r>
        <w:rPr>
          <w:spacing w:val="2"/>
        </w:rPr>
        <w:t>司</w:t>
      </w:r>
      <w:r>
        <w:rPr/>
        <w:t>北京</w:t>
      </w:r>
      <w:r>
        <w:rPr>
          <w:spacing w:val="2"/>
        </w:rPr>
        <w:t>南</w:t>
      </w:r>
      <w:r>
        <w:rPr/>
        <w:t>礼士路</w:t>
      </w:r>
      <w:r>
        <w:rPr>
          <w:spacing w:val="2"/>
        </w:rPr>
        <w:t>支</w:t>
      </w:r>
      <w:r>
        <w:rPr/>
        <w:t>行签</w:t>
      </w:r>
      <w:r>
        <w:rPr>
          <w:spacing w:val="2"/>
        </w:rPr>
        <w:t>订</w:t>
      </w:r>
      <w:r>
        <w:rPr/>
        <w:t>《最</w:t>
      </w:r>
      <w:r>
        <w:rPr>
          <w:spacing w:val="2"/>
        </w:rPr>
        <w:t>高</w:t>
      </w:r>
      <w:r>
        <w:rPr/>
        <w:t>额保</w:t>
      </w:r>
      <w:r>
        <w:rPr>
          <w:spacing w:val="2"/>
        </w:rPr>
        <w:t>证</w:t>
      </w:r>
      <w:r>
        <w:rPr/>
        <w:t>合同</w:t>
      </w:r>
      <w:r>
        <w:rPr>
          <w:spacing w:val="-89"/>
        </w:rPr>
        <w:t>》</w:t>
      </w:r>
      <w:r>
        <w:rPr/>
        <w:t>（编</w:t>
      </w:r>
      <w:r>
        <w:rPr>
          <w:spacing w:val="2"/>
        </w:rPr>
        <w:t>号</w:t>
      </w:r>
      <w:r>
        <w:rPr>
          <w:spacing w:val="4"/>
        </w:rPr>
        <w:t>：</w:t>
      </w:r>
      <w:r>
        <w:rPr>
          <w:rFonts w:ascii="宋体" w:hAnsi="宋体" w:cs="宋体" w:eastAsia="宋体" w:hint="default"/>
          <w:spacing w:val="1"/>
        </w:rPr>
        <w:t>2015</w:t>
      </w:r>
      <w:r>
        <w:rPr/>
        <w:t>年礼士</w:t>
      </w:r>
    </w:p>
    <w:p>
      <w:pPr>
        <w:pStyle w:val="BodyText"/>
        <w:spacing w:line="316" w:lineRule="auto" w:before="76"/>
        <w:ind w:right="191"/>
        <w:jc w:val="both"/>
      </w:pPr>
      <w:r>
        <w:rPr>
          <w:spacing w:val="-2"/>
        </w:rPr>
        <w:t>（保）字</w:t>
      </w:r>
      <w:r>
        <w:rPr>
          <w:rFonts w:ascii="宋体" w:hAnsi="宋体" w:cs="宋体" w:eastAsia="宋体" w:hint="default"/>
          <w:spacing w:val="-2"/>
        </w:rPr>
        <w:t>0008</w:t>
      </w:r>
      <w:r>
        <w:rPr>
          <w:spacing w:val="-2"/>
        </w:rPr>
        <w:t>号），最高额度壹亿元整。为公司所属子公司北京神州新桥科技有限公司承担连带责任保证。借款期限自</w:t>
      </w:r>
      <w:r>
        <w:rPr>
          <w:rFonts w:ascii="宋体" w:hAnsi="宋体" w:cs="宋体" w:eastAsia="宋体" w:hint="default"/>
          <w:spacing w:val="-2"/>
        </w:rPr>
        <w:t>2015</w:t>
      </w:r>
      <w:r>
        <w:rPr>
          <w:rFonts w:ascii="宋体" w:hAnsi="宋体" w:cs="宋体" w:eastAsia="宋体" w:hint="default"/>
          <w:spacing w:val="-60"/>
        </w:rPr>
        <w:t> </w:t>
      </w:r>
      <w:r>
        <w:rPr>
          <w:rFonts w:ascii="宋体" w:hAnsi="宋体" w:cs="宋体" w:eastAsia="宋体" w:hint="default"/>
          <w:spacing w:val="-60"/>
        </w:rPr>
      </w:r>
      <w:r>
        <w:rPr/>
        <w:t>年</w:t>
      </w:r>
      <w:r>
        <w:rPr>
          <w:rFonts w:ascii="宋体" w:hAnsi="宋体" w:cs="宋体" w:eastAsia="宋体" w:hint="default"/>
        </w:rPr>
        <w:t>3</w:t>
      </w:r>
      <w:r>
        <w:rPr/>
        <w:t>月</w:t>
      </w:r>
      <w:r>
        <w:rPr>
          <w:rFonts w:ascii="宋体" w:hAnsi="宋体" w:cs="宋体" w:eastAsia="宋体" w:hint="default"/>
        </w:rPr>
        <w:t>27</w:t>
      </w:r>
      <w:r>
        <w:rPr/>
        <w:t>日至</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26</w:t>
      </w:r>
      <w:r>
        <w:rPr/>
        <w:t>日。截止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日，北京神州新桥科技有限公司在该合同项下短期借款余额</w:t>
      </w:r>
      <w:r>
        <w:rPr>
          <w:rFonts w:ascii="宋体" w:hAnsi="宋体" w:cs="宋体" w:eastAsia="宋体" w:hint="default"/>
        </w:rPr>
        <w:t>58,007,291.77 </w:t>
      </w:r>
      <w:r>
        <w:rPr/>
        <w:t>元。</w:t>
      </w:r>
    </w:p>
    <w:p>
      <w:pPr>
        <w:pStyle w:val="BodyText"/>
        <w:spacing w:line="316" w:lineRule="auto" w:before="139"/>
        <w:ind w:right="106" w:firstLine="420"/>
        <w:jc w:val="left"/>
      </w:pPr>
      <w:r>
        <w:rPr/>
        <w:t>⑨</w:t>
      </w:r>
      <w:r>
        <w:rPr>
          <w:spacing w:val="13"/>
        </w:rPr>
        <w:t>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日，公司与中国工商银行股份有限公司深圳上步支行签订编号为“0400000007</w:t>
      </w:r>
      <w:r>
        <w:rPr>
          <w:rFonts w:ascii="宋体" w:hAnsi="宋体" w:cs="宋体" w:eastAsia="宋体" w:hint="default"/>
        </w:rPr>
        <w:t>-2015</w:t>
      </w:r>
      <w:r>
        <w:rPr/>
        <w:t>年上步（保）字 </w:t>
      </w:r>
      <w:r>
        <w:rPr>
          <w:rFonts w:ascii="宋体" w:hAnsi="宋体" w:cs="宋体" w:eastAsia="宋体" w:hint="default"/>
          <w:spacing w:val="-2"/>
        </w:rPr>
        <w:t>0025</w:t>
      </w:r>
      <w:r>
        <w:rPr>
          <w:spacing w:val="-2"/>
        </w:rPr>
        <w:t>号”《最高额保证合同》，为公司所属子公司</w:t>
      </w:r>
      <w:r>
        <w:rPr>
          <w:rFonts w:ascii="宋体" w:hAnsi="宋体" w:cs="宋体" w:eastAsia="宋体" w:hint="default"/>
          <w:spacing w:val="-2"/>
        </w:rPr>
        <w:t>-</w:t>
      </w:r>
      <w:r>
        <w:rPr>
          <w:spacing w:val="-2"/>
        </w:rPr>
        <w:t>深圳市至高通信技术发展有限公司在该行发生的债务提供连带责任保证，</w:t>
      </w:r>
      <w:r>
        <w:rPr>
          <w:spacing w:val="-64"/>
        </w:rPr>
        <w:t> </w:t>
      </w:r>
      <w:r>
        <w:rPr>
          <w:spacing w:val="-64"/>
        </w:rPr>
      </w:r>
      <w:r>
        <w:rPr/>
        <w:t>所担保的主债权为自</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28</w:t>
      </w:r>
      <w:r>
        <w:rPr/>
        <w:t>日至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28</w:t>
      </w:r>
      <w:r>
        <w:rPr/>
        <w:t>日期间，在人民币</w:t>
      </w:r>
      <w:r>
        <w:rPr>
          <w:rFonts w:ascii="宋体" w:hAnsi="宋体" w:cs="宋体" w:eastAsia="宋体" w:hint="default"/>
        </w:rPr>
        <w:t>9,000</w:t>
      </w:r>
      <w:r>
        <w:rPr/>
        <w:t>万元的最高余额内。截至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日，子 公司在上述合同项下的短期借款金额为人民币</w:t>
      </w:r>
      <w:r>
        <w:rPr>
          <w:rFonts w:ascii="宋体" w:hAnsi="宋体" w:cs="宋体" w:eastAsia="宋体" w:hint="default"/>
        </w:rPr>
        <w:t>3,000</w:t>
      </w:r>
      <w:r>
        <w:rPr/>
        <w:t>万元。</w:t>
      </w:r>
    </w:p>
    <w:p>
      <w:pPr>
        <w:pStyle w:val="BodyText"/>
        <w:spacing w:line="240" w:lineRule="auto" w:before="139"/>
        <w:ind w:left="573" w:right="94"/>
        <w:jc w:val="left"/>
      </w:pPr>
      <w:r>
        <w:rPr/>
        <w:t>⑩</w:t>
      </w:r>
      <w:r>
        <w:rPr>
          <w:spacing w:val="1"/>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5</w:t>
      </w:r>
      <w:r>
        <w:rPr/>
        <w:t>年</w:t>
      </w:r>
      <w:r>
        <w:rPr>
          <w:rFonts w:ascii="宋体" w:hAnsi="宋体" w:cs="宋体" w:eastAsia="宋体" w:hint="default"/>
          <w:spacing w:val="1"/>
        </w:rPr>
        <w:t>7</w:t>
      </w:r>
      <w:r>
        <w:rPr/>
        <w:t>月</w:t>
      </w:r>
      <w:r>
        <w:rPr>
          <w:rFonts w:ascii="宋体" w:hAnsi="宋体" w:cs="宋体" w:eastAsia="宋体" w:hint="default"/>
          <w:spacing w:val="1"/>
        </w:rPr>
        <w:t>1</w:t>
      </w:r>
      <w:r>
        <w:rPr/>
        <w:t>日，公司</w:t>
      </w:r>
      <w:r>
        <w:rPr>
          <w:spacing w:val="2"/>
        </w:rPr>
        <w:t>与</w:t>
      </w:r>
      <w:r>
        <w:rPr/>
        <w:t>中</w:t>
      </w:r>
      <w:r>
        <w:rPr>
          <w:spacing w:val="2"/>
        </w:rPr>
        <w:t>国</w:t>
      </w:r>
      <w:r>
        <w:rPr/>
        <w:t>工商银</w:t>
      </w:r>
      <w:r>
        <w:rPr>
          <w:spacing w:val="2"/>
        </w:rPr>
        <w:t>行</w:t>
      </w:r>
      <w:r>
        <w:rPr/>
        <w:t>股份</w:t>
      </w:r>
      <w:r>
        <w:rPr>
          <w:spacing w:val="2"/>
        </w:rPr>
        <w:t>有</w:t>
      </w:r>
      <w:r>
        <w:rPr/>
        <w:t>限公</w:t>
      </w:r>
      <w:r>
        <w:rPr>
          <w:spacing w:val="2"/>
        </w:rPr>
        <w:t>司</w:t>
      </w:r>
      <w:r>
        <w:rPr/>
        <w:t>北京</w:t>
      </w:r>
      <w:r>
        <w:rPr>
          <w:spacing w:val="2"/>
        </w:rPr>
        <w:t>南</w:t>
      </w:r>
      <w:r>
        <w:rPr/>
        <w:t>礼士路</w:t>
      </w:r>
      <w:r>
        <w:rPr>
          <w:spacing w:val="2"/>
        </w:rPr>
        <w:t>支</w:t>
      </w:r>
      <w:r>
        <w:rPr/>
        <w:t>行签</w:t>
      </w:r>
      <w:r>
        <w:rPr>
          <w:spacing w:val="2"/>
        </w:rPr>
        <w:t>订</w:t>
      </w:r>
      <w:r>
        <w:rPr/>
        <w:t>《最</w:t>
      </w:r>
      <w:r>
        <w:rPr>
          <w:spacing w:val="2"/>
        </w:rPr>
        <w:t>高</w:t>
      </w:r>
      <w:r>
        <w:rPr/>
        <w:t>额保</w:t>
      </w:r>
      <w:r>
        <w:rPr>
          <w:spacing w:val="2"/>
        </w:rPr>
        <w:t>证</w:t>
      </w:r>
      <w:r>
        <w:rPr/>
        <w:t>合同</w:t>
      </w:r>
      <w:r>
        <w:rPr>
          <w:spacing w:val="-89"/>
        </w:rPr>
        <w:t>》</w:t>
      </w:r>
      <w:r>
        <w:rPr/>
        <w:t>（编</w:t>
      </w:r>
      <w:r>
        <w:rPr>
          <w:spacing w:val="2"/>
        </w:rPr>
        <w:t>号</w:t>
      </w:r>
      <w:r>
        <w:rPr>
          <w:spacing w:val="4"/>
        </w:rPr>
        <w:t>：</w:t>
      </w:r>
      <w:r>
        <w:rPr>
          <w:rFonts w:ascii="宋体" w:hAnsi="宋体" w:cs="宋体" w:eastAsia="宋体" w:hint="default"/>
          <w:spacing w:val="1"/>
        </w:rPr>
        <w:t>2015</w:t>
      </w:r>
      <w:r>
        <w:rPr/>
        <w:t>年礼士</w:t>
      </w:r>
    </w:p>
    <w:p>
      <w:pPr>
        <w:pStyle w:val="BodyText"/>
        <w:spacing w:line="316" w:lineRule="auto" w:before="76"/>
        <w:ind w:right="192"/>
        <w:jc w:val="both"/>
      </w:pPr>
      <w:r>
        <w:rPr>
          <w:spacing w:val="-3"/>
        </w:rPr>
        <w:t>（保）字</w:t>
      </w:r>
      <w:r>
        <w:rPr>
          <w:rFonts w:ascii="宋体" w:hAnsi="宋体" w:cs="宋体" w:eastAsia="宋体" w:hint="default"/>
          <w:spacing w:val="-3"/>
        </w:rPr>
        <w:t>0016</w:t>
      </w:r>
      <w:r>
        <w:rPr>
          <w:spacing w:val="-3"/>
        </w:rPr>
        <w:t>号），最高额保证</w:t>
      </w:r>
      <w:r>
        <w:rPr>
          <w:rFonts w:ascii="宋体" w:hAnsi="宋体" w:cs="宋体" w:eastAsia="宋体" w:hint="default"/>
          <w:spacing w:val="-3"/>
        </w:rPr>
        <w:t>8,000</w:t>
      </w:r>
      <w:r>
        <w:rPr>
          <w:spacing w:val="-3"/>
        </w:rPr>
        <w:t>万元。为公司所属子公司北京银联通科技有限公司承担连带责任保证。借款期限自</w:t>
      </w:r>
      <w:r>
        <w:rPr>
          <w:rFonts w:ascii="宋体" w:hAnsi="宋体" w:cs="宋体" w:eastAsia="宋体" w:hint="default"/>
          <w:spacing w:val="-3"/>
        </w:rPr>
        <w:t>2015</w:t>
      </w:r>
      <w:r>
        <w:rPr>
          <w:rFonts w:ascii="宋体" w:hAnsi="宋体" w:cs="宋体" w:eastAsia="宋体" w:hint="default"/>
          <w:spacing w:val="-86"/>
        </w:rPr>
        <w:t> </w:t>
      </w:r>
      <w:r>
        <w:rPr>
          <w:rFonts w:ascii="宋体" w:hAnsi="宋体" w:cs="宋体" w:eastAsia="宋体" w:hint="default"/>
          <w:spacing w:val="-86"/>
        </w:rPr>
      </w:r>
      <w:r>
        <w:rPr/>
        <w:t>年</w:t>
      </w:r>
      <w:r>
        <w:rPr>
          <w:rFonts w:ascii="宋体" w:hAnsi="宋体" w:cs="宋体" w:eastAsia="宋体" w:hint="default"/>
        </w:rPr>
        <w:t>8</w:t>
      </w:r>
      <w:r>
        <w:rPr/>
        <w:t>月</w:t>
      </w:r>
      <w:r>
        <w:rPr>
          <w:rFonts w:ascii="宋体" w:hAnsi="宋体" w:cs="宋体" w:eastAsia="宋体" w:hint="default"/>
        </w:rPr>
        <w:t>31</w:t>
      </w:r>
      <w:r>
        <w:rPr/>
        <w:t>日至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27</w:t>
      </w:r>
      <w:r>
        <w:rPr/>
        <w:t>日。截止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日，北京联银通科技有限公司在该合同项下借款余额</w:t>
      </w:r>
      <w:r>
        <w:rPr>
          <w:rFonts w:ascii="宋体" w:hAnsi="宋体" w:cs="宋体" w:eastAsia="宋体" w:hint="default"/>
        </w:rPr>
        <w:t>64,936.00</w:t>
      </w:r>
      <w:r>
        <w:rPr/>
        <w:t>元。</w:t>
      </w:r>
    </w:p>
    <w:p>
      <w:pPr>
        <w:pStyle w:val="BodyText"/>
        <w:spacing w:line="316" w:lineRule="auto" w:before="139"/>
        <w:ind w:right="188" w:firstLine="420"/>
        <w:jc w:val="both"/>
      </w:pPr>
      <w:r>
        <w:rPr>
          <w:rFonts w:ascii="宋体" w:hAnsi="宋体" w:cs="宋体" w:eastAsia="宋体" w:hint="default"/>
        </w:rPr>
        <w:t>11.</w:t>
      </w:r>
      <w:r>
        <w:rPr>
          <w:rFonts w:ascii="宋体" w:hAnsi="宋体" w:cs="宋体" w:eastAsia="宋体" w:hint="default"/>
          <w:spacing w:val="-55"/>
        </w:rPr>
        <w:t> </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20</w:t>
      </w:r>
      <w:r>
        <w:rPr/>
        <w:t>日，公司股东薛向东及妻子郭玉梅分别与北京银行股份有限公司中关村科技园区支行签订《最高额保 </w:t>
      </w:r>
      <w:r>
        <w:rPr>
          <w:spacing w:val="-3"/>
        </w:rPr>
        <w:t>证合同》（合同编号“0269321</w:t>
      </w:r>
      <w:r>
        <w:rPr>
          <w:rFonts w:ascii="宋体" w:hAnsi="宋体" w:cs="宋体" w:eastAsia="宋体" w:hint="default"/>
          <w:spacing w:val="-3"/>
        </w:rPr>
        <w:t>-</w:t>
      </w:r>
      <w:r>
        <w:rPr>
          <w:spacing w:val="-3"/>
        </w:rPr>
        <w:t>001”“0269321</w:t>
      </w:r>
      <w:r>
        <w:rPr>
          <w:rFonts w:ascii="宋体" w:hAnsi="宋体" w:cs="宋体" w:eastAsia="宋体" w:hint="default"/>
          <w:spacing w:val="-3"/>
        </w:rPr>
        <w:t>-</w:t>
      </w:r>
      <w:r>
        <w:rPr>
          <w:spacing w:val="-3"/>
        </w:rPr>
        <w:t>002”），薛向东、郭玉梅为本公司与该行签订的编号为“0269321”《综合</w:t>
      </w:r>
      <w:r>
        <w:rPr>
          <w:spacing w:val="-66"/>
        </w:rPr>
        <w:t> </w:t>
      </w:r>
      <w:r>
        <w:rPr>
          <w:spacing w:val="-66"/>
        </w:rPr>
      </w:r>
      <w:r>
        <w:rPr>
          <w:spacing w:val="-2"/>
        </w:rPr>
        <w:t>授信合同》项下的全部债务提供全程保证，保证期间为</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日，公司在该行</w:t>
      </w:r>
      <w:r>
        <w:rPr>
          <w:spacing w:val="-49"/>
        </w:rPr>
        <w:t> </w:t>
      </w:r>
      <w:r>
        <w:rPr>
          <w:spacing w:val="-49"/>
        </w:rPr>
      </w:r>
      <w:r>
        <w:rPr/>
        <w:t>短期借款余额为</w:t>
      </w:r>
      <w:r>
        <w:rPr>
          <w:rFonts w:ascii="宋体" w:hAnsi="宋体" w:cs="宋体" w:eastAsia="宋体" w:hint="default"/>
        </w:rPr>
        <w:t>63,163,619.40</w:t>
      </w:r>
      <w:r>
        <w:rPr/>
        <w:t>元。</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宋体" w:hAnsi="宋体" w:cs="宋体" w:eastAsia="宋体" w:hint="default"/>
        </w:rPr>
        <w:t>5</w:t>
      </w:r>
      <w:r>
        <w:rPr/>
        <w:t>）关联方资金拆借</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 适用 √</w:t>
      </w:r>
      <w:r>
        <w:rPr>
          <w:spacing w:val="3"/>
        </w:rPr>
        <w:t> </w:t>
      </w:r>
      <w:r>
        <w:rPr/>
        <w:t>不适用</w:t>
      </w:r>
    </w:p>
    <w:p>
      <w:pPr>
        <w:spacing w:after="0" w:line="240"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宋体" w:hAnsi="宋体" w:cs="宋体" w:eastAsia="宋体" w:hint="default"/>
        </w:rPr>
        <w:t>7</w:t>
      </w:r>
      <w:r>
        <w:rPr/>
        <w:t>）关键管理人员报酬</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7,965,000.00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7,843,200.00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8</w:t>
      </w:r>
      <w:r>
        <w:rPr/>
        <w:t>）其他关联交易</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6</w:t>
      </w:r>
      <w:r>
        <w:rPr/>
        <w:t>、关联方应收应付款项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）应收项目</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北京合创电商投资顾问有限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9" w:right="0"/>
              <w:jc w:val="left"/>
              <w:rPr>
                <w:rFonts w:ascii="宋体" w:hAnsi="宋体" w:cs="宋体" w:eastAsia="宋体" w:hint="default"/>
                <w:sz w:val="18"/>
                <w:szCs w:val="18"/>
              </w:rPr>
            </w:pPr>
            <w:r>
              <w:rPr>
                <w:rFonts w:ascii="宋体"/>
                <w:sz w:val="18"/>
              </w:rPr>
              <w:t>6,000,000.00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7</w:t>
      </w:r>
      <w:r>
        <w:rPr/>
        <w:t>、关联方承诺</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501" w:lineRule="auto" w:before="120"/>
        <w:ind w:left="152" w:right="7771"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31"/>
        <w:ind w:right="153"/>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4,295,460.00</w:t>
            </w:r>
          </w:p>
        </w:tc>
      </w:tr>
      <w:tr>
        <w:trPr>
          <w:trHeight w:val="410"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1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7.88</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宋体" w:hAnsi="宋体" w:cs="宋体" w:eastAsia="宋体" w:hint="default"/>
        </w:rPr>
        <w:t>2</w:t>
      </w:r>
      <w:r>
        <w:rPr/>
        <w:t>、以权益结算的股份支付情况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94"/>
        <w:jc w:val="left"/>
      </w:pPr>
      <w:r>
        <w:rPr/>
        <w:t>√ 适用 □</w:t>
      </w:r>
      <w:r>
        <w:rPr>
          <w:spacing w:val="3"/>
        </w:rPr>
        <w:t> </w:t>
      </w:r>
      <w:r>
        <w:rPr/>
        <w:t>不适用</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48"/>
                <w:sz w:val="18"/>
                <w:szCs w:val="18"/>
              </w:rPr>
              <w:t> </w:t>
            </w:r>
            <w:r>
              <w:rPr>
                <w:rFonts w:ascii="宋体" w:hAnsi="宋体" w:cs="宋体" w:eastAsia="宋体" w:hint="default"/>
                <w:sz w:val="18"/>
                <w:szCs w:val="18"/>
              </w:rPr>
              <w:t>模型</w:t>
            </w:r>
          </w:p>
        </w:tc>
      </w:tr>
      <w:tr>
        <w:trPr>
          <w:trHeight w:val="133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5"/>
              <w:jc w:val="both"/>
              <w:rPr>
                <w:rFonts w:ascii="宋体" w:hAnsi="宋体" w:cs="宋体" w:eastAsia="宋体" w:hint="default"/>
                <w:sz w:val="18"/>
                <w:szCs w:val="18"/>
              </w:rPr>
            </w:pPr>
            <w:r>
              <w:rPr>
                <w:rFonts w:ascii="宋体" w:hAnsi="宋体" w:cs="宋体" w:eastAsia="宋体" w:hint="default"/>
                <w:spacing w:val="-6"/>
                <w:sz w:val="18"/>
                <w:szCs w:val="18"/>
              </w:rPr>
              <w:t>激励对象包括目前担任公司董事（不含独立董事）、高级管</w:t>
            </w:r>
            <w:r>
              <w:rPr>
                <w:rFonts w:ascii="宋体" w:hAnsi="宋体" w:cs="宋体" w:eastAsia="宋体" w:hint="default"/>
                <w:sz w:val="18"/>
                <w:szCs w:val="18"/>
              </w:rPr>
              <w:t> 理人员、核心业务（技术）骨干人员以及董事会认为需要 以此方式进行激励的子公司管理层和骨干员工。公司估计 该部分职工在等待期内离职的可能性较小。</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66,113,936.99</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4,367,425.32</w:t>
            </w:r>
          </w:p>
        </w:tc>
      </w:tr>
    </w:tbl>
    <w:p>
      <w:pPr>
        <w:pStyle w:val="BodyText"/>
        <w:spacing w:line="240" w:lineRule="auto" w:before="49"/>
        <w:ind w:right="94"/>
        <w:jc w:val="left"/>
      </w:pPr>
      <w:r>
        <w:rPr/>
        <w:t>其他说明</w:t>
      </w:r>
    </w:p>
    <w:p>
      <w:pPr>
        <w:spacing w:line="240" w:lineRule="auto" w:before="1"/>
        <w:rPr>
          <w:rFonts w:ascii="宋体" w:hAnsi="宋体" w:cs="宋体" w:eastAsia="宋体" w:hint="default"/>
          <w:sz w:val="15"/>
          <w:szCs w:val="15"/>
        </w:rPr>
      </w:pPr>
    </w:p>
    <w:p>
      <w:pPr>
        <w:pStyle w:val="BodyText"/>
        <w:spacing w:line="316" w:lineRule="auto"/>
        <w:ind w:right="188" w:firstLine="420"/>
        <w:jc w:val="both"/>
      </w:pP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7</w:t>
      </w:r>
      <w:r>
        <w:rPr>
          <w:spacing w:val="-1"/>
        </w:rPr>
        <w:t>日，公司第四届董事会第十四次会议审议通过了《东华软件股份公司股票期权激励计划</w:t>
      </w:r>
      <w:r>
        <w:rPr>
          <w:spacing w:val="8"/>
        </w:rPr>
        <w:t> </w:t>
      </w:r>
      <w:r>
        <w:rPr>
          <w:rFonts w:ascii="宋体" w:hAnsi="宋体" w:cs="宋体" w:eastAsia="宋体" w:hint="default"/>
          <w:spacing w:val="-12"/>
        </w:rPr>
        <w:t>(</w:t>
      </w:r>
      <w:r>
        <w:rPr>
          <w:spacing w:val="-12"/>
        </w:rPr>
        <w:t>草案</w:t>
      </w:r>
      <w:r>
        <w:rPr>
          <w:rFonts w:ascii="宋体" w:hAnsi="宋体" w:cs="宋体" w:eastAsia="宋体" w:hint="default"/>
          <w:spacing w:val="-12"/>
        </w:rPr>
        <w:t>)</w:t>
      </w:r>
      <w:r>
        <w:rPr>
          <w:spacing w:val="-12"/>
        </w:rPr>
        <w:t>》，并报中</w:t>
      </w:r>
      <w:r>
        <w:rPr/>
        <w:t> 国证券监督管理委员会备案通过。</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17</w:t>
      </w:r>
      <w:r>
        <w:rPr/>
        <w:t>日，公司</w:t>
      </w:r>
      <w:r>
        <w:rPr>
          <w:rFonts w:ascii="宋体" w:hAnsi="宋体" w:cs="宋体" w:eastAsia="宋体" w:hint="default"/>
        </w:rPr>
        <w:t>2012</w:t>
      </w:r>
      <w:r>
        <w:rPr/>
        <w:t>年第一次临时股东大会审议通过了《东华软件股份公司股票期</w:t>
      </w:r>
      <w:r>
        <w:rPr>
          <w:spacing w:val="-86"/>
        </w:rPr>
        <w:t> </w:t>
      </w:r>
      <w:r>
        <w:rPr>
          <w:spacing w:val="-86"/>
        </w:rPr>
      </w:r>
      <w:r>
        <w:rPr>
          <w:spacing w:val="-5"/>
        </w:rPr>
        <w:t>权激励计划（草案）修订稿》，本次股票期权激励计划获得批准。根据公司股票期权激励计划，公司授予激励对象</w:t>
      </w:r>
      <w:r>
        <w:rPr>
          <w:rFonts w:ascii="宋体" w:hAnsi="宋体" w:cs="宋体" w:eastAsia="宋体" w:hint="default"/>
          <w:spacing w:val="-5"/>
        </w:rPr>
        <w:t>1,173.9</w:t>
      </w:r>
      <w:r>
        <w:rPr>
          <w:rFonts w:ascii="宋体" w:hAnsi="宋体" w:cs="宋体" w:eastAsia="宋体" w:hint="default"/>
          <w:spacing w:val="19"/>
        </w:rPr>
        <w:t> </w:t>
      </w:r>
      <w:r>
        <w:rPr/>
        <w:t>万</w:t>
      </w:r>
      <w:r>
        <w:rPr>
          <w:spacing w:val="-88"/>
        </w:rPr>
        <w:t> </w:t>
      </w:r>
      <w:r>
        <w:rPr/>
        <w:t>份股票期权，每份股票期权拥有在可行权日以预先确定的行权价格和行权条件购买</w:t>
      </w:r>
      <w:r>
        <w:rPr>
          <w:rFonts w:ascii="宋体" w:hAnsi="宋体" w:cs="宋体" w:eastAsia="宋体" w:hint="default"/>
        </w:rPr>
        <w:t>1</w:t>
      </w:r>
      <w:r>
        <w:rPr>
          <w:rFonts w:ascii="宋体" w:hAnsi="宋体" w:cs="宋体" w:eastAsia="宋体" w:hint="default"/>
          <w:spacing w:val="-28"/>
        </w:rPr>
        <w:t> </w:t>
      </w:r>
      <w:r>
        <w:rPr>
          <w:spacing w:val="-3"/>
        </w:rPr>
        <w:t>股本公司人民币普通股的权利，涉及标</w:t>
      </w:r>
      <w:r>
        <w:rPr/>
        <w:t> 的股票数量为</w:t>
      </w:r>
      <w:r>
        <w:rPr>
          <w:rFonts w:ascii="宋体" w:hAnsi="宋体" w:cs="宋体" w:eastAsia="宋体" w:hint="default"/>
        </w:rPr>
        <w:t>1,173.9</w:t>
      </w:r>
      <w:r>
        <w:rPr>
          <w:rFonts w:ascii="宋体" w:hAnsi="宋体" w:cs="宋体" w:eastAsia="宋体" w:hint="default"/>
          <w:spacing w:val="-28"/>
        </w:rPr>
        <w:t> </w:t>
      </w:r>
      <w:r>
        <w:rPr/>
        <w:t>万股，占本激励计划批准时公司股本总额</w:t>
      </w:r>
      <w:r>
        <w:rPr>
          <w:rFonts w:ascii="宋体" w:hAnsi="宋体" w:cs="宋体" w:eastAsia="宋体" w:hint="default"/>
        </w:rPr>
        <w:t>53,074.40</w:t>
      </w:r>
      <w:r>
        <w:rPr>
          <w:rFonts w:ascii="宋体" w:hAnsi="宋体" w:cs="宋体" w:eastAsia="宋体" w:hint="default"/>
          <w:spacing w:val="-28"/>
        </w:rPr>
        <w:t> </w:t>
      </w:r>
      <w:r>
        <w:rPr/>
        <w:t>万股的</w:t>
      </w:r>
      <w:r>
        <w:rPr>
          <w:rFonts w:ascii="宋体" w:hAnsi="宋体" w:cs="宋体" w:eastAsia="宋体" w:hint="default"/>
        </w:rPr>
        <w:t>2.2118%</w:t>
      </w:r>
      <w:r>
        <w:rPr/>
        <w:t>。本次股票期权授予日为</w:t>
      </w:r>
      <w:r>
        <w:rPr>
          <w:rFonts w:ascii="宋体" w:hAnsi="宋体" w:cs="宋体" w:eastAsia="宋体" w:hint="default"/>
        </w:rPr>
        <w:t>2012</w:t>
      </w:r>
      <w:r>
        <w:rPr>
          <w:rFonts w:ascii="宋体" w:hAnsi="宋体" w:cs="宋体" w:eastAsia="宋体" w:hint="default"/>
          <w:spacing w:val="-30"/>
        </w:rPr>
        <w:t> </w:t>
      </w:r>
      <w:r>
        <w:rPr/>
        <w:t>年 </w:t>
      </w:r>
      <w:r>
        <w:rPr>
          <w:rFonts w:ascii="宋体" w:hAnsi="宋体" w:cs="宋体" w:eastAsia="宋体" w:hint="default"/>
        </w:rPr>
        <w:t>1 </w:t>
      </w:r>
      <w:r>
        <w:rPr/>
        <w:t>月</w:t>
      </w:r>
      <w:r>
        <w:rPr>
          <w:rFonts w:ascii="宋体" w:hAnsi="宋体" w:cs="宋体" w:eastAsia="宋体" w:hint="default"/>
        </w:rPr>
        <w:t>18 </w:t>
      </w:r>
      <w:r>
        <w:rPr/>
        <w:t>日，行权价格为</w:t>
      </w:r>
      <w:r>
        <w:rPr>
          <w:rFonts w:ascii="宋体" w:hAnsi="宋体" w:cs="宋体" w:eastAsia="宋体" w:hint="default"/>
        </w:rPr>
        <w:t>21.59</w:t>
      </w:r>
      <w:r>
        <w:rPr>
          <w:rFonts w:ascii="宋体" w:hAnsi="宋体" w:cs="宋体" w:eastAsia="宋体" w:hint="default"/>
          <w:spacing w:val="2"/>
        </w:rPr>
        <w:t> </w:t>
      </w:r>
      <w:r>
        <w:rPr/>
        <w:t>元。股票期权激励计划有效期为授予股票期权的授权日起五年。本激励计划授予的股票期权 自授权日起满</w:t>
      </w:r>
      <w:r>
        <w:rPr>
          <w:rFonts w:ascii="宋体" w:hAnsi="宋体" w:cs="宋体" w:eastAsia="宋体" w:hint="default"/>
        </w:rPr>
        <w:t>12 </w:t>
      </w:r>
      <w:r>
        <w:rPr>
          <w:spacing w:val="-4"/>
        </w:rPr>
        <w:t>个月后可以开始行权，激励对象在可行权日内按</w:t>
      </w:r>
      <w:r>
        <w:rPr>
          <w:rFonts w:ascii="宋体" w:hAnsi="宋体" w:cs="宋体" w:eastAsia="宋体" w:hint="default"/>
          <w:spacing w:val="-4"/>
        </w:rPr>
        <w:t>30%</w:t>
      </w:r>
      <w:r>
        <w:rPr>
          <w:spacing w:val="-4"/>
        </w:rPr>
        <w:t>、</w:t>
      </w:r>
      <w:r>
        <w:rPr>
          <w:rFonts w:ascii="宋体" w:hAnsi="宋体" w:cs="宋体" w:eastAsia="宋体" w:hint="default"/>
          <w:spacing w:val="-4"/>
        </w:rPr>
        <w:t>30%</w:t>
      </w:r>
      <w:r>
        <w:rPr>
          <w:spacing w:val="-4"/>
        </w:rPr>
        <w:t>、</w:t>
      </w:r>
      <w:r>
        <w:rPr>
          <w:rFonts w:ascii="宋体" w:hAnsi="宋体" w:cs="宋体" w:eastAsia="宋体" w:hint="default"/>
          <w:spacing w:val="-4"/>
        </w:rPr>
        <w:t>20%</w:t>
      </w:r>
      <w:r>
        <w:rPr>
          <w:spacing w:val="-4"/>
        </w:rPr>
        <w:t>、</w:t>
      </w:r>
      <w:r>
        <w:rPr>
          <w:rFonts w:ascii="宋体" w:hAnsi="宋体" w:cs="宋体" w:eastAsia="宋体" w:hint="default"/>
          <w:spacing w:val="-4"/>
        </w:rPr>
        <w:t>20%</w:t>
      </w:r>
      <w:r>
        <w:rPr>
          <w:spacing w:val="-4"/>
        </w:rPr>
        <w:t>的行权比例分四期行权。</w:t>
      </w:r>
      <w:r>
        <w:rPr>
          <w:rFonts w:ascii="宋体" w:hAnsi="宋体" w:cs="宋体" w:eastAsia="宋体" w:hint="default"/>
          <w:spacing w:val="-4"/>
        </w:rPr>
        <w:t>2012 </w:t>
      </w:r>
      <w:r>
        <w:rPr/>
        <w:t>年 </w:t>
      </w:r>
      <w:r>
        <w:rPr>
          <w:rFonts w:ascii="宋体" w:hAnsi="宋体" w:cs="宋体" w:eastAsia="宋体" w:hint="default"/>
        </w:rPr>
        <w:t>9</w:t>
      </w:r>
      <w:r>
        <w:rPr>
          <w:rFonts w:ascii="宋体" w:hAnsi="宋体" w:cs="宋体" w:eastAsia="宋体" w:hint="default"/>
          <w:spacing w:val="26"/>
        </w:rPr>
        <w:t> </w:t>
      </w:r>
      <w:r>
        <w:rPr/>
        <w:t>月 </w:t>
      </w:r>
      <w:r>
        <w:rPr>
          <w:rFonts w:ascii="宋体" w:hAnsi="宋体" w:cs="宋体" w:eastAsia="宋体" w:hint="default"/>
        </w:rPr>
        <w:t>13</w:t>
      </w:r>
      <w:r>
        <w:rPr>
          <w:rFonts w:ascii="宋体" w:hAnsi="宋体" w:cs="宋体" w:eastAsia="宋体" w:hint="default"/>
          <w:spacing w:val="36"/>
        </w:rPr>
        <w:t> </w:t>
      </w:r>
      <w:r>
        <w:rPr>
          <w:spacing w:val="-4"/>
        </w:rPr>
        <w:t>日，公司第四届董事会第二十次会议审议通过了《关于调整股票期权激励计划股票期权数量和行权价格的议案》，公司因</w:t>
      </w:r>
    </w:p>
    <w:p>
      <w:pPr>
        <w:pStyle w:val="BodyText"/>
        <w:spacing w:line="316" w:lineRule="auto" w:before="19"/>
        <w:ind w:right="188"/>
        <w:jc w:val="both"/>
      </w:pPr>
      <w:r>
        <w:rPr/>
        <w:t>实施 </w:t>
      </w:r>
      <w:r>
        <w:rPr>
          <w:rFonts w:ascii="宋体" w:hAnsi="宋体" w:cs="宋体" w:eastAsia="宋体" w:hint="default"/>
        </w:rPr>
        <w:t>2011 </w:t>
      </w:r>
      <w:r>
        <w:rPr/>
        <w:t>年度利润分配方案，股票期权数量调整为 </w:t>
      </w:r>
      <w:r>
        <w:rPr>
          <w:rFonts w:ascii="宋体" w:hAnsi="宋体" w:cs="宋体" w:eastAsia="宋体" w:hint="default"/>
        </w:rPr>
        <w:t>1,526.07 </w:t>
      </w:r>
      <w:r>
        <w:rPr>
          <w:spacing w:val="-3"/>
        </w:rPr>
        <w:t>万份。行权价格调整为 </w:t>
      </w:r>
      <w:r>
        <w:rPr>
          <w:rFonts w:ascii="宋体" w:hAnsi="宋体" w:cs="宋体" w:eastAsia="宋体" w:hint="default"/>
        </w:rPr>
        <w:t>16.45</w:t>
      </w:r>
      <w:r>
        <w:rPr>
          <w:rFonts w:ascii="宋体" w:hAnsi="宋体" w:cs="宋体" w:eastAsia="宋体" w:hint="default"/>
          <w:spacing w:val="-11"/>
        </w:rPr>
        <w:t> </w:t>
      </w:r>
      <w:r>
        <w:rPr>
          <w:spacing w:val="-3"/>
        </w:rPr>
        <w:t>元。</w:t>
      </w:r>
      <w:r>
        <w:rPr>
          <w:rFonts w:ascii="宋体" w:hAnsi="宋体" w:cs="宋体" w:eastAsia="宋体" w:hint="default"/>
          <w:spacing w:val="-3"/>
        </w:rPr>
        <w:t>2013</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22</w:t>
      </w:r>
      <w:r>
        <w:rPr>
          <w:spacing w:val="-3"/>
        </w:rPr>
        <w:t>日，公司第</w:t>
      </w:r>
      <w:r>
        <w:rPr/>
        <w:t> </w:t>
      </w:r>
      <w:r>
        <w:rPr>
          <w:spacing w:val="-2"/>
        </w:rPr>
        <w:t>四届董事会第二十七次会议审议通过了《关于调整股票期权激励计划激励对象、期权数量及行权价格的议案》，</w:t>
      </w:r>
      <w:r>
        <w:rPr>
          <w:rFonts w:ascii="宋体" w:hAnsi="宋体" w:cs="宋体" w:eastAsia="宋体" w:hint="default"/>
          <w:spacing w:val="-2"/>
        </w:rPr>
        <w:t>16</w:t>
      </w:r>
      <w:r>
        <w:rPr>
          <w:spacing w:val="-2"/>
        </w:rPr>
        <w:t>名原激励</w:t>
      </w:r>
      <w:r>
        <w:rPr>
          <w:spacing w:val="-62"/>
        </w:rPr>
        <w:t> </w:t>
      </w:r>
      <w:r>
        <w:rPr>
          <w:spacing w:val="-62"/>
        </w:rPr>
      </w:r>
      <w:r>
        <w:rPr/>
        <w:t>对象因个人原因离职，公司对激励对象进行相应的调整，激励对象由</w:t>
      </w:r>
      <w:r>
        <w:rPr>
          <w:rFonts w:ascii="宋体" w:hAnsi="宋体" w:cs="宋体" w:eastAsia="宋体" w:hint="default"/>
        </w:rPr>
        <w:t>361</w:t>
      </w:r>
      <w:r>
        <w:rPr/>
        <w:t>名调整为</w:t>
      </w:r>
      <w:r>
        <w:rPr>
          <w:rFonts w:ascii="宋体" w:hAnsi="宋体" w:cs="宋体" w:eastAsia="宋体" w:hint="default"/>
        </w:rPr>
        <w:t>345</w:t>
      </w:r>
      <w:r>
        <w:rPr/>
        <w:t>名，授予期权数量由</w:t>
      </w:r>
      <w:r>
        <w:rPr>
          <w:rFonts w:ascii="宋体" w:hAnsi="宋体" w:cs="宋体" w:eastAsia="宋体" w:hint="default"/>
        </w:rPr>
        <w:t>1526.07</w:t>
      </w:r>
      <w:r>
        <w:rPr/>
        <w:t>万份变更</w:t>
      </w:r>
      <w:r>
        <w:rPr>
          <w:spacing w:val="-87"/>
        </w:rPr>
        <w:t> </w:t>
      </w:r>
      <w:r>
        <w:rPr>
          <w:spacing w:val="-87"/>
        </w:rPr>
      </w:r>
      <w:r>
        <w:rPr>
          <w:spacing w:val="-2"/>
        </w:rPr>
        <w:t>为</w:t>
      </w:r>
      <w:r>
        <w:rPr>
          <w:rFonts w:ascii="宋体" w:hAnsi="宋体" w:cs="宋体" w:eastAsia="宋体" w:hint="default"/>
          <w:spacing w:val="-2"/>
        </w:rPr>
        <w:t>1463.67</w:t>
      </w:r>
      <w:r>
        <w:rPr>
          <w:spacing w:val="-2"/>
        </w:rPr>
        <w:t>万份。同时，公司因实施</w:t>
      </w:r>
      <w:r>
        <w:rPr>
          <w:rFonts w:ascii="宋体" w:hAnsi="宋体" w:cs="宋体" w:eastAsia="宋体" w:hint="default"/>
          <w:spacing w:val="-2"/>
        </w:rPr>
        <w:t>2012</w:t>
      </w:r>
      <w:r>
        <w:rPr>
          <w:spacing w:val="-2"/>
        </w:rPr>
        <w:t>年度利润分配方案，股票期权行权价格调整为</w:t>
      </w:r>
      <w:r>
        <w:rPr>
          <w:rFonts w:ascii="宋体" w:hAnsi="宋体" w:cs="宋体" w:eastAsia="宋体" w:hint="default"/>
          <w:spacing w:val="-2"/>
        </w:rPr>
        <w:t>16.25</w:t>
      </w:r>
      <w:r>
        <w:rPr>
          <w:spacing w:val="-2"/>
        </w:rPr>
        <w:t>元。</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日，公司第四</w:t>
      </w:r>
      <w:r>
        <w:rPr>
          <w:spacing w:val="-50"/>
        </w:rPr>
        <w:t> </w:t>
      </w:r>
      <w:r>
        <w:rPr>
          <w:spacing w:val="-50"/>
        </w:rPr>
      </w:r>
      <w:r>
        <w:rPr>
          <w:spacing w:val="-2"/>
        </w:rPr>
        <w:t>届董事会第三十一次会议审议通过了《关于调整股票期权激励计划激励对象和期权数量的议案》，因</w:t>
      </w:r>
      <w:r>
        <w:rPr>
          <w:rFonts w:ascii="宋体" w:hAnsi="宋体" w:cs="宋体" w:eastAsia="宋体" w:hint="default"/>
          <w:spacing w:val="-2"/>
        </w:rPr>
        <w:t>1</w:t>
      </w:r>
      <w:r>
        <w:rPr>
          <w:spacing w:val="-2"/>
        </w:rPr>
        <w:t>名激励对象离职，</w:t>
      </w:r>
      <w:r>
        <w:rPr>
          <w:rFonts w:ascii="宋体" w:hAnsi="宋体" w:cs="宋体" w:eastAsia="宋体" w:hint="default"/>
          <w:spacing w:val="-2"/>
        </w:rPr>
        <w:t>1</w:t>
      </w:r>
      <w:r>
        <w:rPr>
          <w:spacing w:val="-2"/>
        </w:rPr>
        <w:t>名</w:t>
      </w:r>
      <w:r>
        <w:rPr>
          <w:spacing w:val="-62"/>
        </w:rPr>
        <w:t> </w:t>
      </w:r>
      <w:r>
        <w:rPr>
          <w:spacing w:val="-2"/>
        </w:rPr>
        <w:t>激励对象考核不合格，不再满足成为激励对象的条件，公司对激励对象进行相应的调整，激励对象由</w:t>
      </w:r>
      <w:r>
        <w:rPr>
          <w:rFonts w:ascii="宋体" w:hAnsi="宋体" w:cs="宋体" w:eastAsia="宋体" w:hint="default"/>
          <w:spacing w:val="-2"/>
        </w:rPr>
        <w:t>345</w:t>
      </w:r>
      <w:r>
        <w:rPr>
          <w:spacing w:val="-2"/>
        </w:rPr>
        <w:t>名调整为</w:t>
      </w:r>
      <w:r>
        <w:rPr>
          <w:rFonts w:ascii="宋体" w:hAnsi="宋体" w:cs="宋体" w:eastAsia="宋体" w:hint="default"/>
          <w:spacing w:val="-2"/>
        </w:rPr>
        <w:t>343</w:t>
      </w:r>
      <w:r>
        <w:rPr>
          <w:spacing w:val="-2"/>
        </w:rPr>
        <w:t>名，期</w:t>
      </w:r>
      <w:r>
        <w:rPr>
          <w:spacing w:val="-59"/>
        </w:rPr>
        <w:t> </w:t>
      </w:r>
      <w:r>
        <w:rPr>
          <w:spacing w:val="-59"/>
        </w:rPr>
      </w:r>
      <w:r>
        <w:rPr>
          <w:spacing w:val="-2"/>
        </w:rPr>
        <w:t>权数量由</w:t>
      </w:r>
      <w:r>
        <w:rPr>
          <w:rFonts w:ascii="宋体" w:hAnsi="宋体" w:cs="宋体" w:eastAsia="宋体" w:hint="default"/>
          <w:spacing w:val="-2"/>
        </w:rPr>
        <w:t>1463.67</w:t>
      </w:r>
      <w:r>
        <w:rPr>
          <w:spacing w:val="-2"/>
        </w:rPr>
        <w:t>万份调整为</w:t>
      </w:r>
      <w:r>
        <w:rPr>
          <w:rFonts w:ascii="宋体" w:hAnsi="宋体" w:cs="宋体" w:eastAsia="宋体" w:hint="default"/>
          <w:spacing w:val="-2"/>
        </w:rPr>
        <w:t>1455.87</w:t>
      </w:r>
      <w:r>
        <w:rPr>
          <w:spacing w:val="-2"/>
        </w:rPr>
        <w:t>万份。同时，审议通过了《关于股票期权激励计划第一个行权期可行权的议案》。根据</w:t>
      </w:r>
    </w:p>
    <w:p>
      <w:pPr>
        <w:pStyle w:val="BodyText"/>
        <w:spacing w:line="316" w:lineRule="auto" w:before="19"/>
        <w:ind w:right="183"/>
        <w:jc w:val="left"/>
        <w:rPr>
          <w:rFonts w:ascii="宋体" w:hAnsi="宋体" w:cs="宋体" w:eastAsia="宋体" w:hint="default"/>
        </w:rPr>
      </w:pPr>
      <w:r>
        <w:rPr>
          <w:spacing w:val="-2"/>
        </w:rPr>
        <w:t>《东华软件股份公司股票期权激励计划（修订稿）》的有关规定，第一个行权期已满足行权条件，激励对象在第一个行权期</w:t>
      </w:r>
      <w:r>
        <w:rPr>
          <w:spacing w:val="-65"/>
        </w:rPr>
        <w:t> </w:t>
      </w:r>
      <w:r>
        <w:rPr>
          <w:spacing w:val="-65"/>
        </w:rPr>
      </w:r>
      <w:r>
        <w:rPr/>
        <w:t>内（自授权日起 </w:t>
      </w:r>
      <w:r>
        <w:rPr>
          <w:rFonts w:ascii="宋体" w:hAnsi="宋体" w:cs="宋体" w:eastAsia="宋体" w:hint="default"/>
        </w:rPr>
        <w:t>12 </w:t>
      </w:r>
      <w:r>
        <w:rPr/>
        <w:t>月后的首个交易日起至授权日起 </w:t>
      </w:r>
      <w:r>
        <w:rPr>
          <w:rFonts w:ascii="宋体" w:hAnsi="宋体" w:cs="宋体" w:eastAsia="宋体" w:hint="default"/>
        </w:rPr>
        <w:t>24 </w:t>
      </w:r>
      <w:r>
        <w:rPr/>
        <w:t>个月内的最后一个交易日当日止，即 </w:t>
      </w:r>
      <w:r>
        <w:rPr>
          <w:rFonts w:ascii="宋体" w:hAnsi="宋体" w:cs="宋体" w:eastAsia="宋体" w:hint="default"/>
        </w:rPr>
        <w:t>2013 </w:t>
      </w:r>
      <w:r>
        <w:rPr/>
        <w:t>年 </w:t>
      </w:r>
      <w:r>
        <w:rPr>
          <w:rFonts w:ascii="宋体" w:hAnsi="宋体" w:cs="宋体" w:eastAsia="宋体" w:hint="default"/>
        </w:rPr>
        <w:t>1</w:t>
      </w:r>
      <w:r>
        <w:rPr/>
        <w:t>月 </w:t>
      </w:r>
      <w:r>
        <w:rPr>
          <w:rFonts w:ascii="宋体" w:hAnsi="宋体" w:cs="宋体" w:eastAsia="宋体" w:hint="default"/>
        </w:rPr>
        <w:t>18 </w:t>
      </w:r>
      <w:r>
        <w:rPr/>
        <w:t>日至</w:t>
      </w:r>
      <w:r>
        <w:rPr>
          <w:spacing w:val="1"/>
        </w:rPr>
        <w:t> </w:t>
      </w:r>
      <w:r>
        <w:rPr>
          <w:rFonts w:ascii="宋体" w:hAnsi="宋体" w:cs="宋体" w:eastAsia="宋体" w:hint="default"/>
        </w:rPr>
        <w:t>2014</w:t>
      </w:r>
    </w:p>
    <w:p>
      <w:pPr>
        <w:pStyle w:val="BodyText"/>
        <w:spacing w:line="316" w:lineRule="auto" w:before="19"/>
        <w:ind w:right="94"/>
        <w:jc w:val="left"/>
      </w:pPr>
      <w:r>
        <w:rPr/>
        <w:t>年 </w:t>
      </w:r>
      <w:r>
        <w:rPr>
          <w:rFonts w:ascii="宋体" w:hAnsi="宋体" w:cs="宋体" w:eastAsia="宋体" w:hint="default"/>
        </w:rPr>
        <w:t>1 </w:t>
      </w:r>
      <w:r>
        <w:rPr/>
        <w:t>月 </w:t>
      </w:r>
      <w:r>
        <w:rPr>
          <w:rFonts w:ascii="宋体" w:hAnsi="宋体" w:cs="宋体" w:eastAsia="宋体" w:hint="default"/>
        </w:rPr>
        <w:t>17 </w:t>
      </w:r>
      <w:r>
        <w:rPr/>
        <w:t>日止）可行权总数量为 </w:t>
      </w:r>
      <w:r>
        <w:rPr>
          <w:rFonts w:ascii="宋体" w:hAnsi="宋体" w:cs="宋体" w:eastAsia="宋体" w:hint="default"/>
        </w:rPr>
        <w:t>436.761</w:t>
      </w:r>
      <w:r>
        <w:rPr>
          <w:rFonts w:ascii="宋体" w:hAnsi="宋体" w:cs="宋体" w:eastAsia="宋体" w:hint="default"/>
          <w:spacing w:val="-3"/>
        </w:rPr>
        <w:t> </w:t>
      </w:r>
      <w:r>
        <w:rPr/>
        <w:t>万份，并不在不得行权期行权。</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21</w:t>
      </w:r>
      <w:r>
        <w:rPr/>
        <w:t>日，公司第四届董事会第三十八 </w:t>
      </w:r>
      <w:r>
        <w:rPr>
          <w:spacing w:val="-2"/>
        </w:rPr>
        <w:t>次会议审议通过了《关于股票期权激励计划第二个行权期可行权的议案》。根据《东华软件股份公司股票期权激励计划（修</w:t>
      </w:r>
      <w:r>
        <w:rPr>
          <w:spacing w:val="-65"/>
        </w:rPr>
        <w:t> </w:t>
      </w:r>
      <w:r>
        <w:rPr>
          <w:spacing w:val="-65"/>
        </w:rPr>
      </w:r>
      <w:r>
        <w:rPr>
          <w:spacing w:val="-4"/>
        </w:rPr>
        <w:t>订稿）》的有关规定，第二个行权期已满足行权条件，激励对象在第二个行权期内（自授权日起</w:t>
      </w:r>
      <w:r>
        <w:rPr>
          <w:rFonts w:ascii="宋体" w:hAnsi="宋体" w:cs="宋体" w:eastAsia="宋体" w:hint="default"/>
          <w:spacing w:val="-4"/>
        </w:rPr>
        <w:t>24</w:t>
      </w:r>
      <w:r>
        <w:rPr>
          <w:rFonts w:ascii="宋体" w:hAnsi="宋体" w:cs="宋体" w:eastAsia="宋体" w:hint="default"/>
        </w:rPr>
        <w:t> </w:t>
      </w:r>
      <w:r>
        <w:rPr>
          <w:spacing w:val="-1"/>
        </w:rPr>
        <w:t>月后的首个交易日起至授</w:t>
      </w:r>
      <w:r>
        <w:rPr>
          <w:spacing w:val="-75"/>
        </w:rPr>
        <w:t> </w:t>
      </w:r>
      <w:r>
        <w:rPr>
          <w:spacing w:val="-75"/>
        </w:rPr>
      </w:r>
      <w:r>
        <w:rPr/>
        <w:t>权日起 </w:t>
      </w:r>
      <w:r>
        <w:rPr>
          <w:rFonts w:ascii="宋体" w:hAnsi="宋体" w:cs="宋体" w:eastAsia="宋体" w:hint="default"/>
        </w:rPr>
        <w:t>36 </w:t>
      </w:r>
      <w:r>
        <w:rPr/>
        <w:t>个月内的最后一个交易日当日止，即 </w:t>
      </w:r>
      <w:r>
        <w:rPr>
          <w:rFonts w:ascii="宋体" w:hAnsi="宋体" w:cs="宋体" w:eastAsia="宋体" w:hint="default"/>
        </w:rPr>
        <w:t>2014 </w:t>
      </w:r>
      <w:r>
        <w:rPr/>
        <w:t>年 </w:t>
      </w:r>
      <w:r>
        <w:rPr>
          <w:rFonts w:ascii="宋体" w:hAnsi="宋体" w:cs="宋体" w:eastAsia="宋体" w:hint="default"/>
        </w:rPr>
        <w:t>1</w:t>
      </w:r>
      <w:r>
        <w:rPr/>
        <w:t>月 </w:t>
      </w:r>
      <w:r>
        <w:rPr>
          <w:rFonts w:ascii="宋体" w:hAnsi="宋体" w:cs="宋体" w:eastAsia="宋体" w:hint="default"/>
        </w:rPr>
        <w:t>18 </w:t>
      </w:r>
      <w:r>
        <w:rPr/>
        <w:t>日至 </w:t>
      </w:r>
      <w:r>
        <w:rPr>
          <w:rFonts w:ascii="宋体" w:hAnsi="宋体" w:cs="宋体" w:eastAsia="宋体" w:hint="default"/>
        </w:rPr>
        <w:t>2015 </w:t>
      </w:r>
      <w:r>
        <w:rPr/>
        <w:t>年 </w:t>
      </w:r>
      <w:r>
        <w:rPr>
          <w:rFonts w:ascii="宋体" w:hAnsi="宋体" w:cs="宋体" w:eastAsia="宋体" w:hint="default"/>
        </w:rPr>
        <w:t>1 </w:t>
      </w:r>
      <w:r>
        <w:rPr/>
        <w:t>月 </w:t>
      </w:r>
      <w:r>
        <w:rPr>
          <w:rFonts w:ascii="宋体" w:hAnsi="宋体" w:cs="宋体" w:eastAsia="宋体" w:hint="default"/>
        </w:rPr>
        <w:t>17 </w:t>
      </w:r>
      <w:r>
        <w:rPr/>
        <w:t>日止）可行权总数量为</w:t>
      </w:r>
      <w:r>
        <w:rPr>
          <w:spacing w:val="-4"/>
        </w:rPr>
        <w:t> </w:t>
      </w:r>
      <w:r>
        <w:rPr>
          <w:rFonts w:ascii="宋体" w:hAnsi="宋体" w:cs="宋体" w:eastAsia="宋体" w:hint="default"/>
        </w:rPr>
        <w:t>426.426 </w:t>
      </w:r>
      <w:r>
        <w:rPr/>
        <w:t>万份，并不在不得行权期行权。</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27</w:t>
      </w:r>
      <w:r>
        <w:rPr/>
        <w:t>日，公司第五届董事会第十一次会议审议通过了《关于调整股票期权激励计划</w:t>
      </w:r>
      <w:r>
        <w:rPr>
          <w:spacing w:val="-85"/>
        </w:rPr>
        <w:t> </w:t>
      </w:r>
      <w:r>
        <w:rPr>
          <w:spacing w:val="-85"/>
        </w:rPr>
      </w:r>
      <w:r>
        <w:rPr>
          <w:spacing w:val="-2"/>
        </w:rPr>
        <w:t>股票期权数量及行权价格的议案》，公司因实施</w:t>
      </w:r>
      <w:r>
        <w:rPr>
          <w:rFonts w:ascii="宋体" w:hAnsi="宋体" w:cs="宋体" w:eastAsia="宋体" w:hint="default"/>
          <w:spacing w:val="-2"/>
        </w:rPr>
        <w:t>2013</w:t>
      </w:r>
      <w:r>
        <w:rPr>
          <w:spacing w:val="-2"/>
        </w:rPr>
        <w:t>年度利润分配方案，股票期权数量调整为</w:t>
      </w:r>
      <w:r>
        <w:rPr>
          <w:rFonts w:ascii="宋体" w:hAnsi="宋体" w:cs="宋体" w:eastAsia="宋体" w:hint="default"/>
          <w:spacing w:val="-2"/>
        </w:rPr>
        <w:t>1185.366</w:t>
      </w:r>
      <w:r>
        <w:rPr>
          <w:spacing w:val="-2"/>
        </w:rPr>
        <w:t>万份，行权价格调整</w:t>
      </w:r>
      <w:r>
        <w:rPr>
          <w:spacing w:val="-58"/>
        </w:rPr>
        <w:t> </w:t>
      </w:r>
      <w:r>
        <w:rPr/>
        <w:t>为</w:t>
      </w:r>
      <w:r>
        <w:rPr>
          <w:rFonts w:ascii="宋体" w:hAnsi="宋体" w:cs="宋体" w:eastAsia="宋体" w:hint="default"/>
        </w:rPr>
        <w:t>8.03</w:t>
      </w:r>
      <w:r>
        <w:rPr/>
        <w:t>元。公司股票期权激励计划部分原激励对象因个人原因离职、业绩考核不合格，其已不再满足成为激励对象的条件，</w:t>
      </w:r>
      <w:r>
        <w:rPr>
          <w:spacing w:val="-84"/>
        </w:rPr>
        <w:t> </w:t>
      </w:r>
      <w:r>
        <w:rPr>
          <w:spacing w:val="-84"/>
        </w:rPr>
      </w:r>
      <w:r>
        <w:rPr>
          <w:spacing w:val="-2"/>
        </w:rPr>
        <w:t>因此公司根据《股权激励计划（草案）修订稿》的相关规定，对本次激励对象和期权数量做出相应调整，调整后公司股票期</w:t>
      </w:r>
      <w:r>
        <w:rPr>
          <w:spacing w:val="-70"/>
        </w:rPr>
        <w:t> </w:t>
      </w:r>
      <w:r>
        <w:rPr>
          <w:spacing w:val="-70"/>
        </w:rPr>
      </w:r>
      <w:r>
        <w:rPr/>
        <w:t>权的激励对象调整为 </w:t>
      </w:r>
      <w:r>
        <w:rPr>
          <w:rFonts w:ascii="宋体" w:hAnsi="宋体" w:cs="宋体" w:eastAsia="宋体" w:hint="default"/>
        </w:rPr>
        <w:t>335 </w:t>
      </w:r>
      <w:r>
        <w:rPr/>
        <w:t>名，已授予未行权的数量调整为 </w:t>
      </w:r>
      <w:r>
        <w:rPr>
          <w:rFonts w:ascii="宋体" w:hAnsi="宋体" w:cs="宋体" w:eastAsia="宋体" w:hint="default"/>
        </w:rPr>
        <w:t>1132.456 </w:t>
      </w:r>
      <w:r>
        <w:rPr/>
        <w:t>万份。</w:t>
      </w:r>
      <w:r>
        <w:rPr>
          <w:spacing w:val="-4"/>
        </w:rPr>
        <w:t>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20</w:t>
      </w:r>
      <w:r>
        <w:rPr/>
        <w:t>日，公司第五届董事会第十五次 </w:t>
      </w:r>
      <w:r>
        <w:rPr>
          <w:spacing w:val="-2"/>
        </w:rPr>
        <w:t>会议审议通过了《关于股票期权激励计划第三个行权期可行权的议案》。根据《东华软件股份公司股票期权激励计划（修订</w:t>
      </w:r>
      <w:r>
        <w:rPr>
          <w:spacing w:val="-64"/>
        </w:rPr>
        <w:t> </w:t>
      </w:r>
      <w:r>
        <w:rPr>
          <w:spacing w:val="-64"/>
        </w:rPr>
      </w:r>
      <w:r>
        <w:rPr>
          <w:spacing w:val="-4"/>
        </w:rPr>
        <w:t>稿）》的有关规定，第三个行权期已满足行权条件，公司股权激励计划</w:t>
      </w:r>
      <w:r>
        <w:rPr>
          <w:rFonts w:ascii="宋体" w:hAnsi="宋体" w:cs="宋体" w:eastAsia="宋体" w:hint="default"/>
          <w:spacing w:val="-4"/>
        </w:rPr>
        <w:t>335</w:t>
      </w:r>
      <w:r>
        <w:rPr>
          <w:spacing w:val="-4"/>
        </w:rPr>
        <w:t>名激励对象在公司的第三个行权期内（自授权日起</w:t>
      </w:r>
      <w:r>
        <w:rPr>
          <w:spacing w:val="-39"/>
        </w:rPr>
        <w:t> </w:t>
      </w:r>
      <w:r>
        <w:rPr>
          <w:spacing w:val="-39"/>
        </w:rPr>
      </w:r>
      <w:r>
        <w:rPr>
          <w:rFonts w:ascii="宋体" w:hAnsi="宋体" w:cs="宋体" w:eastAsia="宋体" w:hint="default"/>
          <w:spacing w:val="-2"/>
        </w:rPr>
        <w:t>36</w:t>
      </w:r>
      <w:r>
        <w:rPr>
          <w:spacing w:val="-2"/>
        </w:rPr>
        <w:t>月后的首个交易日起至授权日起</w:t>
      </w:r>
      <w:r>
        <w:rPr>
          <w:rFonts w:ascii="宋体" w:hAnsi="宋体" w:cs="宋体" w:eastAsia="宋体" w:hint="default"/>
          <w:spacing w:val="-2"/>
        </w:rPr>
        <w:t>48</w:t>
      </w:r>
      <w:r>
        <w:rPr>
          <w:spacing w:val="-2"/>
        </w:rPr>
        <w:t>个月内的最后一个交易日当日止，即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日止）可行权总数量</w:t>
      </w:r>
      <w:r>
        <w:rPr>
          <w:spacing w:val="-58"/>
        </w:rPr>
        <w:t> </w:t>
      </w:r>
      <w:r>
        <w:rPr>
          <w:spacing w:val="-58"/>
        </w:rPr>
      </w:r>
      <w:r>
        <w:rPr/>
        <w:t>为</w:t>
      </w:r>
      <w:r>
        <w:rPr>
          <w:rFonts w:ascii="宋体" w:hAnsi="宋体" w:cs="宋体" w:eastAsia="宋体" w:hint="default"/>
        </w:rPr>
        <w:t>566.228</w:t>
      </w:r>
      <w:r>
        <w:rPr/>
        <w:t>万份，并不在不得行权期行权。</w:t>
      </w:r>
      <w:r>
        <w:rPr>
          <w:rFonts w:ascii="宋体" w:hAnsi="宋体" w:cs="宋体" w:eastAsia="宋体" w:hint="default"/>
        </w:rPr>
        <w:t>2015</w:t>
      </w:r>
      <w:r>
        <w:rPr>
          <w:rFonts w:ascii="宋体" w:hAnsi="宋体" w:cs="宋体" w:eastAsia="宋体" w:hint="default"/>
          <w:spacing w:val="-21"/>
        </w:rPr>
        <w:t> </w:t>
      </w:r>
      <w:r>
        <w:rPr/>
        <w:t>年</w:t>
      </w:r>
      <w:r>
        <w:rPr>
          <w:spacing w:val="-24"/>
        </w:rPr>
        <w:t> </w:t>
      </w:r>
      <w:r>
        <w:rPr>
          <w:rFonts w:ascii="宋体" w:hAnsi="宋体" w:cs="宋体" w:eastAsia="宋体" w:hint="default"/>
        </w:rPr>
        <w:t>6</w:t>
      </w:r>
      <w:r>
        <w:rPr>
          <w:rFonts w:ascii="宋体" w:hAnsi="宋体" w:cs="宋体" w:eastAsia="宋体" w:hint="default"/>
          <w:spacing w:val="-21"/>
        </w:rPr>
        <w:t> </w:t>
      </w:r>
      <w:r>
        <w:rPr/>
        <w:t>月</w:t>
      </w:r>
      <w:r>
        <w:rPr>
          <w:rFonts w:ascii="宋体" w:hAnsi="宋体" w:cs="宋体" w:eastAsia="宋体" w:hint="default"/>
        </w:rPr>
        <w:t>17</w:t>
      </w:r>
      <w:r>
        <w:rPr>
          <w:rFonts w:ascii="宋体" w:hAnsi="宋体" w:cs="宋体" w:eastAsia="宋体" w:hint="default"/>
          <w:spacing w:val="-23"/>
        </w:rPr>
        <w:t> </w:t>
      </w:r>
      <w:r>
        <w:rPr/>
        <w:t>日，公司第五届董事会第二十四次会议审议通过了《关于调整股</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46"/>
        <w:jc w:val="both"/>
      </w:pPr>
      <w:r>
        <w:rPr>
          <w:spacing w:val="-3"/>
        </w:rPr>
        <w:t>票期权激励计划行权价格的议案》，公司因实施</w:t>
      </w:r>
      <w:r>
        <w:rPr>
          <w:spacing w:val="13"/>
        </w:rPr>
        <w:t> </w:t>
      </w:r>
      <w:r>
        <w:rPr>
          <w:rFonts w:ascii="宋体" w:hAnsi="宋体" w:cs="宋体" w:eastAsia="宋体" w:hint="default"/>
          <w:spacing w:val="-1"/>
        </w:rPr>
        <w:t>2014</w:t>
      </w:r>
      <w:r>
        <w:rPr>
          <w:rFonts w:ascii="宋体" w:hAnsi="宋体" w:cs="宋体" w:eastAsia="宋体" w:hint="default"/>
          <w:spacing w:val="14"/>
        </w:rPr>
        <w:t> </w:t>
      </w:r>
      <w:r>
        <w:rPr>
          <w:spacing w:val="1"/>
        </w:rPr>
        <w:t>年度利润分配方案，股票期权行权价格调整为</w:t>
      </w:r>
      <w:r>
        <w:rPr>
          <w:rFonts w:ascii="宋体" w:hAnsi="宋体" w:cs="宋体" w:eastAsia="宋体" w:hint="default"/>
          <w:spacing w:val="1"/>
        </w:rPr>
        <w:t>7.88</w:t>
      </w:r>
      <w:r>
        <w:rPr>
          <w:spacing w:val="1"/>
        </w:rPr>
        <w:t>元。</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28</w:t>
      </w:r>
      <w:r>
        <w:rPr>
          <w:rFonts w:ascii="宋体" w:hAnsi="宋体" w:cs="宋体" w:eastAsia="宋体" w:hint="default"/>
          <w:spacing w:val="-88"/>
        </w:rPr>
        <w:t> </w:t>
      </w:r>
      <w:r>
        <w:rPr/>
        <w:t>日，公司第五届董事会第二十八次会议审议通过调整股票期权激励计划激励对象和期权数量的议案，因</w:t>
      </w:r>
      <w:r>
        <w:rPr>
          <w:rFonts w:ascii="宋体" w:hAnsi="宋体" w:cs="宋体" w:eastAsia="宋体" w:hint="default"/>
        </w:rPr>
        <w:t>2</w:t>
      </w:r>
      <w:r>
        <w:rPr/>
        <w:t>名激励对象逝世，</w:t>
      </w:r>
      <w:r>
        <w:rPr>
          <w:spacing w:val="-82"/>
        </w:rPr>
        <w:t> </w:t>
      </w:r>
      <w:r>
        <w:rPr>
          <w:spacing w:val="-2"/>
        </w:rPr>
        <w:t>已不再满足成为激励对象的条件，激励对象由</w:t>
      </w:r>
      <w:r>
        <w:rPr>
          <w:rFonts w:ascii="宋体" w:hAnsi="宋体" w:cs="宋体" w:eastAsia="宋体" w:hint="default"/>
          <w:spacing w:val="-2"/>
        </w:rPr>
        <w:t>335</w:t>
      </w:r>
      <w:r>
        <w:rPr>
          <w:spacing w:val="-2"/>
        </w:rPr>
        <w:t>名调整为</w:t>
      </w:r>
      <w:r>
        <w:rPr>
          <w:rFonts w:ascii="宋体" w:hAnsi="宋体" w:cs="宋体" w:eastAsia="宋体" w:hint="default"/>
          <w:spacing w:val="-2"/>
        </w:rPr>
        <w:t>333</w:t>
      </w:r>
      <w:r>
        <w:rPr>
          <w:spacing w:val="-2"/>
        </w:rPr>
        <w:t>名，对应的</w:t>
      </w:r>
      <w:r>
        <w:rPr>
          <w:rFonts w:ascii="宋体" w:hAnsi="宋体" w:cs="宋体" w:eastAsia="宋体" w:hint="default"/>
          <w:spacing w:val="-2"/>
        </w:rPr>
        <w:t>8.32</w:t>
      </w:r>
      <w:r>
        <w:rPr>
          <w:spacing w:val="-2"/>
        </w:rPr>
        <w:t>万份期权予以注销，已授予未行权的期权数量</w:t>
      </w:r>
      <w:r>
        <w:rPr>
          <w:spacing w:val="-60"/>
        </w:rPr>
        <w:t> </w:t>
      </w:r>
      <w:r>
        <w:rPr>
          <w:spacing w:val="-60"/>
        </w:rPr>
      </w:r>
      <w:r>
        <w:rPr/>
        <w:t>由</w:t>
      </w:r>
      <w:r>
        <w:rPr>
          <w:rFonts w:ascii="宋体" w:hAnsi="宋体" w:cs="宋体" w:eastAsia="宋体" w:hint="default"/>
        </w:rPr>
        <w:t>573.508</w:t>
      </w:r>
      <w:r>
        <w:rPr/>
        <w:t>万份变更为</w:t>
      </w:r>
      <w:r>
        <w:rPr>
          <w:rFonts w:ascii="宋体" w:hAnsi="宋体" w:cs="宋体" w:eastAsia="宋体" w:hint="default"/>
        </w:rPr>
        <w:t>565.188</w:t>
      </w:r>
      <w:r>
        <w:rPr/>
        <w:t>万份。</w:t>
      </w:r>
    </w:p>
    <w:p>
      <w:pPr>
        <w:pStyle w:val="BodyText"/>
        <w:spacing w:line="240" w:lineRule="auto" w:before="137"/>
        <w:ind w:left="573" w:right="153"/>
        <w:jc w:val="left"/>
      </w:pPr>
      <w:r>
        <w:rPr/>
        <w:t>截止本报告日，公司股权激励第一期、第二期、第三期激励对象均已行权完毕。</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w:t>
      </w:r>
      <w:r>
        <w:rPr/>
        <w:t>、以现金结算的股份支付情况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w:t>
      </w:r>
      <w:r>
        <w:rPr/>
        <w:t>、股份支付的修改、终止情况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73" w:right="153"/>
        <w:jc w:val="left"/>
      </w:pPr>
      <w:r>
        <w:rPr/>
        <w:t>本报告期未发生股份支付修改、终止情况详见上述（一</w:t>
      </w:r>
      <w:r>
        <w:rPr>
          <w:spacing w:val="-92"/>
        </w:rPr>
        <w:t>）</w:t>
      </w:r>
      <w:r>
        <w:rPr/>
        <w:t>。</w:t>
      </w:r>
    </w:p>
    <w:p>
      <w:pPr>
        <w:spacing w:line="240" w:lineRule="auto" w:before="0"/>
        <w:rPr>
          <w:rFonts w:ascii="宋体" w:hAnsi="宋体" w:cs="宋体" w:eastAsia="宋体" w:hint="default"/>
          <w:sz w:val="18"/>
          <w:szCs w:val="18"/>
        </w:rPr>
      </w:pPr>
    </w:p>
    <w:p>
      <w:pPr>
        <w:spacing w:line="501" w:lineRule="auto" w:before="121"/>
        <w:ind w:left="152" w:right="736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31"/>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）资产负债表日存在的重要或有事项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73" w:right="153"/>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日，本公司不存在应披露的重要的未决诉讼、对外担保等或有事项。</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73" w:right="153"/>
        <w:jc w:val="left"/>
      </w:pPr>
      <w:r>
        <w:rPr/>
        <w:t>公司不存在需要披露的重要或有事项。</w:t>
      </w:r>
    </w:p>
    <w:p>
      <w:pPr>
        <w:spacing w:line="240" w:lineRule="auto" w:before="0"/>
        <w:rPr>
          <w:rFonts w:ascii="宋体" w:hAnsi="宋体" w:cs="宋体" w:eastAsia="宋体" w:hint="default"/>
          <w:sz w:val="18"/>
          <w:szCs w:val="18"/>
        </w:rPr>
      </w:pPr>
    </w:p>
    <w:p>
      <w:pPr>
        <w:spacing w:line="501" w:lineRule="auto" w:before="120"/>
        <w:ind w:left="152" w:right="688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32"/>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、利润分配情况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73" w:right="153"/>
        <w:jc w:val="left"/>
      </w:pPr>
      <w:r>
        <w:rPr/>
        <w:t>以公司权益分派登记日的公司股本为股份基数，向全体股东每</w:t>
      </w:r>
      <w:r>
        <w:rPr>
          <w:rFonts w:ascii="宋体" w:hAnsi="宋体" w:cs="宋体" w:eastAsia="宋体" w:hint="default"/>
          <w:spacing w:val="1"/>
        </w:rPr>
        <w:t>10</w:t>
      </w:r>
      <w:r>
        <w:rPr/>
        <w:t>股派发现金红利</w:t>
      </w:r>
      <w:r>
        <w:rPr>
          <w:rFonts w:ascii="宋体" w:hAnsi="宋体" w:cs="宋体" w:eastAsia="宋体" w:hint="default"/>
          <w:spacing w:val="-2"/>
        </w:rPr>
        <w:t>1</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spacing w:val="1"/>
        </w:rPr>
        <w:t>0</w:t>
      </w:r>
      <w:r>
        <w:rPr/>
        <w:t>元</w:t>
      </w:r>
      <w:r>
        <w:rPr>
          <w:spacing w:val="-3"/>
        </w:rPr>
        <w:t>（</w:t>
      </w:r>
      <w:r>
        <w:rPr/>
        <w:t>含税</w:t>
      </w:r>
      <w:r>
        <w:rPr>
          <w:spacing w:val="-92"/>
        </w:rPr>
        <w:t>）</w:t>
      </w:r>
      <w:r>
        <w:rPr/>
        <w:t>。</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宋体" w:hAnsi="宋体" w:cs="宋体" w:eastAsia="宋体" w:hint="default"/>
        </w:rPr>
        <w:t>3</w:t>
      </w:r>
      <w:r>
        <w:rPr/>
        <w:t>、销售退回</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w:t>
      </w:r>
      <w:r>
        <w:rPr/>
        <w:t>、其他资产负债表日后事项说明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十六、其他重要事项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2,722,2</w:t>
            </w:r>
          </w:p>
          <w:p>
            <w:pPr>
              <w:pStyle w:val="TableParagraph"/>
              <w:spacing w:line="240" w:lineRule="auto" w:before="74"/>
              <w:ind w:right="20"/>
              <w:jc w:val="right"/>
              <w:rPr>
                <w:rFonts w:ascii="宋体" w:hAnsi="宋体" w:cs="宋体" w:eastAsia="宋体" w:hint="default"/>
                <w:sz w:val="18"/>
                <w:szCs w:val="18"/>
              </w:rPr>
            </w:pPr>
            <w:r>
              <w:rPr>
                <w:rFonts w:ascii="宋体"/>
                <w:sz w:val="18"/>
              </w:rPr>
              <w:t>97,616.</w:t>
            </w:r>
          </w:p>
          <w:p>
            <w:pPr>
              <w:pStyle w:val="TableParagraph"/>
              <w:spacing w:line="240" w:lineRule="auto" w:before="77"/>
              <w:ind w:right="17"/>
              <w:jc w:val="right"/>
              <w:rPr>
                <w:rFonts w:ascii="宋体" w:hAnsi="宋体" w:cs="宋体" w:eastAsia="宋体" w:hint="default"/>
                <w:sz w:val="18"/>
                <w:szCs w:val="18"/>
              </w:rPr>
            </w:pPr>
            <w:r>
              <w:rPr>
                <w:rFonts w:ascii="宋体"/>
                <w:sz w:val="18"/>
              </w:rPr>
              <w:t>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119,166</w:t>
            </w:r>
          </w:p>
          <w:p>
            <w:pPr>
              <w:pStyle w:val="TableParagraph"/>
              <w:spacing w:line="240" w:lineRule="auto" w:before="74"/>
              <w:ind w:left="98" w:right="0"/>
              <w:jc w:val="left"/>
              <w:rPr>
                <w:rFonts w:ascii="宋体" w:hAnsi="宋体" w:cs="宋体" w:eastAsia="宋体" w:hint="default"/>
                <w:sz w:val="18"/>
                <w:szCs w:val="18"/>
              </w:rPr>
            </w:pPr>
            <w:r>
              <w:rPr>
                <w:rFonts w:ascii="宋体"/>
                <w:sz w:val="18"/>
              </w:rPr>
              <w:t>,913.31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0" w:right="0"/>
              <w:jc w:val="left"/>
              <w:rPr>
                <w:rFonts w:ascii="宋体" w:hAnsi="宋体" w:cs="宋体" w:eastAsia="宋体" w:hint="default"/>
                <w:sz w:val="18"/>
                <w:szCs w:val="18"/>
              </w:rPr>
            </w:pPr>
            <w:r>
              <w:rPr>
                <w:rFonts w:ascii="宋体"/>
                <w:sz w:val="18"/>
              </w:rPr>
              <w:t>4.38%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2,603,13</w:t>
            </w:r>
          </w:p>
          <w:p>
            <w:pPr>
              <w:pStyle w:val="TableParagraph"/>
              <w:spacing w:line="240" w:lineRule="auto" w:before="74"/>
              <w:ind w:left="35" w:right="0"/>
              <w:jc w:val="left"/>
              <w:rPr>
                <w:rFonts w:ascii="宋体" w:hAnsi="宋体" w:cs="宋体" w:eastAsia="宋体" w:hint="default"/>
                <w:sz w:val="18"/>
                <w:szCs w:val="18"/>
              </w:rPr>
            </w:pPr>
            <w:r>
              <w:rPr>
                <w:rFonts w:ascii="宋体"/>
                <w:sz w:val="18"/>
              </w:rPr>
              <w:t>0,702.76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center"/>
              <w:rPr>
                <w:rFonts w:ascii="宋体" w:hAnsi="宋体" w:cs="宋体" w:eastAsia="宋体" w:hint="default"/>
                <w:sz w:val="18"/>
                <w:szCs w:val="18"/>
              </w:rPr>
            </w:pPr>
            <w:r>
              <w:rPr>
                <w:rFonts w:ascii="宋体"/>
                <w:sz w:val="18"/>
              </w:rPr>
              <w:t>2,317,</w:t>
            </w:r>
          </w:p>
          <w:p>
            <w:pPr>
              <w:pStyle w:val="TableParagraph"/>
              <w:spacing w:line="240" w:lineRule="auto" w:before="74"/>
              <w:ind w:left="63" w:right="0"/>
              <w:jc w:val="center"/>
              <w:rPr>
                <w:rFonts w:ascii="宋体" w:hAnsi="宋体" w:cs="宋体" w:eastAsia="宋体" w:hint="default"/>
                <w:sz w:val="18"/>
                <w:szCs w:val="18"/>
              </w:rPr>
            </w:pPr>
            <w:r>
              <w:rPr>
                <w:rFonts w:ascii="宋体"/>
                <w:sz w:val="18"/>
              </w:rPr>
              <w:t>874,82</w:t>
            </w:r>
          </w:p>
          <w:p>
            <w:pPr>
              <w:pStyle w:val="TableParagraph"/>
              <w:spacing w:line="240" w:lineRule="auto" w:before="77"/>
              <w:ind w:left="243" w:right="0"/>
              <w:jc w:val="center"/>
              <w:rPr>
                <w:rFonts w:ascii="宋体" w:hAnsi="宋体" w:cs="宋体" w:eastAsia="宋体" w:hint="default"/>
                <w:sz w:val="18"/>
                <w:szCs w:val="18"/>
              </w:rPr>
            </w:pPr>
            <w:r>
              <w:rPr>
                <w:rFonts w:ascii="宋体"/>
                <w:sz w:val="18"/>
              </w:rPr>
              <w:t>6.30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79,414,5</w:t>
            </w:r>
          </w:p>
          <w:p>
            <w:pPr>
              <w:pStyle w:val="TableParagraph"/>
              <w:spacing w:line="240" w:lineRule="auto" w:before="74"/>
              <w:ind w:left="331" w:right="0"/>
              <w:jc w:val="left"/>
              <w:rPr>
                <w:rFonts w:ascii="宋体" w:hAnsi="宋体" w:cs="宋体" w:eastAsia="宋体" w:hint="default"/>
                <w:sz w:val="18"/>
                <w:szCs w:val="18"/>
              </w:rPr>
            </w:pPr>
            <w:r>
              <w:rPr>
                <w:rFonts w:ascii="宋体"/>
                <w:sz w:val="18"/>
              </w:rPr>
              <w:t>36.71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3.43%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2,238,460</w:t>
            </w:r>
          </w:p>
          <w:p>
            <w:pPr>
              <w:pStyle w:val="TableParagraph"/>
              <w:spacing w:line="240" w:lineRule="auto" w:before="74"/>
              <w:ind w:left="247" w:right="0"/>
              <w:jc w:val="center"/>
              <w:rPr>
                <w:rFonts w:ascii="宋体" w:hAnsi="宋体" w:cs="宋体" w:eastAsia="宋体" w:hint="default"/>
                <w:sz w:val="18"/>
                <w:szCs w:val="18"/>
              </w:rPr>
            </w:pPr>
            <w:r>
              <w:rPr>
                <w:rFonts w:ascii="宋体"/>
                <w:sz w:val="18"/>
              </w:rPr>
              <w:t>,289.59</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2,722,2</w:t>
            </w:r>
          </w:p>
          <w:p>
            <w:pPr>
              <w:pStyle w:val="TableParagraph"/>
              <w:spacing w:line="240" w:lineRule="auto" w:before="76"/>
              <w:ind w:right="20"/>
              <w:jc w:val="right"/>
              <w:rPr>
                <w:rFonts w:ascii="宋体" w:hAnsi="宋体" w:cs="宋体" w:eastAsia="宋体" w:hint="default"/>
                <w:sz w:val="18"/>
                <w:szCs w:val="18"/>
              </w:rPr>
            </w:pPr>
            <w:r>
              <w:rPr>
                <w:rFonts w:ascii="宋体"/>
                <w:sz w:val="18"/>
              </w:rPr>
              <w:t>97,616.</w:t>
            </w:r>
          </w:p>
          <w:p>
            <w:pPr>
              <w:pStyle w:val="TableParagraph"/>
              <w:spacing w:line="240" w:lineRule="auto" w:before="76"/>
              <w:ind w:right="17"/>
              <w:jc w:val="right"/>
              <w:rPr>
                <w:rFonts w:ascii="宋体" w:hAnsi="宋体" w:cs="宋体" w:eastAsia="宋体" w:hint="default"/>
                <w:sz w:val="18"/>
                <w:szCs w:val="18"/>
              </w:rPr>
            </w:pPr>
            <w:r>
              <w:rPr>
                <w:rFonts w:ascii="宋体"/>
                <w:sz w:val="18"/>
              </w:rPr>
              <w:t>07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119,166</w:t>
            </w:r>
          </w:p>
          <w:p>
            <w:pPr>
              <w:pStyle w:val="TableParagraph"/>
              <w:spacing w:line="240" w:lineRule="auto" w:before="76"/>
              <w:ind w:left="98" w:right="0"/>
              <w:jc w:val="left"/>
              <w:rPr>
                <w:rFonts w:ascii="宋体" w:hAnsi="宋体" w:cs="宋体" w:eastAsia="宋体" w:hint="default"/>
                <w:sz w:val="18"/>
                <w:szCs w:val="18"/>
              </w:rPr>
            </w:pPr>
            <w:r>
              <w:rPr>
                <w:rFonts w:ascii="宋体"/>
                <w:sz w:val="18"/>
              </w:rPr>
              <w:t>,913.31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0" w:right="0"/>
              <w:jc w:val="left"/>
              <w:rPr>
                <w:rFonts w:ascii="宋体" w:hAnsi="宋体" w:cs="宋体" w:eastAsia="宋体" w:hint="default"/>
                <w:sz w:val="18"/>
                <w:szCs w:val="18"/>
              </w:rPr>
            </w:pPr>
            <w:r>
              <w:rPr>
                <w:rFonts w:ascii="宋体"/>
                <w:sz w:val="18"/>
              </w:rPr>
              <w:t>4.38%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2,603,13</w:t>
            </w:r>
          </w:p>
          <w:p>
            <w:pPr>
              <w:pStyle w:val="TableParagraph"/>
              <w:spacing w:line="240" w:lineRule="auto" w:before="76"/>
              <w:ind w:left="35" w:right="0"/>
              <w:jc w:val="left"/>
              <w:rPr>
                <w:rFonts w:ascii="宋体" w:hAnsi="宋体" w:cs="宋体" w:eastAsia="宋体" w:hint="default"/>
                <w:sz w:val="18"/>
                <w:szCs w:val="18"/>
              </w:rPr>
            </w:pPr>
            <w:r>
              <w:rPr>
                <w:rFonts w:ascii="宋体"/>
                <w:sz w:val="18"/>
              </w:rPr>
              <w:t>0,702.76</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49"/>
              <w:ind w:left="63" w:right="0"/>
              <w:jc w:val="center"/>
              <w:rPr>
                <w:rFonts w:ascii="宋体" w:hAnsi="宋体" w:cs="宋体" w:eastAsia="宋体" w:hint="default"/>
                <w:sz w:val="18"/>
                <w:szCs w:val="18"/>
              </w:rPr>
            </w:pPr>
            <w:r>
              <w:rPr>
                <w:rFonts w:ascii="宋体"/>
                <w:sz w:val="18"/>
              </w:rPr>
              <w:t>2,317,</w:t>
            </w:r>
          </w:p>
          <w:p>
            <w:pPr>
              <w:pStyle w:val="TableParagraph"/>
              <w:spacing w:line="240" w:lineRule="auto" w:before="76"/>
              <w:ind w:left="63" w:right="0"/>
              <w:jc w:val="center"/>
              <w:rPr>
                <w:rFonts w:ascii="宋体" w:hAnsi="宋体" w:cs="宋体" w:eastAsia="宋体" w:hint="default"/>
                <w:sz w:val="18"/>
                <w:szCs w:val="18"/>
              </w:rPr>
            </w:pPr>
            <w:r>
              <w:rPr>
                <w:rFonts w:ascii="宋体"/>
                <w:sz w:val="18"/>
              </w:rPr>
              <w:t>874,82</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6.30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79,414,5</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36.71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9" w:right="0"/>
              <w:jc w:val="left"/>
              <w:rPr>
                <w:rFonts w:ascii="宋体" w:hAnsi="宋体" w:cs="宋体" w:eastAsia="宋体" w:hint="default"/>
                <w:sz w:val="18"/>
                <w:szCs w:val="18"/>
              </w:rPr>
            </w:pPr>
            <w:r>
              <w:rPr>
                <w:rFonts w:ascii="宋体"/>
                <w:sz w:val="18"/>
              </w:rPr>
              <w:t>3.43%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2,238,460</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,289.59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9"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293" w:space="462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4"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1,636,952,270.15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16,369,522.70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786,527,296.99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39,326,364.85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198,832,639.69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19,883,263.97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42,709,371.92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12,812,811.58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37,858,695.87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11,357,608.76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19,417,341.45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19,417,341.45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2,722,297,616.07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119,166,913.31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4.38%</w:t>
            </w:r>
          </w:p>
        </w:tc>
      </w:tr>
    </w:tbl>
    <w:p>
      <w:pPr>
        <w:pStyle w:val="BodyText"/>
        <w:spacing w:line="240" w:lineRule="auto" w:before="49"/>
        <w:ind w:right="153"/>
        <w:jc w:val="left"/>
      </w:pPr>
      <w:r>
        <w:rPr/>
        <w:t>确定该组合依据的说明：</w:t>
      </w:r>
    </w:p>
    <w:p>
      <w:pPr>
        <w:spacing w:line="240" w:lineRule="auto" w:before="0"/>
        <w:rPr>
          <w:rFonts w:ascii="宋体" w:hAnsi="宋体" w:cs="宋体" w:eastAsia="宋体" w:hint="default"/>
          <w:sz w:val="15"/>
          <w:szCs w:val="15"/>
        </w:rPr>
      </w:pPr>
    </w:p>
    <w:p>
      <w:pPr>
        <w:pStyle w:val="BodyText"/>
        <w:spacing w:line="316" w:lineRule="auto"/>
        <w:ind w:right="153" w:firstLine="420"/>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BodyText"/>
        <w:spacing w:line="240" w:lineRule="auto" w:before="139"/>
        <w:ind w:right="153"/>
        <w:jc w:val="left"/>
      </w:pPr>
      <w:r>
        <w:rPr/>
        <w:t>组合中，采用余额百分比法计提坏账准备的应收账款：</w:t>
      </w:r>
    </w:p>
    <w:p>
      <w:pPr>
        <w:pStyle w:val="BodyText"/>
        <w:spacing w:line="360" w:lineRule="auto" w:before="115"/>
        <w:ind w:right="5814"/>
        <w:jc w:val="left"/>
      </w:pPr>
      <w:r>
        <w:rPr/>
        <w:t>□ 适用 √</w:t>
      </w:r>
      <w:r>
        <w:rPr>
          <w:spacing w:val="3"/>
        </w:rPr>
        <w:t> </w:t>
      </w:r>
      <w:r>
        <w:rPr/>
        <w:t>不适用</w:t>
      </w:r>
      <w:r>
        <w:rPr/>
        <w:t> 组合中，采用其他方法计提坏账准备的应收账款：</w:t>
      </w:r>
    </w:p>
    <w:p>
      <w:pPr>
        <w:spacing w:line="240" w:lineRule="auto" w:before="5"/>
        <w:rPr>
          <w:rFonts w:ascii="宋体" w:hAnsi="宋体" w:cs="宋体" w:eastAsia="宋体" w:hint="default"/>
          <w:sz w:val="20"/>
          <w:szCs w:val="20"/>
        </w:rPr>
      </w:pPr>
    </w:p>
    <w:p>
      <w:pPr>
        <w:pStyle w:val="Heading3"/>
        <w:spacing w:line="240" w:lineRule="auto"/>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本期计提坏账准备金额</w:t>
      </w:r>
      <w:r>
        <w:rPr>
          <w:spacing w:val="-47"/>
        </w:rPr>
        <w:t> </w:t>
      </w:r>
      <w:r>
        <w:rPr>
          <w:rFonts w:ascii="宋体" w:hAnsi="宋体" w:cs="宋体" w:eastAsia="宋体" w:hint="default"/>
        </w:rPr>
        <w:t>39,752,376.60</w:t>
      </w:r>
      <w:r>
        <w:rPr>
          <w:rFonts w:ascii="宋体" w:hAnsi="宋体" w:cs="宋体" w:eastAsia="宋体" w:hint="default"/>
          <w:spacing w:val="-45"/>
        </w:rPr>
        <w:t> </w:t>
      </w:r>
      <w:r>
        <w:rPr/>
        <w:t>元；本期收回或转回坏账准备金额</w:t>
      </w:r>
      <w:r>
        <w:rPr>
          <w:spacing w:val="-48"/>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7"/>
          <w:szCs w:val="27"/>
        </w:rPr>
      </w:pPr>
    </w:p>
    <w:p>
      <w:pPr>
        <w:pStyle w:val="BodyText"/>
        <w:spacing w:line="316" w:lineRule="auto"/>
        <w:ind w:right="153" w:firstLine="420"/>
        <w:jc w:val="left"/>
      </w:pPr>
      <w:r>
        <w:rPr>
          <w:spacing w:val="3"/>
        </w:rPr>
        <w:t>本报告期按欠款方归集的期末余额前五名应收账款汇总金额</w:t>
      </w:r>
      <w:r>
        <w:rPr>
          <w:rFonts w:ascii="宋体" w:hAnsi="宋体" w:cs="宋体" w:eastAsia="宋体" w:hint="default"/>
          <w:spacing w:val="3"/>
        </w:rPr>
        <w:t>444,540,749.15</w:t>
      </w:r>
      <w:r>
        <w:rPr>
          <w:spacing w:val="3"/>
        </w:rPr>
        <w:t>元，占应收账款期末余额合计数的比例</w:t>
      </w:r>
      <w:r>
        <w:rPr>
          <w:spacing w:val="4"/>
        </w:rPr>
        <w:t> </w:t>
      </w:r>
      <w:r>
        <w:rPr>
          <w:rFonts w:ascii="宋体" w:hAnsi="宋体" w:cs="宋体" w:eastAsia="宋体" w:hint="default"/>
        </w:rPr>
        <w:t>16.33%</w:t>
      </w:r>
      <w:r>
        <w:rPr/>
        <w:t>，相应计提的坏账准备期末余额汇总金额</w:t>
      </w:r>
      <w:r>
        <w:rPr>
          <w:rFonts w:ascii="宋体" w:hAnsi="宋体" w:cs="宋体" w:eastAsia="宋体" w:hint="default"/>
        </w:rPr>
        <w:t>16,328,193.29</w:t>
      </w:r>
      <w:r>
        <w:rPr/>
        <w:t>元。</w:t>
      </w:r>
    </w:p>
    <w:p>
      <w:pPr>
        <w:spacing w:line="240" w:lineRule="auto" w:before="11"/>
        <w:rPr>
          <w:rFonts w:ascii="宋体" w:hAnsi="宋体" w:cs="宋体" w:eastAsia="宋体" w:hint="default"/>
          <w:sz w:val="22"/>
          <w:szCs w:val="22"/>
        </w:rPr>
      </w:pPr>
    </w:p>
    <w:p>
      <w:pPr>
        <w:pStyle w:val="Heading3"/>
        <w:spacing w:line="240" w:lineRule="auto"/>
        <w:ind w:right="153"/>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2</w:t>
      </w:r>
      <w:r>
        <w:rPr/>
        <w:t>、其他应收款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53"/>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368,643</w:t>
            </w:r>
          </w:p>
          <w:p>
            <w:pPr>
              <w:pStyle w:val="TableParagraph"/>
              <w:spacing w:line="240" w:lineRule="auto" w:before="77"/>
              <w:ind w:left="100" w:right="0"/>
              <w:jc w:val="left"/>
              <w:rPr>
                <w:rFonts w:ascii="宋体" w:hAnsi="宋体" w:cs="宋体" w:eastAsia="宋体" w:hint="default"/>
                <w:sz w:val="18"/>
                <w:szCs w:val="18"/>
              </w:rPr>
            </w:pPr>
            <w:r>
              <w:rPr>
                <w:rFonts w:ascii="宋体"/>
                <w:sz w:val="18"/>
              </w:rPr>
              <w:t>,562.20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6"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34,977,</w:t>
            </w:r>
          </w:p>
          <w:p>
            <w:pPr>
              <w:pStyle w:val="TableParagraph"/>
              <w:spacing w:line="240" w:lineRule="auto" w:before="77"/>
              <w:ind w:left="189" w:right="0"/>
              <w:jc w:val="left"/>
              <w:rPr>
                <w:rFonts w:ascii="宋体" w:hAnsi="宋体" w:cs="宋体" w:eastAsia="宋体" w:hint="default"/>
                <w:sz w:val="18"/>
                <w:szCs w:val="18"/>
              </w:rPr>
            </w:pPr>
            <w:r>
              <w:rPr>
                <w:rFonts w:ascii="宋体"/>
                <w:sz w:val="18"/>
              </w:rPr>
              <w:t>203.38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9.49%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333,666,</w:t>
            </w:r>
          </w:p>
          <w:p>
            <w:pPr>
              <w:pStyle w:val="TableParagraph"/>
              <w:spacing w:line="240" w:lineRule="auto" w:before="77"/>
              <w:ind w:left="195" w:right="0"/>
              <w:jc w:val="center"/>
              <w:rPr>
                <w:rFonts w:ascii="宋体" w:hAnsi="宋体" w:cs="宋体" w:eastAsia="宋体" w:hint="default"/>
                <w:sz w:val="18"/>
                <w:szCs w:val="18"/>
              </w:rPr>
            </w:pPr>
            <w:r>
              <w:rPr>
                <w:rFonts w:ascii="宋体"/>
                <w:sz w:val="18"/>
              </w:rPr>
              <w:t>358.82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307,78</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7,589.</w:t>
            </w:r>
          </w:p>
          <w:p>
            <w:pPr>
              <w:pStyle w:val="TableParagraph"/>
              <w:spacing w:line="240" w:lineRule="auto" w:before="76"/>
              <w:ind w:right="17"/>
              <w:jc w:val="right"/>
              <w:rPr>
                <w:rFonts w:ascii="宋体" w:hAnsi="宋体" w:cs="宋体" w:eastAsia="宋体" w:hint="default"/>
                <w:sz w:val="18"/>
                <w:szCs w:val="18"/>
              </w:rPr>
            </w:pPr>
            <w:r>
              <w:rPr>
                <w:rFonts w:ascii="宋体"/>
                <w:sz w:val="18"/>
              </w:rPr>
              <w:t>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32,187,7</w:t>
            </w:r>
          </w:p>
          <w:p>
            <w:pPr>
              <w:pStyle w:val="TableParagraph"/>
              <w:spacing w:line="240" w:lineRule="auto" w:before="77"/>
              <w:ind w:left="331" w:right="0"/>
              <w:jc w:val="left"/>
              <w:rPr>
                <w:rFonts w:ascii="宋体" w:hAnsi="宋体" w:cs="宋体" w:eastAsia="宋体" w:hint="default"/>
                <w:sz w:val="18"/>
                <w:szCs w:val="18"/>
              </w:rPr>
            </w:pPr>
            <w:r>
              <w:rPr>
                <w:rFonts w:ascii="宋体"/>
                <w:sz w:val="18"/>
              </w:rPr>
              <w:t>70.12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275,599,8</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19.56</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368,643</w:t>
            </w:r>
          </w:p>
          <w:p>
            <w:pPr>
              <w:pStyle w:val="TableParagraph"/>
              <w:spacing w:line="240" w:lineRule="auto" w:before="74"/>
              <w:ind w:left="100" w:right="0"/>
              <w:jc w:val="left"/>
              <w:rPr>
                <w:rFonts w:ascii="宋体" w:hAnsi="宋体" w:cs="宋体" w:eastAsia="宋体" w:hint="default"/>
                <w:sz w:val="18"/>
                <w:szCs w:val="18"/>
              </w:rPr>
            </w:pPr>
            <w:r>
              <w:rPr>
                <w:rFonts w:ascii="宋体"/>
                <w:sz w:val="18"/>
              </w:rPr>
              <w:t>,562.20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34,977,</w:t>
            </w:r>
          </w:p>
          <w:p>
            <w:pPr>
              <w:pStyle w:val="TableParagraph"/>
              <w:spacing w:line="240" w:lineRule="auto" w:before="74"/>
              <w:ind w:left="189" w:right="0"/>
              <w:jc w:val="left"/>
              <w:rPr>
                <w:rFonts w:ascii="宋体" w:hAnsi="宋体" w:cs="宋体" w:eastAsia="宋体" w:hint="default"/>
                <w:sz w:val="18"/>
                <w:szCs w:val="18"/>
              </w:rPr>
            </w:pPr>
            <w:r>
              <w:rPr>
                <w:rFonts w:ascii="宋体"/>
                <w:sz w:val="18"/>
              </w:rPr>
              <w:t>203.38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9.49%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333,666,</w:t>
            </w:r>
          </w:p>
          <w:p>
            <w:pPr>
              <w:pStyle w:val="TableParagraph"/>
              <w:spacing w:line="240" w:lineRule="auto" w:before="74"/>
              <w:ind w:left="195" w:right="0"/>
              <w:jc w:val="center"/>
              <w:rPr>
                <w:rFonts w:ascii="宋体" w:hAnsi="宋体" w:cs="宋体" w:eastAsia="宋体" w:hint="default"/>
                <w:sz w:val="18"/>
                <w:szCs w:val="18"/>
              </w:rPr>
            </w:pPr>
            <w:r>
              <w:rPr>
                <w:rFonts w:ascii="宋体"/>
                <w:sz w:val="18"/>
              </w:rPr>
              <w:t>358.82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307,78</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7,589.</w:t>
            </w:r>
          </w:p>
          <w:p>
            <w:pPr>
              <w:pStyle w:val="TableParagraph"/>
              <w:spacing w:line="240" w:lineRule="auto" w:before="76"/>
              <w:ind w:right="17"/>
              <w:jc w:val="right"/>
              <w:rPr>
                <w:rFonts w:ascii="宋体" w:hAnsi="宋体" w:cs="宋体" w:eastAsia="宋体" w:hint="default"/>
                <w:sz w:val="18"/>
                <w:szCs w:val="18"/>
              </w:rPr>
            </w:pPr>
            <w:r>
              <w:rPr>
                <w:rFonts w:ascii="宋体"/>
                <w:sz w:val="18"/>
              </w:rPr>
              <w:t>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32,187,7</w:t>
            </w:r>
          </w:p>
          <w:p>
            <w:pPr>
              <w:pStyle w:val="TableParagraph"/>
              <w:spacing w:line="240" w:lineRule="auto" w:before="74"/>
              <w:ind w:left="331" w:right="0"/>
              <w:jc w:val="left"/>
              <w:rPr>
                <w:rFonts w:ascii="宋体" w:hAnsi="宋体" w:cs="宋体" w:eastAsia="宋体" w:hint="default"/>
                <w:sz w:val="18"/>
                <w:szCs w:val="18"/>
              </w:rPr>
            </w:pPr>
            <w:r>
              <w:rPr>
                <w:rFonts w:ascii="宋体"/>
                <w:sz w:val="18"/>
              </w:rPr>
              <w:t>70.12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275,599,8</w:t>
            </w:r>
          </w:p>
          <w:p>
            <w:pPr>
              <w:pStyle w:val="TableParagraph"/>
              <w:spacing w:line="240" w:lineRule="auto" w:before="74"/>
              <w:ind w:left="448" w:right="0"/>
              <w:jc w:val="left"/>
              <w:rPr>
                <w:rFonts w:ascii="宋体" w:hAnsi="宋体" w:cs="宋体" w:eastAsia="宋体" w:hint="default"/>
                <w:sz w:val="18"/>
                <w:szCs w:val="18"/>
              </w:rPr>
            </w:pPr>
            <w:r>
              <w:rPr>
                <w:rFonts w:ascii="宋体"/>
                <w:sz w:val="18"/>
              </w:rPr>
              <w:t>19.56</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60" w:lineRule="auto" w:before="115"/>
        <w:ind w:right="160"/>
        <w:jc w:val="left"/>
      </w:pPr>
      <w:r>
        <w:rPr/>
        <w:t>□ 适用 √</w:t>
      </w:r>
      <w:r>
        <w:rPr>
          <w:spacing w:val="3"/>
        </w:rPr>
        <w:t> </w:t>
      </w:r>
      <w:r>
        <w:rPr/>
        <w:t>不适用</w:t>
      </w:r>
      <w:r>
        <w:rPr/>
        <w:t> 组合中，按账龄分析法计提坏账准备的其他应收款：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473" w:space="444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3"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218,897,811.28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2,188,978.11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63,493,215.38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3,174,660.77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29,620,878.62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2,962,087.86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35,021,377.16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10,506,413.15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7,807,451.81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2,342,235.54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13,802,827.95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13,802,827.95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368,643,562.20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34,977,203.38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9.49%</w:t>
            </w:r>
          </w:p>
        </w:tc>
      </w:tr>
    </w:tbl>
    <w:p>
      <w:pPr>
        <w:pStyle w:val="BodyText"/>
        <w:spacing w:line="360" w:lineRule="auto" w:before="49"/>
        <w:ind w:left="513" w:right="149" w:hanging="361"/>
        <w:jc w:val="left"/>
      </w:pPr>
      <w:r>
        <w:rPr/>
        <w:t>确定该组合依据的说明： </w:t>
      </w:r>
      <w:r>
        <w:rPr>
          <w:spacing w:val="-2"/>
        </w:rPr>
        <w:t>已单独计提坏账准备的其他应收款除外，公司根据以前年度与之相同或相类似的、按账龄段划分的具有类似信用风险特</w:t>
      </w:r>
    </w:p>
    <w:p>
      <w:pPr>
        <w:pStyle w:val="BodyText"/>
        <w:spacing w:line="222" w:lineRule="exact"/>
        <w:ind w:right="153"/>
        <w:jc w:val="left"/>
      </w:pPr>
      <w:r>
        <w:rPr/>
        <w:t>征的其他应收款组合的实际损失率为基础，结合现时情况确定本期坏账准备的计提比例。</w:t>
      </w:r>
    </w:p>
    <w:p>
      <w:pPr>
        <w:pStyle w:val="BodyText"/>
        <w:spacing w:line="240" w:lineRule="auto" w:before="115"/>
        <w:ind w:right="153"/>
        <w:jc w:val="left"/>
      </w:pPr>
      <w:r>
        <w:rPr/>
        <w:t>组合中，采用余额百分比法计提坏账准备的其他应收款：</w:t>
      </w:r>
    </w:p>
    <w:p>
      <w:pPr>
        <w:pStyle w:val="BodyText"/>
        <w:spacing w:line="360" w:lineRule="auto" w:before="117"/>
        <w:ind w:right="5634"/>
        <w:jc w:val="left"/>
      </w:pPr>
      <w:r>
        <w:rPr/>
        <w:t>□ 适用 √</w:t>
      </w:r>
      <w:r>
        <w:rPr>
          <w:spacing w:val="3"/>
        </w:rPr>
        <w:t> </w:t>
      </w:r>
      <w:r>
        <w:rPr/>
        <w:t>不适用</w:t>
      </w:r>
      <w:r>
        <w:rPr/>
        <w:t> 组合中，采用其他方法计提坏账准备的其他应收款：</w:t>
      </w:r>
    </w:p>
    <w:p>
      <w:pPr>
        <w:pStyle w:val="BodyText"/>
        <w:spacing w:line="240" w:lineRule="auto" w:before="25"/>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本期计提坏账准备金额</w:t>
      </w:r>
      <w:r>
        <w:rPr>
          <w:spacing w:val="-48"/>
        </w:rPr>
        <w:t> </w:t>
      </w:r>
      <w:r>
        <w:rPr>
          <w:rFonts w:ascii="宋体" w:hAnsi="宋体" w:cs="宋体" w:eastAsia="宋体" w:hint="default"/>
        </w:rPr>
        <w:t>2,789,433.26</w:t>
      </w:r>
      <w:r>
        <w:rPr>
          <w:rFonts w:ascii="宋体" w:hAnsi="宋体" w:cs="宋体" w:eastAsia="宋体" w:hint="default"/>
          <w:spacing w:val="-46"/>
        </w:rPr>
        <w:t> </w:t>
      </w:r>
      <w:r>
        <w:rPr/>
        <w:t>元；本期收回或转回坏账准备金额元。</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1"/>
        <w:jc w:val="right"/>
      </w:pPr>
      <w:r>
        <w:rPr/>
        <w:t>单位：元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83,202,835.71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86,533,185.66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69,499,075.53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45,554,067.44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71,862,483.52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66,052,845.77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125,142,416.89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96,805,935.25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18,936,750.55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12,841,555.56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368,643,562.20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307,787,589.68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pict>
          <v:group style="position:absolute;margin-left:373.98999pt;margin-top:91.311729pt;width:80.3pt;height:172.8pt;mso-position-horizontal-relative:page;mso-position-vertical-relative:paragraph;z-index:-1058752" coordorigin="7480,1826" coordsize="1606,3456">
            <v:group style="position:absolute;left:7480;top:1826;width:1606;height:780" coordorigin="7480,1826" coordsize="1606,780">
              <v:shape style="position:absolute;left:7480;top:1826;width:1606;height:780" coordorigin="7480,1826" coordsize="1606,780" path="m7480,2606l9085,2606,9085,1826,7480,1826,7480,2606xe" filled="true" fillcolor="#ffffff" stroked="false">
                <v:path arrowok="t"/>
                <v:fill type="solid"/>
              </v:shape>
            </v:group>
            <v:group style="position:absolute;left:7491;top:2606;width:2;height:392" coordorigin="7491,2606" coordsize="2,392">
              <v:shape style="position:absolute;left:7491;top:2606;width:2;height:392" coordorigin="7491,2606" coordsize="0,392" path="m7491,2606l7491,2997e" filled="false" stroked="true" strokeweight="1.08pt" strokecolor="#ffffff">
                <v:path arrowok="t"/>
              </v:shape>
            </v:group>
            <v:group style="position:absolute;left:7480;top:2997;width:1606;height:780" coordorigin="7480,2997" coordsize="1606,780">
              <v:shape style="position:absolute;left:7480;top:2997;width:1606;height:780" coordorigin="7480,2997" coordsize="1606,780" path="m7480,3777l9085,3777,9085,2997,7480,2997,7480,3777xe" filled="true" fillcolor="#ffffff" stroked="false">
                <v:path arrowok="t"/>
                <v:fill type="solid"/>
              </v:shape>
            </v:group>
            <v:group style="position:absolute;left:7501;top:2606;width:1560;height:392" coordorigin="7501,2606" coordsize="1560,392">
              <v:shape style="position:absolute;left:7501;top:2606;width:1560;height:392" coordorigin="7501,2606" coordsize="1560,392" path="m7501,2997l9061,2997,9061,2606,7501,2606,7501,2997xe" filled="true" fillcolor="#ffffff" stroked="false">
                <v:path arrowok="t"/>
                <v:fill type="solid"/>
              </v:shape>
            </v:group>
            <v:group style="position:absolute;left:7480;top:3787;width:1606;height:1093" coordorigin="7480,3787" coordsize="1606,1093">
              <v:shape style="position:absolute;left:7480;top:3787;width:1606;height:1093" coordorigin="7480,3787" coordsize="1606,1093" path="m7480,4879l9085,4879,9085,3787,7480,3787,7480,4879xe" filled="true" fillcolor="#ffffff" stroked="false">
                <v:path arrowok="t"/>
                <v:fill type="solid"/>
              </v:shape>
            </v:group>
            <v:group style="position:absolute;left:7491;top:4879;width:2;height:392" coordorigin="7491,4879" coordsize="2,392">
              <v:shape style="position:absolute;left:7491;top:4879;width:2;height:392" coordorigin="7491,4879" coordsize="0,392" path="m7491,4879l7491,5271e" filled="false" stroked="true" strokeweight="1.08pt" strokecolor="#ffffff">
                <v:path arrowok="t"/>
              </v:shape>
            </v:group>
            <v:group style="position:absolute;left:7501;top:4879;width:1560;height:392" coordorigin="7501,4879" coordsize="1560,392">
              <v:shape style="position:absolute;left:7501;top:4879;width:1560;height:392" coordorigin="7501,4879" coordsize="1560,392" path="m7501,5271l9061,5271,9061,4879,7501,4879,7501,5271xe" filled="true" fillcolor="#ffffff" stroked="false">
                <v:path arrowok="t"/>
                <v:fill type="solid"/>
              </v:shape>
            </v:group>
            <w10:wrap type="none"/>
          </v:group>
        </w:pict>
      </w: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泰安东华合创软件有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37,052,199.71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370,522.00</w:t>
            </w:r>
          </w:p>
        </w:tc>
      </w:tr>
      <w:tr>
        <w:trPr>
          <w:trHeight w:val="196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北京卓讯科信技术有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宋体" w:hAnsi="宋体" w:cs="宋体" w:eastAsia="宋体" w:hint="default"/>
                <w:sz w:val="18"/>
                <w:szCs w:val="18"/>
              </w:rPr>
            </w:pPr>
            <w:r>
              <w:rPr>
                <w:rFonts w:ascii="宋体"/>
                <w:spacing w:val="-1"/>
                <w:sz w:val="18"/>
              </w:rPr>
              <w:t>33,225,070.00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21,252,700.00</w:t>
            </w:r>
            <w:r>
              <w:rPr>
                <w:rFonts w:ascii="宋体" w:hAnsi="宋体" w:cs="宋体" w:eastAsia="宋体" w:hint="default"/>
                <w:spacing w:val="-48"/>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10,380,000.00</w:t>
            </w:r>
            <w:r>
              <w:rPr>
                <w:rFonts w:ascii="宋体" w:hAnsi="宋体" w:cs="宋体" w:eastAsia="宋体" w:hint="default"/>
                <w:spacing w:val="-48"/>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1,592,370.00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sz w:val="17"/>
                <w:szCs w:val="17"/>
              </w:rPr>
            </w:pPr>
          </w:p>
          <w:p>
            <w:pPr>
              <w:pStyle w:val="TableParagraph"/>
              <w:spacing w:line="195" w:lineRule="exact"/>
              <w:ind w:right="18"/>
              <w:jc w:val="right"/>
              <w:rPr>
                <w:rFonts w:ascii="宋体" w:hAnsi="宋体" w:cs="宋体" w:eastAsia="宋体" w:hint="default"/>
                <w:sz w:val="18"/>
                <w:szCs w:val="18"/>
              </w:rPr>
            </w:pPr>
            <w:r>
              <w:rPr>
                <w:rFonts w:ascii="宋体"/>
                <w:sz w:val="18"/>
              </w:rPr>
              <w:t>9.01%</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spacing w:val="-1"/>
                <w:sz w:val="18"/>
              </w:rPr>
              <w:t>890,764.00</w:t>
            </w:r>
          </w:p>
        </w:tc>
      </w:tr>
      <w:tr>
        <w:trPr>
          <w:trHeight w:val="258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北京东华易时科技有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29,720,658.37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7,296,251.47</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10,105,214.00</w:t>
            </w:r>
            <w:r>
              <w:rPr>
                <w:rFonts w:ascii="宋体" w:hAnsi="宋体" w:cs="宋体" w:eastAsia="宋体" w:hint="default"/>
                <w:spacing w:val="-48"/>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9,900,000.00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2,419,192.90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8"/>
              <w:jc w:val="right"/>
              <w:rPr>
                <w:rFonts w:ascii="宋体" w:hAnsi="宋体" w:cs="宋体" w:eastAsia="宋体" w:hint="default"/>
                <w:sz w:val="18"/>
                <w:szCs w:val="18"/>
              </w:rPr>
            </w:pPr>
            <w:r>
              <w:rPr>
                <w:rFonts w:ascii="宋体"/>
                <w:sz w:val="18"/>
              </w:rPr>
              <w:t>8.06%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2,293,981.08</w:t>
            </w:r>
          </w:p>
        </w:tc>
      </w:tr>
      <w:tr>
        <w:trPr>
          <w:trHeight w:val="290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北京东华信息技术有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pacing w:val="-1"/>
                <w:sz w:val="18"/>
              </w:rPr>
              <w:t>9,281,345.00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pacing w:val="1"/>
                <w:sz w:val="18"/>
                <w:szCs w:val="18"/>
              </w:rPr>
              <w:t>90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1,520,000.00</w:t>
            </w:r>
          </w:p>
          <w:p>
            <w:pPr>
              <w:pStyle w:val="TableParagraph"/>
              <w:spacing w:line="319" w:lineRule="auto" w:before="76"/>
              <w:ind w:left="23" w:right="26"/>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1,216,625.00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4,982,625.00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662,095.00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宋体" w:hAnsi="宋体" w:cs="宋体" w:eastAsia="宋体" w:hint="default"/>
                <w:sz w:val="18"/>
                <w:szCs w:val="18"/>
              </w:rPr>
            </w:pPr>
            <w:r>
              <w:rPr>
                <w:rFonts w:ascii="宋体"/>
                <w:sz w:val="18"/>
              </w:rPr>
              <w:t>2.52%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宋体"/>
                <w:spacing w:val="-1"/>
                <w:sz w:val="18"/>
              </w:rPr>
              <w:t>1,900,078.50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center"/>
              <w:rPr>
                <w:rFonts w:ascii="宋体" w:hAnsi="宋体" w:cs="宋体" w:eastAsia="宋体" w:hint="default"/>
                <w:sz w:val="18"/>
                <w:szCs w:val="18"/>
              </w:rPr>
            </w:pPr>
            <w:r>
              <w:rPr>
                <w:rFonts w:ascii="宋体" w:hAnsi="宋体" w:cs="宋体" w:eastAsia="宋体" w:hint="default"/>
                <w:sz w:val="18"/>
                <w:szCs w:val="18"/>
              </w:rPr>
              <w:t>北京厚盾科技有限公</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7,755,377.60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1,402,877.60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192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50,000.00</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2-3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4,670,000.00</w:t>
            </w:r>
          </w:p>
          <w:p>
            <w:pPr>
              <w:pStyle w:val="TableParagraph"/>
              <w:spacing w:line="316" w:lineRule="auto" w:before="76"/>
              <w:ind w:left="23" w:right="18"/>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pacing w:val="-1"/>
                <w:sz w:val="18"/>
                <w:szCs w:val="18"/>
              </w:rPr>
              <w:t>3,000,000.00</w:t>
            </w:r>
            <w:r>
              <w:rPr>
                <w:rFonts w:ascii="宋体" w:hAnsi="宋体" w:cs="宋体" w:eastAsia="宋体" w:hint="default"/>
                <w:spacing w:val="-32"/>
                <w:sz w:val="18"/>
                <w:szCs w:val="18"/>
              </w:rPr>
              <w:t> </w:t>
            </w:r>
            <w:r>
              <w:rPr>
                <w:rFonts w:ascii="宋体" w:hAnsi="宋体" w:cs="宋体" w:eastAsia="宋体" w:hint="default"/>
                <w:spacing w:val="-28"/>
                <w:sz w:val="18"/>
                <w:szCs w:val="18"/>
              </w:rPr>
              <w:t>元、</w:t>
            </w:r>
            <w:r>
              <w:rPr>
                <w:rFonts w:ascii="宋体" w:hAnsi="宋体" w:cs="宋体" w:eastAsia="宋体" w:hint="default"/>
                <w:spacing w:val="-28"/>
                <w:sz w:val="18"/>
                <w:szCs w:val="18"/>
              </w:rPr>
              <w:t>5</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年以上</w:t>
            </w:r>
            <w:r>
              <w:rPr>
                <w:rFonts w:ascii="宋体" w:hAnsi="宋体" w:cs="宋体" w:eastAsia="宋体" w:hint="default"/>
                <w:spacing w:val="-49"/>
                <w:sz w:val="18"/>
                <w:szCs w:val="18"/>
              </w:rPr>
              <w:t> </w:t>
            </w:r>
            <w:r>
              <w:rPr>
                <w:rFonts w:ascii="宋体" w:hAnsi="宋体" w:cs="宋体" w:eastAsia="宋体" w:hint="default"/>
                <w:sz w:val="18"/>
                <w:szCs w:val="18"/>
              </w:rPr>
              <w:t>35,377.60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53" w:right="0"/>
              <w:jc w:val="left"/>
              <w:rPr>
                <w:rFonts w:ascii="宋体" w:hAnsi="宋体" w:cs="宋体" w:eastAsia="宋体" w:hint="default"/>
                <w:sz w:val="18"/>
                <w:szCs w:val="18"/>
              </w:rPr>
            </w:pPr>
            <w:r>
              <w:rPr>
                <w:rFonts w:ascii="宋体"/>
                <w:sz w:val="18"/>
              </w:rPr>
              <w:t>117,034,650.68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3" w:right="0"/>
              <w:jc w:val="left"/>
              <w:rPr>
                <w:rFonts w:ascii="宋体" w:hAnsi="宋体" w:cs="宋体" w:eastAsia="宋体" w:hint="default"/>
                <w:sz w:val="18"/>
                <w:szCs w:val="18"/>
              </w:rPr>
            </w:pPr>
            <w:r>
              <w:rPr>
                <w:rFonts w:ascii="宋体"/>
                <w:sz w:val="18"/>
              </w:rPr>
              <w:t>31.75%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4" w:right="0"/>
              <w:jc w:val="left"/>
              <w:rPr>
                <w:rFonts w:ascii="宋体" w:hAnsi="宋体" w:cs="宋体" w:eastAsia="宋体" w:hint="default"/>
                <w:sz w:val="18"/>
                <w:szCs w:val="18"/>
              </w:rPr>
            </w:pPr>
            <w:r>
              <w:rPr>
                <w:rFonts w:ascii="宋体"/>
                <w:sz w:val="18"/>
              </w:rPr>
              <w:t>6,858,223.18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宋体" w:hAnsi="宋体" w:cs="宋体" w:eastAsia="宋体"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3</w:t>
      </w:r>
      <w:r>
        <w:rPr/>
        <w:t>、长期股权投资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3,201,780,522.</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3,201,780,522.</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2,005,474,849.</w:t>
            </w:r>
          </w:p>
          <w:p>
            <w:pPr>
              <w:pStyle w:val="TableParagraph"/>
              <w:spacing w:line="240" w:lineRule="auto" w:before="76"/>
              <w:ind w:right="19"/>
              <w:jc w:val="right"/>
              <w:rPr>
                <w:rFonts w:ascii="宋体" w:hAnsi="宋体" w:cs="宋体" w:eastAsia="宋体" w:hint="default"/>
                <w:sz w:val="18"/>
                <w:szCs w:val="18"/>
              </w:rPr>
            </w:pPr>
            <w:r>
              <w:rPr>
                <w:rFonts w:ascii="宋体"/>
                <w:sz w:val="18"/>
              </w:rPr>
              <w:t>04</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2,005,474,849.</w:t>
            </w:r>
          </w:p>
          <w:p>
            <w:pPr>
              <w:pStyle w:val="TableParagraph"/>
              <w:spacing w:line="240" w:lineRule="auto" w:before="76"/>
              <w:ind w:right="19"/>
              <w:jc w:val="right"/>
              <w:rPr>
                <w:rFonts w:ascii="宋体" w:hAnsi="宋体" w:cs="宋体" w:eastAsia="宋体" w:hint="default"/>
                <w:sz w:val="18"/>
                <w:szCs w:val="18"/>
              </w:rPr>
            </w:pPr>
            <w:r>
              <w:rPr>
                <w:rFonts w:ascii="宋体"/>
                <w:sz w:val="18"/>
              </w:rPr>
              <w:t>04</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vMerge/>
            <w:tcBorders>
              <w:left w:val="single" w:sz="9" w:space="0" w:color="D2D2D2"/>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sz w:val="18"/>
              </w:rPr>
              <w:t>608,444.42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sz w:val="18"/>
              </w:rPr>
              <w:t>608,444.42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3,202,388,967.</w:t>
            </w:r>
          </w:p>
          <w:p>
            <w:pPr>
              <w:pStyle w:val="TableParagraph"/>
              <w:spacing w:line="240" w:lineRule="auto" w:before="76"/>
              <w:ind w:right="17"/>
              <w:jc w:val="right"/>
              <w:rPr>
                <w:rFonts w:ascii="宋体" w:hAnsi="宋体" w:cs="宋体" w:eastAsia="宋体" w:hint="default"/>
                <w:sz w:val="18"/>
                <w:szCs w:val="18"/>
              </w:rPr>
            </w:pPr>
            <w:r>
              <w:rPr>
                <w:rFonts w:ascii="宋体"/>
                <w:sz w:val="18"/>
              </w:rPr>
              <w:t>19</w:t>
            </w:r>
          </w:p>
        </w:tc>
        <w:tc>
          <w:tcPr>
            <w:tcW w:w="1369"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3,202,388,967.</w:t>
            </w:r>
          </w:p>
          <w:p>
            <w:pPr>
              <w:pStyle w:val="TableParagraph"/>
              <w:spacing w:line="240" w:lineRule="auto" w:before="76"/>
              <w:ind w:right="17"/>
              <w:jc w:val="right"/>
              <w:rPr>
                <w:rFonts w:ascii="宋体" w:hAnsi="宋体" w:cs="宋体" w:eastAsia="宋体" w:hint="default"/>
                <w:sz w:val="18"/>
                <w:szCs w:val="18"/>
              </w:rPr>
            </w:pPr>
            <w:r>
              <w:rPr>
                <w:rFonts w:ascii="宋体"/>
                <w:sz w:val="18"/>
              </w:rPr>
              <w:t>19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2,005,474,849.</w:t>
            </w:r>
          </w:p>
          <w:p>
            <w:pPr>
              <w:pStyle w:val="TableParagraph"/>
              <w:spacing w:line="240" w:lineRule="auto" w:before="76"/>
              <w:ind w:right="19"/>
              <w:jc w:val="right"/>
              <w:rPr>
                <w:rFonts w:ascii="宋体" w:hAnsi="宋体" w:cs="宋体" w:eastAsia="宋体" w:hint="default"/>
                <w:sz w:val="18"/>
                <w:szCs w:val="18"/>
              </w:rPr>
            </w:pPr>
            <w:r>
              <w:rPr>
                <w:rFonts w:ascii="宋体"/>
                <w:sz w:val="18"/>
              </w:rPr>
              <w:t>04</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2,005,474,849.</w:t>
            </w:r>
          </w:p>
          <w:p>
            <w:pPr>
              <w:pStyle w:val="TableParagraph"/>
              <w:spacing w:line="240" w:lineRule="auto" w:before="76"/>
              <w:ind w:right="19"/>
              <w:jc w:val="right"/>
              <w:rPr>
                <w:rFonts w:ascii="宋体" w:hAnsi="宋体" w:cs="宋体" w:eastAsia="宋体" w:hint="default"/>
                <w:sz w:val="18"/>
                <w:szCs w:val="18"/>
              </w:rPr>
            </w:pPr>
            <w:r>
              <w:rPr>
                <w:rFonts w:ascii="宋体"/>
                <w:sz w:val="18"/>
              </w:rPr>
              <w:t>04</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vMerge/>
            <w:tcBorders>
              <w:left w:val="single" w:sz="9" w:space="0" w:color="D2D2D2"/>
              <w:right w:val="single" w:sz="4" w:space="0" w:color="000000"/>
            </w:tcBorders>
          </w:tcPr>
          <w:p>
            <w:pPr/>
          </w:p>
        </w:tc>
        <w:tc>
          <w:tcPr>
            <w:tcW w:w="1369"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广州东华合创数 码科技有限公司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872,155.63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872,155.63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27,998,593.90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27,998,593.90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292,675,400.00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292,675,400.00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88,699.51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88,699.51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东华合创科技有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沈阳普林科技有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北京卓讯科信技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东华软件开发有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天津东华博雅软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东华星联科技有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198,000,000.00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59,400,000.00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66,370,000.00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13,860,000.00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45,030,000.00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58,890,000.00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583,000,000.00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兰州东华软件有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1,855,413.73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1,855,413.73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合力东华（北京） 科技有限公司</w:t>
            </w:r>
          </w:p>
        </w:tc>
        <w:tc>
          <w:tcPr>
            <w:tcW w:w="1337" w:type="dxa"/>
            <w:tcBorders>
              <w:top w:val="single" w:sz="4" w:space="0" w:color="000000"/>
              <w:left w:val="single" w:sz="13" w:space="0" w:color="FFFFFF"/>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东华互联宜家数 据服务有限公司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东华博育云有限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25,021,500.00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25,021,500.00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苏州东华软件科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内蒙古东华软件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1,725,000.00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1,725,000.00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海南东华软件有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东华网络股份公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10,203,760.00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10,203,760.00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深圳至高通信技 术发展有限公司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2,005,474,849.</w:t>
            </w:r>
          </w:p>
          <w:p>
            <w:pPr>
              <w:pStyle w:val="TableParagraph"/>
              <w:spacing w:line="240" w:lineRule="auto" w:before="74"/>
              <w:ind w:right="19"/>
              <w:jc w:val="right"/>
              <w:rPr>
                <w:rFonts w:ascii="宋体" w:hAnsi="宋体" w:cs="宋体" w:eastAsia="宋体" w:hint="default"/>
                <w:sz w:val="18"/>
                <w:szCs w:val="18"/>
              </w:rPr>
            </w:pPr>
            <w:r>
              <w:rPr>
                <w:rFonts w:ascii="宋体"/>
                <w:sz w:val="18"/>
              </w:rPr>
              <w:t>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1,196,305,673.</w:t>
            </w:r>
          </w:p>
          <w:p>
            <w:pPr>
              <w:pStyle w:val="TableParagraph"/>
              <w:spacing w:line="240" w:lineRule="auto" w:before="74"/>
              <w:ind w:right="17"/>
              <w:jc w:val="right"/>
              <w:rPr>
                <w:rFonts w:ascii="宋体" w:hAnsi="宋体" w:cs="宋体" w:eastAsia="宋体" w:hint="default"/>
                <w:sz w:val="18"/>
                <w:szCs w:val="18"/>
              </w:rPr>
            </w:pPr>
            <w:r>
              <w:rPr>
                <w:rFonts w:ascii="宋体"/>
                <w:sz w:val="18"/>
              </w:rPr>
              <w:t>73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3,201,780,522.</w:t>
            </w:r>
          </w:p>
          <w:p>
            <w:pPr>
              <w:pStyle w:val="TableParagraph"/>
              <w:spacing w:line="240" w:lineRule="auto" w:before="74"/>
              <w:ind w:right="17"/>
              <w:jc w:val="right"/>
              <w:rPr>
                <w:rFonts w:ascii="宋体" w:hAnsi="宋体" w:cs="宋体" w:eastAsia="宋体" w:hint="default"/>
                <w:sz w:val="18"/>
                <w:szCs w:val="18"/>
              </w:rPr>
            </w:pPr>
            <w:r>
              <w:rPr>
                <w:rFonts w:ascii="宋体"/>
                <w:sz w:val="18"/>
              </w:rPr>
              <w:t>77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622"/>
        <w:gridCol w:w="1133"/>
        <w:gridCol w:w="425"/>
        <w:gridCol w:w="1135"/>
        <w:gridCol w:w="672"/>
        <w:gridCol w:w="800"/>
        <w:gridCol w:w="797"/>
        <w:gridCol w:w="799"/>
        <w:gridCol w:w="619"/>
        <w:gridCol w:w="97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6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15" w:right="3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62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0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瑞客东华 转化医学 研究中心 有限公司</w:t>
            </w:r>
          </w:p>
        </w:tc>
        <w:tc>
          <w:tcPr>
            <w:tcW w:w="6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-591,555.58</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center"/>
              <w:rPr>
                <w:rFonts w:ascii="宋体" w:hAnsi="宋体" w:cs="宋体" w:eastAsia="宋体" w:hint="default"/>
                <w:sz w:val="18"/>
                <w:szCs w:val="18"/>
              </w:rPr>
            </w:pPr>
            <w:r>
              <w:rPr>
                <w:rFonts w:ascii="宋体"/>
                <w:sz w:val="18"/>
              </w:rPr>
              <w:t>608,444.42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-591,555.58</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608,444.42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-591,555.58</w:t>
            </w:r>
          </w:p>
        </w:tc>
        <w:tc>
          <w:tcPr>
            <w:tcW w:w="6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sz w:val="18"/>
              </w:rPr>
              <w:t>608,444.42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535" w:lineRule="auto" w:before="36"/>
        <w:ind w:right="7560"/>
        <w:jc w:val="left"/>
        <w:rPr>
          <w:b w:val="0"/>
          <w:bCs w:val="0"/>
        </w:rPr>
      </w:pPr>
      <w:r>
        <w:rPr/>
        <w:t>（</w:t>
      </w:r>
      <w:r>
        <w:rPr>
          <w:rFonts w:ascii="宋体" w:hAnsi="宋体" w:cs="宋体" w:eastAsia="宋体" w:hint="default"/>
        </w:rPr>
        <w:t>3</w:t>
      </w:r>
      <w:r>
        <w:rPr/>
        <w:t>）其他说明</w:t>
      </w:r>
      <w:r>
        <w:rPr>
          <w:spacing w:val="-104"/>
        </w:rPr>
        <w:t> </w:t>
      </w:r>
      <w:r>
        <w:rPr>
          <w:rFonts w:ascii="宋体" w:hAnsi="宋体" w:cs="宋体" w:eastAsia="宋体" w:hint="default"/>
        </w:rPr>
        <w:t>4</w:t>
      </w:r>
      <w:r>
        <w:rPr/>
        <w:t>、营业收入和营业成本</w:t>
      </w:r>
      <w:r>
        <w:rPr>
          <w:b w:val="0"/>
          <w:bCs w:val="0"/>
        </w:rPr>
      </w:r>
    </w:p>
    <w:p>
      <w:pPr>
        <w:pStyle w:val="BodyText"/>
        <w:spacing w:line="240" w:lineRule="auto" w:before="102"/>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7"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2,831,795,776.88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1,673,305,097.34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3,064,451,121.38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1,824,236,854.04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937,568.04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937,568.04</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2,831,795,776.88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1,674,242,665.38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3,064,451,121.38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1,825,174,422.08</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宋体" w:hAnsi="宋体" w:cs="宋体" w:eastAsia="宋体" w:hint="default"/>
        </w:rPr>
        <w:t>5</w:t>
      </w:r>
      <w:r>
        <w:rPr/>
        <w:t>、投资收益</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35,362,111.36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-591,555.58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-106,543.73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1,774,444.80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10,855,321.29</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201,695,957.41</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530,958.90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238,771,916.89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2" w:right="0"/>
              <w:jc w:val="left"/>
              <w:rPr>
                <w:rFonts w:ascii="宋体" w:hAnsi="宋体" w:cs="宋体" w:eastAsia="宋体" w:hint="default"/>
                <w:sz w:val="18"/>
                <w:szCs w:val="18"/>
              </w:rPr>
            </w:pPr>
            <w:r>
              <w:rPr>
                <w:rFonts w:ascii="宋体"/>
                <w:sz w:val="18"/>
              </w:rPr>
              <w:t>10,748,777.56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宋体" w:hAnsi="宋体" w:cs="宋体" w:eastAsia="宋体" w:hint="default"/>
        </w:rPr>
        <w:t>6</w:t>
      </w:r>
      <w:r>
        <w:rPr/>
        <w:t>、其他</w:t>
      </w:r>
      <w:r>
        <w:rPr>
          <w:b w:val="0"/>
          <w:bCs w:val="0"/>
        </w:rPr>
      </w:r>
    </w:p>
    <w:p>
      <w:pPr>
        <w:spacing w:line="240" w:lineRule="auto" w:before="0"/>
        <w:rPr>
          <w:rFonts w:ascii="宋体" w:hAnsi="宋体" w:cs="宋体" w:eastAsia="宋体" w:hint="default"/>
          <w:b/>
          <w:bCs/>
          <w:sz w:val="24"/>
          <w:szCs w:val="24"/>
        </w:rPr>
      </w:pPr>
    </w:p>
    <w:p>
      <w:pPr>
        <w:pStyle w:val="Heading2"/>
        <w:spacing w:line="240" w:lineRule="auto"/>
        <w:ind w:right="15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宋体" w:hAnsi="宋体" w:cs="宋体" w:eastAsia="宋体" w:hint="default"/>
        </w:rPr>
        <w:t>1</w:t>
      </w:r>
      <w:r>
        <w:rPr/>
        <w:t>、当期非经常性损益明细表</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right="153"/>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-13,211.78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25,861,152.29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202,226,916.31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993,602.06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23,418,507.47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355,105.68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9"/>
              <w:ind w:right="15"/>
              <w:jc w:val="right"/>
              <w:rPr>
                <w:rFonts w:ascii="宋体" w:hAnsi="宋体" w:cs="宋体" w:eastAsia="宋体" w:hint="default"/>
                <w:sz w:val="18"/>
                <w:szCs w:val="18"/>
              </w:rPr>
            </w:pPr>
            <w:r>
              <w:rPr>
                <w:rFonts w:ascii="宋体"/>
                <w:spacing w:val="-1"/>
                <w:sz w:val="18"/>
              </w:rPr>
              <w:t>205,294,845.73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6"/>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59"/>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7"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0.7416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0.7397</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0.6083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0.6067</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53"/>
        <w:jc w:val="left"/>
        <w:rPr>
          <w:b w:val="0"/>
          <w:bCs w:val="0"/>
        </w:rPr>
      </w:pPr>
      <w:r>
        <w:rPr>
          <w:rFonts w:ascii="宋体" w:hAnsi="宋体" w:cs="宋体" w:eastAsia="宋体" w:hint="default"/>
        </w:rPr>
        <w:t>3</w:t>
      </w:r>
      <w:r>
        <w:rPr/>
        <w:t>、境内外会计准则下会计数据差异</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5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宋体" w:hAnsi="宋体" w:cs="宋体" w:eastAsia="宋体"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320"/>
        <w:jc w:val="center"/>
        <w:rPr>
          <w:b w:val="0"/>
          <w:bCs w:val="0"/>
        </w:rPr>
      </w:pPr>
      <w:bookmarkStart w:name="_bookmark9" w:id="10"/>
      <w:bookmarkEnd w:id="10"/>
      <w:r>
        <w:rPr>
          <w:b w:val="0"/>
          <w:bCs w:val="0"/>
        </w:rPr>
      </w:r>
      <w:r>
        <w:rPr/>
        <w:t>第十一节备查文件目录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53"/>
        <w:jc w:val="left"/>
      </w:pPr>
      <w:r>
        <w:rPr>
          <w:rFonts w:ascii="宋体" w:hAnsi="宋体" w:cs="宋体" w:eastAsia="宋体" w:hint="default"/>
        </w:rPr>
        <w:t>1</w:t>
      </w:r>
      <w:r>
        <w:rPr/>
        <w:t>、载有公司法定代表人签名的</w:t>
      </w:r>
      <w:r>
        <w:rPr>
          <w:rFonts w:ascii="宋体" w:hAnsi="宋体" w:cs="宋体" w:eastAsia="宋体" w:hint="default"/>
        </w:rPr>
        <w:t>2015</w:t>
      </w:r>
      <w:r>
        <w:rPr/>
        <w:t>年年度报告文本原件。</w:t>
      </w:r>
    </w:p>
    <w:p>
      <w:pPr>
        <w:pStyle w:val="BodyText"/>
        <w:spacing w:line="240" w:lineRule="auto" w:before="76"/>
        <w:ind w:right="153"/>
        <w:jc w:val="left"/>
      </w:pPr>
      <w:r>
        <w:rPr>
          <w:rFonts w:ascii="宋体" w:hAnsi="宋体" w:cs="宋体" w:eastAsia="宋体" w:hint="default"/>
        </w:rPr>
        <w:t>2</w:t>
      </w:r>
      <w:r>
        <w:rPr/>
        <w:t>、载有公司法定代表人、主管会计工作负责人及会计机构负责人签名并盖章的会计报表。</w:t>
      </w:r>
    </w:p>
    <w:p>
      <w:pPr>
        <w:pStyle w:val="BodyText"/>
        <w:spacing w:line="240" w:lineRule="auto" w:before="76"/>
        <w:ind w:right="153"/>
        <w:jc w:val="left"/>
      </w:pPr>
      <w:r>
        <w:rPr>
          <w:rFonts w:ascii="宋体" w:hAnsi="宋体" w:cs="宋体" w:eastAsia="宋体" w:hint="default"/>
        </w:rPr>
        <w:t>3</w:t>
      </w:r>
      <w:r>
        <w:rPr/>
        <w:t>、载有会计师事务所盖章、注册会计师签名并盖章的审计报告原件。</w:t>
      </w:r>
    </w:p>
    <w:p>
      <w:pPr>
        <w:pStyle w:val="BodyText"/>
        <w:spacing w:line="240" w:lineRule="auto" w:before="76"/>
        <w:ind w:right="153"/>
        <w:jc w:val="left"/>
      </w:pPr>
      <w:r>
        <w:rPr>
          <w:rFonts w:ascii="宋体" w:hAnsi="宋体" w:cs="宋体" w:eastAsia="宋体" w:hint="default"/>
        </w:rPr>
        <w:t>4</w:t>
      </w:r>
      <w:r>
        <w:rPr/>
        <w:t>、报告期内在中国证监会指定报纸上公开披露过的所有公司文件的正本及公告的原稿。</w:t>
      </w:r>
    </w:p>
    <w:p>
      <w:pPr>
        <w:pStyle w:val="BodyText"/>
        <w:spacing w:line="240" w:lineRule="auto" w:before="76"/>
        <w:ind w:right="153"/>
        <w:jc w:val="left"/>
      </w:pPr>
      <w:r>
        <w:rPr>
          <w:rFonts w:ascii="宋体" w:hAnsi="宋体" w:cs="宋体" w:eastAsia="宋体" w:hint="default"/>
        </w:rPr>
        <w:t>5</w:t>
      </w:r>
      <w:r>
        <w:rPr/>
        <w:t>、其他备查文件。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491" w:lineRule="auto" w:before="36"/>
        <w:ind w:left="7008" w:right="617" w:firstLine="417"/>
        <w:jc w:val="right"/>
        <w:rPr>
          <w:b w:val="0"/>
          <w:bCs w:val="0"/>
        </w:rPr>
      </w:pPr>
      <w:r>
        <w:rPr/>
        <w:t>法定代表人：薛向东</w:t>
      </w:r>
      <w:r>
        <w:rPr>
          <w:w w:val="100"/>
        </w:rPr>
        <w:t> </w:t>
      </w:r>
      <w:r>
        <w:rPr>
          <w:spacing w:val="-1"/>
        </w:rPr>
        <w:t>东华软件股份公司</w:t>
      </w:r>
      <w:r>
        <w:rPr>
          <w:w w:val="100"/>
        </w:rPr>
        <w:t> </w:t>
      </w:r>
      <w:r>
        <w:rPr>
          <w:spacing w:val="-1"/>
        </w:rPr>
        <w:t>二零一六年四月二十六日</w:t>
      </w:r>
      <w:r>
        <w:rPr>
          <w:b w:val="0"/>
          <w:bCs w:val="0"/>
          <w:spacing w:val="-1"/>
        </w:rPr>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061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1.660004pt;margin-top:756.841614pt;width:38pt;height:11pt;mso-position-horizontal-relative:page;mso-position-vertical-relative:page;z-index:-1061056" type="#_x0000_t202" filled="false" stroked="false">
          <v:textbox inset="0,0,0,0">
            <w:txbxContent>
              <w:p>
                <w:pPr>
                  <w:pStyle w:val="BodyText"/>
                  <w:spacing w:line="200" w:lineRule="exact"/>
                  <w:ind w:left="20" w:right="0"/>
                  <w:jc w:val="left"/>
                </w:pPr>
                <w:r>
                  <w:rPr/>
                  <w:t>单位：元</w:t>
                </w:r>
              </w:p>
            </w:txbxContent>
          </v:textbox>
          <w10:wrap type="none"/>
        </v:shape>
      </w:pict>
    </w:r>
    <w:r>
      <w:rPr/>
      <w:pict>
        <v:shape style="position:absolute;margin-left:523.099976pt;margin-top:781.933899pt;width:17.7pt;height:11pt;mso-position-horizontal-relative:page;mso-position-vertical-relative:page;z-index:-1061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6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152</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61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61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61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61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061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61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061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61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070007pt;margin-top:36.265610pt;width:159.6pt;height:11.5pt;mso-position-horizontal-relative:page;mso-position-vertical-relative:page;z-index:-1061296" type="#_x0000_t202" filled="false" stroked="false">
          <v:textbox inset="0,0,0,0">
            <w:txbxContent>
              <w:p>
                <w:pPr>
                  <w:pStyle w:val="BodyText"/>
                  <w:spacing w:line="214" w:lineRule="exact"/>
                  <w:ind w:left="20" w:right="0"/>
                  <w:jc w:val="left"/>
                </w:pPr>
                <w:r>
                  <w:rPr/>
                  <w:t>东华软件股份公司</w:t>
                </w:r>
                <w:r>
                  <w:rPr>
                    <w:spacing w:val="-47"/>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1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dhcc.com.cn/" TargetMode="External"/><Relationship Id="rId10" Type="http://schemas.openxmlformats.org/officeDocument/2006/relationships/hyperlink" Target="mailto:strongyang@dhcc.com.cn" TargetMode="External"/><Relationship Id="rId11" Type="http://schemas.openxmlformats.org/officeDocument/2006/relationships/hyperlink" Target="mailto:gaohan@dhcc.com.cn" TargetMode="External"/><Relationship Id="rId12" Type="http://schemas.openxmlformats.org/officeDocument/2006/relationships/hyperlink" Target="http://www.cninfo.com.cn/" TargetMode="External"/><Relationship Id="rId13" Type="http://schemas.openxmlformats.org/officeDocument/2006/relationships/hyperlink" Target="http://www.dhc-network.com/" TargetMode="External"/><Relationship Id="rId14" Type="http://schemas.openxmlformats.org/officeDocument/2006/relationships/hyperlink" Target="http://www.cninfo.c/"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dhcc.com.cn/main-c1-35-c2-38-c3-76.html" TargetMode="External"/><Relationship Id="rId18" Type="http://schemas.openxmlformats.org/officeDocument/2006/relationships/hyperlink" Target="http://healthcare.dhcc.com.cn/" TargetMode="External"/><Relationship Id="rId19" Type="http://schemas.openxmlformats.org/officeDocument/2006/relationships/hyperlink" Target="http://housing.dhcc.com.cn/" TargetMode="External"/><Relationship Id="rId20" Type="http://schemas.openxmlformats.org/officeDocument/2006/relationships/hyperlink" Target="http://irm.cninfo.com.cn/ssessgs/S002065/index.html" TargetMode="External"/><Relationship Id="rId21" Type="http://schemas.openxmlformats.org/officeDocument/2006/relationships/hyperlink" Target="http://www.cninfo.com.cn/finalpage/2014-07-15/1200053392.PDF" TargetMode="External"/><Relationship Id="rId22" Type="http://schemas.openxmlformats.org/officeDocument/2006/relationships/hyperlink" Target="http://www.cninfo.cn/" TargetMode="Externa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footer" Target="footer5.xml"/><Relationship Id="rId35" Type="http://schemas.openxmlformats.org/officeDocument/2006/relationships/hyperlink" Target="http://www.cninfo.com.cn/)%E4%B8%8A%E7%9A%84" TargetMode="External"/><Relationship Id="rId36" Type="http://schemas.openxmlformats.org/officeDocument/2006/relationships/footer" Target="footer6.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东华软件股份公司</dc:creator>
  <dc:title>东华软件股份公司2015年年度报告全文</dc:title>
  <dcterms:created xsi:type="dcterms:W3CDTF">2020-05-04T12:14:16Z</dcterms:created>
  <dcterms:modified xsi:type="dcterms:W3CDTF">2020-05-04T12:14:16Z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Word 2010</vt:lpwstr>
  </property>
  <property fmtid="{D5CDD505-2E9C-101B-9397-08002B2CF9AE}" pid="4" name="LastSaved">
    <vt:filetime>2020-05-04T00:00:00Z</vt:filetime>
  </property>
</Properties>
</file>